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54EC0">
      <w:pPr>
        <w:divId w:val="1669671243"/>
        <w:rPr>
          <w:rFonts w:eastAsia="Times New Roman"/>
          <w:vanish/>
        </w:rPr>
      </w:pPr>
      <w:r>
        <w:rPr>
          <w:rFonts w:eastAsia="Times New Roman"/>
          <w:vanish/>
        </w:rPr>
        <w:t>FY2022FALSE0001333986http://fasb.org/us-gaap/2022#AccountingStandardsUpdate201613MemberP6YP3Y5.5http://fasb.org/us-gaap/2022#OtherAssetshttp://fasb.org/us-gaap/2022#OtherAssets</w:t>
      </w:r>
      <w:r>
        <w:rPr>
          <w:rFonts w:eastAsia="Times New Roman"/>
          <w:vanish/>
        </w:rPr>
        <w:t>http://fasb.org/us-gaap/2022#OtherLiabilitieshttp://fasb.org/us-gaap/2022#OtherLiabilities5.745.004.353.907.004.932.055.222.784.841.185.202.785.072.435.202.722.712.344.582.5233.3333.3333.335050506.550.004.006.410.003.9101.646.101.530.0010.040.001FY2022FALS</w:t>
      </w:r>
      <w:r>
        <w:rPr>
          <w:rFonts w:eastAsia="Times New Roman"/>
          <w:vanish/>
        </w:rPr>
        <w:t>E0001333986--12-3100013339862022-01-012022-12-310001333986us-gaap:CommonClassAMemberexch:XNYS2022-01-012022-12-310001333986us-gaap:SeriesAPreferredStockMemberexch:XNYS2022-01-012022-12-310001333986exch:XNYSus-gaap:SeriesCPreferredStockMember2022-01-012022-</w:t>
      </w:r>
      <w:r>
        <w:rPr>
          <w:rFonts w:eastAsia="Times New Roman"/>
          <w:vanish/>
        </w:rPr>
        <w:t>12-3100013339862022-06-30iso4217:USD00013339862023-02-17xbrli:shares0001333986eqh:MassachusettsDomiciledInsuranceCompanyMember2022-10-032022-10-0300013339862022-12-3100013339862021-12-310001333986eqh:DiscountedCashFlowValuationTechniqueMembereqh:EmbeddedDe</w:t>
      </w:r>
      <w:r>
        <w:rPr>
          <w:rFonts w:eastAsia="Times New Roman"/>
          <w:vanish/>
        </w:rPr>
        <w:t>rivativeDueFromReinsuranceReinsurersMemberus-gaap:FairValueInputsLevel3Member2022-12-310001333986eqh:DiscountedCashFlowValuationTechniqueMembereqh:EmbeddedDerivativeDueFromReinsuranceReinsurersMemberus-gaap:FairValueInputsLevel3Member2021-12-31iso4217:USDx</w:t>
      </w:r>
      <w:r>
        <w:rPr>
          <w:rFonts w:eastAsia="Times New Roman"/>
          <w:vanish/>
        </w:rPr>
        <w:t>brli:shares00013339862021-01-012021-12-3100013339862020-01-012020-12-310001333986us-gaap:PreferredStockIncludingAdditionalPaidInCapitalMember2021-12-310001333986us-gaap:CommonStockMember2021-12-310001333986us-gaap:AdditionalPaidInCapitalMember2021-12-31000</w:t>
      </w:r>
      <w:r>
        <w:rPr>
          <w:rFonts w:eastAsia="Times New Roman"/>
          <w:vanish/>
        </w:rPr>
        <w:t>1333986us-gaap:TreasuryStockMember2021-12-310001333986us-gaap:RetainedEarningsMember2021-12-310001333986us-gaap:AccumulatedOtherComprehensiveIncomeMember2021-12-310001333986us-gaap:ParentMember2021-12-310001333986us-gaap:NoncontrollingInterestMember2021-12</w:t>
      </w:r>
      <w:r>
        <w:rPr>
          <w:rFonts w:eastAsia="Times New Roman"/>
          <w:vanish/>
        </w:rPr>
        <w:t>-310001333986us-gaap:AdditionalPaidInCapitalMember2022-01-012022-12-310001333986us-gaap:TreasuryStockMember2022-01-012022-12-310001333986us-gaap:ParentMember2022-01-012022-12-310001333986us-gaap:NoncontrollingInterestMember2022-01-012022-12-310001333986us-</w:t>
      </w:r>
      <w:r>
        <w:rPr>
          <w:rFonts w:eastAsia="Times New Roman"/>
          <w:vanish/>
        </w:rPr>
        <w:t>gaap:RetainedEarningsMember2022-01-012022-12-310001333986us-gaap:AccumulatedOtherComprehensiveIncomeMember2022-01-012022-12-310001333986us-gaap:PreferredStockIncludingAdditionalPaidInCapitalMember2022-12-310001333986us-gaap:CommonStockMember2022-12-3100013</w:t>
      </w:r>
      <w:r>
        <w:rPr>
          <w:rFonts w:eastAsia="Times New Roman"/>
          <w:vanish/>
        </w:rPr>
        <w:t>33986us-gaap:AdditionalPaidInCapitalMember2022-12-310001333986us-gaap:TreasuryStockMember2022-12-310001333986us-gaap:RetainedEarningsMember2022-12-310001333986us-gaap:AccumulatedOtherComprehensiveIncomeMember2022-12-310001333986us-gaap:ParentMember2022-12-</w:t>
      </w:r>
      <w:r>
        <w:rPr>
          <w:rFonts w:eastAsia="Times New Roman"/>
          <w:vanish/>
        </w:rPr>
        <w:t>310001333986us-gaap:NoncontrollingInterestMember2022-12-310001333986us-gaap:PreferredStockIncludingAdditionalPaidInCapitalMember2020-12-310001333986us-gaap:CommonStockMember2020-12-310001333986us-gaap:AdditionalPaidInCapitalMember2020-12-310001333986us-gaa</w:t>
      </w:r>
      <w:r>
        <w:rPr>
          <w:rFonts w:eastAsia="Times New Roman"/>
          <w:vanish/>
        </w:rPr>
        <w:t>p:TreasuryStockMember2020-12-310001333986us-gaap:RetainedEarningsMember2020-12-310001333986us-gaap:AccumulatedOtherComprehensiveIncomeMember2020-12-310001333986us-gaap:ParentMember2020-12-310001333986us-gaap:NoncontrollingInterestMember2020-12-310001333986</w:t>
      </w:r>
      <w:r>
        <w:rPr>
          <w:rFonts w:eastAsia="Times New Roman"/>
          <w:vanish/>
        </w:rPr>
        <w:t>2020-12-310001333986us-gaap:AdditionalPaidInCapitalMember2021-01-012021-12-310001333986us-gaap:TreasuryStockMember2021-01-012021-12-310001333986us-gaap:ParentMember2021-01-012021-12-310001333986us-gaap:NoncontrollingInterestMember2021-01-012021-12-31000133</w:t>
      </w:r>
      <w:r>
        <w:rPr>
          <w:rFonts w:eastAsia="Times New Roman"/>
          <w:vanish/>
        </w:rPr>
        <w:t>3986us-gaap:CommonStockMember2021-01-012021-12-310001333986us-gaap:RetainedEarningsMember2021-01-012021-12-310001333986us-gaap:PreferredStockIncludingAdditionalPaidInCapitalMember2021-01-012021-12-310001333986us-gaap:AccumulatedOtherComprehensiveIncomeMemb</w:t>
      </w:r>
      <w:r>
        <w:rPr>
          <w:rFonts w:eastAsia="Times New Roman"/>
          <w:vanish/>
        </w:rPr>
        <w:t>er2021-01-012021-12-310001333986us-gaap:PreferredStockIncludingAdditionalPaidInCapitalMember2019-12-310001333986us-gaap:CommonStockMember2019-12-310001333986us-gaap:AdditionalPaidInCapitalMember2019-12-310001333986us-gaap:TreasuryStockMember2019-12-3100013</w:t>
      </w:r>
      <w:r>
        <w:rPr>
          <w:rFonts w:eastAsia="Times New Roman"/>
          <w:vanish/>
        </w:rPr>
        <w:t>33986us-gaap:RetainedEarningsMember2019-12-310001333986us-gaap:AccumulatedOtherComprehensiveIncomeMember2019-12-310001333986us-gaap:ParentMember2019-12-310001333986us-gaap:NoncontrollingInterestMember2019-12-3100013339862019-12-3100013339862019-01-012019-1</w:t>
      </w:r>
      <w:r>
        <w:rPr>
          <w:rFonts w:eastAsia="Times New Roman"/>
          <w:vanish/>
        </w:rPr>
        <w:t>2-310001333986us-gaap:RetainedEarningsMembersrt:CumulativeEffectPeriodOfAdoptionAdjustedBalanceMember2019-12-310001333986us-gaap:ParentMembersrt:CumulativeEffectPeriodOfAdoptionAdjustedBalanceMember2019-12-310001333986srt:CumulativeEffectPeriodOfAdoptionAd</w:t>
      </w:r>
      <w:r>
        <w:rPr>
          <w:rFonts w:eastAsia="Times New Roman"/>
          <w:vanish/>
        </w:rPr>
        <w:t>justedBalanceMember2019-12-310001333986us-gaap:AdditionalPaidInCapitalMember2020-01-012020-12-310001333986us-gaap:TreasuryStockMember2020-01-012020-12-310001333986us-gaap:ParentMember2020-01-012020-12-310001333986us-gaap:NoncontrollingInterestMember2020-01</w:t>
      </w:r>
      <w:r>
        <w:rPr>
          <w:rFonts w:eastAsia="Times New Roman"/>
          <w:vanish/>
        </w:rPr>
        <w:t>-012020-12-310001333986us-gaap:RetainedEarningsMember2020-01-012020-12-310001333986us-gaap:PreferredStockIncludingAdditionalPaidInCapitalMember2020-01-012020-12-310001333986us-gaap:AccumulatedOtherComprehensiveIncomeMember2020-01-012020-12-310001333986eqh:</w:t>
      </w:r>
      <w:r>
        <w:rPr>
          <w:rFonts w:eastAsia="Times New Roman"/>
          <w:vanish/>
        </w:rPr>
        <w:t>MassachusettsDomiciledInsuranceCompanyMember2022-01-012022-12-310001333986eqh:VenerableReinsuranceTransactionMember2022-01-012022-12-31eqh:segment0001333986eqh:MassachusettsDomiciledInsuranceCompanyMembereqh:ReinsuranceTransactionMemberus-gaap:NumberOfEmpl</w:t>
      </w:r>
      <w:r>
        <w:rPr>
          <w:rFonts w:eastAsia="Times New Roman"/>
          <w:vanish/>
        </w:rPr>
        <w:t>oyeesTotalMember2022-10-032022-10-03xbrli:pure0001333986eqh:ReinsuranceTransactionMemberus-gaap:NumberOfEmployeesTotalMember2022-10-032022-10-030001333986eqh:MassachusettsDomiciledInsuranceCompanyMember2022-10-030001333986eqh:CorporateSolutionsLifeReinsura</w:t>
      </w:r>
      <w:r>
        <w:rPr>
          <w:rFonts w:eastAsia="Times New Roman"/>
          <w:vanish/>
        </w:rPr>
        <w:t>nceCompanyMembereqh:AllianceBernsteinMember2022-10-030001333986us-gaap:GuaranteedMinimumWithdrawalBenefitMembereqh:CorporateSolutionsLifeReinsuranceCompanyMembereqh:AllianceBernsteinMember2021-06-010001333986eqh:AllianceBernsteinMember2022-01-012022-12-310</w:t>
      </w:r>
      <w:r>
        <w:rPr>
          <w:rFonts w:eastAsia="Times New Roman"/>
          <w:vanish/>
        </w:rPr>
        <w:t>001333986eqh:AllianceBernsteinMember2021-01-012021-12-310001333986eqh:AllianceBernsteinMembereqh:CarValInvestmentsLPMember2022-12-310001333986eqh:AllianceBernsteinMember2022-07-012022-07-010001333986eqh:AllianceBernsteinMember2022-11-012022-11-010001333986</w:t>
      </w:r>
      <w:r>
        <w:rPr>
          <w:rFonts w:eastAsia="Times New Roman"/>
          <w:vanish/>
        </w:rPr>
        <w:t>eqh:AllianceBernsteinMember2022-12-310001333986eqh:CorporateSolutionsLifeReinsuranceCompanyMember2021-06-010001333986eqh:VenerableInsuranceAndAnnuityCompanyMembereqh:CorporateSolutionsLifeReinsuranceCompanyMember2021-06-012021-06-010001333986eqh:EquitableF</w:t>
      </w:r>
      <w:r>
        <w:rPr>
          <w:rFonts w:eastAsia="Times New Roman"/>
          <w:vanish/>
        </w:rPr>
        <w:t>inancialLifeInsuranceCompanyEFLICMembereqh:VenerableInsuranceAndAnnuityCompanyMember2021-06-010001333986eqh:CorporateSolutionsLifeReinsuranceCompanyMembereqh:AllianceBernsteinMember2021-06-010001333986eqh:EquitableInvestmentManagementGroupLLCMembereqh:VACa</w:t>
      </w:r>
      <w:r>
        <w:rPr>
          <w:rFonts w:eastAsia="Times New Roman"/>
          <w:vanish/>
        </w:rPr>
        <w:t>pitalCompanyLLCMember2021-06-010001333986srt:RevisionOfPriorPeriodChangeInAccountingPrincipleAdjustmentMember2021-01-012021-01-010001333986srt:RevisionOfPriorPeriodChangeInAccountingPrincipleAdjustmentMember2021-01-012021-12-310001333986srt:ScenarioPreviou</w:t>
      </w:r>
      <w:r>
        <w:rPr>
          <w:rFonts w:eastAsia="Times New Roman"/>
          <w:vanish/>
        </w:rPr>
        <w:t>slyReportedMember2021-01-012021-12-310001333986srt:MinimumMembereqh:LifeInsuranceLiabilitiesMember2022-12-310001333986srt:MaximumMembereqh:LifeInsuranceLiabilitiesMember2022-12-310001333986srt:WeightedAverageMembereqh:LifeInsuranceLiabilitiesMember2022-12-</w:t>
      </w:r>
      <w:r>
        <w:rPr>
          <w:rFonts w:eastAsia="Times New Roman"/>
          <w:vanish/>
        </w:rPr>
        <w:t>310001333986eqh:AnnuityLiabilitiesMembersrt:MinimumMember2022-12-310001333986eqh:AnnuityLiabilitiesMembersrt:MaximumMember2022-12-310001333986eqh:AnnuityLiabilitiesMembersrt:WeightedAverageMember2022-12-310001333986eqh:AllianceBernsteinMembersrt:MinimumMem</w:t>
      </w:r>
      <w:r>
        <w:rPr>
          <w:rFonts w:eastAsia="Times New Roman"/>
          <w:vanish/>
        </w:rPr>
        <w:t>ber2022-01-012022-12-310001333986srt:MaximumMembereqh:AllianceBernsteinMember2022-01-012022-12-310001333986eqh:NonUSFundSharesDeferredSalesCommissionsNetMember2022-12-310001333986eqh:AllianceBernsteinMembereqh:DeferredSalesCommissionsMember2022-12-31000133</w:t>
      </w:r>
      <w:r>
        <w:rPr>
          <w:rFonts w:eastAsia="Times New Roman"/>
          <w:vanish/>
        </w:rPr>
        <w:t>3986eqh:AllianceBernsteinMembereqh:DeferredSalesCommissionsMember2021-12-310001333986us-gaap:ComputerSoftwareIntangibleAssetMembersrt:MinimumMember2022-01-012022-12-310001333986srt:MaximumMemberus-gaap:ComputerSoftwareIntangibleAssetMember2022-01-012022-12</w:t>
      </w:r>
      <w:r>
        <w:rPr>
          <w:rFonts w:eastAsia="Times New Roman"/>
          <w:vanish/>
        </w:rPr>
        <w:t>-310001333986eqh:ABHoldingMember2022-01-012022-12-310001333986eqh:USFundSharesDeferredSalesCommissionsNetMember2022-12-310001333986us-gaap:CollateralizedLoanObligationsMemberus-gaap:VariableInterestEntityPrimaryBeneficiaryMember2022-12-310001333986us-gaap:</w:t>
      </w:r>
      <w:r>
        <w:rPr>
          <w:rFonts w:eastAsia="Times New Roman"/>
          <w:vanish/>
        </w:rPr>
        <w:t>CollateralizedLoanObligationsMemberus-gaap:VariableInterestEntityPrimaryBeneficiaryMember2021-12-310001333986eqh:ConsolidatedLimitedPartnershipsMember2022-12-310001333986eqh:ConsolidatedLimitedPartnershipsMember2021-12-310001333986eqh:ABSponsoredInvestment</w:t>
      </w:r>
      <w:r>
        <w:rPr>
          <w:rFonts w:eastAsia="Times New Roman"/>
          <w:vanish/>
        </w:rPr>
        <w:t>FundsMembereqh:ConsolidatedEntityMember2022-12-310001333986eqh:ABSponsoredInvestmentFundsMembereqh:ConsolidatedEntityMember2021-12-310001333986eqh:NonConsolidatedVairableInterestEntitiesVIEMember2022-12-310001333986eqh:NonConsolidatedVairableInterestEntiti</w:t>
      </w:r>
      <w:r>
        <w:rPr>
          <w:rFonts w:eastAsia="Times New Roman"/>
          <w:vanish/>
        </w:rPr>
        <w:t>esVIEMember2021-12-310001333986eqh:ABSponsoredInvestmentFundsMembereqh:NonConsolidatedVairableInterestEntitiesVIEMember2022-12-310001333986eqh:ABSponsoredInvestmentFundsMembereqh:NonConsolidatedVairableInterestEntitiesVIEMember2021-12-310001333986eqh:ABSpo</w:t>
      </w:r>
      <w:r>
        <w:rPr>
          <w:rFonts w:eastAsia="Times New Roman"/>
          <w:vanish/>
        </w:rPr>
        <w:t>nsoredInvestmentFundsMembereqh:NonConsolidatedVairableInterestEntitiesVIEMember2022-12-310001333986eqh:ABSponsoredInvestmentFundsMembereqh:NonConsolidatedVairableInterestEntitiesVIEMember2021-12-310001333986eqh:A5yearHistoricalAverageOverA10yearPeriodMembe</w:t>
      </w:r>
      <w:r>
        <w:rPr>
          <w:rFonts w:eastAsia="Times New Roman"/>
          <w:vanish/>
        </w:rPr>
        <w:t>r2020-03-310001333986eqh:LongtermLapsesPartialWithdrawalRatesAndElectionAssumptionsUpdatesMember2022-01-012022-12-310001333986eqh:LongtermLapsesPartialWithdrawalRatesAndElectionAssumptionsUpdatesMember2021-01-012021-12-310001333986eqh:LongtermLapsesPartial</w:t>
      </w:r>
      <w:r>
        <w:rPr>
          <w:rFonts w:eastAsia="Times New Roman"/>
          <w:vanish/>
        </w:rPr>
        <w:t>WithdrawalRatesAndElectionAssumptionsUpdatesMember2020-01-012020-12-310001333986eqh:EconomicScenarioGeneratorMember2020-01-012020-12-310001333986us-gaap:FixedMaturitiesMember2022-12-310001333986us-gaap:FixedMaturitiesMember2021-12-310001333986us-gaap:Fixed</w:t>
      </w:r>
      <w:r>
        <w:rPr>
          <w:rFonts w:eastAsia="Times New Roman"/>
          <w:vanish/>
        </w:rPr>
        <w:t>MaturitiesMember2022-10-012022-12-310001333986us-gaap:FixedMaturitiesMember2021-01-012021-12-310001333986us-gaap:FixedMaturitiesMember2022-01-012022-12-310001333986us-gaap:FixedMaturitiesMember2021-10-012021-12-310001333986us-gaap:CorporateDebtSecuritiesMe</w:t>
      </w:r>
      <w:r>
        <w:rPr>
          <w:rFonts w:eastAsia="Times New Roman"/>
          <w:vanish/>
        </w:rPr>
        <w:t>mber2022-12-310001333986us-gaap:USTreasuryAndGovernmentMember2022-12-310001333986us-gaap:USStatesAndPoliticalSubdivisionsMember2022-12-310001333986us-gaap:ForeignGovernmentDebtSecuritiesMember2022-12-310001333986us-gaap:ResidentialMortgageBackedSecuritiesM</w:t>
      </w:r>
      <w:r>
        <w:rPr>
          <w:rFonts w:eastAsia="Times New Roman"/>
          <w:vanish/>
        </w:rPr>
        <w:t>ember2022-12-310001333986us-gaap:AssetBackedSecuritiesMember2022-12-310001333986us-gaap:CommercialMortgageBackedSecuritiesMember2022-12-310001333986us-gaap:RedeemablePreferredStockMember2022-12-310001333986us-gaap:CorporateDebtSecuritiesMember2021-12-31000</w:t>
      </w:r>
      <w:r>
        <w:rPr>
          <w:rFonts w:eastAsia="Times New Roman"/>
          <w:vanish/>
        </w:rPr>
        <w:t>1333986us-gaap:USTreasuryAndGovernmentMember2021-12-310001333986us-gaap:USStatesAndPoliticalSubdivisionsMember2021-12-310001333986us-gaap:ForeignGovernmentDebtSecuritiesMember2021-12-310001333986us-gaap:ResidentialMortgageBackedSecuritiesMember2021-12-3100</w:t>
      </w:r>
      <w:r>
        <w:rPr>
          <w:rFonts w:eastAsia="Times New Roman"/>
          <w:vanish/>
        </w:rPr>
        <w:t>01333986us-gaap:AssetBackedSecuritiesMember2021-12-310001333986us-gaap:CommercialMortgageBackedSecuritiesMember2021-12-310001333986us-gaap:RedeemablePreferredStockMember2021-12-310001333986eqh:GlobalAtlanticTransactionMember2022-01-012022-12-310001333986eq</w:t>
      </w:r>
      <w:r>
        <w:rPr>
          <w:rFonts w:eastAsia="Times New Roman"/>
          <w:vanish/>
        </w:rPr>
        <w:t>h:UnrealizedInvestmentGainsLossesAllOtherMemberus-gaap:AccumulatedNetUnrealizedInvestmentGainLossMembereqh:NetUnrealizedGainsLossesOnInvestmentsMember2021-12-310001333986eqh:UnrealizedInvestmentGainsLossesAllOtherMembereqh:DacMemberus-gaap:AccumulatedNetUn</w:t>
      </w:r>
      <w:r>
        <w:rPr>
          <w:rFonts w:eastAsia="Times New Roman"/>
          <w:vanish/>
        </w:rPr>
        <w:t>realizedInvestmentGainLossMember2021-12-310001333986eqh:UnrealizedInvestmentGainsLossesAllOtherMembereqh:PolicyholdersLiabilitiesMemberus-gaap:AccumulatedNetUnrealizedInvestmentGainLossMember2021-12-310001333986eqh:UnrealizedInvestmentGainsLossesAllOtherMe</w:t>
      </w:r>
      <w:r>
        <w:rPr>
          <w:rFonts w:eastAsia="Times New Roman"/>
          <w:vanish/>
        </w:rPr>
        <w:t>mbereqh:DeferredIncomeTaxAssetLiabilityMemberus-gaap:AccumulatedNetUnrealizedInvestmentGainLossMember2021-12-310001333986eqh:UnrealizedInvestmentGainsLossesAllOtherMemberus-gaap:AccumulatedNetUnrealizedInvestmentGainLossMembereqh:AociGainLossesRelatedToNet</w:t>
      </w:r>
      <w:r>
        <w:rPr>
          <w:rFonts w:eastAsia="Times New Roman"/>
          <w:vanish/>
        </w:rPr>
        <w:t>UnrealizedInvestmentGainsLossesMember2021-12-310001333986eqh:UnrealizedInvestmentGainsLossesAllOtherMemberus-gaap:AccumulatedNetUnrealizedInvestmentGainLossMembereqh:NetUnrealizedGainsLossesOnInvestmentsMember2022-01-012022-12-310001333986eqh:UnrealizedInv</w:t>
      </w:r>
      <w:r>
        <w:rPr>
          <w:rFonts w:eastAsia="Times New Roman"/>
          <w:vanish/>
        </w:rPr>
        <w:t>estmentGainsLossesAllOtherMemberus-gaap:AccumulatedNetUnrealizedInvestmentGainLossMembereqh:AociGainLossesRelatedToNetUnrealizedInvestmentGainsLossesMember2022-01-012022-12-310001333986eqh:UnrealizedInvestmentGainsLossesAllOtherMembereqh:DeferredIncomeTaxA</w:t>
      </w:r>
      <w:r>
        <w:rPr>
          <w:rFonts w:eastAsia="Times New Roman"/>
          <w:vanish/>
        </w:rPr>
        <w:t>ssetLiabilityMemberus-gaap:AccumulatedNetUnrealizedInvestmentGainLossMember2022-01-012022-12-310001333986eqh:UnrealizedInvestmentGainsLossesAllOtherMembereqh:DacMemberus-gaap:AccumulatedNetUnrealizedInvestmentGainLossMember2022-01-012022-12-310001333986eqh</w:t>
      </w:r>
      <w:r>
        <w:rPr>
          <w:rFonts w:eastAsia="Times New Roman"/>
          <w:vanish/>
        </w:rPr>
        <w:t>:UnrealizedInvestmentGainsLossesAllOtherMembereqh:PolicyholdersLiabilitiesMemberus-gaap:AccumulatedNetUnrealizedInvestmentGainLossMember2022-01-012022-12-310001333986eqh:NetUnrealizedGainsLossesOnInvestmentsExcludingCreditLossesMemberus-gaap:AccumulatedNet</w:t>
      </w:r>
      <w:r>
        <w:rPr>
          <w:rFonts w:eastAsia="Times New Roman"/>
          <w:vanish/>
        </w:rPr>
        <w:t>UnrealizedInvestmentGainLossMembereqh:NetUnrealizedGainsLossesOnInvestmentsMember2022-12-310001333986eqh:NetUnrealizedGainsLossesOnInvestmentsExcludingCreditLossesMemberus-gaap:FixedMaturitiesMembereqh:DacMemberus-gaap:AccumulatedNetUnrealizedInvestmentGai</w:t>
      </w:r>
      <w:r>
        <w:rPr>
          <w:rFonts w:eastAsia="Times New Roman"/>
          <w:vanish/>
        </w:rPr>
        <w:t>nLossMember2022-12-310001333986eqh:NetUnrealizedGainsLossesOnInvestmentsExcludingCreditLossesMemberus-gaap:FixedMaturitiesMembereqh:PolicyholdersLiabilitiesMemberus-gaap:AccumulatedNetUnrealizedInvestmentGainLossMember2022-12-310001333986eqh:NetUnrealizedG</w:t>
      </w:r>
      <w:r>
        <w:rPr>
          <w:rFonts w:eastAsia="Times New Roman"/>
          <w:vanish/>
        </w:rPr>
        <w:t>ainsLossesOnInvestmentsExcludingCreditLossesMemberus-gaap:FixedMaturitiesMembereqh:DeferredIncomeTaxAssetLiabilityMemberus-gaap:AccumulatedNetUnrealizedInvestmentGainLossMember2022-12-310001333986eqh:NetUnrealizedGainsLossesOnInvestmentsExcludingCreditLoss</w:t>
      </w:r>
      <w:r>
        <w:rPr>
          <w:rFonts w:eastAsia="Times New Roman"/>
          <w:vanish/>
        </w:rPr>
        <w:t>esMemberus-gaap:AccumulatedNetUnrealizedInvestmentGainLossMembereqh:AociGainLossesRelatedToNetUnrealizedInvestmentGainsLossesMember2022-12-310001333986eqh:NetUnrealizedGainsLossesOnInvestmentsIncludingCreditLossesMemberus-gaap:AccumulatedNetUnrealizedInves</w:t>
      </w:r>
      <w:r>
        <w:rPr>
          <w:rFonts w:eastAsia="Times New Roman"/>
          <w:vanish/>
        </w:rPr>
        <w:t>tmentGainLossMembereqh:NetUnrealizedGainsLossesOnInvestmentsMember2022-12-310001333986us-gaap:FixedMaturitiesMembereqh:NetUnrealizedGainsLossesOnInvestmentsIncludingCreditLossesMembereqh:DacMemberus-gaap:AccumulatedNetUnrealizedInvestmentGainLossMember2022</w:t>
      </w:r>
      <w:r>
        <w:rPr>
          <w:rFonts w:eastAsia="Times New Roman"/>
          <w:vanish/>
        </w:rPr>
        <w:t>-12-310001333986us-gaap:FixedMaturitiesMembereqh:NetUnrealizedGainsLossesOnInvestmentsIncludingCreditLossesMembereqh:PolicyholdersLiabilitiesMemberus-gaap:AccumulatedNetUnrealizedInvestmentGainLossMember2022-12-310001333986us-gaap:FixedMaturitiesMembereqh:</w:t>
      </w:r>
      <w:r>
        <w:rPr>
          <w:rFonts w:eastAsia="Times New Roman"/>
          <w:vanish/>
        </w:rPr>
        <w:t>DeferredIncomeTaxAssetLiabilityMembereqh:NetUnrealizedGainsLossesOnInvestmentsIncludingCreditLossesMemberus-gaap:AccumulatedNetUnrealizedInvestmentGainLossMember2022-12-310001333986eqh:NetUnrealizedGainsLossesOnInvestmentsIncludingCreditLossesMemberus-gaap</w:t>
      </w:r>
      <w:r>
        <w:rPr>
          <w:rFonts w:eastAsia="Times New Roman"/>
          <w:vanish/>
        </w:rPr>
        <w:t>:AccumulatedNetUnrealizedInvestmentGainLossMembereqh:AociGainLossesRelatedToNetUnrealizedInvestmentGainsLossesMember2022-12-310001333986eqh:UnrealizedInvestmentGainsLossesAllOtherMemberus-gaap:AccumulatedNetUnrealizedInvestmentGainLossMembereqh:NetUnrealiz</w:t>
      </w:r>
      <w:r>
        <w:rPr>
          <w:rFonts w:eastAsia="Times New Roman"/>
          <w:vanish/>
        </w:rPr>
        <w:t>edGainsLossesOnInvestmentsMember2022-12-310001333986eqh:UnrealizedInvestmentGainsLossesAllOtherMembereqh:DacMemberus-gaap:AccumulatedNetUnrealizedInvestmentGainLossMember2022-12-310001333986eqh:UnrealizedInvestmentGainsLossesAllOtherMembereqh:Policyholders</w:t>
      </w:r>
      <w:r>
        <w:rPr>
          <w:rFonts w:eastAsia="Times New Roman"/>
          <w:vanish/>
        </w:rPr>
        <w:t>LiabilitiesMemberus-gaap:AccumulatedNetUnrealizedInvestmentGainLossMember2022-12-310001333986eqh:UnrealizedInvestmentGainsLossesAllOtherMembereqh:DeferredIncomeTaxAssetLiabilityMemberus-gaap:AccumulatedNetUnrealizedInvestmentGainLossMember2022-12-310001333</w:t>
      </w:r>
      <w:r>
        <w:rPr>
          <w:rFonts w:eastAsia="Times New Roman"/>
          <w:vanish/>
        </w:rPr>
        <w:t>986eqh:UnrealizedInvestmentGainsLossesAllOtherMemberus-gaap:AccumulatedNetUnrealizedInvestmentGainLossMembereqh:AociGainLossesRelatedToNetUnrealizedInvestmentGainsLossesMember2022-12-310001333986eqh:UnrealizedInvestmentGainsLossesAllOtherMemberus-gaap:Accu</w:t>
      </w:r>
      <w:r>
        <w:rPr>
          <w:rFonts w:eastAsia="Times New Roman"/>
          <w:vanish/>
        </w:rPr>
        <w:t>mulatedNetUnrealizedInvestmentGainLossMembereqh:NetUnrealizedGainsLossesOnInvestmentsMember2020-12-310001333986eqh:UnrealizedInvestmentGainsLossesAllOtherMembereqh:DacMemberus-gaap:AccumulatedNetUnrealizedInvestmentGainLossMember2020-12-310001333986eqh:Unr</w:t>
      </w:r>
      <w:r>
        <w:rPr>
          <w:rFonts w:eastAsia="Times New Roman"/>
          <w:vanish/>
        </w:rPr>
        <w:t>ealizedInvestmentGainsLossesAllOtherMembereqh:PolicyholdersLiabilitiesMemberus-gaap:AccumulatedNetUnrealizedInvestmentGainLossMember2020-12-310001333986eqh:UnrealizedInvestmentGainsLossesAllOtherMembereqh:DeferredIncomeTaxAssetLiabilityMemberus-gaap:Accumu</w:t>
      </w:r>
      <w:r>
        <w:rPr>
          <w:rFonts w:eastAsia="Times New Roman"/>
          <w:vanish/>
        </w:rPr>
        <w:t>latedNetUnrealizedInvestmentGainLossMember2020-12-310001333986eqh:UnrealizedInvestmentGainsLossesAllOtherMemberus-gaap:AccumulatedNetUnrealizedInvestmentGainLossMembereqh:AociGainLossesRelatedToNetUnrealizedInvestmentGainsLossesMember2020-12-310001333986eq</w:t>
      </w:r>
      <w:r>
        <w:rPr>
          <w:rFonts w:eastAsia="Times New Roman"/>
          <w:vanish/>
        </w:rPr>
        <w:t>h:UnrealizedInvestmentGainsLossesAllOtherMemberus-gaap:AccumulatedNetUnrealizedInvestmentGainLossMembereqh:NetUnrealizedGainsLossesOnInvestmentsMember2021-01-012021-12-310001333986eqh:UnrealizedInvestmentGainsLossesAllOtherMemberus-gaap:AccumulatedNetUnrea</w:t>
      </w:r>
      <w:r>
        <w:rPr>
          <w:rFonts w:eastAsia="Times New Roman"/>
          <w:vanish/>
        </w:rPr>
        <w:t>lizedInvestmentGainLossMembereqh:AociGainLossesRelatedToNetUnrealizedInvestmentGainsLossesMember2021-01-012021-12-310001333986eqh:UnrealizedInvestmentGainsLossesAllOtherMembereqh:DacMemberus-gaap:AccumulatedNetUnrealizedInvestmentGainLossMember2021-01-0120</w:t>
      </w:r>
      <w:r>
        <w:rPr>
          <w:rFonts w:eastAsia="Times New Roman"/>
          <w:vanish/>
        </w:rPr>
        <w:t>21-12-310001333986eqh:UnrealizedInvestmentGainsLossesAllOtherMembereqh:PolicyholdersLiabilitiesMemberus-gaap:AccumulatedNetUnrealizedInvestmentGainLossMember2021-01-012021-12-310001333986eqh:UnrealizedInvestmentGainsLossesAllOtherMembereqh:DeferredIncomeTa</w:t>
      </w:r>
      <w:r>
        <w:rPr>
          <w:rFonts w:eastAsia="Times New Roman"/>
          <w:vanish/>
        </w:rPr>
        <w:t>xAssetLiabilityMemberus-gaap:AccumulatedNetUnrealizedInvestmentGainLossMember2021-01-012021-12-310001333986eqh:NetUnrealizedGainsLossesOnInvestmentsExcludingCreditLossesMemberus-gaap:AccumulatedNetUnrealizedInvestmentGainLossMembereqh:NetUnrealizedGainsLos</w:t>
      </w:r>
      <w:r>
        <w:rPr>
          <w:rFonts w:eastAsia="Times New Roman"/>
          <w:vanish/>
        </w:rPr>
        <w:t>sesOnInvestmentsMember2021-12-310001333986eqh:NetUnrealizedGainsLossesOnInvestmentsExcludingCreditLossesMemberus-gaap:FixedMaturitiesMembereqh:DacMemberus-gaap:AccumulatedNetUnrealizedInvestmentGainLossMember2021-12-310001333986eqh:NetUnrealizedGainsLosses</w:t>
      </w:r>
      <w:r>
        <w:rPr>
          <w:rFonts w:eastAsia="Times New Roman"/>
          <w:vanish/>
        </w:rPr>
        <w:t>OnInvestmentsExcludingCreditLossesMemberus-gaap:FixedMaturitiesMembereqh:PolicyholdersLiabilitiesMemberus-gaap:AccumulatedNetUnrealizedInvestmentGainLossMember2021-12-310001333986eqh:NetUnrealizedGainsLossesOnInvestmentsExcludingCreditLossesMemberus-gaap:F</w:t>
      </w:r>
      <w:r>
        <w:rPr>
          <w:rFonts w:eastAsia="Times New Roman"/>
          <w:vanish/>
        </w:rPr>
        <w:t>ixedMaturitiesMembereqh:DeferredIncomeTaxAssetLiabilityMemberus-gaap:AccumulatedNetUnrealizedInvestmentGainLossMember2021-12-310001333986eqh:NetUnrealizedGainsLossesOnInvestmentsExcludingCreditLossesMemberus-gaap:AccumulatedNetUnrealizedInvestmentGainLossM</w:t>
      </w:r>
      <w:r>
        <w:rPr>
          <w:rFonts w:eastAsia="Times New Roman"/>
          <w:vanish/>
        </w:rPr>
        <w:t>embereqh:AociGainLossesRelatedToNetUnrealizedInvestmentGainsLossesMember2021-12-310001333986eqh:NetUnrealizedGainsLossesOnInvestmentsIncludingCreditLossesMemberus-gaap:AccumulatedNetUnrealizedInvestmentGainLossMembereqh:NetUnrealizedGainsLossesOnInvestment</w:t>
      </w:r>
      <w:r>
        <w:rPr>
          <w:rFonts w:eastAsia="Times New Roman"/>
          <w:vanish/>
        </w:rPr>
        <w:t>sMember2021-12-310001333986us-gaap:FixedMaturitiesMembereqh:NetUnrealizedGainsLossesOnInvestmentsIncludingCreditLossesMembereqh:DacMemberus-gaap:AccumulatedNetUnrealizedInvestmentGainLossMember2021-12-310001333986us-gaap:FixedMaturitiesMembereqh:NetUnreali</w:t>
      </w:r>
      <w:r>
        <w:rPr>
          <w:rFonts w:eastAsia="Times New Roman"/>
          <w:vanish/>
        </w:rPr>
        <w:t>zedGainsLossesOnInvestmentsIncludingCreditLossesMembereqh:PolicyholdersLiabilitiesMemberus-gaap:AccumulatedNetUnrealizedInvestmentGainLossMember2021-12-310001333986us-gaap:FixedMaturitiesMembereqh:DeferredIncomeTaxAssetLiabilityMembereqh:NetUnrealizedGains</w:t>
      </w:r>
      <w:r>
        <w:rPr>
          <w:rFonts w:eastAsia="Times New Roman"/>
          <w:vanish/>
        </w:rPr>
        <w:t>LossesOnInvestmentsIncludingCreditLossesMemberus-gaap:AccumulatedNetUnrealizedInvestmentGainLossMember2021-12-310001333986eqh:NetUnrealizedGainsLossesOnInvestmentsIncludingCreditLossesMemberus-gaap:AccumulatedNetUnrealizedInvestmentGainLossMembereqh:AociGa</w:t>
      </w:r>
      <w:r>
        <w:rPr>
          <w:rFonts w:eastAsia="Times New Roman"/>
          <w:vanish/>
        </w:rPr>
        <w:t>inLossesRelatedToNetUnrealizedInvestmentGainsLossesMember2021-12-310001333986eqh:UnrealizedInvestmentGainsLossesAllOtherMemberus-gaap:AccumulatedNetUnrealizedInvestmentGainLossMembereqh:NetUnrealizedGainsLossesOnInvestmentsMember2019-12-310001333986eqh:Unr</w:t>
      </w:r>
      <w:r>
        <w:rPr>
          <w:rFonts w:eastAsia="Times New Roman"/>
          <w:vanish/>
        </w:rPr>
        <w:t>ealizedInvestmentGainsLossesAllOtherMembereqh:DacMemberus-gaap:AccumulatedNetUnrealizedInvestmentGainLossMember2019-12-310001333986eqh:UnrealizedInvestmentGainsLossesAllOtherMembereqh:PolicyholdersLiabilitiesMemberus-gaap:AccumulatedNetUnrealizedInvestment</w:t>
      </w:r>
      <w:r>
        <w:rPr>
          <w:rFonts w:eastAsia="Times New Roman"/>
          <w:vanish/>
        </w:rPr>
        <w:t>GainLossMember2019-12-310001333986eqh:UnrealizedInvestmentGainsLossesAllOtherMembereqh:DeferredIncomeTaxAssetLiabilityMemberus-gaap:AccumulatedNetUnrealizedInvestmentGainLossMember2019-12-310001333986eqh:UnrealizedInvestmentGainsLossesAllOtherMemberus-gaap</w:t>
      </w:r>
      <w:r>
        <w:rPr>
          <w:rFonts w:eastAsia="Times New Roman"/>
          <w:vanish/>
        </w:rPr>
        <w:t>:AccumulatedNetUnrealizedInvestmentGainLossMembereqh:AociGainLossesRelatedToNetUnrealizedInvestmentGainsLossesMember2019-12-310001333986eqh:UnrealizedInvestmentGainsLossesAllOtherMemberus-gaap:AccumulatedNetUnrealizedInvestmentGainLossMembereqh:NetUnrealiz</w:t>
      </w:r>
      <w:r>
        <w:rPr>
          <w:rFonts w:eastAsia="Times New Roman"/>
          <w:vanish/>
        </w:rPr>
        <w:t>edGainsLossesOnInvestmentsMember2020-01-012020-12-310001333986eqh:UnrealizedInvestmentGainsLossesAllOtherMemberus-gaap:AccumulatedNetUnrealizedInvestmentGainLossMembereqh:AociGainLossesRelatedToNetUnrealizedInvestmentGainsLossesMember2020-01-012020-12-3100</w:t>
      </w:r>
      <w:r>
        <w:rPr>
          <w:rFonts w:eastAsia="Times New Roman"/>
          <w:vanish/>
        </w:rPr>
        <w:t>01333986eqh:UnrealizedInvestmentGainsLossesAllOtherMembereqh:DacMemberus-gaap:AccumulatedNetUnrealizedInvestmentGainLossMember2020-01-012020-12-310001333986eqh:UnrealizedInvestmentGainsLossesAllOtherMembereqh:PolicyholdersLiabilitiesMemberus-gaap:Accumulat</w:t>
      </w:r>
      <w:r>
        <w:rPr>
          <w:rFonts w:eastAsia="Times New Roman"/>
          <w:vanish/>
        </w:rPr>
        <w:t>edNetUnrealizedInvestmentGainLossMember2020-01-012020-12-310001333986eqh:UnrealizedInvestmentGainsLossesAllOtherMembereqh:DeferredIncomeTaxAssetLiabilityMemberus-gaap:AccumulatedNetUnrealizedInvestmentGainLossMember2020-01-012020-12-310001333986eqh:NetUnre</w:t>
      </w:r>
      <w:r>
        <w:rPr>
          <w:rFonts w:eastAsia="Times New Roman"/>
          <w:vanish/>
        </w:rPr>
        <w:t>alizedGainsLossesOnInvestmentsExcludingCreditLossesMemberus-gaap:AccumulatedNetUnrealizedInvestmentGainLossMembereqh:NetUnrealizedGainsLossesOnInvestmentsMember2020-12-310001333986eqh:NetUnrealizedGainsLossesOnInvestmentsExcludingCreditLossesMemberus-gaap:</w:t>
      </w:r>
      <w:r>
        <w:rPr>
          <w:rFonts w:eastAsia="Times New Roman"/>
          <w:vanish/>
        </w:rPr>
        <w:t>FixedMaturitiesMembereqh:DacMemberus-gaap:AccumulatedNetUnrealizedInvestmentGainLossMember2020-12-310001333986eqh:NetUnrealizedGainsLossesOnInvestmentsExcludingCreditLossesMemberus-gaap:FixedMaturitiesMembereqh:PolicyholdersLiabilitiesMemberus-gaap:Accumul</w:t>
      </w:r>
      <w:r>
        <w:rPr>
          <w:rFonts w:eastAsia="Times New Roman"/>
          <w:vanish/>
        </w:rPr>
        <w:t>atedNetUnrealizedInvestmentGainLossMember2020-12-310001333986eqh:NetUnrealizedGainsLossesOnInvestmentsExcludingCreditLossesMemberus-gaap:FixedMaturitiesMembereqh:DeferredIncomeTaxAssetLiabilityMemberus-gaap:AccumulatedNetUnrealizedInvestmentGainLossMember2</w:t>
      </w:r>
      <w:r>
        <w:rPr>
          <w:rFonts w:eastAsia="Times New Roman"/>
          <w:vanish/>
        </w:rPr>
        <w:t>020-12-310001333986eqh:NetUnrealizedGainsLossesOnInvestmentsExcludingCreditLossesMemberus-gaap:AccumulatedNetUnrealizedInvestmentGainLossMembereqh:AociGainLossesRelatedToNetUnrealizedInvestmentGainsLossesMember2020-12-310001333986eqh:NetUnrealizedGainsLoss</w:t>
      </w:r>
      <w:r>
        <w:rPr>
          <w:rFonts w:eastAsia="Times New Roman"/>
          <w:vanish/>
        </w:rPr>
        <w:t>esOnInvestmentsIncludingCreditLossesMemberus-gaap:AccumulatedNetUnrealizedInvestmentGainLossMembereqh:NetUnrealizedGainsLossesOnInvestmentsMember2020-12-310001333986us-gaap:FixedMaturitiesMembereqh:NetUnrealizedGainsLossesOnInvestmentsIncludingCreditLosses</w:t>
      </w:r>
      <w:r>
        <w:rPr>
          <w:rFonts w:eastAsia="Times New Roman"/>
          <w:vanish/>
        </w:rPr>
        <w:t>Membereqh:DacMemberus-gaap:AccumulatedNetUnrealizedInvestmentGainLossMember2020-12-310001333986us-gaap:FixedMaturitiesMembereqh:NetUnrealizedGainsLossesOnInvestmentsIncludingCreditLossesMembereqh:PolicyholdersLiabilitiesMemberus-gaap:AccumulatedNetUnrealiz</w:t>
      </w:r>
      <w:r>
        <w:rPr>
          <w:rFonts w:eastAsia="Times New Roman"/>
          <w:vanish/>
        </w:rPr>
        <w:t>edInvestmentGainLossMember2020-12-310001333986us-gaap:FixedMaturitiesMembereqh:DeferredIncomeTaxAssetLiabilityMembereqh:NetUnrealizedGainsLossesOnInvestmentsIncludingCreditLossesMemberus-gaap:AccumulatedNetUnrealizedInvestmentGainLossMember2020-12-31000133</w:t>
      </w:r>
      <w:r>
        <w:rPr>
          <w:rFonts w:eastAsia="Times New Roman"/>
          <w:vanish/>
        </w:rPr>
        <w:t>3986eqh:NetUnrealizedGainsLossesOnInvestmentsIncludingCreditLossesMemberus-gaap:AccumulatedNetUnrealizedInvestmentGainLossMembereqh:AociGainLossesRelatedToNetUnrealizedInvestmentGainsLossesMember2020-12-31eqh:issue0001333986us-gaap:FixedMaturitiesMembereqh</w:t>
      </w:r>
      <w:r>
        <w:rPr>
          <w:rFonts w:eastAsia="Times New Roman"/>
          <w:vanish/>
        </w:rPr>
        <w:t>:OtherThanInvestmentGradeMemberus-gaap:ExternalCreditRatingNonInvestmentGradeMember2022-12-310001333986us-gaap:FixedMaturitiesMembereqh:OtherThanInvestmentGradeMemberus-gaap:ExternalCreditRatingNonInvestmentGradeMember2021-12-310001333986eqh:AgriculturalMo</w:t>
      </w:r>
      <w:r>
        <w:rPr>
          <w:rFonts w:eastAsia="Times New Roman"/>
          <w:vanish/>
        </w:rPr>
        <w:t>rtgageLoansMember2022-12-310001333986us-gaap:CommercialLoanMember2022-12-310001333986us-gaap:CommercialLoanMember2021-12-310001333986eqh:AgriculturalMortgageLoansMember2021-12-310001333986us-gaap:CommercialLoanMember2022-01-012022-12-310001333986eqh:Agricu</w:t>
      </w:r>
      <w:r>
        <w:rPr>
          <w:rFonts w:eastAsia="Times New Roman"/>
          <w:vanish/>
        </w:rPr>
        <w:t>lturalMortgageLoansMember2022-01-012022-12-310001333986us-gaap:CommercialLoanMember2021-01-012021-12-310001333986eqh:AgriculturalMortgageLoansMember2021-01-012021-12-310001333986eqh:IndividuallyAssessedMortgageLoansMember2022-12-310001333986us-gaap:Commerc</w:t>
      </w:r>
      <w:r>
        <w:rPr>
          <w:rFonts w:eastAsia="Times New Roman"/>
          <w:vanish/>
        </w:rPr>
        <w:t>ialLoanMember2020-12-310001333986us-gaap:CommercialLoanMember2019-12-310001333986us-gaap:CommercialLoanMember2020-01-012020-12-310001333986eqh:AgriculturalMortgageLoansMember2020-12-310001333986eqh:AgriculturalMortgageLoansMember2019-12-310001333986eqh:Agr</w:t>
      </w:r>
      <w:r>
        <w:rPr>
          <w:rFonts w:eastAsia="Times New Roman"/>
          <w:vanish/>
        </w:rPr>
        <w:t>iculturalMortgageLoansMember2020-01-012020-12-310001333986eqh:ZeroToFiftyPercentMemberus-gaap:CommercialLoanMember2022-12-310001333986eqh:FiftyToSeventyPercentMemberus-gaap:CommercialLoanMember2022-12-310001333986eqh:SeventyToNinetyPercentMemberus-gaap:Com</w:t>
      </w:r>
      <w:r>
        <w:rPr>
          <w:rFonts w:eastAsia="Times New Roman"/>
          <w:vanish/>
        </w:rPr>
        <w:t>mercialLoanMember2022-12-310001333986eqh:MoreThanNinetyPercentMemberus-gaap:CommercialLoanMember2022-12-310001333986eqh:AgriculturalMortgageLoansMembereqh:ZeroToFiftyPercentMember2022-12-310001333986eqh:AgriculturalMortgageLoansMembereqh:FiftyToSeventyPerc</w:t>
      </w:r>
      <w:r>
        <w:rPr>
          <w:rFonts w:eastAsia="Times New Roman"/>
          <w:vanish/>
        </w:rPr>
        <w:t>entMember2022-12-310001333986eqh:SeventyToNinetyPercentMembereqh:AgriculturalMortgageLoansMember2022-12-310001333986eqh:AgriculturalMortgageLoansMembereqh:MoreThanNinetyPercentMember2022-12-310001333986eqh:ZeroToFiftyPercentMembereqh:TotalMortgagesLoanMemb</w:t>
      </w:r>
      <w:r>
        <w:rPr>
          <w:rFonts w:eastAsia="Times New Roman"/>
          <w:vanish/>
        </w:rPr>
        <w:t>er2022-12-310001333986eqh:FiftyToSeventyPercentMembereqh:TotalMortgagesLoanMember2022-12-310001333986eqh:SeventyToNinetyPercentMembereqh:TotalMortgagesLoanMember2022-12-310001333986eqh:MoreThanNinetyPercentMembereqh:TotalMortgagesLoanMember2022-12-31000133</w:t>
      </w:r>
      <w:r>
        <w:rPr>
          <w:rFonts w:eastAsia="Times New Roman"/>
          <w:vanish/>
        </w:rPr>
        <w:t>3986eqh:TotalMortgagesLoanMember2022-12-310001333986eqh:RatioGreaterThan2TimesMemberus-gaap:CommercialLoanMember2022-12-310001333986eqh:RatioBetween18To2TimesMemberus-gaap:CommercialLoanMember2022-12-310001333986us-gaap:CommercialLoanMembereqh:RatioBetween</w:t>
      </w:r>
      <w:r>
        <w:rPr>
          <w:rFonts w:eastAsia="Times New Roman"/>
          <w:vanish/>
        </w:rPr>
        <w:t>15To18TimesMember2022-12-310001333986us-gaap:CommercialLoanMembereqh:RatioBetween12To15TimesMember2022-12-310001333986eqh:RatioBetween1To12TimesMemberus-gaap:CommercialLoanMember2022-12-310001333986eqh:RatioLessThan1TimesMemberus-gaap:CommercialLoanMember2</w:t>
      </w:r>
      <w:r>
        <w:rPr>
          <w:rFonts w:eastAsia="Times New Roman"/>
          <w:vanish/>
        </w:rPr>
        <w:t>022-12-310001333986eqh:AgriculturalMortgageLoansMembereqh:RatioGreaterThan2TimesMember2022-12-310001333986eqh:AgriculturalMortgageLoansMembereqh:RatioBetween18To2TimesMember2022-12-310001333986eqh:AgriculturalMortgageLoansMembereqh:RatioBetween15To18TimesM</w:t>
      </w:r>
      <w:r>
        <w:rPr>
          <w:rFonts w:eastAsia="Times New Roman"/>
          <w:vanish/>
        </w:rPr>
        <w:t>ember2022-12-310001333986eqh:AgriculturalMortgageLoansMembereqh:RatioBetween12To15TimesMember2022-12-310001333986eqh:AgriculturalMortgageLoansMembereqh:RatioBetween1To12TimesMember2022-12-310001333986eqh:AgriculturalMortgageLoansMembereqh:RatioLessThan1Tim</w:t>
      </w:r>
      <w:r>
        <w:rPr>
          <w:rFonts w:eastAsia="Times New Roman"/>
          <w:vanish/>
        </w:rPr>
        <w:t>esMember2022-12-310001333986eqh:RatioGreaterThan2TimesMembereqh:TotalMortgagesLoanMember2022-12-310001333986eqh:RatioBetween18To2TimesMembereqh:TotalMortgagesLoanMember2022-12-310001333986eqh:RatioBetween15To18TimesMembereqh:TotalMortgagesLoanMember2022-12</w:t>
      </w:r>
      <w:r>
        <w:rPr>
          <w:rFonts w:eastAsia="Times New Roman"/>
          <w:vanish/>
        </w:rPr>
        <w:t>-310001333986eqh:RatioBetween12To15TimesMembereqh:TotalMortgagesLoanMember2022-12-310001333986eqh:RatioBetween1To12TimesMembereqh:TotalMortgagesLoanMember2022-12-310001333986eqh:RatioLessThan1TimesMembereqh:TotalMortgagesLoanMember2022-12-310001333986eqh:Z</w:t>
      </w:r>
      <w:r>
        <w:rPr>
          <w:rFonts w:eastAsia="Times New Roman"/>
          <w:vanish/>
        </w:rPr>
        <w:t>eroToFiftyPercentMemberus-gaap:CommercialLoanMember2021-12-310001333986eqh:FiftyToSeventyPercentMemberus-gaap:CommercialLoanMember2021-12-310001333986eqh:SeventyToNinetyPercentMemberus-gaap:CommercialLoanMember2021-12-310001333986eqh:MoreThanNinetyPercentM</w:t>
      </w:r>
      <w:r>
        <w:rPr>
          <w:rFonts w:eastAsia="Times New Roman"/>
          <w:vanish/>
        </w:rPr>
        <w:t>emberus-gaap:CommercialLoanMember2021-12-310001333986eqh:AgriculturalMortgageLoansMembereqh:ZeroToFiftyPercentMember2021-12-310001333986eqh:AgriculturalMortgageLoansMembereqh:FiftyToSeventyPercentMember2021-12-310001333986eqh:SeventyToNinetyPercentMembereq</w:t>
      </w:r>
      <w:r>
        <w:rPr>
          <w:rFonts w:eastAsia="Times New Roman"/>
          <w:vanish/>
        </w:rPr>
        <w:t>h:AgriculturalMortgageLoansMember2021-12-310001333986eqh:AgriculturalMortgageLoansMembereqh:MoreThanNinetyPercentMember2021-12-310001333986eqh:ZeroToFiftyPercentMembereqh:TotalMortgagesLoanMember2021-12-310001333986eqh:FiftyToSeventyPercentMembereqh:TotalM</w:t>
      </w:r>
      <w:r>
        <w:rPr>
          <w:rFonts w:eastAsia="Times New Roman"/>
          <w:vanish/>
        </w:rPr>
        <w:t>ortgagesLoanMember2021-12-310001333986eqh:SeventyToNinetyPercentMembereqh:TotalMortgagesLoanMember2021-12-310001333986eqh:MoreThanNinetyPercentMembereqh:TotalMortgagesLoanMember2021-12-310001333986eqh:TotalMortgagesLoanMember2021-12-310001333986eqh:RatioGr</w:t>
      </w:r>
      <w:r>
        <w:rPr>
          <w:rFonts w:eastAsia="Times New Roman"/>
          <w:vanish/>
        </w:rPr>
        <w:t>eaterThan2TimesMemberus-gaap:CommercialLoanMember2021-12-310001333986eqh:RatioBetween18To2TimesMemberus-gaap:CommercialLoanMember2021-12-310001333986us-gaap:CommercialLoanMembereqh:RatioBetween15To18TimesMember2021-12-310001333986us-gaap:CommercialLoanMemb</w:t>
      </w:r>
      <w:r>
        <w:rPr>
          <w:rFonts w:eastAsia="Times New Roman"/>
          <w:vanish/>
        </w:rPr>
        <w:t>ereqh:RatioBetween12To15TimesMember2021-12-310001333986eqh:RatioBetween1To12TimesMemberus-gaap:CommercialLoanMember2021-12-310001333986eqh:RatioLessThan1TimesMemberus-gaap:CommercialLoanMember2021-12-310001333986eqh:AgriculturalMortgageLoansMembereqh:Ratio</w:t>
      </w:r>
      <w:r>
        <w:rPr>
          <w:rFonts w:eastAsia="Times New Roman"/>
          <w:vanish/>
        </w:rPr>
        <w:t>GreaterThan2TimesMember2021-12-310001333986eqh:AgriculturalMortgageLoansMembereqh:RatioBetween18To2TimesMember2021-12-310001333986eqh:AgriculturalMortgageLoansMembereqh:RatioBetween15To18TimesMember2021-12-310001333986eqh:AgriculturalMortgageLoansMembereqh</w:t>
      </w:r>
      <w:r>
        <w:rPr>
          <w:rFonts w:eastAsia="Times New Roman"/>
          <w:vanish/>
        </w:rPr>
        <w:t>:RatioBetween12To15TimesMember2021-12-310001333986eqh:AgriculturalMortgageLoansMembereqh:RatioBetween1To12TimesMember2021-12-310001333986eqh:AgriculturalMortgageLoansMembereqh:RatioLessThan1TimesMember2021-12-310001333986eqh:RatioGreaterThan2TimesMembereqh</w:t>
      </w:r>
      <w:r>
        <w:rPr>
          <w:rFonts w:eastAsia="Times New Roman"/>
          <w:vanish/>
        </w:rPr>
        <w:t>:TotalMortgagesLoanMember2021-12-310001333986eqh:RatioBetween18To2TimesMembereqh:TotalMortgagesLoanMember2021-12-310001333986eqh:RatioBetween15To18TimesMembereqh:TotalMortgagesLoanMember2021-12-310001333986eqh:RatioBetween12To15TimesMembereqh:TotalMortgage</w:t>
      </w:r>
      <w:r>
        <w:rPr>
          <w:rFonts w:eastAsia="Times New Roman"/>
          <w:vanish/>
        </w:rPr>
        <w:t>sLoanMember2021-12-310001333986eqh:RatioBetween1To12TimesMembereqh:TotalMortgagesLoanMember2021-12-310001333986eqh:RatioLessThan1TimesMembereqh:TotalMortgagesLoanMember2021-12-310001333986us-gaap:CommercialLoanMemberus-gaap:FinancingReceivables30To59DaysPa</w:t>
      </w:r>
      <w:r>
        <w:rPr>
          <w:rFonts w:eastAsia="Times New Roman"/>
          <w:vanish/>
        </w:rPr>
        <w:t>stDueMember2022-12-310001333986us-gaap:FinancingReceivables60To89DaysPastDueMemberus-gaap:CommercialLoanMember2022-12-310001333986us-gaap:FinancingReceivablesEqualToGreaterThan90DaysPastDueMemberus-gaap:CommercialLoanMember2022-12-310001333986us-gaap:Finan</w:t>
      </w:r>
      <w:r>
        <w:rPr>
          <w:rFonts w:eastAsia="Times New Roman"/>
          <w:vanish/>
        </w:rPr>
        <w:t>cialAssetPastDueMemberus-gaap:CommercialLoanMember2022-12-310001333986us-gaap:FinancialAssetNotPastDueMemberus-gaap:CommercialLoanMember2022-12-310001333986eqh:AgriculturalMortgageLoansMemberus-gaap:FinancingReceivables30To59DaysPastDueMember2022-12-310001</w:t>
      </w:r>
      <w:r>
        <w:rPr>
          <w:rFonts w:eastAsia="Times New Roman"/>
          <w:vanish/>
        </w:rPr>
        <w:t>333986eqh:AgriculturalMortgageLoansMemberus-gaap:FinancingReceivables60To89DaysPastDueMember2022-12-310001333986eqh:AgriculturalMortgageLoansMemberus-gaap:FinancingReceivablesEqualToGreaterThan90DaysPastDueMember2022-12-310001333986eqh:AgriculturalMortgage</w:t>
      </w:r>
      <w:r>
        <w:rPr>
          <w:rFonts w:eastAsia="Times New Roman"/>
          <w:vanish/>
        </w:rPr>
        <w:t>LoansMemberus-gaap:FinancialAssetPastDueMember2022-12-310001333986eqh:AgriculturalMortgageLoansMemberus-gaap:FinancialAssetNotPastDueMember2022-12-310001333986us-gaap:FinancingReceivables30To59DaysPastDueMember2022-12-310001333986us-gaap:FinancingReceivabl</w:t>
      </w:r>
      <w:r>
        <w:rPr>
          <w:rFonts w:eastAsia="Times New Roman"/>
          <w:vanish/>
        </w:rPr>
        <w:t>es60To89DaysPastDueMember2022-12-310001333986us-gaap:FinancingReceivablesEqualToGreaterThan90DaysPastDueMember2022-12-310001333986us-gaap:FinancialAssetPastDueMember2022-12-310001333986us-gaap:FinancialAssetNotPastDueMember2022-12-310001333986us-gaap:Comme</w:t>
      </w:r>
      <w:r>
        <w:rPr>
          <w:rFonts w:eastAsia="Times New Roman"/>
          <w:vanish/>
        </w:rPr>
        <w:t>rcialLoanMemberus-gaap:FinancingReceivables30To59DaysPastDueMember2021-12-310001333986us-gaap:FinancingReceivables60To89DaysPastDueMemberus-gaap:CommercialLoanMember2021-12-310001333986us-gaap:FinancingReceivablesEqualToGreaterThan90DaysPastDueMemberus-gaa</w:t>
      </w:r>
      <w:r>
        <w:rPr>
          <w:rFonts w:eastAsia="Times New Roman"/>
          <w:vanish/>
        </w:rPr>
        <w:t>p:CommercialLoanMember2021-12-310001333986us-gaap:FinancialAssetPastDueMemberus-gaap:CommercialLoanMember2021-12-310001333986us-gaap:FinancialAssetNotPastDueMemberus-gaap:CommercialLoanMember2021-12-310001333986us-gaap:CommercialLoanMember2022-01-012022-03</w:t>
      </w:r>
      <w:r>
        <w:rPr>
          <w:rFonts w:eastAsia="Times New Roman"/>
          <w:vanish/>
        </w:rPr>
        <w:t>-310001333986eqh:AgriculturalMortgageLoansMemberus-gaap:FinancingReceivables30To59DaysPastDueMember2021-12-310001333986eqh:AgriculturalMortgageLoansMemberus-gaap:FinancingReceivables60To89DaysPastDueMember2021-12-310001333986eqh:AgriculturalMortgageLoansMe</w:t>
      </w:r>
      <w:r>
        <w:rPr>
          <w:rFonts w:eastAsia="Times New Roman"/>
          <w:vanish/>
        </w:rPr>
        <w:t>mberus-gaap:FinancingReceivablesEqualToGreaterThan90DaysPastDueMember2021-12-310001333986eqh:AgriculturalMortgageLoansMemberus-gaap:FinancialAssetPastDueMember2021-12-310001333986eqh:AgriculturalMortgageLoansMemberus-gaap:FinancialAssetNotPastDueMember2021</w:t>
      </w:r>
      <w:r>
        <w:rPr>
          <w:rFonts w:eastAsia="Times New Roman"/>
          <w:vanish/>
        </w:rPr>
        <w:t>-12-310001333986eqh:AgriculturalMortgageLoansMember2022-01-012022-03-310001333986us-gaap:FinancingReceivables30To59DaysPastDueMember2021-12-310001333986us-gaap:FinancingReceivables60To89DaysPastDueMember2021-12-310001333986us-gaap:FinancingReceivablesEqual</w:t>
      </w:r>
      <w:r>
        <w:rPr>
          <w:rFonts w:eastAsia="Times New Roman"/>
          <w:vanish/>
        </w:rPr>
        <w:t>ToGreaterThan90DaysPastDueMember2021-12-310001333986us-gaap:FinancialAssetPastDueMember2021-12-310001333986us-gaap:FinancialAssetNotPastDueMember2021-12-3100013339862022-01-012022-03-310001333986us-gaap:FairValueMeasurementsRecurringMember2022-12-310001333</w:t>
      </w:r>
      <w:r>
        <w:rPr>
          <w:rFonts w:eastAsia="Times New Roman"/>
          <w:vanish/>
        </w:rPr>
        <w:t>986us-gaap:FairValueMeasurementsRecurringMember2021-12-310001333986us-gaap:FixedMaturitiesMember2022-01-012022-12-310001333986us-gaap:FixedMaturitiesMember2021-01-012021-12-310001333986us-gaap:FixedMaturitiesMember2020-01-012020-12-310001333986us-gaap:Mort</w:t>
      </w:r>
      <w:r>
        <w:rPr>
          <w:rFonts w:eastAsia="Times New Roman"/>
          <w:vanish/>
        </w:rPr>
        <w:t>gagesMember2022-01-012022-12-310001333986us-gaap:MortgagesMember2021-01-012021-12-310001333986us-gaap:MortgagesMember2020-01-012020-12-310001333986us-gaap:EquityMethodInvestmentsMember2022-01-012022-12-310001333986us-gaap:EquityMethodInvestmentsMember2021-</w:t>
      </w:r>
      <w:r>
        <w:rPr>
          <w:rFonts w:eastAsia="Times New Roman"/>
          <w:vanish/>
        </w:rPr>
        <w:t>01-012021-12-310001333986us-gaap:EquityMethodInvestmentsMember2020-01-012020-12-310001333986us-gaap:PolicyLoansMember2022-01-012022-12-310001333986us-gaap:PolicyLoansMember2021-01-012021-12-310001333986us-gaap:PolicyLoansMember2020-01-012020-12-31000133398</w:t>
      </w:r>
      <w:r>
        <w:rPr>
          <w:rFonts w:eastAsia="Times New Roman"/>
          <w:vanish/>
        </w:rPr>
        <w:t>6us-gaap:TradingAssetsExcludingDebtAndEquitySecuritiesMember2022-01-012022-12-310001333986us-gaap:TradingAssetsExcludingDebtAndEquitySecuritiesMember2021-01-012021-12-310001333986us-gaap:TradingAssetsExcludingDebtAndEquitySecuritiesMember2020-01-012020-12-</w:t>
      </w:r>
      <w:r>
        <w:rPr>
          <w:rFonts w:eastAsia="Times New Roman"/>
          <w:vanish/>
        </w:rPr>
        <w:t>310001333986us-gaap:OtherInvestmentsMember2022-01-012022-12-310001333986us-gaap:OtherInvestmentsMember2021-01-012021-12-310001333986us-gaap:OtherInvestmentsMember2020-01-012020-12-310001333986eqh:FixedMaturitiesFairValueUsingFairValueOptionMember2022-01-01</w:t>
      </w:r>
      <w:r>
        <w:rPr>
          <w:rFonts w:eastAsia="Times New Roman"/>
          <w:vanish/>
        </w:rPr>
        <w:t>2022-12-310001333986eqh:FixedMaturitiesFairValueUsingFairValueOptionMember2021-01-012021-12-310001333986eqh:FixedMaturitiesFairValueUsingFairValueOptionMember2020-01-012020-12-310001333986us-gaap:CurrencySwapMemberus-gaap:DesignatedAsHedgingInstrumentMembe</w:t>
      </w:r>
      <w:r>
        <w:rPr>
          <w:rFonts w:eastAsia="Times New Roman"/>
          <w:vanish/>
        </w:rPr>
        <w:t>rus-gaap:CashFlowHedgingMember2022-12-310001333986us-gaap:CurrencySwapMemberus-gaap:DesignatedAsHedgingInstrumentMemberus-gaap:CashFlowHedgingMember2021-12-310001333986us-gaap:InterestRateSwapMemberus-gaap:DesignatedAsHedgingInstrumentMemberus-gaap:CashFlo</w:t>
      </w:r>
      <w:r>
        <w:rPr>
          <w:rFonts w:eastAsia="Times New Roman"/>
          <w:vanish/>
        </w:rPr>
        <w:t>wHedgingMember2022-12-310001333986us-gaap:InterestRateSwapMemberus-gaap:DesignatedAsHedgingInstrumentMemberus-gaap:CashFlowHedgingMember2021-12-310001333986us-gaap:DesignatedAsHedgingInstrumentMemberus-gaap:CashFlowHedgingMember2022-12-310001333986us-gaap:</w:t>
      </w:r>
      <w:r>
        <w:rPr>
          <w:rFonts w:eastAsia="Times New Roman"/>
          <w:vanish/>
        </w:rPr>
        <w:t>DesignatedAsHedgingInstrumentMemberus-gaap:CashFlowHedgingMember2021-12-310001333986us-gaap:NondesignatedMembereqh:EquityFuturesMember2022-12-310001333986us-gaap:NondesignatedMembereqh:EquityFuturesMember2021-12-310001333986us-gaap:NondesignatedMemberus-ga</w:t>
      </w:r>
      <w:r>
        <w:rPr>
          <w:rFonts w:eastAsia="Times New Roman"/>
          <w:vanish/>
        </w:rPr>
        <w:t>ap:EquitySwapMember2022-12-310001333986us-gaap:NondesignatedMemberus-gaap:EquitySwapMember2021-12-310001333986us-gaap:NondesignatedMemberus-gaap:StockOptionMember2022-12-310001333986us-gaap:NondesignatedMemberus-gaap:StockOptionMember2021-12-310001333986us</w:t>
      </w:r>
      <w:r>
        <w:rPr>
          <w:rFonts w:eastAsia="Times New Roman"/>
          <w:vanish/>
        </w:rPr>
        <w:t>-gaap:NondesignatedMembereqh:InterestRateFuturesMember2022-12-310001333986us-gaap:NondesignatedMembereqh:InterestRateFuturesMember2021-12-310001333986us-gaap:NondesignatedMemberus-gaap:InterestRateSwapMember2022-12-310001333986us-gaap:NondesignatedMemberus</w:t>
      </w:r>
      <w:r>
        <w:rPr>
          <w:rFonts w:eastAsia="Times New Roman"/>
          <w:vanish/>
        </w:rPr>
        <w:t>-gaap:InterestRateSwapMember2021-12-310001333986us-gaap:NondesignatedMemberus-gaap:CreditDefaultSwapMember2022-12-310001333986us-gaap:NondesignatedMemberus-gaap:CreditDefaultSwapMember2021-12-310001333986us-gaap:NondesignatedMemberus-gaap:CurrencySwapMembe</w:t>
      </w:r>
      <w:r>
        <w:rPr>
          <w:rFonts w:eastAsia="Times New Roman"/>
          <w:vanish/>
        </w:rPr>
        <w:t>r2022-12-310001333986us-gaap:NondesignatedMemberus-gaap:CurrencySwapMember2021-12-310001333986us-gaap:NondesignatedMembereqh:CurrencyFowardMember2022-12-310001333986us-gaap:NondesignatedMembereqh:CurrencyFowardMember2021-12-310001333986us-gaap:Nondesignate</w:t>
      </w:r>
      <w:r>
        <w:rPr>
          <w:rFonts w:eastAsia="Times New Roman"/>
          <w:vanish/>
        </w:rPr>
        <w:t>dMembereqh:MarginMember2022-12-310001333986us-gaap:NondesignatedMembereqh:MarginMember2021-12-310001333986us-gaap:CollateralizedSecuritiesMemberus-gaap:NondesignatedMember2022-12-310001333986us-gaap:CollateralizedSecuritiesMemberus-gaap:NondesignatedMember</w:t>
      </w:r>
      <w:r>
        <w:rPr>
          <w:rFonts w:eastAsia="Times New Roman"/>
          <w:vanish/>
        </w:rPr>
        <w:t>2021-12-310001333986us-gaap:NondesignatedMember2022-12-310001333986us-gaap:NondesignatedMember2021-12-310001333986eqh:EmbeddedDerivativeDueFromReinsuranceReinsurersMember2022-12-310001333986eqh:EmbeddedDerivativeDueFromReinsuranceReinsurersMember2021-12-31</w:t>
      </w:r>
      <w:r>
        <w:rPr>
          <w:rFonts w:eastAsia="Times New Roman"/>
          <w:vanish/>
        </w:rPr>
        <w:t>0001333986eqh:EmbeddedDerivativeGMIBReinsuranceMember2022-12-310001333986eqh:EmbeddedDerivativeGMIBReinsuranceMember2021-12-310001333986us-gaap:GuaranteedMinimumWithdrawalBenefitMember2022-12-310001333986us-gaap:GuaranteedMinimumWithdrawalBenefitMember2021</w:t>
      </w:r>
      <w:r>
        <w:rPr>
          <w:rFonts w:eastAsia="Times New Roman"/>
          <w:vanish/>
        </w:rPr>
        <w:t>-12-310001333986eqh:EmbeddedDerivativeNonGMxBInsuranceProductsMember2022-12-310001333986eqh:EmbeddedDerivativeNonGMxBInsuranceProductsMember2021-12-310001333986us-gaap:EmbeddedDerivativeFinancialInstrumentsMember2022-12-310001333986us-gaap:EmbeddedDerivati</w:t>
      </w:r>
      <w:r>
        <w:rPr>
          <w:rFonts w:eastAsia="Times New Roman"/>
          <w:vanish/>
        </w:rPr>
        <w:t>veFinancialInstrumentsMember2021-12-310001333986eqh:DerivativeInstrumentsIncludingEmbeddedDerivativeMember2022-12-310001333986eqh:DerivativeInstrumentsIncludingEmbeddedDerivativeMember2021-12-310001333986us-gaap:CurrencySwapMemberus-gaap:DesignatedAsHedgin</w:t>
      </w:r>
      <w:r>
        <w:rPr>
          <w:rFonts w:eastAsia="Times New Roman"/>
          <w:vanish/>
        </w:rPr>
        <w:t>gInstrumentMemberus-gaap:CashFlowHedgingMember2022-01-012022-12-310001333986us-gaap:CurrencySwapMemberus-gaap:DesignatedAsHedgingInstrumentMemberus-gaap:CashFlowHedgingMember2021-01-012021-12-310001333986us-gaap:CurrencySwapMemberus-gaap:DesignatedAsHedgin</w:t>
      </w:r>
      <w:r>
        <w:rPr>
          <w:rFonts w:eastAsia="Times New Roman"/>
          <w:vanish/>
        </w:rPr>
        <w:t>gInstrumentMemberus-gaap:CashFlowHedgingMember2020-01-012020-12-310001333986us-gaap:InterestRateSwapMemberus-gaap:DesignatedAsHedgingInstrumentMemberus-gaap:CashFlowHedgingMember2022-01-012022-12-310001333986us-gaap:InterestRateSwapMemberus-gaap:Designated</w:t>
      </w:r>
      <w:r>
        <w:rPr>
          <w:rFonts w:eastAsia="Times New Roman"/>
          <w:vanish/>
        </w:rPr>
        <w:t>AsHedgingInstrumentMemberus-gaap:CashFlowHedgingMember2021-01-012021-12-310001333986us-gaap:InterestRateSwapMemberus-gaap:DesignatedAsHedgingInstrumentMemberus-gaap:CashFlowHedgingMember2020-01-012020-12-310001333986us-gaap:DesignatedAsHedgingInstrumentMem</w:t>
      </w:r>
      <w:r>
        <w:rPr>
          <w:rFonts w:eastAsia="Times New Roman"/>
          <w:vanish/>
        </w:rPr>
        <w:t>berus-gaap:CashFlowHedgingMember2022-01-012022-12-310001333986us-gaap:DesignatedAsHedgingInstrumentMemberus-gaap:CashFlowHedgingMember2021-01-012021-12-310001333986us-gaap:DesignatedAsHedgingInstrumentMemberus-gaap:CashFlowHedgingMember2020-01-012020-12-31</w:t>
      </w:r>
      <w:r>
        <w:rPr>
          <w:rFonts w:eastAsia="Times New Roman"/>
          <w:vanish/>
        </w:rPr>
        <w:t>0001333986us-gaap:NondesignatedMembereqh:EquityFuturesMember2022-01-012022-12-310001333986us-gaap:NondesignatedMembereqh:EquityFuturesMember2021-01-012021-12-310001333986us-gaap:NondesignatedMembereqh:EquityFuturesMember2020-01-012020-12-310001333986us-gaa</w:t>
      </w:r>
      <w:r>
        <w:rPr>
          <w:rFonts w:eastAsia="Times New Roman"/>
          <w:vanish/>
        </w:rPr>
        <w:t>p:NondesignatedMemberus-gaap:EquitySwapMember2022-01-012022-12-310001333986us-gaap:NondesignatedMemberus-gaap:EquitySwapMember2021-01-012021-12-310001333986us-gaap:NondesignatedMemberus-gaap:EquitySwapMember2020-01-012020-12-310001333986us-gaap:Nondesignat</w:t>
      </w:r>
      <w:r>
        <w:rPr>
          <w:rFonts w:eastAsia="Times New Roman"/>
          <w:vanish/>
        </w:rPr>
        <w:t>edMemberus-gaap:StockOptionMember2022-01-012022-12-310001333986us-gaap:NondesignatedMemberus-gaap:StockOptionMember2021-01-012021-12-310001333986us-gaap:NondesignatedMemberus-gaap:StockOptionMember2020-01-012020-12-310001333986us-gaap:NondesignatedMembereq</w:t>
      </w:r>
      <w:r>
        <w:rPr>
          <w:rFonts w:eastAsia="Times New Roman"/>
          <w:vanish/>
        </w:rPr>
        <w:t>h:InterestRateFuturesMember2022-01-012022-12-310001333986us-gaap:NondesignatedMembereqh:InterestRateFuturesMember2021-01-012021-12-310001333986us-gaap:NondesignatedMembereqh:InterestRateFuturesMember2020-01-012020-12-310001333986us-gaap:NondesignatedMember</w:t>
      </w:r>
      <w:r>
        <w:rPr>
          <w:rFonts w:eastAsia="Times New Roman"/>
          <w:vanish/>
        </w:rPr>
        <w:t>us-gaap:InterestRateSwapMember2022-01-012022-12-310001333986us-gaap:NondesignatedMemberus-gaap:InterestRateSwapMember2021-01-012021-12-310001333986us-gaap:NondesignatedMemberus-gaap:InterestRateSwapMember2020-01-012020-12-310001333986us-gaap:NondesignatedM</w:t>
      </w:r>
      <w:r>
        <w:rPr>
          <w:rFonts w:eastAsia="Times New Roman"/>
          <w:vanish/>
        </w:rPr>
        <w:t>emberus-gaap:InterestRateSwaptionMember2022-01-012022-12-310001333986us-gaap:NondesignatedMemberus-gaap:InterestRateSwaptionMember2021-01-012021-12-310001333986us-gaap:NondesignatedMemberus-gaap:InterestRateSwaptionMember2020-01-012020-12-310001333986us-ga</w:t>
      </w:r>
      <w:r>
        <w:rPr>
          <w:rFonts w:eastAsia="Times New Roman"/>
          <w:vanish/>
        </w:rPr>
        <w:t>ap:NondesignatedMemberus-gaap:CreditDefaultSwapMember2022-01-012022-12-310001333986us-gaap:NondesignatedMemberus-gaap:CreditDefaultSwapMember2021-01-012021-12-310001333986us-gaap:NondesignatedMemberus-gaap:CreditDefaultSwapMember2020-01-012020-12-310001333</w:t>
      </w:r>
      <w:r>
        <w:rPr>
          <w:rFonts w:eastAsia="Times New Roman"/>
          <w:vanish/>
        </w:rPr>
        <w:t>986us-gaap:NondesignatedMemberus-gaap:CurrencySwapMember2022-01-012022-12-310001333986us-gaap:NondesignatedMemberus-gaap:CurrencySwapMember2021-01-012021-12-310001333986us-gaap:NondesignatedMemberus-gaap:CurrencySwapMember2020-01-012020-12-310001333986us-g</w:t>
      </w:r>
      <w:r>
        <w:rPr>
          <w:rFonts w:eastAsia="Times New Roman"/>
          <w:vanish/>
        </w:rPr>
        <w:t>aap:NondesignatedMembereqh:CurrencyFowardMember2022-01-012022-12-310001333986us-gaap:NondesignatedMembereqh:CurrencyFowardMember2021-01-012021-12-310001333986us-gaap:NondesignatedMembereqh:CurrencyFowardMember2020-01-012020-12-310001333986us-gaap:Nondesign</w:t>
      </w:r>
      <w:r>
        <w:rPr>
          <w:rFonts w:eastAsia="Times New Roman"/>
          <w:vanish/>
        </w:rPr>
        <w:t>atedMember2022-01-012022-12-310001333986us-gaap:NondesignatedMember2021-01-012021-12-310001333986us-gaap:NondesignatedMember2020-01-012020-12-310001333986eqh:EmbeddedDerivativeDueFromReinsuranceReinsurersMember2022-01-012022-12-310001333986eqh:EmbeddedDeri</w:t>
      </w:r>
      <w:r>
        <w:rPr>
          <w:rFonts w:eastAsia="Times New Roman"/>
          <w:vanish/>
        </w:rPr>
        <w:t>vativeDueFromReinsuranceReinsurersMember2021-01-012021-12-310001333986eqh:EmbeddedDerivativeDueFromReinsuranceReinsurersMember2020-01-012020-12-310001333986eqh:EmbeddedDerivativeGMIBReinsuranceMember2022-01-012022-12-310001333986eqh:EmbeddedDerivativeGMIBR</w:t>
      </w:r>
      <w:r>
        <w:rPr>
          <w:rFonts w:eastAsia="Times New Roman"/>
          <w:vanish/>
        </w:rPr>
        <w:t>einsuranceMember2021-01-012021-12-310001333986eqh:EmbeddedDerivativeGMIBReinsuranceMember2020-01-012020-12-310001333986us-gaap:GuaranteedMinimumWithdrawalBenefitMember2022-01-012022-12-310001333986us-gaap:GuaranteedMinimumWithdrawalBenefitMember2021-01-012</w:t>
      </w:r>
      <w:r>
        <w:rPr>
          <w:rFonts w:eastAsia="Times New Roman"/>
          <w:vanish/>
        </w:rPr>
        <w:t>021-12-310001333986us-gaap:GuaranteedMinimumWithdrawalBenefitMember2020-01-012020-12-310001333986eqh:EmbeddedDerivativeNonGMxBInsuranceProductsMember2022-01-012022-12-310001333986eqh:EmbeddedDerivativeNonGMxBInsuranceProductsMember2021-01-012021-12-3100013</w:t>
      </w:r>
      <w:r>
        <w:rPr>
          <w:rFonts w:eastAsia="Times New Roman"/>
          <w:vanish/>
        </w:rPr>
        <w:t>33986eqh:EmbeddedDerivativeNonGMxBInsuranceProductsMember2020-01-012020-12-310001333986us-gaap:EmbeddedDerivativeFinancialInstrumentsMember2022-01-012022-12-310001333986us-gaap:EmbeddedDerivativeFinancialInstrumentsMember2021-01-012021-12-310001333986us-ga</w:t>
      </w:r>
      <w:r>
        <w:rPr>
          <w:rFonts w:eastAsia="Times New Roman"/>
          <w:vanish/>
        </w:rPr>
        <w:t>ap:EmbeddedDerivativeFinancialInstrumentsMember2020-01-012020-12-310001333986eqh:DerivativeInstrumentsIncludingEmbeddedDerivativeMember2022-01-012022-12-310001333986eqh:DerivativeInstrumentsIncludingEmbeddedDerivativeMember2021-01-012021-12-310001333986eqh</w:t>
      </w:r>
      <w:r>
        <w:rPr>
          <w:rFonts w:eastAsia="Times New Roman"/>
          <w:vanish/>
        </w:rPr>
        <w:t>:DerivativeInstrumentsIncludingEmbeddedDerivativeMember2020-01-012020-12-310001333986us-gaap:AccumulatedGainLossNetCashFlowHedgeParentMember2021-12-310001333986us-gaap:AccumulatedGainLossNetCashFlowHedgeParentMember2020-12-310001333986us-gaap:AccumulatedGa</w:t>
      </w:r>
      <w:r>
        <w:rPr>
          <w:rFonts w:eastAsia="Times New Roman"/>
          <w:vanish/>
        </w:rPr>
        <w:t>inLossNetCashFlowHedgeParentMember2019-12-310001333986us-gaap:CurrencySwapMemberus-gaap:AccumulatedGainLossNetCashFlowHedgeParentMember2022-01-012022-12-310001333986us-gaap:CurrencySwapMemberus-gaap:AccumulatedGainLossNetCashFlowHedgeParentMember2021-01-01</w:t>
      </w:r>
      <w:r>
        <w:rPr>
          <w:rFonts w:eastAsia="Times New Roman"/>
          <w:vanish/>
        </w:rPr>
        <w:t>2021-12-310001333986us-gaap:CurrencySwapMemberus-gaap:AccumulatedGainLossNetCashFlowHedgeParentMember2020-01-012020-12-310001333986us-gaap:InterestRateSwapMemberus-gaap:AccumulatedGainLossNetCashFlowHedgeParentMember2022-01-012022-12-310001333986us-gaap:In</w:t>
      </w:r>
      <w:r>
        <w:rPr>
          <w:rFonts w:eastAsia="Times New Roman"/>
          <w:vanish/>
        </w:rPr>
        <w:t>terestRateSwapMemberus-gaap:AccumulatedGainLossNetCashFlowHedgeParentMember2021-01-012021-12-310001333986us-gaap:InterestRateSwapMemberus-gaap:AccumulatedGainLossNetCashFlowHedgeParentMember2020-01-012020-12-310001333986us-gaap:AccumulatedGainLossNetCashFl</w:t>
      </w:r>
      <w:r>
        <w:rPr>
          <w:rFonts w:eastAsia="Times New Roman"/>
          <w:vanish/>
        </w:rPr>
        <w:t>owHedgeParentMember2022-01-012022-12-310001333986us-gaap:AccumulatedGainLossNetCashFlowHedgeParentMember2021-01-012021-12-310001333986us-gaap:AccumulatedGainLossNetCashFlowHedgeParentMember2020-01-012020-12-310001333986us-gaap:AccumulatedGainLossNetCashFlo</w:t>
      </w:r>
      <w:r>
        <w:rPr>
          <w:rFonts w:eastAsia="Times New Roman"/>
          <w:vanish/>
        </w:rPr>
        <w:t>wHedgeParentMember2022-12-310001333986eqh:Sp500Russell1000Nasdaq100AndEmergingMarketIndicesMember2022-12-310001333986eqh:Sp500Russell1000Nasdaq100AndEmergingMarketIndicesMember2021-12-310001333986eqh:UsTreasuryNotesUltraLongBondsAndEuroDollarMember2022-12-</w:t>
      </w:r>
      <w:r>
        <w:rPr>
          <w:rFonts w:eastAsia="Times New Roman"/>
          <w:vanish/>
        </w:rPr>
        <w:t>310001333986eqh:UsTreasuryNotesUltraLongBondsAndEuroDollarMember2021-12-310001333986eqh:EuroStoxxFTSE100TopixASX200AndEAFEIndicesMember2022-12-310001333986eqh:EuroStoxxFTSE100TopixASX200AndEAFEIndicesMember2021-12-310001333986us-gaap:DerivativeMember2022-1</w:t>
      </w:r>
      <w:r>
        <w:rPr>
          <w:rFonts w:eastAsia="Times New Roman"/>
          <w:vanish/>
        </w:rPr>
        <w:t>2-310001333986eqh:OtherFinancialAssetsMember2022-12-310001333986eqh:OtherInvestedAssetsMember2022-12-310001333986eqh:OtherFinancialLiabilitiesMember2022-12-310001333986us-gaap:OtherLiabilitiesMember2022-12-310001333986us-gaap:DerivativeMember2021-12-310001</w:t>
      </w:r>
      <w:r>
        <w:rPr>
          <w:rFonts w:eastAsia="Times New Roman"/>
          <w:vanish/>
        </w:rPr>
        <w:t>333986eqh:OtherFinancialAssetsMember2021-12-310001333986eqh:OtherInvestedAssetsMember2021-12-310001333986eqh:OtherFinancialLiabilitiesMember2021-12-310001333986us-gaap:OtherLiabilitiesMember2021-12-310001333986eqh:AllianceBernsteinMembereqh:InvestmentManag</w:t>
      </w:r>
      <w:r>
        <w:rPr>
          <w:rFonts w:eastAsia="Times New Roman"/>
          <w:vanish/>
        </w:rPr>
        <w:t>ementMember2022-01-012022-12-310001333986eqh:AllianceBernsteinMembereqh:InvestmentManagementMember2021-01-012021-12-310001333986eqh:CarValAcquisitionMember2022-01-012022-12-3100013339862022-11-220001333986eqh:AllianceBernsteinMember2021-12-310001333986eqh:</w:t>
      </w:r>
      <w:r>
        <w:rPr>
          <w:rFonts w:eastAsia="Times New Roman"/>
          <w:vanish/>
        </w:rPr>
        <w:t>AllianceBernsteinMember2020-01-012020-12-310001333986us-gaap:FairValueInputsLevel1Memberus-gaap:FairValueMeasurementsRecurringMembereqh:PublicCorporateMember2022-12-310001333986us-gaap:FairValueMeasurementsRecurringMemberus-gaap:FairValueInputsLevel2Member</w:t>
      </w:r>
      <w:r>
        <w:rPr>
          <w:rFonts w:eastAsia="Times New Roman"/>
          <w:vanish/>
        </w:rPr>
        <w:t>eqh:PublicCorporateMember2022-12-310001333986us-gaap:FairValueMeasurementsRecurringMemberus-gaap:FairValueInputsLevel3Membereqh:PublicCorporateMember2022-12-310001333986us-gaap:FairValueMeasurementsRecurringMembereqh:PublicCorporateMember2022-12-3100013339</w:t>
      </w:r>
      <w:r>
        <w:rPr>
          <w:rFonts w:eastAsia="Times New Roman"/>
          <w:vanish/>
        </w:rPr>
        <w:t>86us-gaap:FairValueInputsLevel1Memberus-gaap:USTreasuryAndGovernmentMemberus-gaap:FairValueMeasurementsRecurringMember2022-12-310001333986us-gaap:USTreasuryAndGovernmentMemberus-gaap:FairValueMeasurementsRecurringMemberus-gaap:FairValueInputsLevel2Member20</w:t>
      </w:r>
      <w:r>
        <w:rPr>
          <w:rFonts w:eastAsia="Times New Roman"/>
          <w:vanish/>
        </w:rPr>
        <w:t>22-12-310001333986us-gaap:USTreasuryAndGovernmentMemberus-gaap:FairValueMeasurementsRecurringMemberus-gaap:FairValueInputsLevel3Member2022-12-310001333986us-gaap:USTreasuryAndGovernmentMemberus-gaap:FairValueMeasurementsRecurringMember2022-12-310001333986u</w:t>
      </w:r>
      <w:r>
        <w:rPr>
          <w:rFonts w:eastAsia="Times New Roman"/>
          <w:vanish/>
        </w:rPr>
        <w:t>s-gaap:USStatesAndPoliticalSubdivisionsMemberus-gaap:FairValueInputsLevel1Memberus-gaap:FairValueMeasurementsRecurringMember2022-12-310001333986us-gaap:USStatesAndPoliticalSubdivisionsMemberus-gaap:FairValueMeasurementsRecurringMemberus-gaap:FairValueInput</w:t>
      </w:r>
      <w:r>
        <w:rPr>
          <w:rFonts w:eastAsia="Times New Roman"/>
          <w:vanish/>
        </w:rPr>
        <w:t>sLevel2Member2022-12-310001333986us-gaap:USStatesAndPoliticalSubdivisionsMemberus-gaap:FairValueMeasurementsRecurringMemberus-gaap:FairValueInputsLevel3Member2022-12-310001333986us-gaap:USStatesAndPoliticalSubdivisionsMemberus-gaap:FairValueMeasurementsRec</w:t>
      </w:r>
      <w:r>
        <w:rPr>
          <w:rFonts w:eastAsia="Times New Roman"/>
          <w:vanish/>
        </w:rPr>
        <w:t>urringMember2022-12-310001333986us-gaap:FairValueInputsLevel1Memberus-gaap:FairValueMeasurementsRecurringMemberus-gaap:ForeignGovernmentDebtSecuritiesMember2022-12-310001333986us-gaap:FairValueMeasurementsRecurringMemberus-gaap:ForeignGovernmentDebtSecurit</w:t>
      </w:r>
      <w:r>
        <w:rPr>
          <w:rFonts w:eastAsia="Times New Roman"/>
          <w:vanish/>
        </w:rPr>
        <w:t>iesMemberus-gaap:FairValueInputsLevel2Member2022-12-310001333986us-gaap:FairValueMeasurementsRecurringMemberus-gaap:ForeignGovernmentDebtSecuritiesMemberus-gaap:FairValueInputsLevel3Member2022-12-310001333986us-gaap:FairValueMeasurementsRecurringMemberus-g</w:t>
      </w:r>
      <w:r>
        <w:rPr>
          <w:rFonts w:eastAsia="Times New Roman"/>
          <w:vanish/>
        </w:rPr>
        <w:t>aap:ForeignGovernmentDebtSecuritiesMember2022-12-310001333986us-gaap:ResidentialMortgageBackedSecuritiesMemberus-gaap:FairValueInputsLevel1Memberus-gaap:FairValueMeasurementsRecurringMember2022-12-310001333986us-gaap:ResidentialMortgageBackedSecuritiesMemb</w:t>
      </w:r>
      <w:r>
        <w:rPr>
          <w:rFonts w:eastAsia="Times New Roman"/>
          <w:vanish/>
        </w:rPr>
        <w:t>erus-gaap:FairValueMeasurementsRecurringMemberus-gaap:FairValueInputsLevel2Member2022-12-310001333986us-gaap:ResidentialMortgageBackedSecuritiesMemberus-gaap:FairValueMeasurementsRecurringMemberus-gaap:FairValueInputsLevel3Member2022-12-310001333986us-gaap</w:t>
      </w:r>
      <w:r>
        <w:rPr>
          <w:rFonts w:eastAsia="Times New Roman"/>
          <w:vanish/>
        </w:rPr>
        <w:t>:ResidentialMortgageBackedSecuritiesMemberus-gaap:FairValueMeasurementsRecurringMember2022-12-310001333986us-gaap:FairValueInputsLevel1Memberus-gaap:FairValueMeasurementsRecurringMemberus-gaap:AssetBackedSecuritiesMember2022-12-310001333986us-gaap:FairValu</w:t>
      </w:r>
      <w:r>
        <w:rPr>
          <w:rFonts w:eastAsia="Times New Roman"/>
          <w:vanish/>
        </w:rPr>
        <w:t>eMeasurementsRecurringMemberus-gaap:AssetBackedSecuritiesMemberus-gaap:FairValueInputsLevel2Member2022-12-310001333986us-gaap:FairValueMeasurementsRecurringMemberus-gaap:AssetBackedSecuritiesMemberus-gaap:FairValueInputsLevel3Member2022-12-310001333986us-g</w:t>
      </w:r>
      <w:r>
        <w:rPr>
          <w:rFonts w:eastAsia="Times New Roman"/>
          <w:vanish/>
        </w:rPr>
        <w:t>aap:FairValueMeasurementsRecurringMemberus-gaap:AssetBackedSecuritiesMember2022-12-310001333986us-gaap:FairValueInputsLevel1Memberus-gaap:FairValueMeasurementsRecurringMemberus-gaap:CommercialMortgageBackedSecuritiesMember2022-12-310001333986us-gaap:FairVa</w:t>
      </w:r>
      <w:r>
        <w:rPr>
          <w:rFonts w:eastAsia="Times New Roman"/>
          <w:vanish/>
        </w:rPr>
        <w:t>lueMeasurementsRecurringMemberus-gaap:FairValueInputsLevel2Memberus-gaap:CommercialMortgageBackedSecuritiesMember2022-12-310001333986us-gaap:FairValueMeasurementsRecurringMemberus-gaap:CommercialMortgageBackedSecuritiesMemberus-gaap:FairValueInputsLevel3Me</w:t>
      </w:r>
      <w:r>
        <w:rPr>
          <w:rFonts w:eastAsia="Times New Roman"/>
          <w:vanish/>
        </w:rPr>
        <w:t>mber2022-12-310001333986us-gaap:FairValueMeasurementsRecurringMemberus-gaap:CommercialMortgageBackedSecuritiesMember2022-12-310001333986us-gaap:FairValueInputsLevel1Memberus-gaap:FairValueMeasurementsRecurringMemberus-gaap:RedeemablePreferredStockMember202</w:t>
      </w:r>
      <w:r>
        <w:rPr>
          <w:rFonts w:eastAsia="Times New Roman"/>
          <w:vanish/>
        </w:rPr>
        <w:t>2-12-310001333986us-gaap:FairValueMeasurementsRecurringMemberus-gaap:FairValueInputsLevel2Memberus-gaap:RedeemablePreferredStockMember2022-12-310001333986us-gaap:FairValueMeasurementsRecurringMemberus-gaap:RedeemablePreferredStockMemberus-gaap:FairValueInp</w:t>
      </w:r>
      <w:r>
        <w:rPr>
          <w:rFonts w:eastAsia="Times New Roman"/>
          <w:vanish/>
        </w:rPr>
        <w:t>utsLevel3Member2022-12-310001333986us-gaap:FairValueMeasurementsRecurringMemberus-gaap:RedeemablePreferredStockMember2022-12-310001333986us-gaap:FairValueInputsLevel1Memberus-gaap:FairValueMeasurementsRecurringMember2022-12-310001333986us-gaap:FairValueMea</w:t>
      </w:r>
      <w:r>
        <w:rPr>
          <w:rFonts w:eastAsia="Times New Roman"/>
          <w:vanish/>
        </w:rPr>
        <w:t>surementsRecurringMemberus-gaap:FairValueInputsLevel2Member2022-12-310001333986us-gaap:FairValueMeasurementsRecurringMemberus-gaap:FairValueInputsLevel3Member2022-12-310001333986us-gaap:FairValueInputsLevel1Memberus-gaap:FairValueMeasurementsRecurringMembe</w:t>
      </w:r>
      <w:r>
        <w:rPr>
          <w:rFonts w:eastAsia="Times New Roman"/>
          <w:vanish/>
        </w:rPr>
        <w:t>rus-gaap:ShortTermInvestmentsMember2022-12-310001333986us-gaap:FairValueMeasurementsRecurringMemberus-gaap:ShortTermInvestmentsMemberus-gaap:FairValueInputsLevel2Member2022-12-310001333986us-gaap:FairValueMeasurementsRecurringMemberus-gaap:ShortTermInvestm</w:t>
      </w:r>
      <w:r>
        <w:rPr>
          <w:rFonts w:eastAsia="Times New Roman"/>
          <w:vanish/>
        </w:rPr>
        <w:t>entsMemberus-gaap:FairValueInputsLevel3Member2022-12-310001333986us-gaap:FairValueMeasurementsRecurringMemberus-gaap:ShortTermInvestmentsMember2022-12-310001333986us-gaap:FairValueInputsLevel1Memberus-gaap:FairValueMeasurementsRecurringMembereqh:AssetsofCo</w:t>
      </w:r>
      <w:r>
        <w:rPr>
          <w:rFonts w:eastAsia="Times New Roman"/>
          <w:vanish/>
        </w:rPr>
        <w:t>nsolidatedVIEsVOEsMember2022-12-310001333986us-gaap:FairValueMeasurementsRecurringMemberus-gaap:FairValueInputsLevel2Membereqh:AssetsofConsolidatedVIEsVOEsMember2022-12-310001333986us-gaap:FairValueMeasurementsRecurringMembereqh:AssetsofConsolidatedVIEsVOE</w:t>
      </w:r>
      <w:r>
        <w:rPr>
          <w:rFonts w:eastAsia="Times New Roman"/>
          <w:vanish/>
        </w:rPr>
        <w:t>sMemberus-gaap:FairValueInputsLevel3Member2022-12-310001333986us-gaap:FairValueMeasurementsRecurringMembereqh:AssetsofConsolidatedVIEsVOEsMember2022-12-310001333986us-gaap:FairValueInputsLevel1Memberus-gaap:FairValueMeasurementsRecurringMemberus-gaap:SwapM</w:t>
      </w:r>
      <w:r>
        <w:rPr>
          <w:rFonts w:eastAsia="Times New Roman"/>
          <w:vanish/>
        </w:rPr>
        <w:t>ember2022-12-310001333986us-gaap:FairValueMeasurementsRecurringMemberus-gaap:FairValueInputsLevel2Memberus-gaap:SwapMember2022-12-310001333986us-gaap:FairValueMeasurementsRecurringMemberus-gaap:SwapMemberus-gaap:FairValueInputsLevel3Member2022-12-310001333</w:t>
      </w:r>
      <w:r>
        <w:rPr>
          <w:rFonts w:eastAsia="Times New Roman"/>
          <w:vanish/>
        </w:rPr>
        <w:t>986us-gaap:FairValueMeasurementsRecurringMemberus-gaap:SwapMember2022-12-310001333986us-gaap:FairValueInputsLevel1Memberus-gaap:FairValueMeasurementsRecurringMemberus-gaap:CreditDefaultSwapMember2022-12-310001333986us-gaap:FairValueMeasurementsRecurringMem</w:t>
      </w:r>
      <w:r>
        <w:rPr>
          <w:rFonts w:eastAsia="Times New Roman"/>
          <w:vanish/>
        </w:rPr>
        <w:t>berus-gaap:FairValueInputsLevel2Memberus-gaap:CreditDefaultSwapMember2022-12-310001333986us-gaap:FairValueMeasurementsRecurringMemberus-gaap:FairValueInputsLevel3Memberus-gaap:CreditDefaultSwapMember2022-12-310001333986us-gaap:FairValueMeasurementsRecurrin</w:t>
      </w:r>
      <w:r>
        <w:rPr>
          <w:rFonts w:eastAsia="Times New Roman"/>
          <w:vanish/>
        </w:rPr>
        <w:t>gMemberus-gaap:CreditDefaultSwapMember2022-12-310001333986us-gaap:FairValueInputsLevel1Memberus-gaap:FairValueMeasurementsRecurringMemberus-gaap:FutureMember2022-12-310001333986us-gaap:FairValueMeasurementsRecurringMemberus-gaap:FairValueInputsLevel2Member</w:t>
      </w:r>
      <w:r>
        <w:rPr>
          <w:rFonts w:eastAsia="Times New Roman"/>
          <w:vanish/>
        </w:rPr>
        <w:t>us-gaap:FutureMember2022-12-310001333986us-gaap:FairValueMeasurementsRecurringMemberus-gaap:FutureMemberus-gaap:FairValueInputsLevel3Member2022-12-310001333986us-gaap:FairValueMeasurementsRecurringMemberus-gaap:FutureMember2022-12-310001333986us-gaap:FairV</w:t>
      </w:r>
      <w:r>
        <w:rPr>
          <w:rFonts w:eastAsia="Times New Roman"/>
          <w:vanish/>
        </w:rPr>
        <w:t>alueInputsLevel1Memberus-gaap:FairValueMeasurementsRecurringMemberus-gaap:OptionMember2022-12-310001333986us-gaap:FairValueMeasurementsRecurringMemberus-gaap:FairValueInputsLevel2Memberus-gaap:OptionMember2022-12-310001333986us-gaap:FairValueMeasurementsRe</w:t>
      </w:r>
      <w:r>
        <w:rPr>
          <w:rFonts w:eastAsia="Times New Roman"/>
          <w:vanish/>
        </w:rPr>
        <w:t>curringMemberus-gaap:OptionMemberus-gaap:FairValueInputsLevel3Member2022-12-310001333986us-gaap:FairValueMeasurementsRecurringMemberus-gaap:OptionMember2022-12-310001333986us-gaap:GuaranteedMinimumWithdrawalBenefitMemberus-gaap:FairValueInputsLevel1Memberu</w:t>
      </w:r>
      <w:r>
        <w:rPr>
          <w:rFonts w:eastAsia="Times New Roman"/>
          <w:vanish/>
        </w:rPr>
        <w:t>s-gaap:FairValueMeasurementsRecurringMember2022-12-310001333986us-gaap:GuaranteedMinimumWithdrawalBenefitMemberus-gaap:FairValueMeasurementsRecurringMemberus-gaap:FairValueInputsLevel2Member2022-12-310001333986us-gaap:GuaranteedMinimumWithdrawalBenefitMemb</w:t>
      </w:r>
      <w:r>
        <w:rPr>
          <w:rFonts w:eastAsia="Times New Roman"/>
          <w:vanish/>
        </w:rPr>
        <w:t>erus-gaap:FairValueMeasurementsRecurringMemberus-gaap:FairValueInputsLevel3Member2022-12-310001333986us-gaap:GuaranteedMinimumWithdrawalBenefitMemberus-gaap:FairValueMeasurementsRecurringMember2022-12-310001333986us-gaap:FairValueInputsLevel1Memberus-gaap:</w:t>
      </w:r>
      <w:r>
        <w:rPr>
          <w:rFonts w:eastAsia="Times New Roman"/>
          <w:vanish/>
        </w:rPr>
        <w:t>FairValueMeasurementsRecurringMembereqh:EmbeddedDerivativeNonGMxBInsuranceProductsMember2022-12-310001333986us-gaap:FairValueMeasurementsRecurringMemberus-gaap:FairValueInputsLevel2Membereqh:EmbeddedDerivativeNonGMxBInsuranceProductsMember2022-12-310001333</w:t>
      </w:r>
      <w:r>
        <w:rPr>
          <w:rFonts w:eastAsia="Times New Roman"/>
          <w:vanish/>
        </w:rPr>
        <w:t>986us-gaap:FairValueMeasurementsRecurringMembereqh:EmbeddedDerivativeNonGMxBInsuranceProductsMemberus-gaap:FairValueInputsLevel3Member2022-12-310001333986us-gaap:FairValueMeasurementsRecurringMembereqh:EmbeddedDerivativeNonGMxBInsuranceProductsMember2022-1</w:t>
      </w:r>
      <w:r>
        <w:rPr>
          <w:rFonts w:eastAsia="Times New Roman"/>
          <w:vanish/>
        </w:rPr>
        <w:t>2-310001333986us-gaap:FairValueInputsLevel1Memberus-gaap:FairValueMeasurementsRecurringMemberus-gaap:VariableInterestEntityPrimaryBeneficiaryMember2022-12-310001333986us-gaap:FairValueMeasurementsRecurringMemberus-gaap:FairValueInputsLevel2Memberus-gaap:Va</w:t>
      </w:r>
      <w:r>
        <w:rPr>
          <w:rFonts w:eastAsia="Times New Roman"/>
          <w:vanish/>
        </w:rPr>
        <w:t>riableInterestEntityPrimaryBeneficiaryMember2022-12-310001333986us-gaap:FairValueMeasurementsRecurringMemberus-gaap:FairValueInputsLevel3Memberus-gaap:VariableInterestEntityPrimaryBeneficiaryMember2022-12-310001333986us-gaap:FairValueMeasurementsRecurringM</w:t>
      </w:r>
      <w:r>
        <w:rPr>
          <w:rFonts w:eastAsia="Times New Roman"/>
          <w:vanish/>
        </w:rPr>
        <w:t>emberus-gaap:VariableInterestEntityPrimaryBeneficiaryMember2022-12-310001333986us-gaap:FairValueMeasuredAtNetAssetValuePerShareMemberus-gaap:FairValueMeasurementsRecurringMember2022-12-310001333986us-gaap:CollateralizedLoanObligationsMemberus-gaap:Carrying</w:t>
      </w:r>
      <w:r>
        <w:rPr>
          <w:rFonts w:eastAsia="Times New Roman"/>
          <w:vanish/>
        </w:rPr>
        <w:t>ReportedAmountFairValueDisclosureMember2022-12-310001333986us-gaap:OtherLiabilitiesMemberus-gaap:CarryingReportedAmountFairValueDisclosureMember2022-12-310001333986us-gaap:FairValueInputsLevel1Memberus-gaap:FairValueMeasurementsRecurringMembereqh:PublicCor</w:t>
      </w:r>
      <w:r>
        <w:rPr>
          <w:rFonts w:eastAsia="Times New Roman"/>
          <w:vanish/>
        </w:rPr>
        <w:t>porateMember2021-12-310001333986us-gaap:FairValueMeasurementsRecurringMemberus-gaap:FairValueInputsLevel2Membereqh:PublicCorporateMember2021-12-310001333986us-gaap:FairValueMeasurementsRecurringMemberus-gaap:FairValueInputsLevel3Membereqh:PublicCorporateMe</w:t>
      </w:r>
      <w:r>
        <w:rPr>
          <w:rFonts w:eastAsia="Times New Roman"/>
          <w:vanish/>
        </w:rPr>
        <w:t>mber2021-12-310001333986us-gaap:FairValueMeasurementsRecurringMembereqh:PublicCorporateMember2021-12-310001333986us-gaap:FairValueInputsLevel1Memberus-gaap:USTreasuryAndGovernmentMemberus-gaap:FairValueMeasurementsRecurringMember2021-12-310001333986us-gaap</w:t>
      </w:r>
      <w:r>
        <w:rPr>
          <w:rFonts w:eastAsia="Times New Roman"/>
          <w:vanish/>
        </w:rPr>
        <w:t>:USTreasuryAndGovernmentMemberus-gaap:FairValueMeasurementsRecurringMemberus-gaap:FairValueInputsLevel2Member2021-12-310001333986us-gaap:USTreasuryAndGovernmentMemberus-gaap:FairValueMeasurementsRecurringMemberus-gaap:FairValueInputsLevel3Member2021-12-310</w:t>
      </w:r>
      <w:r>
        <w:rPr>
          <w:rFonts w:eastAsia="Times New Roman"/>
          <w:vanish/>
        </w:rPr>
        <w:t>001333986us-gaap:USTreasuryAndGovernmentMemberus-gaap:FairValueMeasurementsRecurringMember2021-12-310001333986us-gaap:USStatesAndPoliticalSubdivisionsMemberus-gaap:FairValueInputsLevel1Memberus-gaap:FairValueMeasurementsRecurringMember2021-12-310001333986u</w:t>
      </w:r>
      <w:r>
        <w:rPr>
          <w:rFonts w:eastAsia="Times New Roman"/>
          <w:vanish/>
        </w:rPr>
        <w:t>s-gaap:USStatesAndPoliticalSubdivisionsMemberus-gaap:FairValueMeasurementsRecurringMemberus-gaap:FairValueInputsLevel2Member2021-12-310001333986us-gaap:USStatesAndPoliticalSubdivisionsMemberus-gaap:FairValueMeasurementsRecurringMemberus-gaap:FairValueInput</w:t>
      </w:r>
      <w:r>
        <w:rPr>
          <w:rFonts w:eastAsia="Times New Roman"/>
          <w:vanish/>
        </w:rPr>
        <w:t>sLevel3Member2021-12-310001333986us-gaap:USStatesAndPoliticalSubdivisionsMemberus-gaap:FairValueMeasurementsRecurringMember2021-12-310001333986us-gaap:FairValueInputsLevel1Memberus-gaap:FairValueMeasurementsRecurringMemberus-gaap:ForeignGovernmentDebtSecur</w:t>
      </w:r>
      <w:r>
        <w:rPr>
          <w:rFonts w:eastAsia="Times New Roman"/>
          <w:vanish/>
        </w:rPr>
        <w:t>itiesMember2021-12-310001333986us-gaap:FairValueMeasurementsRecurringMemberus-gaap:ForeignGovernmentDebtSecuritiesMemberus-gaap:FairValueInputsLevel2Member2021-12-310001333986us-gaap:FairValueMeasurementsRecurringMemberus-gaap:ForeignGovernmentDebtSecuriti</w:t>
      </w:r>
      <w:r>
        <w:rPr>
          <w:rFonts w:eastAsia="Times New Roman"/>
          <w:vanish/>
        </w:rPr>
        <w:t>esMemberus-gaap:FairValueInputsLevel3Member2021-12-310001333986us-gaap:FairValueMeasurementsRecurringMemberus-gaap:ForeignGovernmentDebtSecuritiesMember2021-12-310001333986us-gaap:ResidentialMortgageBackedSecuritiesMemberus-gaap:FairValueInputsLevel1Member</w:t>
      </w:r>
      <w:r>
        <w:rPr>
          <w:rFonts w:eastAsia="Times New Roman"/>
          <w:vanish/>
        </w:rPr>
        <w:t>us-gaap:FairValueMeasurementsRecurringMember2021-12-310001333986us-gaap:ResidentialMortgageBackedSecuritiesMemberus-gaap:FairValueMeasurementsRecurringMemberus-gaap:FairValueInputsLevel2Member2021-12-310001333986us-gaap:ResidentialMortgageBackedSecuritiesM</w:t>
      </w:r>
      <w:r>
        <w:rPr>
          <w:rFonts w:eastAsia="Times New Roman"/>
          <w:vanish/>
        </w:rPr>
        <w:t>emberus-gaap:FairValueMeasurementsRecurringMemberus-gaap:FairValueInputsLevel3Member2021-12-310001333986us-gaap:ResidentialMortgageBackedSecuritiesMemberus-gaap:FairValueMeasurementsRecurringMember2021-12-310001333986us-gaap:FairValueInputsLevel1Memberus-g</w:t>
      </w:r>
      <w:r>
        <w:rPr>
          <w:rFonts w:eastAsia="Times New Roman"/>
          <w:vanish/>
        </w:rPr>
        <w:t>aap:FairValueMeasurementsRecurringMemberus-gaap:AssetBackedSecuritiesMember2021-12-310001333986us-gaap:FairValueMeasurementsRecurringMemberus-gaap:AssetBackedSecuritiesMemberus-gaap:FairValueInputsLevel2Member2021-12-310001333986us-gaap:FairValueMeasuremen</w:t>
      </w:r>
      <w:r>
        <w:rPr>
          <w:rFonts w:eastAsia="Times New Roman"/>
          <w:vanish/>
        </w:rPr>
        <w:t>tsRecurringMemberus-gaap:AssetBackedSecuritiesMemberus-gaap:FairValueInputsLevel3Member2021-12-310001333986us-gaap:FairValueMeasurementsRecurringMemberus-gaap:AssetBackedSecuritiesMember2021-12-310001333986us-gaap:FairValueInputsLevel1Memberus-gaap:FairVal</w:t>
      </w:r>
      <w:r>
        <w:rPr>
          <w:rFonts w:eastAsia="Times New Roman"/>
          <w:vanish/>
        </w:rPr>
        <w:t>ueMeasurementsRecurringMemberus-gaap:CommercialMortgageBackedSecuritiesMember2021-12-310001333986us-gaap:FairValueMeasurementsRecurringMemberus-gaap:FairValueInputsLevel2Memberus-gaap:CommercialMortgageBackedSecuritiesMember2021-12-310001333986us-gaap:Fair</w:t>
      </w:r>
      <w:r>
        <w:rPr>
          <w:rFonts w:eastAsia="Times New Roman"/>
          <w:vanish/>
        </w:rPr>
        <w:t>ValueMeasurementsRecurringMemberus-gaap:CommercialMortgageBackedSecuritiesMemberus-gaap:FairValueInputsLevel3Member2021-12-310001333986us-gaap:FairValueMeasurementsRecurringMemberus-gaap:CommercialMortgageBackedSecuritiesMember2021-12-310001333986us-gaap:F</w:t>
      </w:r>
      <w:r>
        <w:rPr>
          <w:rFonts w:eastAsia="Times New Roman"/>
          <w:vanish/>
        </w:rPr>
        <w:t>airValueInputsLevel1Memberus-gaap:FairValueMeasurementsRecurringMemberus-gaap:RedeemablePreferredStockMember2021-12-310001333986us-gaap:FairValueMeasurementsRecurringMemberus-gaap:FairValueInputsLevel2Memberus-gaap:RedeemablePreferredStockMember2021-12-310</w:t>
      </w:r>
      <w:r>
        <w:rPr>
          <w:rFonts w:eastAsia="Times New Roman"/>
          <w:vanish/>
        </w:rPr>
        <w:t>001333986us-gaap:FairValueMeasurementsRecurringMemberus-gaap:RedeemablePreferredStockMemberus-gaap:FairValueInputsLevel3Member2021-12-310001333986us-gaap:FairValueMeasurementsRecurringMemberus-gaap:RedeemablePreferredStockMember2021-12-310001333986us-gaap:</w:t>
      </w:r>
      <w:r>
        <w:rPr>
          <w:rFonts w:eastAsia="Times New Roman"/>
          <w:vanish/>
        </w:rPr>
        <w:t>FairValueInputsLevel1Memberus-gaap:FairValueMeasurementsRecurringMember2021-12-310001333986us-gaap:FairValueMeasurementsRecurringMemberus-gaap:FairValueInputsLevel2Member2021-12-310001333986us-gaap:FairValueMeasurementsRecurringMemberus-gaap:FairValueInput</w:t>
      </w:r>
      <w:r>
        <w:rPr>
          <w:rFonts w:eastAsia="Times New Roman"/>
          <w:vanish/>
        </w:rPr>
        <w:t>sLevel3Member2021-12-310001333986us-gaap:FairValueInputsLevel1Memberus-gaap:FairValueMeasurementsRecurringMemberus-gaap:ShortTermInvestmentsMember2021-12-310001333986us-gaap:FairValueMeasurementsRecurringMemberus-gaap:ShortTermInvestmentsMemberus-gaap:Fair</w:t>
      </w:r>
      <w:r>
        <w:rPr>
          <w:rFonts w:eastAsia="Times New Roman"/>
          <w:vanish/>
        </w:rPr>
        <w:t>ValueInputsLevel2Member2021-12-310001333986us-gaap:FairValueMeasurementsRecurringMemberus-gaap:ShortTermInvestmentsMemberus-gaap:FairValueInputsLevel3Member2021-12-310001333986us-gaap:FairValueMeasurementsRecurringMemberus-gaap:ShortTermInvestmentsMember20</w:t>
      </w:r>
      <w:r>
        <w:rPr>
          <w:rFonts w:eastAsia="Times New Roman"/>
          <w:vanish/>
        </w:rPr>
        <w:t>21-12-310001333986us-gaap:FairValueInputsLevel1Memberus-gaap:FairValueMeasurementsRecurringMembereqh:AssetsofConsolidatedVIEsVOEsMember2021-12-310001333986us-gaap:FairValueMeasurementsRecurringMemberus-gaap:FairValueInputsLevel2Membereqh:AssetsofConsolidat</w:t>
      </w:r>
      <w:r>
        <w:rPr>
          <w:rFonts w:eastAsia="Times New Roman"/>
          <w:vanish/>
        </w:rPr>
        <w:t>edVIEsVOEsMember2021-12-310001333986us-gaap:FairValueMeasurementsRecurringMembereqh:AssetsofConsolidatedVIEsVOEsMemberus-gaap:FairValueInputsLevel3Member2021-12-310001333986us-gaap:FairValueMeasurementsRecurringMembereqh:AssetsofConsolidatedVIEsVOEsMember2</w:t>
      </w:r>
      <w:r>
        <w:rPr>
          <w:rFonts w:eastAsia="Times New Roman"/>
          <w:vanish/>
        </w:rPr>
        <w:t>021-12-310001333986us-gaap:FairValueInputsLevel1Memberus-gaap:FairValueMeasurementsRecurringMemberus-gaap:SwapMember2021-12-310001333986us-gaap:FairValueMeasurementsRecurringMemberus-gaap:FairValueInputsLevel2Memberus-gaap:SwapMember2021-12-310001333986us-</w:t>
      </w:r>
      <w:r>
        <w:rPr>
          <w:rFonts w:eastAsia="Times New Roman"/>
          <w:vanish/>
        </w:rPr>
        <w:t>gaap:FairValueMeasurementsRecurringMemberus-gaap:SwapMemberus-gaap:FairValueInputsLevel3Member2021-12-310001333986us-gaap:FairValueMeasurementsRecurringMemberus-gaap:SwapMember2021-12-310001333986us-gaap:FairValueInputsLevel1Memberus-gaap:FairValueMeasurem</w:t>
      </w:r>
      <w:r>
        <w:rPr>
          <w:rFonts w:eastAsia="Times New Roman"/>
          <w:vanish/>
        </w:rPr>
        <w:t>entsRecurringMemberus-gaap:CreditDefaultSwapMember2021-12-310001333986us-gaap:FairValueMeasurementsRecurringMemberus-gaap:FairValueInputsLevel2Memberus-gaap:CreditDefaultSwapMember2021-12-310001333986us-gaap:FairValueMeasurementsRecurringMemberus-gaap:Fair</w:t>
      </w:r>
      <w:r>
        <w:rPr>
          <w:rFonts w:eastAsia="Times New Roman"/>
          <w:vanish/>
        </w:rPr>
        <w:t>ValueInputsLevel3Memberus-gaap:CreditDefaultSwapMember2021-12-310001333986us-gaap:FairValueMeasurementsRecurringMemberus-gaap:CreditDefaultSwapMember2021-12-310001333986us-gaap:FairValueInputsLevel1Memberus-gaap:FairValueMeasurementsRecurringMemberus-gaap:</w:t>
      </w:r>
      <w:r>
        <w:rPr>
          <w:rFonts w:eastAsia="Times New Roman"/>
          <w:vanish/>
        </w:rPr>
        <w:t>FutureMember2021-12-310001333986us-gaap:FairValueMeasurementsRecurringMemberus-gaap:FairValueInputsLevel2Memberus-gaap:FutureMember2021-12-310001333986us-gaap:FairValueMeasurementsRecurringMemberus-gaap:FutureMemberus-gaap:FairValueInputsLevel3Member2021-1</w:t>
      </w:r>
      <w:r>
        <w:rPr>
          <w:rFonts w:eastAsia="Times New Roman"/>
          <w:vanish/>
        </w:rPr>
        <w:t>2-310001333986us-gaap:FairValueMeasurementsRecurringMemberus-gaap:FutureMember2021-12-310001333986us-gaap:FairValueInputsLevel1Memberus-gaap:FairValueMeasurementsRecurringMemberus-gaap:OptionMember2021-12-310001333986us-gaap:FairValueMeasurementsRecurringM</w:t>
      </w:r>
      <w:r>
        <w:rPr>
          <w:rFonts w:eastAsia="Times New Roman"/>
          <w:vanish/>
        </w:rPr>
        <w:t>emberus-gaap:FairValueInputsLevel2Memberus-gaap:OptionMember2021-12-310001333986us-gaap:FairValueMeasurementsRecurringMemberus-gaap:OptionMemberus-gaap:FairValueInputsLevel3Member2021-12-310001333986us-gaap:FairValueMeasurementsRecurringMemberus-gaap:Optio</w:t>
      </w:r>
      <w:r>
        <w:rPr>
          <w:rFonts w:eastAsia="Times New Roman"/>
          <w:vanish/>
        </w:rPr>
        <w:t>nMember2021-12-310001333986us-gaap:FairValueInputsLevel1Memberus-gaap:FairValueMeasurementsRecurringMemberus-gaap:InterestRateSwaptionMember2021-12-310001333986us-gaap:FairValueMeasurementsRecurringMemberus-gaap:InterestRateSwaptionMemberus-gaap:FairValueI</w:t>
      </w:r>
      <w:r>
        <w:rPr>
          <w:rFonts w:eastAsia="Times New Roman"/>
          <w:vanish/>
        </w:rPr>
        <w:t>nputsLevel2Member2021-12-310001333986us-gaap:FairValueMeasurementsRecurringMemberus-gaap:InterestRateSwaptionMemberus-gaap:FairValueInputsLevel3Member2021-12-310001333986us-gaap:FairValueMeasurementsRecurringMemberus-gaap:InterestRateSwaptionMember2021-12-</w:t>
      </w:r>
      <w:r>
        <w:rPr>
          <w:rFonts w:eastAsia="Times New Roman"/>
          <w:vanish/>
        </w:rPr>
        <w:t>310001333986us-gaap:GuaranteedMinimumWithdrawalBenefitMemberus-gaap:FairValueInputsLevel1Memberus-gaap:FairValueMeasurementsRecurringMember2021-12-310001333986us-gaap:GuaranteedMinimumWithdrawalBenefitMemberus-gaap:FairValueMeasurementsRecurringMemberus-ga</w:t>
      </w:r>
      <w:r>
        <w:rPr>
          <w:rFonts w:eastAsia="Times New Roman"/>
          <w:vanish/>
        </w:rPr>
        <w:t>ap:FairValueInputsLevel2Member2021-12-310001333986us-gaap:GuaranteedMinimumWithdrawalBenefitMemberus-gaap:FairValueMeasurementsRecurringMemberus-gaap:FairValueInputsLevel3Member2021-12-310001333986us-gaap:GuaranteedMinimumWithdrawalBenefitMemberus-gaap:Fai</w:t>
      </w:r>
      <w:r>
        <w:rPr>
          <w:rFonts w:eastAsia="Times New Roman"/>
          <w:vanish/>
        </w:rPr>
        <w:t>rValueMeasurementsRecurringMember2021-12-310001333986us-gaap:FairValueInputsLevel1Memberus-gaap:FairValueMeasurementsRecurringMembereqh:EmbeddedDerivativeNonGMxBInsuranceProductsMember2021-12-310001333986us-gaap:FairValueMeasurementsRecurringMemberus-gaap:</w:t>
      </w:r>
      <w:r>
        <w:rPr>
          <w:rFonts w:eastAsia="Times New Roman"/>
          <w:vanish/>
        </w:rPr>
        <w:t>FairValueInputsLevel2Membereqh:EmbeddedDerivativeNonGMxBInsuranceProductsMember2021-12-310001333986us-gaap:FairValueMeasurementsRecurringMembereqh:EmbeddedDerivativeNonGMxBInsuranceProductsMemberus-gaap:FairValueInputsLevel3Member2021-12-310001333986us-gaa</w:t>
      </w:r>
      <w:r>
        <w:rPr>
          <w:rFonts w:eastAsia="Times New Roman"/>
          <w:vanish/>
        </w:rPr>
        <w:t>p:FairValueMeasurementsRecurringMembereqh:EmbeddedDerivativeNonGMxBInsuranceProductsMember2021-12-310001333986us-gaap:FairValueInputsLevel1Memberus-gaap:FairValueMeasurementsRecurringMemberus-gaap:VariableInterestEntityPrimaryBeneficiaryMember2021-12-31000</w:t>
      </w:r>
      <w:r>
        <w:rPr>
          <w:rFonts w:eastAsia="Times New Roman"/>
          <w:vanish/>
        </w:rPr>
        <w:t>1333986us-gaap:FairValueMeasurementsRecurringMemberus-gaap:FairValueInputsLevel2Memberus-gaap:VariableInterestEntityPrimaryBeneficiaryMember2021-12-310001333986us-gaap:FairValueMeasurementsRecurringMemberus-gaap:FairValueInputsLevel3Memberus-gaap:VariableI</w:t>
      </w:r>
      <w:r>
        <w:rPr>
          <w:rFonts w:eastAsia="Times New Roman"/>
          <w:vanish/>
        </w:rPr>
        <w:t>nterestEntityPrimaryBeneficiaryMember2021-12-310001333986us-gaap:FairValueMeasurementsRecurringMemberus-gaap:VariableInterestEntityPrimaryBeneficiaryMember2021-12-310001333986us-gaap:FairValueMeasuredAtNetAssetValuePerShareMemberus-gaap:FairValueMeasuremen</w:t>
      </w:r>
      <w:r>
        <w:rPr>
          <w:rFonts w:eastAsia="Times New Roman"/>
          <w:vanish/>
        </w:rPr>
        <w:t>tsRecurringMember2021-12-310001333986us-gaap:CollateralizedLoanObligationsMemberus-gaap:CarryingReportedAmountFairValueDisclosureMember2021-12-310001333986us-gaap:CorporateDebtSecuritiesMemberus-gaap:FairValueInputsLevel3Member2021-12-310001333986us-gaap:U</w:t>
      </w:r>
      <w:r>
        <w:rPr>
          <w:rFonts w:eastAsia="Times New Roman"/>
          <w:vanish/>
        </w:rPr>
        <w:t>SStatesAndPoliticalSubdivisionsMemberus-gaap:FairValueInputsLevel3Member2021-12-310001333986us-gaap:AssetBackedSecuritiesMemberus-gaap:FairValueInputsLevel3Member2021-12-310001333986us-gaap:CommercialMortgageBackedSecuritiesMemberus-gaap:FairValueInputsLev</w:t>
      </w:r>
      <w:r>
        <w:rPr>
          <w:rFonts w:eastAsia="Times New Roman"/>
          <w:vanish/>
        </w:rPr>
        <w:t>el3Member2021-12-310001333986us-gaap:ResidentialMortgageBackedSecuritiesMemberus-gaap:FairValueInputsLevel3Member2021-12-310001333986us-gaap:FairValueInputsLevel3Membereqh:TradingSecuritiesMember2021-12-310001333986eqh:FixedMaturitiesAtFairValueUsingTheFai</w:t>
      </w:r>
      <w:r>
        <w:rPr>
          <w:rFonts w:eastAsia="Times New Roman"/>
          <w:vanish/>
        </w:rPr>
        <w:t>rValueOptionMemberus-gaap:FairValueInputsLevel3Member2021-12-310001333986us-gaap:CorporateDebtSecuritiesMemberus-gaap:FairValueInputsLevel3Member2022-01-012022-12-310001333986us-gaap:USStatesAndPoliticalSubdivisionsMemberus-gaap:FairValueInputsLevel3Member</w:t>
      </w:r>
      <w:r>
        <w:rPr>
          <w:rFonts w:eastAsia="Times New Roman"/>
          <w:vanish/>
        </w:rPr>
        <w:t>2022-01-012022-12-310001333986us-gaap:AssetBackedSecuritiesMemberus-gaap:FairValueInputsLevel3Member2022-01-012022-12-310001333986us-gaap:CommercialMortgageBackedSecuritiesMemberus-gaap:FairValueInputsLevel3Member2022-01-012022-12-310001333986us-gaap:Resid</w:t>
      </w:r>
      <w:r>
        <w:rPr>
          <w:rFonts w:eastAsia="Times New Roman"/>
          <w:vanish/>
        </w:rPr>
        <w:t>entialMortgageBackedSecuritiesMemberus-gaap:FairValueInputsLevel3Member2022-01-012022-12-310001333986us-gaap:FairValueInputsLevel3Membereqh:TradingSecuritiesMember2022-01-012022-12-310001333986eqh:FixedMaturitiesAtFairValueUsingTheFairValueOptionMemberus-g</w:t>
      </w:r>
      <w:r>
        <w:rPr>
          <w:rFonts w:eastAsia="Times New Roman"/>
          <w:vanish/>
        </w:rPr>
        <w:t>aap:FairValueInputsLevel3Member2022-01-012022-12-310001333986us-gaap:CorporateDebtSecuritiesMemberus-gaap:FairValueInputsLevel3Member2022-12-310001333986us-gaap:USStatesAndPoliticalSubdivisionsMemberus-gaap:FairValueInputsLevel3Member2022-12-310001333986us</w:t>
      </w:r>
      <w:r>
        <w:rPr>
          <w:rFonts w:eastAsia="Times New Roman"/>
          <w:vanish/>
        </w:rPr>
        <w:t>-gaap:AssetBackedSecuritiesMemberus-gaap:FairValueInputsLevel3Member2022-12-310001333986us-gaap:CommercialMortgageBackedSecuritiesMemberus-gaap:FairValueInputsLevel3Member2022-12-310001333986us-gaap:ResidentialMortgageBackedSecuritiesMemberus-gaap:FairValu</w:t>
      </w:r>
      <w:r>
        <w:rPr>
          <w:rFonts w:eastAsia="Times New Roman"/>
          <w:vanish/>
        </w:rPr>
        <w:t>eInputsLevel3Member2022-12-310001333986us-gaap:FairValueInputsLevel3Membereqh:TradingSecuritiesMember2022-12-310001333986eqh:FixedMaturitiesAtFairValueUsingTheFairValueOptionMemberus-gaap:FairValueInputsLevel3Member2022-12-310001333986us-gaap:CorporateDebt</w:t>
      </w:r>
      <w:r>
        <w:rPr>
          <w:rFonts w:eastAsia="Times New Roman"/>
          <w:vanish/>
        </w:rPr>
        <w:t>SecuritiesMemberus-gaap:FairValueInputsLevel3Member2020-12-310001333986us-gaap:USStatesAndPoliticalSubdivisionsMemberus-gaap:FairValueInputsLevel3Member2020-12-310001333986us-gaap:AssetBackedSecuritiesMemberus-gaap:FairValueInputsLevel3Member2020-12-310001</w:t>
      </w:r>
      <w:r>
        <w:rPr>
          <w:rFonts w:eastAsia="Times New Roman"/>
          <w:vanish/>
        </w:rPr>
        <w:t>333986us-gaap:CommercialMortgageBackedSecuritiesMemberus-gaap:FairValueInputsLevel3Member2020-12-310001333986us-gaap:ResidentialMortgageBackedSecuritiesMemberus-gaap:FairValueInputsLevel3Member2020-12-310001333986us-gaap:FairValueInputsLevel3Membereqh:Trad</w:t>
      </w:r>
      <w:r>
        <w:rPr>
          <w:rFonts w:eastAsia="Times New Roman"/>
          <w:vanish/>
        </w:rPr>
        <w:t>ingSecuritiesMember2020-12-310001333986eqh:FixedMaturitiesAtFairValueUsingTheFairValueOptionMemberus-gaap:FairValueInputsLevel3Member2020-12-310001333986us-gaap:CorporateDebtSecuritiesMemberus-gaap:FairValueInputsLevel3Member2021-01-012021-12-310001333986u</w:t>
      </w:r>
      <w:r>
        <w:rPr>
          <w:rFonts w:eastAsia="Times New Roman"/>
          <w:vanish/>
        </w:rPr>
        <w:t>s-gaap:USStatesAndPoliticalSubdivisionsMemberus-gaap:FairValueInputsLevel3Member2021-01-012021-12-310001333986us-gaap:AssetBackedSecuritiesMemberus-gaap:FairValueInputsLevel3Member2021-01-012021-12-310001333986us-gaap:CommercialMortgageBackedSecuritiesMemb</w:t>
      </w:r>
      <w:r>
        <w:rPr>
          <w:rFonts w:eastAsia="Times New Roman"/>
          <w:vanish/>
        </w:rPr>
        <w:t>erus-gaap:FairValueInputsLevel3Member2021-01-012021-12-310001333986us-gaap:ResidentialMortgageBackedSecuritiesMemberus-gaap:FairValueInputsLevel3Member2021-01-012021-12-310001333986us-gaap:FairValueInputsLevel3Membereqh:TradingSecuritiesMember2021-01-01202</w:t>
      </w:r>
      <w:r>
        <w:rPr>
          <w:rFonts w:eastAsia="Times New Roman"/>
          <w:vanish/>
        </w:rPr>
        <w:t>1-12-310001333986eqh:FixedMaturitiesAtFairValueUsingTheFairValueOptionMemberus-gaap:FairValueInputsLevel3Member2021-01-012021-12-310001333986us-gaap:CorporateDebtSecuritiesMemberus-gaap:FairValueInputsLevel3Member2019-12-310001333986us-gaap:USStatesAndPoli</w:t>
      </w:r>
      <w:r>
        <w:rPr>
          <w:rFonts w:eastAsia="Times New Roman"/>
          <w:vanish/>
        </w:rPr>
        <w:t>ticalSubdivisionsMemberus-gaap:FairValueInputsLevel3Member2019-12-310001333986us-gaap:AssetBackedSecuritiesMemberus-gaap:FairValueInputsLevel3Member2019-12-310001333986us-gaap:CommercialMortgageBackedSecuritiesMemberus-gaap:FairValueInputsLevel3Member2019-</w:t>
      </w:r>
      <w:r>
        <w:rPr>
          <w:rFonts w:eastAsia="Times New Roman"/>
          <w:vanish/>
        </w:rPr>
        <w:t>12-310001333986us-gaap:ResidentialMortgageBackedSecuritiesMemberus-gaap:FairValueInputsLevel3Member2019-12-310001333986us-gaap:FairValueInputsLevel3Membereqh:TradingSecuritiesMember2019-12-310001333986eqh:FixedMaturitiesAtFairValueUsingTheFairValueOptionMe</w:t>
      </w:r>
      <w:r>
        <w:rPr>
          <w:rFonts w:eastAsia="Times New Roman"/>
          <w:vanish/>
        </w:rPr>
        <w:t>mberus-gaap:FairValueInputsLevel3Member2019-12-310001333986us-gaap:CorporateDebtSecuritiesMemberus-gaap:FairValueInputsLevel3Member2020-01-012020-12-310001333986us-gaap:USStatesAndPoliticalSubdivisionsMemberus-gaap:FairValueInputsLevel3Member2020-01-012020</w:t>
      </w:r>
      <w:r>
        <w:rPr>
          <w:rFonts w:eastAsia="Times New Roman"/>
          <w:vanish/>
        </w:rPr>
        <w:t>-12-310001333986us-gaap:AssetBackedSecuritiesMemberus-gaap:FairValueInputsLevel3Member2020-01-012020-12-310001333986us-gaap:CommercialMortgageBackedSecuritiesMemberus-gaap:FairValueInputsLevel3Member2020-01-012020-12-310001333986us-gaap:ResidentialMortgage</w:t>
      </w:r>
      <w:r>
        <w:rPr>
          <w:rFonts w:eastAsia="Times New Roman"/>
          <w:vanish/>
        </w:rPr>
        <w:t>BackedSecuritiesMemberus-gaap:FairValueInputsLevel3Member2020-01-012020-12-310001333986us-gaap:FairValueInputsLevel3Membereqh:TradingSecuritiesMember2020-01-012020-12-310001333986eqh:FixedMaturitiesAtFairValueUsingTheFairValueOptionMemberus-gaap:FairValueI</w:t>
      </w:r>
      <w:r>
        <w:rPr>
          <w:rFonts w:eastAsia="Times New Roman"/>
          <w:vanish/>
        </w:rPr>
        <w:t>nputsLevel3Member2020-01-012020-12-310001333986us-gaap:EquityMethodInvestmentsMemberus-gaap:FairValueInputsLevel3Member2021-12-310001333986us-gaap:FairValueInputsLevel3Membereqh:EmbeddedDerivativeGMIBReinsuranceMember2021-12-310001333986us-gaap:FairValueIn</w:t>
      </w:r>
      <w:r>
        <w:rPr>
          <w:rFonts w:eastAsia="Times New Roman"/>
          <w:vanish/>
        </w:rPr>
        <w:t>putsLevel3Membereqh:EmbeddedDerivativeDueFromReinsuranceReinsurersMember2021-12-310001333986eqh:SeparateAccountsMemberus-gaap:FairValueInputsLevel3Member2021-12-310001333986eqh:GuaranteedIncomeBenefitGuaranteedWithdrawalBenefitAndOtherFeaturesLiabilityMemb</w:t>
      </w:r>
      <w:r>
        <w:rPr>
          <w:rFonts w:eastAsia="Times New Roman"/>
          <w:vanish/>
        </w:rPr>
        <w:t>erus-gaap:FairValueInputsLevel3Member2021-12-310001333986eqh:ContingentPaymentArrangementsMemberus-gaap:FairValueInputsLevel3Member2021-12-310001333986us-gaap:EquityMethodInvestmentsMemberus-gaap:FairValueInputsLevel3Member2022-01-012022-12-310001333986us-</w:t>
      </w:r>
      <w:r>
        <w:rPr>
          <w:rFonts w:eastAsia="Times New Roman"/>
          <w:vanish/>
        </w:rPr>
        <w:t>gaap:FairValueInputsLevel3Membereqh:EmbeddedDerivativeGMIBReinsuranceMember2022-01-012022-12-310001333986us-gaap:FairValueInputsLevel3Membereqh:EmbeddedDerivativeDueFromReinsuranceReinsurersMember2022-01-012022-12-310001333986eqh:SeparateAccountsMemberus-g</w:t>
      </w:r>
      <w:r>
        <w:rPr>
          <w:rFonts w:eastAsia="Times New Roman"/>
          <w:vanish/>
        </w:rPr>
        <w:t>aap:FairValueInputsLevel3Member2022-01-012022-12-310001333986eqh:GuaranteedIncomeBenefitGuaranteedWithdrawalBenefitAndOtherFeaturesLiabilityMemberus-gaap:FairValueInputsLevel3Member2022-01-012022-12-310001333986eqh:ContingentPaymentArrangementsMemberus-gaa</w:t>
      </w:r>
      <w:r>
        <w:rPr>
          <w:rFonts w:eastAsia="Times New Roman"/>
          <w:vanish/>
        </w:rPr>
        <w:t>p:FairValueInputsLevel3Member2022-01-012022-12-310001333986us-gaap:EquityMethodInvestmentsMemberus-gaap:FairValueInputsLevel3Member2022-12-310001333986us-gaap:FairValueInputsLevel3Membereqh:EmbeddedDerivativeGMIBReinsuranceMember2022-12-310001333986us-gaap</w:t>
      </w:r>
      <w:r>
        <w:rPr>
          <w:rFonts w:eastAsia="Times New Roman"/>
          <w:vanish/>
        </w:rPr>
        <w:t>:FairValueInputsLevel3Membereqh:EmbeddedDerivativeDueFromReinsuranceReinsurersMember2022-12-310001333986eqh:SeparateAccountsMemberus-gaap:FairValueInputsLevel3Member2022-12-310001333986eqh:GuaranteedIncomeBenefitGuaranteedWithdrawalBenefitAndOtherFeaturesL</w:t>
      </w:r>
      <w:r>
        <w:rPr>
          <w:rFonts w:eastAsia="Times New Roman"/>
          <w:vanish/>
        </w:rPr>
        <w:t>iabilityMemberus-gaap:FairValueInputsLevel3Member2022-12-310001333986eqh:ContingentPaymentArrangementsMemberus-gaap:FairValueInputsLevel3Member2022-12-310001333986us-gaap:EquityMethodInvestmentsMemberus-gaap:FairValueInputsLevel3Member2020-12-310001333986u</w:t>
      </w:r>
      <w:r>
        <w:rPr>
          <w:rFonts w:eastAsia="Times New Roman"/>
          <w:vanish/>
        </w:rPr>
        <w:t>s-gaap:FairValueInputsLevel3Membereqh:EmbeddedDerivativeGMIBReinsuranceMember2020-12-310001333986us-gaap:FairValueInputsLevel3Membereqh:EmbeddedDerivativeDueFromReinsuranceReinsurersMember2020-12-310001333986eqh:SeparateAccountsMemberus-gaap:FairValueInput</w:t>
      </w:r>
      <w:r>
        <w:rPr>
          <w:rFonts w:eastAsia="Times New Roman"/>
          <w:vanish/>
        </w:rPr>
        <w:t>sLevel3Member2020-12-310001333986eqh:GuaranteedIncomeBenefitGuaranteedWithdrawalBenefitAndOtherFeaturesLiabilityMemberus-gaap:FairValueInputsLevel3Member2020-12-310001333986eqh:ContingentPaymentArrangementsMemberus-gaap:FairValueInputsLevel3Member2020-12-3</w:t>
      </w:r>
      <w:r>
        <w:rPr>
          <w:rFonts w:eastAsia="Times New Roman"/>
          <w:vanish/>
        </w:rPr>
        <w:t>10001333986us-gaap:EquityMethodInvestmentsMemberus-gaap:FairValueInputsLevel3Member2021-01-012021-12-310001333986us-gaap:FairValueInputsLevel3Membereqh:EmbeddedDerivativeGMIBReinsuranceMember2021-01-012021-12-310001333986us-gaap:FairValueInputsLevel3Member</w:t>
      </w:r>
      <w:r>
        <w:rPr>
          <w:rFonts w:eastAsia="Times New Roman"/>
          <w:vanish/>
        </w:rPr>
        <w:t>eqh:EmbeddedDerivativeDueFromReinsuranceReinsurersMember2021-01-012021-12-310001333986eqh:SeparateAccountsMemberus-gaap:FairValueInputsLevel3Member2021-01-012021-12-310001333986eqh:GuaranteedIncomeBenefitGuaranteedWithdrawalBenefitAndOtherFeaturesLiability</w:t>
      </w:r>
      <w:r>
        <w:rPr>
          <w:rFonts w:eastAsia="Times New Roman"/>
          <w:vanish/>
        </w:rPr>
        <w:t>Memberus-gaap:FairValueInputsLevel3Member2021-01-012021-12-310001333986eqh:ContingentPaymentArrangementsMemberus-gaap:FairValueInputsLevel3Member2021-01-012021-12-310001333986eqh:ContingentPaymentArrangementsMemberus-gaap:FairValueInputsLevel3Member2021-10</w:t>
      </w:r>
      <w:r>
        <w:rPr>
          <w:rFonts w:eastAsia="Times New Roman"/>
          <w:vanish/>
        </w:rPr>
        <w:t>-012021-12-310001333986us-gaap:EquityMethodInvestmentsMemberus-gaap:FairValueInputsLevel3Member2019-12-310001333986us-gaap:FairValueInputsLevel3Membereqh:EmbeddedDerivativeGMIBReinsuranceMember2019-12-310001333986us-gaap:FairValueInputsLevel3Membereqh:Embe</w:t>
      </w:r>
      <w:r>
        <w:rPr>
          <w:rFonts w:eastAsia="Times New Roman"/>
          <w:vanish/>
        </w:rPr>
        <w:t>ddedDerivativeDueFromReinsuranceReinsurersMember2019-12-310001333986eqh:SeparateAccountsMemberus-gaap:FairValueInputsLevel3Member2019-12-310001333986eqh:GuaranteedIncomeBenefitGuaranteedWithdrawalBenefitAndOtherFeaturesLiabilityMemberus-gaap:FairValueInput</w:t>
      </w:r>
      <w:r>
        <w:rPr>
          <w:rFonts w:eastAsia="Times New Roman"/>
          <w:vanish/>
        </w:rPr>
        <w:t>sLevel3Member2019-12-310001333986eqh:ContingentPaymentArrangementsMemberus-gaap:FairValueInputsLevel3Member2019-12-310001333986us-gaap:EquityMethodInvestmentsMemberus-gaap:FairValueInputsLevel3Member2020-01-012020-12-310001333986us-gaap:FairValueInputsLeve</w:t>
      </w:r>
      <w:r>
        <w:rPr>
          <w:rFonts w:eastAsia="Times New Roman"/>
          <w:vanish/>
        </w:rPr>
        <w:t>l3Membereqh:EmbeddedDerivativeGMIBReinsuranceMember2020-01-012020-12-310001333986us-gaap:FairValueInputsLevel3Membereqh:EmbeddedDerivativeDueFromReinsuranceReinsurersMember2020-01-012020-12-310001333986eqh:SeparateAccountsMemberus-gaap:FairValueInputsLevel</w:t>
      </w:r>
      <w:r>
        <w:rPr>
          <w:rFonts w:eastAsia="Times New Roman"/>
          <w:vanish/>
        </w:rPr>
        <w:t>3Member2020-01-012020-12-310001333986eqh:GuaranteedIncomeBenefitGuaranteedWithdrawalBenefitAndOtherFeaturesLiabilityMemberus-gaap:FairValueInputsLevel3Member2020-01-012020-12-310001333986eqh:ContingentPaymentArrangementsMemberus-gaap:FairValueInputsLevel3M</w:t>
      </w:r>
      <w:r>
        <w:rPr>
          <w:rFonts w:eastAsia="Times New Roman"/>
          <w:vanish/>
        </w:rPr>
        <w:t>ember2020-01-012020-12-310001333986eqh:GuaranteedIncomeBenefitGuaranteedWithdrawalBenefitAndOtherFeaturesLiabilityMember2022-01-012022-12-310001333986eqh:GuaranteedIncomeBenefitGuaranteedWithdrawalBenefitAndOtherFeaturesLiabilityMember2021-01-012021-12-310</w:t>
      </w:r>
      <w:r>
        <w:rPr>
          <w:rFonts w:eastAsia="Times New Roman"/>
          <w:vanish/>
        </w:rPr>
        <w:t>001333986eqh:GuaranteedIncomeBenefitGuaranteedWithdrawalBenefitAndOtherFeaturesLiabilityMember2020-01-012020-12-310001333986eqh:EmbeddedDerivativeGMIBReinsuranceMember2022-01-012022-12-310001333986eqh:EmbeddedDerivativeGMIBReinsuranceMember2021-01-012021-1</w:t>
      </w:r>
      <w:r>
        <w:rPr>
          <w:rFonts w:eastAsia="Times New Roman"/>
          <w:vanish/>
        </w:rPr>
        <w:t>2-310001333986eqh:EmbeddedDerivativeGMIBReinsuranceMember2020-01-012020-12-310001333986eqh:EmbeddedDerivativeDueFromReinsuranceReinsurersMember2022-01-012022-12-310001333986eqh:EmbeddedDerivativeDueFromReinsuranceReinsurersMember2021-01-012021-12-310001333</w:t>
      </w:r>
      <w:r>
        <w:rPr>
          <w:rFonts w:eastAsia="Times New Roman"/>
          <w:vanish/>
        </w:rPr>
        <w:t>986eqh:EmbeddedDerivativeDueFromReinsuranceReinsurersMember2020-01-012020-12-310001333986us-gaap:CorporateDebtSecuritiesMembereqh:MatrixPricingModelValuationTechniqueMemberus-gaap:FairValueInputsLevel3Member2022-12-310001333986us-gaap:CorporateDebtSecuriti</w:t>
      </w:r>
      <w:r>
        <w:rPr>
          <w:rFonts w:eastAsia="Times New Roman"/>
          <w:vanish/>
        </w:rPr>
        <w:t>esMembereqh:MatrixPricingModelValuationTechniqueMemberus-gaap:FairValueInputsLevel3Membersrt:MinimumMembereqh:MeasurementInputSpreadOverBenchmarkMember2022-12-310001333986srt:MaximumMemberus-gaap:CorporateDebtSecuritiesMembereqh:MatrixPricingModelValuation</w:t>
      </w:r>
      <w:r>
        <w:rPr>
          <w:rFonts w:eastAsia="Times New Roman"/>
          <w:vanish/>
        </w:rPr>
        <w:t>TechniqueMemberus-gaap:FairValueInputsLevel3Membereqh:MeasurementInputSpreadOverBenchmarkMember2022-12-310001333986us-gaap:CorporateDebtSecuritiesMembersrt:WeightedAverageMembereqh:MatrixPricingModelValuationTechniqueMemberus-gaap:FairValueInputsLevel3Memb</w:t>
      </w:r>
      <w:r>
        <w:rPr>
          <w:rFonts w:eastAsia="Times New Roman"/>
          <w:vanish/>
        </w:rPr>
        <w:t>ereqh:MeasurementInputSpreadOverBenchmarkMember2022-12-310001333986us-gaap:CorporateDebtSecuritiesMemberus-gaap:FairValueInputsLevel3Membereqh:MarketComparableCompaniesValuationTechniqueMember2022-12-310001333986us-gaap:CorporateDebtSecuritiesMemberus-gaap</w:t>
      </w:r>
      <w:r>
        <w:rPr>
          <w:rFonts w:eastAsia="Times New Roman"/>
          <w:vanish/>
        </w:rPr>
        <w:t>:MeasurementInputEbitdaMultipleMemberus-gaap:FairValueInputsLevel3Membersrt:MinimumMembereqh:MarketComparableCompaniesValuationTechniqueMember2022-12-310001333986srt:MaximumMemberus-gaap:CorporateDebtSecuritiesMemberus-gaap:MeasurementInputEbitdaMultipleMe</w:t>
      </w:r>
      <w:r>
        <w:rPr>
          <w:rFonts w:eastAsia="Times New Roman"/>
          <w:vanish/>
        </w:rPr>
        <w:t>mberus-gaap:FairValueInputsLevel3Membereqh:MarketComparableCompaniesValuationTechniqueMember2022-12-310001333986us-gaap:CorporateDebtSecuritiesMemberus-gaap:MeasurementInputDiscountRateMemberus-gaap:FairValueInputsLevel3Membersrt:MinimumMembereqh:MarketCom</w:t>
      </w:r>
      <w:r>
        <w:rPr>
          <w:rFonts w:eastAsia="Times New Roman"/>
          <w:vanish/>
        </w:rPr>
        <w:t>parableCompaniesValuationTechniqueMember2022-12-310001333986srt:MaximumMemberus-gaap:CorporateDebtSecuritiesMemberus-gaap:MeasurementInputDiscountRateMemberus-gaap:FairValueInputsLevel3Membereqh:MarketComparableCompaniesValuationTechniqueMember2022-12-3100</w:t>
      </w:r>
      <w:r>
        <w:rPr>
          <w:rFonts w:eastAsia="Times New Roman"/>
          <w:vanish/>
        </w:rPr>
        <w:t>01333986eqh:MeasurementInputCashFlowMultiplesMemberus-gaap:CorporateDebtSecuritiesMemberus-gaap:FairValueInputsLevel3Membersrt:MinimumMembereqh:MarketComparableCompaniesValuationTechniqueMember2022-12-310001333986eqh:MeasurementInputCashFlowMultiplesMember</w:t>
      </w:r>
      <w:r>
        <w:rPr>
          <w:rFonts w:eastAsia="Times New Roman"/>
          <w:vanish/>
        </w:rPr>
        <w:t>srt:MaximumMemberus-gaap:CorporateDebtSecuritiesMemberus-gaap:FairValueInputsLevel3Membereqh:MarketComparableCompaniesValuationTechniqueMember2022-12-310001333986eqh:MeasurementInputLoanToValueMemberus-gaap:CorporateDebtSecuritiesMemberus-gaap:FairValueInp</w:t>
      </w:r>
      <w:r>
        <w:rPr>
          <w:rFonts w:eastAsia="Times New Roman"/>
          <w:vanish/>
        </w:rPr>
        <w:t>utsLevel3Membersrt:MinimumMembereqh:MarketComparableCompaniesValuationTechniqueMember2022-12-310001333986srt:MaximumMembereqh:MeasurementInputLoanToValueMemberus-gaap:CorporateDebtSecuritiesMemberus-gaap:FairValueInputsLevel3Membereqh:MarketComparableCompa</w:t>
      </w:r>
      <w:r>
        <w:rPr>
          <w:rFonts w:eastAsia="Times New Roman"/>
          <w:vanish/>
        </w:rPr>
        <w:t>niesValuationTechniqueMember2022-12-310001333986us-gaap:CorporateDebtSecuritiesMembersrt:WeightedAverageMemberus-gaap:MeasurementInputEbitdaMultipleMemberus-gaap:FairValueInputsLevel3Membereqh:MarketComparableCompaniesValuationTechniqueMember2022-12-310001</w:t>
      </w:r>
      <w:r>
        <w:rPr>
          <w:rFonts w:eastAsia="Times New Roman"/>
          <w:vanish/>
        </w:rPr>
        <w:t>333986us-gaap:CorporateDebtSecuritiesMembersrt:WeightedAverageMemberus-gaap:MeasurementInputDiscountRateMemberus-gaap:FairValueInputsLevel3Membereqh:MarketComparableCompaniesValuationTechniqueMember2022-12-310001333986eqh:MeasurementInputCashFlowMultiplesM</w:t>
      </w:r>
      <w:r>
        <w:rPr>
          <w:rFonts w:eastAsia="Times New Roman"/>
          <w:vanish/>
        </w:rPr>
        <w:t>emberus-gaap:CorporateDebtSecuritiesMembersrt:WeightedAverageMemberus-gaap:FairValueInputsLevel3Membereqh:MarketComparableCompaniesValuationTechniqueMember2022-12-310001333986eqh:MeasurementInputLoanToValueMemberus-gaap:CorporateDebtSecuritiesMembersrt:Wei</w:t>
      </w:r>
      <w:r>
        <w:rPr>
          <w:rFonts w:eastAsia="Times New Roman"/>
          <w:vanish/>
        </w:rPr>
        <w:t>ghtedAverageMemberus-gaap:FairValueInputsLevel3Membereqh:MarketComparableCompaniesValuationTechniqueMember2022-12-310001333986eqh:TradingSecuritiesMembereqh:DiscountedCashFlowValuationTechniqueMemberus-gaap:FairValueInputsLevel3Member2022-12-310001333986eq</w:t>
      </w:r>
      <w:r>
        <w:rPr>
          <w:rFonts w:eastAsia="Times New Roman"/>
          <w:vanish/>
        </w:rPr>
        <w:t>h:TradingSecuritiesMembereqh:DiscountedCashFlowValuationTechniqueMemberus-gaap:MeasurementInputRevenueMultipleMemberus-gaap:FairValueInputsLevel3Member2022-12-310001333986eqh:TradingSecuritiesMembereqh:MeasurementInputsDiscountFactorMembereqh:DiscountedCas</w:t>
      </w:r>
      <w:r>
        <w:rPr>
          <w:rFonts w:eastAsia="Times New Roman"/>
          <w:vanish/>
        </w:rPr>
        <w:t>hFlowValuationTechniqueMemberus-gaap:FairValueInputsLevel3Member2022-12-310001333986eqh:TradingSecuritiesMembereqh:DiscountedCashFlowValuationTechniqueMemberus-gaap:FairValueInputsLevel3Member2022-01-012022-12-310001333986us-gaap:EquityMethodInvestmentsMem</w:t>
      </w:r>
      <w:r>
        <w:rPr>
          <w:rFonts w:eastAsia="Times New Roman"/>
          <w:vanish/>
        </w:rPr>
        <w:t>berus-gaap:FairValueInputsLevel3Membereqh:MarketComparableCompaniesValuationTechniqueMember2022-12-310001333986us-gaap:MeasurementInputRevenueMultipleMemberus-gaap:EquityMethodInvestmentsMemberus-gaap:FairValueInputsLevel3Membersrt:MinimumMembereqh:MarketC</w:t>
      </w:r>
      <w:r>
        <w:rPr>
          <w:rFonts w:eastAsia="Times New Roman"/>
          <w:vanish/>
        </w:rPr>
        <w:t>omparableCompaniesValuationTechniqueMember2022-12-310001333986srt:MaximumMemberus-gaap:MeasurementInputRevenueMultipleMemberus-gaap:EquityMethodInvestmentsMemberus-gaap:FairValueInputsLevel3Membereqh:MarketComparableCompaniesValuationTechniqueMember2022-12</w:t>
      </w:r>
      <w:r>
        <w:rPr>
          <w:rFonts w:eastAsia="Times New Roman"/>
          <w:vanish/>
        </w:rPr>
        <w:t>-310001333986srt:WeightedAverageMemberus-gaap:MeasurementInputRevenueMultipleMemberus-gaap:EquityMethodInvestmentsMemberus-gaap:FairValueInputsLevel3Membereqh:MarketComparableCompaniesValuationTechniqueMember2022-12-310001333986eqh:EmbeddedDerivativeGMIBRe</w:t>
      </w:r>
      <w:r>
        <w:rPr>
          <w:rFonts w:eastAsia="Times New Roman"/>
          <w:vanish/>
        </w:rPr>
        <w:t>insuranceMembereqh:DiscountedCashFlowValuationTechniqueMemberus-gaap:FairValueInputsLevel3Member2022-12-310001333986eqh:EmbeddedDerivativeGMIBReinsuranceMembereqh:DiscountedCashFlowValuationTechniqueMemberus-gaap:MeasurementInputLapseRateMemberus-gaap:Fair</w:t>
      </w:r>
      <w:r>
        <w:rPr>
          <w:rFonts w:eastAsia="Times New Roman"/>
          <w:vanish/>
        </w:rPr>
        <w:t>ValueInputsLevel3Membersrt:MinimumMember2022-12-310001333986eqh:EmbeddedDerivativeGMIBReinsuranceMembersrt:MaximumMembereqh:DiscountedCashFlowValuationTechniqueMemberus-gaap:MeasurementInputLapseRateMemberus-gaap:FairValueInputsLevel3Member2022-12-31000133</w:t>
      </w:r>
      <w:r>
        <w:rPr>
          <w:rFonts w:eastAsia="Times New Roman"/>
          <w:vanish/>
        </w:rPr>
        <w:t>3986eqh:EmbeddedDerivativeGMIBReinsuranceMemberus-gaap:MeasurementInputWithdrawalRateMembereqh:DiscountedCashFlowValuationTechniqueMemberus-gaap:FairValueInputsLevel3Membersrt:MinimumMember2022-12-310001333986eqh:EmbeddedDerivativeGMIBReinsuranceMemberus-g</w:t>
      </w:r>
      <w:r>
        <w:rPr>
          <w:rFonts w:eastAsia="Times New Roman"/>
          <w:vanish/>
        </w:rPr>
        <w:t>aap:MeasurementInputWithdrawalRateMembersrt:MaximumMembereqh:DiscountedCashFlowValuationTechniqueMemberus-gaap:FairValueInputsLevel3Member2022-12-310001333986eqh:EmbeddedDerivativeGMIBReinsuranceMembereqh:DiscountedCashFlowValuationTechniqueMemberus-gaap:F</w:t>
      </w:r>
      <w:r>
        <w:rPr>
          <w:rFonts w:eastAsia="Times New Roman"/>
          <w:vanish/>
        </w:rPr>
        <w:t>airValueInputsLevel3Memberus-gaap:MeasurementInputUtilizationRateMembersrt:MinimumMember2022-12-310001333986eqh:EmbeddedDerivativeGMIBReinsuranceMembersrt:MaximumMembereqh:DiscountedCashFlowValuationTechniqueMemberus-gaap:FairValueInputsLevel3Memberus-gaap</w:t>
      </w:r>
      <w:r>
        <w:rPr>
          <w:rFonts w:eastAsia="Times New Roman"/>
          <w:vanish/>
        </w:rPr>
        <w:t>:MeasurementInputUtilizationRateMember2022-12-310001333986eqh:EmbeddedDerivativeGMIBReinsuranceMembereqh:DiscountedCashFlowValuationTechniqueMemberus-gaap:FairValueInputsLevel3Membereqh:MeasurementInputNonperformanceRiskMembersrt:MinimumMember2022-12-31000</w:t>
      </w:r>
      <w:r>
        <w:rPr>
          <w:rFonts w:eastAsia="Times New Roman"/>
          <w:vanish/>
        </w:rPr>
        <w:t>1333986eqh:EmbeddedDerivativeGMIBReinsuranceMembersrt:MaximumMembereqh:DiscountedCashFlowValuationTechniqueMemberus-gaap:FairValueInputsLevel3Membereqh:MeasurementInputNonperformanceRiskMember2022-12-310001333986eqh:EmbeddedDerivativeGMIBReinsuranceMembere</w:t>
      </w:r>
      <w:r>
        <w:rPr>
          <w:rFonts w:eastAsia="Times New Roman"/>
          <w:vanish/>
        </w:rPr>
        <w:t>qh:DiscountedCashFlowValuationTechniqueMembereqh:MeasurementInputEquityVolatilityMemberus-gaap:FairValueInputsLevel3Membersrt:MinimumMember2022-12-310001333986eqh:EmbeddedDerivativeGMIBReinsuranceMembersrt:MaximumMembereqh:DiscountedCashFlowValuationTechni</w:t>
      </w:r>
      <w:r>
        <w:rPr>
          <w:rFonts w:eastAsia="Times New Roman"/>
          <w:vanish/>
        </w:rPr>
        <w:t>queMembereqh:MeasurementInputEquityVolatilityMemberus-gaap:FairValueInputsLevel3Member2022-12-310001333986eqh:EmbeddedDerivativeGMIBReinsuranceMembereqh:DiscountedCashFlowValuationTechniqueMemberus-gaap:MeasurementInputMortalityRateMemberus-gaap:FairValueI</w:t>
      </w:r>
      <w:r>
        <w:rPr>
          <w:rFonts w:eastAsia="Times New Roman"/>
          <w:vanish/>
        </w:rPr>
        <w:t>nputsLevel3Membersrt:MinimumMembereqh:RangeOneMember2022-12-310001333986eqh:EmbeddedDerivativeGMIBReinsuranceMembersrt:MaximumMembereqh:DiscountedCashFlowValuationTechniqueMemberus-gaap:MeasurementInputMortalityRateMemberus-gaap:FairValueInputsLevel3Member</w:t>
      </w:r>
      <w:r>
        <w:rPr>
          <w:rFonts w:eastAsia="Times New Roman"/>
          <w:vanish/>
        </w:rPr>
        <w:t>eqh:RangeOneMember2022-12-310001333986eqh:EmbeddedDerivativeGMIBReinsuranceMembereqh:DiscountedCashFlowValuationTechniqueMembereqh:RangeTwoMemberus-gaap:MeasurementInputMortalityRateMemberus-gaap:FairValueInputsLevel3Membersrt:MinimumMember2022-12-31000133</w:t>
      </w:r>
      <w:r>
        <w:rPr>
          <w:rFonts w:eastAsia="Times New Roman"/>
          <w:vanish/>
        </w:rPr>
        <w:t>3986eqh:EmbeddedDerivativeGMIBReinsuranceMembersrt:MaximumMembereqh:DiscountedCashFlowValuationTechniqueMembereqh:RangeTwoMemberus-gaap:MeasurementInputMortalityRateMemberus-gaap:FairValueInputsLevel3Member2022-12-310001333986eqh:EmbeddedDerivativeGMIBRein</w:t>
      </w:r>
      <w:r>
        <w:rPr>
          <w:rFonts w:eastAsia="Times New Roman"/>
          <w:vanish/>
        </w:rPr>
        <w:t>suranceMembereqh:DiscountedCashFlowValuationTechniqueMemberus-gaap:MeasurementInputMortalityRateMemberus-gaap:FairValueInputsLevel3Membereqh:RangeThreeMembersrt:MinimumMember2022-12-310001333986eqh:EmbeddedDerivativeGMIBReinsuranceMembersrt:MaximumMembereq</w:t>
      </w:r>
      <w:r>
        <w:rPr>
          <w:rFonts w:eastAsia="Times New Roman"/>
          <w:vanish/>
        </w:rPr>
        <w:t>h:DiscountedCashFlowValuationTechniqueMemberus-gaap:MeasurementInputMortalityRateMemberus-gaap:FairValueInputsLevel3Membereqh:RangeThreeMember2022-12-310001333986eqh:EmbeddedDerivativeGMIBReinsuranceMembereqh:DiscountedCashFlowValuationTechniqueMembersrt:W</w:t>
      </w:r>
      <w:r>
        <w:rPr>
          <w:rFonts w:eastAsia="Times New Roman"/>
          <w:vanish/>
        </w:rPr>
        <w:t>eightedAverageMemberus-gaap:MeasurementInputLapseRateMemberus-gaap:FairValueInputsLevel3Member2022-12-310001333986eqh:EmbeddedDerivativeGMIBReinsuranceMemberus-gaap:MeasurementInputWithdrawalRateMembereqh:DiscountedCashFlowValuationTechniqueMembersrt:Weigh</w:t>
      </w:r>
      <w:r>
        <w:rPr>
          <w:rFonts w:eastAsia="Times New Roman"/>
          <w:vanish/>
        </w:rPr>
        <w:t>tedAverageMemberus-gaap:FairValueInputsLevel3Member2022-12-310001333986eqh:EmbeddedDerivativeGMIBReinsuranceMembereqh:DiscountedCashFlowValuationTechniqueMembersrt:WeightedAverageMemberus-gaap:FairValueInputsLevel3Memberus-gaap:MeasurementInputUtilizationR</w:t>
      </w:r>
      <w:r>
        <w:rPr>
          <w:rFonts w:eastAsia="Times New Roman"/>
          <w:vanish/>
        </w:rPr>
        <w:t>ateMember2022-12-310001333986eqh:EmbeddedDerivativeGMIBReinsuranceMembereqh:DiscountedCashFlowValuationTechniqueMembersrt:WeightedAverageMemberus-gaap:FairValueInputsLevel3Membereqh:MeasurementInputNonperformanceRiskMember2022-12-310001333986eqh:EmbeddedDe</w:t>
      </w:r>
      <w:r>
        <w:rPr>
          <w:rFonts w:eastAsia="Times New Roman"/>
          <w:vanish/>
        </w:rPr>
        <w:t>rivativeGMIBReinsuranceMembereqh:DiscountedCashFlowValuationTechniqueMembersrt:WeightedAverageMembereqh:MeasurementInputEquityVolatilityMemberus-gaap:FairValueInputsLevel3Member2022-12-310001333986eqh:EmbeddedDerivativeGMIBReinsuranceMembereqh:DiscountedCa</w:t>
      </w:r>
      <w:r>
        <w:rPr>
          <w:rFonts w:eastAsia="Times New Roman"/>
          <w:vanish/>
        </w:rPr>
        <w:t>shFlowValuationTechniqueMembersrt:WeightedAverageMembereqh:RangeTwoMemberus-gaap:MeasurementInputMortalityRateMemberus-gaap:FairValueInputsLevel3Member2022-12-310001333986eqh:EmbeddedDerivativeGMIBReinsuranceMembereqh:DiscountedCashFlowValuationTechniqueMe</w:t>
      </w:r>
      <w:r>
        <w:rPr>
          <w:rFonts w:eastAsia="Times New Roman"/>
          <w:vanish/>
        </w:rPr>
        <w:t>mbersrt:WeightedAverageMemberus-gaap:MeasurementInputMortalityRateMemberus-gaap:FairValueInputsLevel3Membereqh:RangeOneMember2022-12-310001333986eqh:EmbeddedDerivativeGMIBReinsuranceMembereqh:DiscountedCashFlowValuationTechniqueMembersrt:WeightedAverageMem</w:t>
      </w:r>
      <w:r>
        <w:rPr>
          <w:rFonts w:eastAsia="Times New Roman"/>
          <w:vanish/>
        </w:rPr>
        <w:t>berus-gaap:MeasurementInputMortalityRateMemberus-gaap:FairValueInputsLevel3Membereqh:RangeThreeMember2022-12-310001333986eqh:DiscountedCashFlowValuationTechniqueMembereqh:EmbeddedDerivativeDueFromReinsuranceReinsurersMemberus-gaap:MeasurementInputLapseRate</w:t>
      </w:r>
      <w:r>
        <w:rPr>
          <w:rFonts w:eastAsia="Times New Roman"/>
          <w:vanish/>
        </w:rPr>
        <w:t>Memberus-gaap:FairValueInputsLevel3Membersrt:MinimumMember2022-12-310001333986srt:MaximumMembereqh:DiscountedCashFlowValuationTechniqueMembereqh:EmbeddedDerivativeDueFromReinsuranceReinsurersMemberus-gaap:MeasurementInputLapseRateMemberus-gaap:FairValueInp</w:t>
      </w:r>
      <w:r>
        <w:rPr>
          <w:rFonts w:eastAsia="Times New Roman"/>
          <w:vanish/>
        </w:rPr>
        <w:t>utsLevel3Member2022-12-310001333986us-gaap:MeasurementInputWithdrawalRateMembereqh:DiscountedCashFlowValuationTechniqueMembereqh:EmbeddedDerivativeDueFromReinsuranceReinsurersMemberus-gaap:FairValueInputsLevel3Membersrt:MinimumMember2022-12-310001333986us-</w:t>
      </w:r>
      <w:r>
        <w:rPr>
          <w:rFonts w:eastAsia="Times New Roman"/>
          <w:vanish/>
        </w:rPr>
        <w:t>gaap:MeasurementInputWithdrawalRateMembersrt:MaximumMembereqh:DiscountedCashFlowValuationTechniqueMembereqh:EmbeddedDerivativeDueFromReinsuranceReinsurersMemberus-gaap:FairValueInputsLevel3Member2022-12-310001333986eqh:DiscountedCashFlowValuationTechniqueM</w:t>
      </w:r>
      <w:r>
        <w:rPr>
          <w:rFonts w:eastAsia="Times New Roman"/>
          <w:vanish/>
        </w:rPr>
        <w:t>embereqh:EmbeddedDerivativeDueFromReinsuranceReinsurersMemberus-gaap:FairValueInputsLevel3Memberus-gaap:MeasurementInputUtilizationRateMembersrt:MinimumMember2022-12-310001333986srt:MaximumMembereqh:DiscountedCashFlowValuationTechniqueMembereqh:EmbeddedDer</w:t>
      </w:r>
      <w:r>
        <w:rPr>
          <w:rFonts w:eastAsia="Times New Roman"/>
          <w:vanish/>
        </w:rPr>
        <w:t>ivativeDueFromReinsuranceReinsurersMemberus-gaap:FairValueInputsLevel3Memberus-gaap:MeasurementInputUtilizationRateMember2022-12-310001333986eqh:DiscountedCashFlowValuationTechniqueMembereqh:EmbeddedDerivativeDueFromReinsuranceReinsurersMemberus-gaap:FairV</w:t>
      </w:r>
      <w:r>
        <w:rPr>
          <w:rFonts w:eastAsia="Times New Roman"/>
          <w:vanish/>
        </w:rPr>
        <w:t>alueInputsLevel3Membereqh:MeasurementInputNonperformanceRiskMember2022-12-310001333986eqh:DiscountedCashFlowValuationTechniqueMembereqh:EmbeddedDerivativeDueFromReinsuranceReinsurersMembereqh:MeasurementInputEquityVolatilityMemberus-gaap:FairValueInputsLev</w:t>
      </w:r>
      <w:r>
        <w:rPr>
          <w:rFonts w:eastAsia="Times New Roman"/>
          <w:vanish/>
        </w:rPr>
        <w:t>el3Membersrt:MinimumMember2022-12-310001333986srt:MaximumMembereqh:DiscountedCashFlowValuationTechniqueMembereqh:EmbeddedDerivativeDueFromReinsuranceReinsurersMembereqh:MeasurementInputEquityVolatilityMemberus-gaap:FairValueInputsLevel3Member2022-12-310001</w:t>
      </w:r>
      <w:r>
        <w:rPr>
          <w:rFonts w:eastAsia="Times New Roman"/>
          <w:vanish/>
        </w:rPr>
        <w:t>333986eqh:DiscountedCashFlowValuationTechniqueMembereqh:EmbeddedDerivativeDueFromReinsuranceReinsurersMemberus-gaap:MeasurementInputMortalityRateMemberus-gaap:FairValueInputsLevel3Membersrt:MinimumMembereqh:RangeOneMember2022-12-310001333986srt:MaximumMemb</w:t>
      </w:r>
      <w:r>
        <w:rPr>
          <w:rFonts w:eastAsia="Times New Roman"/>
          <w:vanish/>
        </w:rPr>
        <w:t>ereqh:DiscountedCashFlowValuationTechniqueMembereqh:EmbeddedDerivativeDueFromReinsuranceReinsurersMemberus-gaap:MeasurementInputMortalityRateMemberus-gaap:FairValueInputsLevel3Membereqh:RangeOneMember2022-12-310001333986eqh:DiscountedCashFlowValuationTechn</w:t>
      </w:r>
      <w:r>
        <w:rPr>
          <w:rFonts w:eastAsia="Times New Roman"/>
          <w:vanish/>
        </w:rPr>
        <w:t>iqueMembereqh:EmbeddedDerivativeDueFromReinsuranceReinsurersMembereqh:RangeTwoMemberus-gaap:MeasurementInputMortalityRateMemberus-gaap:FairValueInputsLevel3Membersrt:MinimumMember2022-12-310001333986srt:MaximumMembereqh:DiscountedCashFlowValuationTechnique</w:t>
      </w:r>
      <w:r>
        <w:rPr>
          <w:rFonts w:eastAsia="Times New Roman"/>
          <w:vanish/>
        </w:rPr>
        <w:t>Membereqh:EmbeddedDerivativeDueFromReinsuranceReinsurersMembereqh:RangeTwoMemberus-gaap:MeasurementInputMortalityRateMemberus-gaap:FairValueInputsLevel3Member2022-12-310001333986eqh:DiscountedCashFlowValuationTechniqueMembereqh:EmbeddedDerivativeDueFromRei</w:t>
      </w:r>
      <w:r>
        <w:rPr>
          <w:rFonts w:eastAsia="Times New Roman"/>
          <w:vanish/>
        </w:rPr>
        <w:t>nsuranceReinsurersMemberus-gaap:MeasurementInputMortalityRateMemberus-gaap:FairValueInputsLevel3Membereqh:RangeThreeMembersrt:MinimumMember2022-12-310001333986srt:MaximumMembereqh:DiscountedCashFlowValuationTechniqueMembereqh:EmbeddedDerivativeDueFromReins</w:t>
      </w:r>
      <w:r>
        <w:rPr>
          <w:rFonts w:eastAsia="Times New Roman"/>
          <w:vanish/>
        </w:rPr>
        <w:t>uranceReinsurersMemberus-gaap:MeasurementInputMortalityRateMemberus-gaap:FairValueInputsLevel3Membereqh:RangeThreeMember2022-12-310001333986eqh:DiscountedCashFlowValuationTechniqueMembersrt:WeightedAverageMembereqh:EmbeddedDerivativeDueFromReinsuranceReins</w:t>
      </w:r>
      <w:r>
        <w:rPr>
          <w:rFonts w:eastAsia="Times New Roman"/>
          <w:vanish/>
        </w:rPr>
        <w:t>urersMemberus-gaap:MeasurementInputLapseRateMemberus-gaap:FairValueInputsLevel3Member2022-12-310001333986us-gaap:MeasurementInputWithdrawalRateMembereqh:DiscountedCashFlowValuationTechniqueMembersrt:WeightedAverageMembereqh:EmbeddedDerivativeDueFromReinsur</w:t>
      </w:r>
      <w:r>
        <w:rPr>
          <w:rFonts w:eastAsia="Times New Roman"/>
          <w:vanish/>
        </w:rPr>
        <w:t>anceReinsurersMemberus-gaap:FairValueInputsLevel3Member2022-12-310001333986eqh:DiscountedCashFlowValuationTechniqueMembersrt:WeightedAverageMembereqh:EmbeddedDerivativeDueFromReinsuranceReinsurersMemberus-gaap:FairValueInputsLevel3Memberus-gaap:Measurement</w:t>
      </w:r>
      <w:r>
        <w:rPr>
          <w:rFonts w:eastAsia="Times New Roman"/>
          <w:vanish/>
        </w:rPr>
        <w:t>InputUtilizationRateMember2022-12-310001333986eqh:DiscountedCashFlowValuationTechniqueMembersrt:WeightedAverageMembereqh:EmbeddedDerivativeDueFromReinsuranceReinsurersMemberus-gaap:FairValueInputsLevel3Membereqh:MeasurementInputNonperformanceRiskMember2022</w:t>
      </w:r>
      <w:r>
        <w:rPr>
          <w:rFonts w:eastAsia="Times New Roman"/>
          <w:vanish/>
        </w:rPr>
        <w:t>-12-310001333986eqh:DiscountedCashFlowValuationTechniqueMembersrt:WeightedAverageMembereqh:EmbeddedDerivativeDueFromReinsuranceReinsurersMembereqh:MeasurementInputEquityVolatilityMemberus-gaap:FairValueInputsLevel3Member2022-12-310001333986eqh:DiscountedCa</w:t>
      </w:r>
      <w:r>
        <w:rPr>
          <w:rFonts w:eastAsia="Times New Roman"/>
          <w:vanish/>
        </w:rPr>
        <w:t>shFlowValuationTechniqueMembersrt:WeightedAverageMembereqh:EmbeddedDerivativeDueFromReinsuranceReinsurersMembereqh:RangeTwoMemberus-gaap:MeasurementInputMortalityRateMemberus-gaap:FairValueInputsLevel3Member2022-12-310001333986eqh:DiscountedCashFlowValuati</w:t>
      </w:r>
      <w:r>
        <w:rPr>
          <w:rFonts w:eastAsia="Times New Roman"/>
          <w:vanish/>
        </w:rPr>
        <w:t>onTechniqueMembersrt:WeightedAverageMembereqh:EmbeddedDerivativeDueFromReinsuranceReinsurersMemberus-gaap:MeasurementInputMortalityRateMemberus-gaap:FairValueInputsLevel3Membereqh:RangeThreeMember2022-12-310001333986eqh:DiscountedCashFlowValuationTechnique</w:t>
      </w:r>
      <w:r>
        <w:rPr>
          <w:rFonts w:eastAsia="Times New Roman"/>
          <w:vanish/>
        </w:rPr>
        <w:t>Membersrt:WeightedAverageMembereqh:EmbeddedDerivativeDueFromReinsuranceReinsurersMemberus-gaap:MeasurementInputMortalityRateMemberus-gaap:FairValueInputsLevel3Membereqh:RangeOneMember2022-12-310001333986eqh:DiscountedCashFlowValuationTechniqueMembereqh:All</w:t>
      </w:r>
      <w:r>
        <w:rPr>
          <w:rFonts w:eastAsia="Times New Roman"/>
          <w:vanish/>
        </w:rPr>
        <w:t>ianceBernsteinMemberus-gaap:FairValueInputsLevel3Member2022-12-310001333986eqh:DiscountedCashFlowValuationTechniqueMembereqh:AllianceBernsteinMemberus-gaap:MeasurementInputLongTermRevenueGrowthRateMemberus-gaap:FairValueInputsLevel3Membersrt:MinimumMember2</w:t>
      </w:r>
      <w:r>
        <w:rPr>
          <w:rFonts w:eastAsia="Times New Roman"/>
          <w:vanish/>
        </w:rPr>
        <w:t>022-12-310001333986srt:MaximumMembereqh:DiscountedCashFlowValuationTechniqueMembereqh:AllianceBernsteinMemberus-gaap:MeasurementInputLongTermRevenueGrowthRateMemberus-gaap:FairValueInputsLevel3Member2022-12-310001333986eqh:DiscountedCashFlowValuationTechni</w:t>
      </w:r>
      <w:r>
        <w:rPr>
          <w:rFonts w:eastAsia="Times New Roman"/>
          <w:vanish/>
        </w:rPr>
        <w:t>queMembereqh:AllianceBernsteinMemberus-gaap:MeasurementInputDiscountRateMemberus-gaap:FairValueInputsLevel3Membersrt:MinimumMember2022-12-310001333986srt:MaximumMembereqh:DiscountedCashFlowValuationTechniqueMembereqh:AllianceBernsteinMemberus-gaap:Measurem</w:t>
      </w:r>
      <w:r>
        <w:rPr>
          <w:rFonts w:eastAsia="Times New Roman"/>
          <w:vanish/>
        </w:rPr>
        <w:t>entInputDiscountRateMemberus-gaap:FairValueInputsLevel3Member2022-12-310001333986eqh:DiscountedCashFlowValuationTechniqueMembereqh:AllianceBernsteinMembersrt:WeightedAverageMemberus-gaap:MeasurementInputLongTermRevenueGrowthRateMemberus-gaap:FairValueInput</w:t>
      </w:r>
      <w:r>
        <w:rPr>
          <w:rFonts w:eastAsia="Times New Roman"/>
          <w:vanish/>
        </w:rPr>
        <w:t>sLevel3Member2022-12-310001333986eqh:DiscountedCashFlowValuationTechniqueMembereqh:AllianceBernsteinMembersrt:WeightedAverageMemberus-gaap:MeasurementInputDiscountRateMemberus-gaap:FairValueInputsLevel3Member2022-12-310001333986eqh:DiscountedCashFlowValuat</w:t>
      </w:r>
      <w:r>
        <w:rPr>
          <w:rFonts w:eastAsia="Times New Roman"/>
          <w:vanish/>
        </w:rPr>
        <w:t>ionTechniqueMemberus-gaap:FairValueInputsLevel3Membereqh:GuaranteedMinimumInsuranceBenefitsnoLapseGuaranteeMember2022-12-310001333986eqh:DiscountedCashFlowValuationTechniqueMemberus-gaap:FairValueInputsLevel3Membereqh:GuaranteedMinimumInsuranceBenefitsnoLa</w:t>
      </w:r>
      <w:r>
        <w:rPr>
          <w:rFonts w:eastAsia="Times New Roman"/>
          <w:vanish/>
        </w:rPr>
        <w:t>pseGuaranteeMembereqh:MeasurementInputNonperformanceRiskMember2022-12-310001333986eqh:DiscountedCashFlowValuationTechniqueMemberus-gaap:MeasurementInputLapseRateMemberus-gaap:FairValueInputsLevel3Membereqh:GuaranteedMinimumInsuranceBenefitsnoLapseGuarantee</w:t>
      </w:r>
      <w:r>
        <w:rPr>
          <w:rFonts w:eastAsia="Times New Roman"/>
          <w:vanish/>
        </w:rPr>
        <w:t>Membersrt:MinimumMember2022-12-310001333986srt:MaximumMembereqh:DiscountedCashFlowValuationTechniqueMemberus-gaap:MeasurementInputLapseRateMemberus-gaap:FairValueInputsLevel3Membereqh:GuaranteedMinimumInsuranceBenefitsnoLapseGuaranteeMember2022-12-31000133</w:t>
      </w:r>
      <w:r>
        <w:rPr>
          <w:rFonts w:eastAsia="Times New Roman"/>
          <w:vanish/>
        </w:rPr>
        <w:t>3986us-gaap:MeasurementInputWithdrawalRateMembereqh:DiscountedCashFlowValuationTechniqueMemberus-gaap:FairValueInputsLevel3Membereqh:GuaranteedMinimumInsuranceBenefitsnoLapseGuaranteeMembersrt:MinimumMember2022-12-310001333986us-gaap:MeasurementInputWithdr</w:t>
      </w:r>
      <w:r>
        <w:rPr>
          <w:rFonts w:eastAsia="Times New Roman"/>
          <w:vanish/>
        </w:rPr>
        <w:t>awalRateMembersrt:MaximumMembereqh:DiscountedCashFlowValuationTechniqueMemberus-gaap:FairValueInputsLevel3Membereqh:GuaranteedMinimumInsuranceBenefitsnoLapseGuaranteeMember2022-12-310001333986eqh:DiscountedCashFlowValuationTechniqueMembereqh:MeasurementInp</w:t>
      </w:r>
      <w:r>
        <w:rPr>
          <w:rFonts w:eastAsia="Times New Roman"/>
          <w:vanish/>
        </w:rPr>
        <w:t>utAnnuitizationRateMemberus-gaap:FairValueInputsLevel3Membereqh:GuaranteedMinimumInsuranceBenefitsnoLapseGuaranteeMembersrt:MinimumMember2022-12-310001333986srt:MaximumMembereqh:DiscountedCashFlowValuationTechniqueMembereqh:MeasurementInputAnnuitizationRat</w:t>
      </w:r>
      <w:r>
        <w:rPr>
          <w:rFonts w:eastAsia="Times New Roman"/>
          <w:vanish/>
        </w:rPr>
        <w:t>eMemberus-gaap:FairValueInputsLevel3Membereqh:GuaranteedMinimumInsuranceBenefitsnoLapseGuaranteeMember2022-12-310001333986eqh:DiscountedCashFlowValuationTechniqueMemberus-gaap:MeasurementInputMortalityRateMemberus-gaap:FairValueInputsLevel3Membereqh:Guaran</w:t>
      </w:r>
      <w:r>
        <w:rPr>
          <w:rFonts w:eastAsia="Times New Roman"/>
          <w:vanish/>
        </w:rPr>
        <w:t>teedMinimumInsuranceBenefitsnoLapseGuaranteeMembersrt:MinimumMembereqh:RangeOneMember2022-12-310001333986srt:MaximumMembereqh:DiscountedCashFlowValuationTechniqueMemberus-gaap:MeasurementInputMortalityRateMemberus-gaap:FairValueInputsLevel3Membereqh:Guaran</w:t>
      </w:r>
      <w:r>
        <w:rPr>
          <w:rFonts w:eastAsia="Times New Roman"/>
          <w:vanish/>
        </w:rPr>
        <w:t>teedMinimumInsuranceBenefitsnoLapseGuaranteeMembereqh:RangeOneMember2022-12-310001333986eqh:DiscountedCashFlowValuationTechniqueMembereqh:RangeTwoMemberus-gaap:MeasurementInputMortalityRateMemberus-gaap:FairValueInputsLevel3Membereqh:GuaranteedMinimumInsur</w:t>
      </w:r>
      <w:r>
        <w:rPr>
          <w:rFonts w:eastAsia="Times New Roman"/>
          <w:vanish/>
        </w:rPr>
        <w:t>anceBenefitsnoLapseGuaranteeMembersrt:MinimumMember2022-12-310001333986srt:MaximumMembereqh:DiscountedCashFlowValuationTechniqueMembereqh:RangeTwoMemberus-gaap:MeasurementInputMortalityRateMemberus-gaap:FairValueInputsLevel3Membereqh:GuaranteedMinimumInsur</w:t>
      </w:r>
      <w:r>
        <w:rPr>
          <w:rFonts w:eastAsia="Times New Roman"/>
          <w:vanish/>
        </w:rPr>
        <w:t>anceBenefitsnoLapseGuaranteeMember2022-12-310001333986eqh:DiscountedCashFlowValuationTechniqueMemberus-gaap:MeasurementInputMortalityRateMemberus-gaap:FairValueInputsLevel3Membereqh:GuaranteedMinimumInsuranceBenefitsnoLapseGuaranteeMembereqh:RangeThreeMemb</w:t>
      </w:r>
      <w:r>
        <w:rPr>
          <w:rFonts w:eastAsia="Times New Roman"/>
          <w:vanish/>
        </w:rPr>
        <w:t>ersrt:MinimumMember2022-12-310001333986srt:MaximumMembereqh:DiscountedCashFlowValuationTechniqueMemberus-gaap:MeasurementInputMortalityRateMemberus-gaap:FairValueInputsLevel3Membereqh:GuaranteedMinimumInsuranceBenefitsnoLapseGuaranteeMembereqh:RangeThreeMe</w:t>
      </w:r>
      <w:r>
        <w:rPr>
          <w:rFonts w:eastAsia="Times New Roman"/>
          <w:vanish/>
        </w:rPr>
        <w:t>mber2022-12-310001333986eqh:DiscountedCashFlowValuationTechniqueMembersrt:WeightedAverageMemberus-gaap:FairValueInputsLevel3Membereqh:GuaranteedMinimumInsuranceBenefitsnoLapseGuaranteeMembereqh:MeasurementInputNonperformanceRiskMember2022-12-310001333986eq</w:t>
      </w:r>
      <w:r>
        <w:rPr>
          <w:rFonts w:eastAsia="Times New Roman"/>
          <w:vanish/>
        </w:rPr>
        <w:t>h:DiscountedCashFlowValuationTechniqueMembersrt:WeightedAverageMemberus-gaap:MeasurementInputLapseRateMemberus-gaap:FairValueInputsLevel3Membereqh:GuaranteedMinimumInsuranceBenefitsnoLapseGuaranteeMember2022-12-310001333986us-gaap:MeasurementInputWithdrawa</w:t>
      </w:r>
      <w:r>
        <w:rPr>
          <w:rFonts w:eastAsia="Times New Roman"/>
          <w:vanish/>
        </w:rPr>
        <w:t>lRateMembereqh:DiscountedCashFlowValuationTechniqueMembersrt:WeightedAverageMemberus-gaap:FairValueInputsLevel3Membereqh:GuaranteedMinimumInsuranceBenefitsnoLapseGuaranteeMember2022-12-310001333986eqh:DiscountedCashFlowValuationTechniqueMembersrt:WeightedA</w:t>
      </w:r>
      <w:r>
        <w:rPr>
          <w:rFonts w:eastAsia="Times New Roman"/>
          <w:vanish/>
        </w:rPr>
        <w:t>verageMembereqh:MeasurementInputAnnuitizationRateMemberus-gaap:FairValueInputsLevel3Membereqh:GuaranteedMinimumInsuranceBenefitsnoLapseGuaranteeMember2022-12-310001333986eqh:DiscountedCashFlowValuationTechniqueMembersrt:WeightedAverageMemberus-gaap:Measure</w:t>
      </w:r>
      <w:r>
        <w:rPr>
          <w:rFonts w:eastAsia="Times New Roman"/>
          <w:vanish/>
        </w:rPr>
        <w:t>mentInputMortalityRateMemberus-gaap:FairValueInputsLevel3Membereqh:GuaranteedMinimumInsuranceBenefitsnoLapseGuaranteeMembereqh:RangeOneMember2022-12-310001333986eqh:DiscountedCashFlowValuationTechniqueMembersrt:WeightedAverageMembereqh:RangeTwoMemberus-gaa</w:t>
      </w:r>
      <w:r>
        <w:rPr>
          <w:rFonts w:eastAsia="Times New Roman"/>
          <w:vanish/>
        </w:rPr>
        <w:t>p:MeasurementInputMortalityRateMemberus-gaap:FairValueInputsLevel3Membereqh:GuaranteedMinimumInsuranceBenefitsnoLapseGuaranteeMember2022-12-310001333986eqh:DiscountedCashFlowValuationTechniqueMembersrt:WeightedAverageMemberus-gaap:MeasurementInputMortality</w:t>
      </w:r>
      <w:r>
        <w:rPr>
          <w:rFonts w:eastAsia="Times New Roman"/>
          <w:vanish/>
        </w:rPr>
        <w:t>RateMemberus-gaap:FairValueInputsLevel3Membereqh:GuaranteedMinimumInsuranceBenefitsnoLapseGuaranteeMembereqh:RangeThreeMember2022-12-310001333986eqh:DiscountedCashFlowValuationTechniqueMembereqh:GmwbGwblMemberus-gaap:FairValueInputsLevel3Member2022-12-3100</w:t>
      </w:r>
      <w:r>
        <w:rPr>
          <w:rFonts w:eastAsia="Times New Roman"/>
          <w:vanish/>
        </w:rPr>
        <w:t>01333986eqh:DiscountedCashFlowValuationTechniqueMembereqh:GmwbGwblMemberus-gaap:MeasurementInputLapseRateMemberus-gaap:FairValueInputsLevel3Membersrt:MinimumMember2022-12-310001333986srt:MaximumMembereqh:DiscountedCashFlowValuationTechniqueMembereqh:GmwbGw</w:t>
      </w:r>
      <w:r>
        <w:rPr>
          <w:rFonts w:eastAsia="Times New Roman"/>
          <w:vanish/>
        </w:rPr>
        <w:t>blMemberus-gaap:MeasurementInputLapseRateMemberus-gaap:FairValueInputsLevel3Member2022-12-310001333986us-gaap:MeasurementInputWithdrawalRateMembereqh:DiscountedCashFlowValuationTechniqueMembereqh:GmwbGwblMemberus-gaap:FairValueInputsLevel3Membersrt:Minimum</w:t>
      </w:r>
      <w:r>
        <w:rPr>
          <w:rFonts w:eastAsia="Times New Roman"/>
          <w:vanish/>
        </w:rPr>
        <w:t>Member2022-12-310001333986us-gaap:MeasurementInputWithdrawalRateMembersrt:MaximumMembereqh:DiscountedCashFlowValuationTechniqueMembereqh:GmwbGwblMemberus-gaap:FairValueInputsLevel3Member2022-12-310001333986eqh:DiscountedCashFlowValuationTechniqueMembereqh:</w:t>
      </w:r>
      <w:r>
        <w:rPr>
          <w:rFonts w:eastAsia="Times New Roman"/>
          <w:vanish/>
        </w:rPr>
        <w:t>GmwbGwblMemberus-gaap:FairValueInputsLevel3Memberus-gaap:MeasurementInputUtilizationRateMember2022-12-310001333986eqh:DiscountedCashFlowValuationTechniqueMembereqh:GmwbGwblMembereqh:MeasurementInputEquityVolatilityMemberus-gaap:FairValueInputsLevel3Members</w:t>
      </w:r>
      <w:r>
        <w:rPr>
          <w:rFonts w:eastAsia="Times New Roman"/>
          <w:vanish/>
        </w:rPr>
        <w:t>rt:MinimumMember2022-12-310001333986srt:MaximumMembereqh:DiscountedCashFlowValuationTechniqueMembereqh:GmwbGwblMembereqh:MeasurementInputEquityVolatilityMemberus-gaap:FairValueInputsLevel3Member2022-12-310001333986eqh:DiscountedCashFlowValuationTechniqueMe</w:t>
      </w:r>
      <w:r>
        <w:rPr>
          <w:rFonts w:eastAsia="Times New Roman"/>
          <w:vanish/>
        </w:rPr>
        <w:t>mbereqh:GmwbGwblMemberus-gaap:FairValueInputsLevel3Membereqh:MeasurementInputNonperformanceRiskMember2022-12-310001333986eqh:DiscountedCashFlowValuationTechniqueMembersrt:WeightedAverageMembereqh:GmwbGwblMemberus-gaap:MeasurementInputLapseRateMemberus-gaap</w:t>
      </w:r>
      <w:r>
        <w:rPr>
          <w:rFonts w:eastAsia="Times New Roman"/>
          <w:vanish/>
        </w:rPr>
        <w:t>:FairValueInputsLevel3Member2022-12-310001333986us-gaap:MeasurementInputWithdrawalRateMembereqh:DiscountedCashFlowValuationTechniqueMembersrt:WeightedAverageMembereqh:GmwbGwblMemberus-gaap:FairValueInputsLevel3Member2022-12-310001333986eqh:DiscountedCashFl</w:t>
      </w:r>
      <w:r>
        <w:rPr>
          <w:rFonts w:eastAsia="Times New Roman"/>
          <w:vanish/>
        </w:rPr>
        <w:t>owValuationTechniqueMembersrt:WeightedAverageMembereqh:GmwbGwblMembereqh:MeasurementInputEquityVolatilityMemberus-gaap:FairValueInputsLevel3Member2022-12-310001333986eqh:DiscountedCashFlowValuationTechniqueMembereqh:GuaranteedInsuranceBenefitsMemberus-gaap</w:t>
      </w:r>
      <w:r>
        <w:rPr>
          <w:rFonts w:eastAsia="Times New Roman"/>
          <w:vanish/>
        </w:rPr>
        <w:t>:FairValueInputsLevel3Member2022-12-310001333986eqh:DiscountedCashFlowValuationTechniqueMembereqh:GuaranteedInsuranceBenefitsMemberus-gaap:MeasurementInputLapseRateMemberus-gaap:FairValueInputsLevel3Membersrt:MinimumMember2022-12-310001333986srt:MaximumMem</w:t>
      </w:r>
      <w:r>
        <w:rPr>
          <w:rFonts w:eastAsia="Times New Roman"/>
          <w:vanish/>
        </w:rPr>
        <w:t>bereqh:DiscountedCashFlowValuationTechniqueMembereqh:GuaranteedInsuranceBenefitsMemberus-gaap:MeasurementInputLapseRateMemberus-gaap:FairValueInputsLevel3Member2022-12-310001333986us-gaap:MeasurementInputWithdrawalRateMembereqh:DiscountedCashFlowValuationT</w:t>
      </w:r>
      <w:r>
        <w:rPr>
          <w:rFonts w:eastAsia="Times New Roman"/>
          <w:vanish/>
        </w:rPr>
        <w:t>echniqueMembereqh:GuaranteedInsuranceBenefitsMemberus-gaap:FairValueInputsLevel3Membersrt:MinimumMember2022-12-310001333986us-gaap:MeasurementInputWithdrawalRateMembersrt:MaximumMembereqh:DiscountedCashFlowValuationTechniqueMembereqh:GuaranteedInsuranceBen</w:t>
      </w:r>
      <w:r>
        <w:rPr>
          <w:rFonts w:eastAsia="Times New Roman"/>
          <w:vanish/>
        </w:rPr>
        <w:t>efitsMemberus-gaap:FairValueInputsLevel3Member2022-12-310001333986eqh:DiscountedCashFlowValuationTechniqueMembereqh:GuaranteedInsuranceBenefitsMemberus-gaap:FairValueInputsLevel3Memberus-gaap:MeasurementInputUtilizationRateMembersrt:MinimumMember2022-12-31</w:t>
      </w:r>
      <w:r>
        <w:rPr>
          <w:rFonts w:eastAsia="Times New Roman"/>
          <w:vanish/>
        </w:rPr>
        <w:t>0001333986srt:MaximumMembereqh:DiscountedCashFlowValuationTechniqueMembereqh:GuaranteedInsuranceBenefitsMemberus-gaap:FairValueInputsLevel3Memberus-gaap:MeasurementInputUtilizationRateMember2022-12-310001333986eqh:DiscountedCashFlowValuationTechniqueMember</w:t>
      </w:r>
      <w:r>
        <w:rPr>
          <w:rFonts w:eastAsia="Times New Roman"/>
          <w:vanish/>
        </w:rPr>
        <w:t>eqh:GuaranteedInsuranceBenefitsMembereqh:MeasurementInputEquityVolatilityMemberus-gaap:FairValueInputsLevel3Membersrt:MinimumMember2022-12-310001333986srt:MaximumMembereqh:DiscountedCashFlowValuationTechniqueMembereqh:GuaranteedInsuranceBenefitsMembereqh:M</w:t>
      </w:r>
      <w:r>
        <w:rPr>
          <w:rFonts w:eastAsia="Times New Roman"/>
          <w:vanish/>
        </w:rPr>
        <w:t>easurementInputEquityVolatilityMemberus-gaap:FairValueInputsLevel3Member2022-12-310001333986eqh:DiscountedCashFlowValuationTechniqueMembereqh:GuaranteedInsuranceBenefitsMemberus-gaap:FairValueInputsLevel3Membereqh:MeasurementInputNonperformanceRiskMember20</w:t>
      </w:r>
      <w:r>
        <w:rPr>
          <w:rFonts w:eastAsia="Times New Roman"/>
          <w:vanish/>
        </w:rPr>
        <w:t>22-12-310001333986eqh:DiscountedCashFlowValuationTechniqueMembersrt:WeightedAverageMembereqh:GuaranteedInsuranceBenefitsMemberus-gaap:MeasurementInputLapseRateMemberus-gaap:FairValueInputsLevel3Member2022-12-310001333986us-gaap:MeasurementInputWithdrawalRa</w:t>
      </w:r>
      <w:r>
        <w:rPr>
          <w:rFonts w:eastAsia="Times New Roman"/>
          <w:vanish/>
        </w:rPr>
        <w:t>teMembereqh:DiscountedCashFlowValuationTechniqueMembersrt:WeightedAverageMembereqh:GuaranteedInsuranceBenefitsMemberus-gaap:FairValueInputsLevel3Member2022-12-310001333986eqh:DiscountedCashFlowValuationTechniqueMembersrt:WeightedAverageMembereqh:Guaranteed</w:t>
      </w:r>
      <w:r>
        <w:rPr>
          <w:rFonts w:eastAsia="Times New Roman"/>
          <w:vanish/>
        </w:rPr>
        <w:t>InsuranceBenefitsMemberus-gaap:FairValueInputsLevel3Memberus-gaap:MeasurementInputUtilizationRateMember2022-12-310001333986eqh:DiscountedCashFlowValuationTechniqueMembersrt:WeightedAverageMembereqh:GuaranteedInsuranceBenefitsMembereqh:MeasurementInputEquit</w:t>
      </w:r>
      <w:r>
        <w:rPr>
          <w:rFonts w:eastAsia="Times New Roman"/>
          <w:vanish/>
        </w:rPr>
        <w:t>yVolatilityMemberus-gaap:FairValueInputsLevel3Member2022-12-310001333986eqh:DiscountedCashFlowValuationTechniqueMembereqh:GuaranteedMinimumAnnuityBenefitsMemberus-gaap:FairValueInputsLevel3Member2022-12-310001333986eqh:DiscountedCashFlowValuationTechniqueM</w:t>
      </w:r>
      <w:r>
        <w:rPr>
          <w:rFonts w:eastAsia="Times New Roman"/>
          <w:vanish/>
        </w:rPr>
        <w:t>embereqh:GuaranteedMinimumAnnuityBenefitsMemberus-gaap:MeasurementInputLapseRateMemberus-gaap:FairValueInputsLevel3Membersrt:MinimumMember2022-12-310001333986srt:MaximumMembereqh:DiscountedCashFlowValuationTechniqueMembereqh:GuaranteedMinimumAnnuityBenefit</w:t>
      </w:r>
      <w:r>
        <w:rPr>
          <w:rFonts w:eastAsia="Times New Roman"/>
          <w:vanish/>
        </w:rPr>
        <w:t>sMemberus-gaap:MeasurementInputLapseRateMemberus-gaap:FairValueInputsLevel3Member2022-12-310001333986eqh:DiscountedCashFlowValuationTechniqueMembereqh:GuaranteedMinimumAnnuityBenefitsMembereqh:MeasurementInputEquityVolatilityMemberus-gaap:FairValueInputsLe</w:t>
      </w:r>
      <w:r>
        <w:rPr>
          <w:rFonts w:eastAsia="Times New Roman"/>
          <w:vanish/>
        </w:rPr>
        <w:t>vel3Membersrt:MinimumMember2022-12-310001333986srt:MaximumMembereqh:DiscountedCashFlowValuationTechniqueMembereqh:GuaranteedMinimumAnnuityBenefitsMembereqh:MeasurementInputEquityVolatilityMemberus-gaap:FairValueInputsLevel3Member2022-12-310001333986eqh:Dis</w:t>
      </w:r>
      <w:r>
        <w:rPr>
          <w:rFonts w:eastAsia="Times New Roman"/>
          <w:vanish/>
        </w:rPr>
        <w:t>countedCashFlowValuationTechniqueMembereqh:GuaranteedMinimumAnnuityBenefitsMemberus-gaap:FairValueInputsLevel3Membereqh:MeasurementInputNonperformanceRiskMember2022-12-310001333986eqh:DiscountedCashFlowValuationTechniqueMembersrt:WeightedAverageMembereqh:G</w:t>
      </w:r>
      <w:r>
        <w:rPr>
          <w:rFonts w:eastAsia="Times New Roman"/>
          <w:vanish/>
        </w:rPr>
        <w:t>uaranteedMinimumAnnuityBenefitsMemberus-gaap:MeasurementInputLapseRateMemberus-gaap:FairValueInputsLevel3Member2022-12-310001333986eqh:DiscountedCashFlowValuationTechniqueMembersrt:WeightedAverageMembereqh:GuaranteedMinimumAnnuityBenefitsMembereqh:Measurem</w:t>
      </w:r>
      <w:r>
        <w:rPr>
          <w:rFonts w:eastAsia="Times New Roman"/>
          <w:vanish/>
        </w:rPr>
        <w:t>entInputEquityVolatilityMemberus-gaap:FairValueInputsLevel3Member2022-12-310001333986us-gaap:CorporateDebtSecuritiesMembereqh:MatrixPricingModelValuationTechniqueMemberus-gaap:FairValueInputsLevel3Member2021-12-310001333986us-gaap:CorporateDebtSecuritiesMe</w:t>
      </w:r>
      <w:r>
        <w:rPr>
          <w:rFonts w:eastAsia="Times New Roman"/>
          <w:vanish/>
        </w:rPr>
        <w:t>mbereqh:MatrixPricingModelValuationTechniqueMemberus-gaap:FairValueInputsLevel3Membersrt:MinimumMembereqh:MeasurementInputSpreadOverBenchmarkMember2021-12-310001333986srt:MaximumMemberus-gaap:CorporateDebtSecuritiesMembereqh:MatrixPricingModelValuationTech</w:t>
      </w:r>
      <w:r>
        <w:rPr>
          <w:rFonts w:eastAsia="Times New Roman"/>
          <w:vanish/>
        </w:rPr>
        <w:t>niqueMemberus-gaap:FairValueInputsLevel3Membereqh:MeasurementInputSpreadOverBenchmarkMember2021-12-310001333986us-gaap:CorporateDebtSecuritiesMembersrt:WeightedAverageMembereqh:MatrixPricingModelValuationTechniqueMemberus-gaap:FairValueInputsLevel3Membereq</w:t>
      </w:r>
      <w:r>
        <w:rPr>
          <w:rFonts w:eastAsia="Times New Roman"/>
          <w:vanish/>
        </w:rPr>
        <w:t>h:MeasurementInputSpreadOverBenchmarkMember2021-12-310001333986us-gaap:CorporateDebtSecuritiesMemberus-gaap:FairValueInputsLevel3Membereqh:MarketComparableCompaniesValuationTechniqueMember2021-12-310001333986us-gaap:CorporateDebtSecuritiesMemberus-gaap:Mea</w:t>
      </w:r>
      <w:r>
        <w:rPr>
          <w:rFonts w:eastAsia="Times New Roman"/>
          <w:vanish/>
        </w:rPr>
        <w:t>surementInputEbitdaMultipleMemberus-gaap:FairValueInputsLevel3Membersrt:MinimumMembereqh:MarketComparableCompaniesValuationTechniqueMember2021-12-310001333986srt:MaximumMemberus-gaap:CorporateDebtSecuritiesMemberus-gaap:MeasurementInputEbitdaMultipleMember</w:t>
      </w:r>
      <w:r>
        <w:rPr>
          <w:rFonts w:eastAsia="Times New Roman"/>
          <w:vanish/>
        </w:rPr>
        <w:t>us-gaap:FairValueInputsLevel3Membereqh:MarketComparableCompaniesValuationTechniqueMember2021-12-310001333986us-gaap:CorporateDebtSecuritiesMemberus-gaap:MeasurementInputDiscountRateMemberus-gaap:FairValueInputsLevel3Membersrt:MinimumMembereqh:MarketCompara</w:t>
      </w:r>
      <w:r>
        <w:rPr>
          <w:rFonts w:eastAsia="Times New Roman"/>
          <w:vanish/>
        </w:rPr>
        <w:t>bleCompaniesValuationTechniqueMember2021-12-310001333986srt:MaximumMemberus-gaap:CorporateDebtSecuritiesMemberus-gaap:MeasurementInputDiscountRateMemberus-gaap:FairValueInputsLevel3Membereqh:MarketComparableCompaniesValuationTechniqueMember2021-12-31000133</w:t>
      </w:r>
      <w:r>
        <w:rPr>
          <w:rFonts w:eastAsia="Times New Roman"/>
          <w:vanish/>
        </w:rPr>
        <w:t>3986eqh:MeasurementInputCashFlowMultiplesMemberus-gaap:CorporateDebtSecuritiesMemberus-gaap:FairValueInputsLevel3Membersrt:MinimumMembereqh:MarketComparableCompaniesValuationTechniqueMember2021-12-310001333986eqh:MeasurementInputCashFlowMultiplesMembersrt:</w:t>
      </w:r>
      <w:r>
        <w:rPr>
          <w:rFonts w:eastAsia="Times New Roman"/>
          <w:vanish/>
        </w:rPr>
        <w:t>MaximumMemberus-gaap:CorporateDebtSecuritiesMemberus-gaap:FairValueInputsLevel3Membereqh:MarketComparableCompaniesValuationTechniqueMember2021-12-310001333986eqh:MeasurementInputLoanToValueMemberus-gaap:CorporateDebtSecuritiesMemberus-gaap:FairValueInputsL</w:t>
      </w:r>
      <w:r>
        <w:rPr>
          <w:rFonts w:eastAsia="Times New Roman"/>
          <w:vanish/>
        </w:rPr>
        <w:t>evel3Membersrt:MinimumMembereqh:MarketComparableCompaniesValuationTechniqueMember2021-12-310001333986srt:MaximumMembereqh:MeasurementInputLoanToValueMemberus-gaap:CorporateDebtSecuritiesMemberus-gaap:FairValueInputsLevel3Membereqh:MarketComparableCompanies</w:t>
      </w:r>
      <w:r>
        <w:rPr>
          <w:rFonts w:eastAsia="Times New Roman"/>
          <w:vanish/>
        </w:rPr>
        <w:t>ValuationTechniqueMember2021-12-310001333986us-gaap:CorporateDebtSecuritiesMembersrt:WeightedAverageMemberus-gaap:MeasurementInputEbitdaMultipleMemberus-gaap:FairValueInputsLevel3Membereqh:MarketComparableCompaniesValuationTechniqueMember2021-12-3100013339</w:t>
      </w:r>
      <w:r>
        <w:rPr>
          <w:rFonts w:eastAsia="Times New Roman"/>
          <w:vanish/>
        </w:rPr>
        <w:t>86us-gaap:CorporateDebtSecuritiesMembersrt:WeightedAverageMemberus-gaap:MeasurementInputDiscountRateMemberus-gaap:FairValueInputsLevel3Membereqh:MarketComparableCompaniesValuationTechniqueMember2021-12-310001333986eqh:MeasurementInputCashFlowMultiplesMembe</w:t>
      </w:r>
      <w:r>
        <w:rPr>
          <w:rFonts w:eastAsia="Times New Roman"/>
          <w:vanish/>
        </w:rPr>
        <w:t>rus-gaap:CorporateDebtSecuritiesMembersrt:WeightedAverageMemberus-gaap:FairValueInputsLevel3Membereqh:MarketComparableCompaniesValuationTechniqueMember2021-12-310001333986eqh:MeasurementInputLoanToValueMemberus-gaap:CorporateDebtSecuritiesMembersrt:Weighte</w:t>
      </w:r>
      <w:r>
        <w:rPr>
          <w:rFonts w:eastAsia="Times New Roman"/>
          <w:vanish/>
        </w:rPr>
        <w:t>dAverageMemberus-gaap:FairValueInputsLevel3Membereqh:MarketComparableCompaniesValuationTechniqueMember2021-12-310001333986eqh:TradingSecuritiesMembereqh:DiscountedCashFlowValuationTechniqueMemberus-gaap:FairValueInputsLevel3Member2021-12-310001333986eqh:Tr</w:t>
      </w:r>
      <w:r>
        <w:rPr>
          <w:rFonts w:eastAsia="Times New Roman"/>
          <w:vanish/>
        </w:rPr>
        <w:t>adingSecuritiesMembereqh:DiscountedCashFlowValuationTechniqueMemberus-gaap:MeasurementInputRevenueMultipleMemberus-gaap:FairValueInputsLevel3Member2021-12-310001333986eqh:TradingSecuritiesMembereqh:MeasurementInputsDiscountFactorMembereqh:DiscountedCashFlo</w:t>
      </w:r>
      <w:r>
        <w:rPr>
          <w:rFonts w:eastAsia="Times New Roman"/>
          <w:vanish/>
        </w:rPr>
        <w:t>wValuationTechniqueMemberus-gaap:FairValueInputsLevel3Member2021-12-310001333986eqh:TradingSecuritiesMembereqh:DiscountedCashFlowValuationTechniqueMemberus-gaap:FairValueInputsLevel3Member2022-01-012022-06-300001333986us-gaap:EquityMethodInvestmentsMemberu</w:t>
      </w:r>
      <w:r>
        <w:rPr>
          <w:rFonts w:eastAsia="Times New Roman"/>
          <w:vanish/>
        </w:rPr>
        <w:t>s-gaap:FairValueInputsLevel3Membereqh:MarketComparableCompaniesValuationTechniqueMember2021-12-310001333986us-gaap:MeasurementInputRevenueMultipleMemberus-gaap:EquityMethodInvestmentsMemberus-gaap:FairValueInputsLevel3Membersrt:MinimumMembereqh:MarketCompa</w:t>
      </w:r>
      <w:r>
        <w:rPr>
          <w:rFonts w:eastAsia="Times New Roman"/>
          <w:vanish/>
        </w:rPr>
        <w:t>rableCompaniesValuationTechniqueMember2021-12-310001333986srt:MaximumMemberus-gaap:MeasurementInputRevenueMultipleMemberus-gaap:EquityMethodInvestmentsMemberus-gaap:FairValueInputsLevel3Membereqh:MarketComparableCompaniesValuationTechniqueMember2021-12-310</w:t>
      </w:r>
      <w:r>
        <w:rPr>
          <w:rFonts w:eastAsia="Times New Roman"/>
          <w:vanish/>
        </w:rPr>
        <w:t>001333986srt:WeightedAverageMemberus-gaap:MeasurementInputRevenueMultipleMemberus-gaap:EquityMethodInvestmentsMemberus-gaap:FairValueInputsLevel3Membereqh:MarketComparableCompaniesValuationTechniqueMember2021-12-310001333986eqh:EmbeddedDerivativeGMIBReinsu</w:t>
      </w:r>
      <w:r>
        <w:rPr>
          <w:rFonts w:eastAsia="Times New Roman"/>
          <w:vanish/>
        </w:rPr>
        <w:t>ranceMembereqh:DiscountedCashFlowValuationTechniqueMemberus-gaap:FairValueInputsLevel3Member2021-12-310001333986eqh:EmbeddedDerivativeGMIBReinsuranceMembereqh:DiscountedCashFlowValuationTechniqueMemberus-gaap:FairValueInputsLevel3Membereqh:MeasurementInput</w:t>
      </w:r>
      <w:r>
        <w:rPr>
          <w:rFonts w:eastAsia="Times New Roman"/>
          <w:vanish/>
        </w:rPr>
        <w:t>NonperformanceRiskMembersrt:MinimumMember2021-12-310001333986eqh:EmbeddedDerivativeGMIBReinsuranceMembersrt:MaximumMembereqh:DiscountedCashFlowValuationTechniqueMemberus-gaap:FairValueInputsLevel3Membereqh:MeasurementInputNonperformanceRiskMember2021-12-31</w:t>
      </w:r>
      <w:r>
        <w:rPr>
          <w:rFonts w:eastAsia="Times New Roman"/>
          <w:vanish/>
        </w:rPr>
        <w:t>0001333986eqh:EmbeddedDerivativeGMIBReinsuranceMembereqh:DiscountedCashFlowValuationTechniqueMemberus-gaap:MeasurementInputLapseRateMemberus-gaap:FairValueInputsLevel3Membersrt:MinimumMember2021-12-310001333986eqh:EmbeddedDerivativeGMIBReinsuranceMembersrt</w:t>
      </w:r>
      <w:r>
        <w:rPr>
          <w:rFonts w:eastAsia="Times New Roman"/>
          <w:vanish/>
        </w:rPr>
        <w:t>:MaximumMembereqh:DiscountedCashFlowValuationTechniqueMemberus-gaap:MeasurementInputLapseRateMemberus-gaap:FairValueInputsLevel3Member2021-12-310001333986eqh:EmbeddedDerivativeGMIBReinsuranceMemberus-gaap:MeasurementInputWithdrawalRateMembereqh:DiscountedC</w:t>
      </w:r>
      <w:r>
        <w:rPr>
          <w:rFonts w:eastAsia="Times New Roman"/>
          <w:vanish/>
        </w:rPr>
        <w:t>ashFlowValuationTechniqueMemberus-gaap:FairValueInputsLevel3Membersrt:MinimumMember2021-12-310001333986eqh:EmbeddedDerivativeGMIBReinsuranceMemberus-gaap:MeasurementInputWithdrawalRateMembersrt:MaximumMembereqh:DiscountedCashFlowValuationTechniqueMemberus-</w:t>
      </w:r>
      <w:r>
        <w:rPr>
          <w:rFonts w:eastAsia="Times New Roman"/>
          <w:vanish/>
        </w:rPr>
        <w:t>gaap:FairValueInputsLevel3Member2021-12-310001333986eqh:EmbeddedDerivativeGMIBReinsuranceMembereqh:DiscountedCashFlowValuationTechniqueMemberus-gaap:FairValueInputsLevel3Memberus-gaap:MeasurementInputUtilizationRateMembersrt:MinimumMember2021-12-3100013339</w:t>
      </w:r>
      <w:r>
        <w:rPr>
          <w:rFonts w:eastAsia="Times New Roman"/>
          <w:vanish/>
        </w:rPr>
        <w:t>86eqh:EmbeddedDerivativeGMIBReinsuranceMembersrt:MaximumMembereqh:DiscountedCashFlowValuationTechniqueMemberus-gaap:FairValueInputsLevel3Memberus-gaap:MeasurementInputUtilizationRateMember2021-12-310001333986eqh:EmbeddedDerivativeGMIBReinsuranceMembereqh:D</w:t>
      </w:r>
      <w:r>
        <w:rPr>
          <w:rFonts w:eastAsia="Times New Roman"/>
          <w:vanish/>
        </w:rPr>
        <w:t>iscountedCashFlowValuationTechniqueMembereqh:MeasurementInputEquityVolatilityMemberus-gaap:FairValueInputsLevel3Membersrt:MinimumMember2021-12-310001333986eqh:EmbeddedDerivativeGMIBReinsuranceMembersrt:MaximumMembereqh:DiscountedCashFlowValuationTechniqueM</w:t>
      </w:r>
      <w:r>
        <w:rPr>
          <w:rFonts w:eastAsia="Times New Roman"/>
          <w:vanish/>
        </w:rPr>
        <w:t>embereqh:MeasurementInputEquityVolatilityMemberus-gaap:FairValueInputsLevel3Member2021-12-310001333986eqh:EmbeddedDerivativeGMIBReinsuranceMembereqh:DiscountedCashFlowValuationTechniqueMemberus-gaap:MeasurementInputMortalityRateMemberus-gaap:FairValueInput</w:t>
      </w:r>
      <w:r>
        <w:rPr>
          <w:rFonts w:eastAsia="Times New Roman"/>
          <w:vanish/>
        </w:rPr>
        <w:t>sLevel3Membersrt:MinimumMembereqh:RangeOneMember2021-12-310001333986eqh:EmbeddedDerivativeGMIBReinsuranceMembersrt:MaximumMembereqh:DiscountedCashFlowValuationTechniqueMemberus-gaap:MeasurementInputMortalityRateMemberus-gaap:FairValueInputsLevel3Membereqh:</w:t>
      </w:r>
      <w:r>
        <w:rPr>
          <w:rFonts w:eastAsia="Times New Roman"/>
          <w:vanish/>
        </w:rPr>
        <w:t>RangeOneMember2021-12-310001333986eqh:EmbeddedDerivativeGMIBReinsuranceMembereqh:DiscountedCashFlowValuationTechniqueMembereqh:RangeTwoMemberus-gaap:MeasurementInputMortalityRateMemberus-gaap:FairValueInputsLevel3Membersrt:MinimumMember2021-12-310001333986</w:t>
      </w:r>
      <w:r>
        <w:rPr>
          <w:rFonts w:eastAsia="Times New Roman"/>
          <w:vanish/>
        </w:rPr>
        <w:t>eqh:EmbeddedDerivativeGMIBReinsuranceMembersrt:MaximumMembereqh:DiscountedCashFlowValuationTechniqueMembereqh:RangeTwoMemberus-gaap:MeasurementInputMortalityRateMemberus-gaap:FairValueInputsLevel3Member2021-12-310001333986eqh:EmbeddedDerivativeGMIBReinsura</w:t>
      </w:r>
      <w:r>
        <w:rPr>
          <w:rFonts w:eastAsia="Times New Roman"/>
          <w:vanish/>
        </w:rPr>
        <w:t>nceMembereqh:DiscountedCashFlowValuationTechniqueMemberus-gaap:MeasurementInputMortalityRateMemberus-gaap:FairValueInputsLevel3Membereqh:RangeThreeMembersrt:MinimumMember2021-12-310001333986eqh:EmbeddedDerivativeGMIBReinsuranceMembersrt:MaximumMembereqh:Di</w:t>
      </w:r>
      <w:r>
        <w:rPr>
          <w:rFonts w:eastAsia="Times New Roman"/>
          <w:vanish/>
        </w:rPr>
        <w:t>scountedCashFlowValuationTechniqueMemberus-gaap:MeasurementInputMortalityRateMemberus-gaap:FairValueInputsLevel3Membereqh:RangeThreeMember2021-12-310001333986eqh:EmbeddedDerivativeGMIBReinsuranceMembereqh:DiscountedCashFlowValuationTechniqueMembersrt:Weigh</w:t>
      </w:r>
      <w:r>
        <w:rPr>
          <w:rFonts w:eastAsia="Times New Roman"/>
          <w:vanish/>
        </w:rPr>
        <w:t>tedAverageMemberus-gaap:FairValueInputsLevel3Membereqh:MeasurementInputNonperformanceRiskMember2021-12-310001333986eqh:EmbeddedDerivativeGMIBReinsuranceMembereqh:DiscountedCashFlowValuationTechniqueMembersrt:WeightedAverageMemberus-gaap:MeasurementInputLap</w:t>
      </w:r>
      <w:r>
        <w:rPr>
          <w:rFonts w:eastAsia="Times New Roman"/>
          <w:vanish/>
        </w:rPr>
        <w:t>seRateMemberus-gaap:FairValueInputsLevel3Member2021-12-310001333986eqh:EmbeddedDerivativeGMIBReinsuranceMemberus-gaap:MeasurementInputWithdrawalRateMembereqh:DiscountedCashFlowValuationTechniqueMembersrt:WeightedAverageMemberus-gaap:FairValueInputsLevel3Me</w:t>
      </w:r>
      <w:r>
        <w:rPr>
          <w:rFonts w:eastAsia="Times New Roman"/>
          <w:vanish/>
        </w:rPr>
        <w:t>mber2021-12-310001333986eqh:EmbeddedDerivativeGMIBReinsuranceMembereqh:DiscountedCashFlowValuationTechniqueMembersrt:WeightedAverageMemberus-gaap:FairValueInputsLevel3Memberus-gaap:MeasurementInputUtilizationRateMember2021-12-310001333986eqh:EmbeddedDeriva</w:t>
      </w:r>
      <w:r>
        <w:rPr>
          <w:rFonts w:eastAsia="Times New Roman"/>
          <w:vanish/>
        </w:rPr>
        <w:t>tiveGMIBReinsuranceMembereqh:DiscountedCashFlowValuationTechniqueMembersrt:WeightedAverageMembereqh:MeasurementInputEquityVolatilityMemberus-gaap:FairValueInputsLevel3Member2021-12-310001333986eqh:EmbeddedDerivativeGMIBReinsuranceMembereqh:DiscountedCashFl</w:t>
      </w:r>
      <w:r>
        <w:rPr>
          <w:rFonts w:eastAsia="Times New Roman"/>
          <w:vanish/>
        </w:rPr>
        <w:t>owValuationTechniqueMembersrt:WeightedAverageMemberus-gaap:MeasurementInputMortalityRateMemberus-gaap:FairValueInputsLevel3Membereqh:RangeOneMember2021-12-310001333986eqh:EmbeddedDerivativeGMIBReinsuranceMembereqh:DiscountedCashFlowValuationTechniqueMember</w:t>
      </w:r>
      <w:r>
        <w:rPr>
          <w:rFonts w:eastAsia="Times New Roman"/>
          <w:vanish/>
        </w:rPr>
        <w:t>srt:WeightedAverageMemberus-gaap:MeasurementInputMortalityRateMemberus-gaap:FairValueInputsLevel3Membereqh:RangeThreeMember2021-12-310001333986eqh:EmbeddedDerivativeGMIBReinsuranceMembereqh:DiscountedCashFlowValuationTechniqueMembersrt:WeightedAverageMembe</w:t>
      </w:r>
      <w:r>
        <w:rPr>
          <w:rFonts w:eastAsia="Times New Roman"/>
          <w:vanish/>
        </w:rPr>
        <w:t>reqh:RangeTwoMemberus-gaap:MeasurementInputMortalityRateMemberus-gaap:FairValueInputsLevel3Member2021-12-310001333986eqh:DiscountedCashFlowValuationTechniqueMembereqh:EmbeddedDerivativeDueFromReinsuranceReinsurersMemberus-gaap:MeasurementInputLapseRateMemb</w:t>
      </w:r>
      <w:r>
        <w:rPr>
          <w:rFonts w:eastAsia="Times New Roman"/>
          <w:vanish/>
        </w:rPr>
        <w:t>erus-gaap:FairValueInputsLevel3Membersrt:MinimumMember2021-12-310001333986srt:MaximumMembereqh:DiscountedCashFlowValuationTechniqueMembereqh:EmbeddedDerivativeDueFromReinsuranceReinsurersMemberus-gaap:MeasurementInputLapseRateMemberus-gaap:FairValueInputsL</w:t>
      </w:r>
      <w:r>
        <w:rPr>
          <w:rFonts w:eastAsia="Times New Roman"/>
          <w:vanish/>
        </w:rPr>
        <w:t>evel3Member2021-12-310001333986us-gaap:MeasurementInputWithdrawalRateMembereqh:DiscountedCashFlowValuationTechniqueMembereqh:EmbeddedDerivativeDueFromReinsuranceReinsurersMemberus-gaap:FairValueInputsLevel3Membersrt:MinimumMember2021-12-310001333986us-gaap</w:t>
      </w:r>
      <w:r>
        <w:rPr>
          <w:rFonts w:eastAsia="Times New Roman"/>
          <w:vanish/>
        </w:rPr>
        <w:t>:MeasurementInputWithdrawalRateMembersrt:MaximumMembereqh:DiscountedCashFlowValuationTechniqueMembereqh:EmbeddedDerivativeDueFromReinsuranceReinsurersMemberus-gaap:FairValueInputsLevel3Member2021-12-310001333986eqh:DiscountedCashFlowValuationTechniqueMembe</w:t>
      </w:r>
      <w:r>
        <w:rPr>
          <w:rFonts w:eastAsia="Times New Roman"/>
          <w:vanish/>
        </w:rPr>
        <w:t>reqh:EmbeddedDerivativeDueFromReinsuranceReinsurersMemberus-gaap:FairValueInputsLevel3Memberus-gaap:MeasurementInputUtilizationRateMembersrt:MinimumMember2021-12-310001333986srt:MaximumMembereqh:DiscountedCashFlowValuationTechniqueMembereqh:EmbeddedDerivat</w:t>
      </w:r>
      <w:r>
        <w:rPr>
          <w:rFonts w:eastAsia="Times New Roman"/>
          <w:vanish/>
        </w:rPr>
        <w:t>iveDueFromReinsuranceReinsurersMemberus-gaap:FairValueInputsLevel3Memberus-gaap:MeasurementInputUtilizationRateMember2021-12-310001333986eqh:DiscountedCashFlowValuationTechniqueMembereqh:EmbeddedDerivativeDueFromReinsuranceReinsurersMemberus-gaap:FairValue</w:t>
      </w:r>
      <w:r>
        <w:rPr>
          <w:rFonts w:eastAsia="Times New Roman"/>
          <w:vanish/>
        </w:rPr>
        <w:t>InputsLevel3Membereqh:MeasurementInputNonperformanceRiskMember2021-12-310001333986eqh:DiscountedCashFlowValuationTechniqueMembereqh:EmbeddedDerivativeDueFromReinsuranceReinsurersMembereqh:MeasurementInputEquityVolatilityMemberus-gaap:FairValueInputsLevel3M</w:t>
      </w:r>
      <w:r>
        <w:rPr>
          <w:rFonts w:eastAsia="Times New Roman"/>
          <w:vanish/>
        </w:rPr>
        <w:t>embersrt:MinimumMember2021-12-310001333986srt:MaximumMembereqh:DiscountedCashFlowValuationTechniqueMembereqh:EmbeddedDerivativeDueFromReinsuranceReinsurersMembereqh:MeasurementInputEquityVolatilityMemberus-gaap:FairValueInputsLevel3Member2021-12-3100013339</w:t>
      </w:r>
      <w:r>
        <w:rPr>
          <w:rFonts w:eastAsia="Times New Roman"/>
          <w:vanish/>
        </w:rPr>
        <w:t>86eqh:DiscountedCashFlowValuationTechniqueMembereqh:EmbeddedDerivativeDueFromReinsuranceReinsurersMemberus-gaap:MeasurementInputMortalityRateMemberus-gaap:FairValueInputsLevel3Membersrt:MinimumMembereqh:RangeOneMember2021-12-310001333986srt:MaximumMembereq</w:t>
      </w:r>
      <w:r>
        <w:rPr>
          <w:rFonts w:eastAsia="Times New Roman"/>
          <w:vanish/>
        </w:rPr>
        <w:t>h:DiscountedCashFlowValuationTechniqueMembereqh:EmbeddedDerivativeDueFromReinsuranceReinsurersMemberus-gaap:MeasurementInputMortalityRateMemberus-gaap:FairValueInputsLevel3Membereqh:RangeOneMember2021-12-310001333986eqh:DiscountedCashFlowValuationTechnique</w:t>
      </w:r>
      <w:r>
        <w:rPr>
          <w:rFonts w:eastAsia="Times New Roman"/>
          <w:vanish/>
        </w:rPr>
        <w:t>Membereqh:EmbeddedDerivativeDueFromReinsuranceReinsurersMembereqh:RangeTwoMemberus-gaap:MeasurementInputMortalityRateMemberus-gaap:FairValueInputsLevel3Membersrt:MinimumMember2021-12-310001333986srt:MaximumMembereqh:DiscountedCashFlowValuationTechniqueMemb</w:t>
      </w:r>
      <w:r>
        <w:rPr>
          <w:rFonts w:eastAsia="Times New Roman"/>
          <w:vanish/>
        </w:rPr>
        <w:t>ereqh:EmbeddedDerivativeDueFromReinsuranceReinsurersMembereqh:RangeTwoMemberus-gaap:MeasurementInputMortalityRateMemberus-gaap:FairValueInputsLevel3Member2021-12-310001333986eqh:DiscountedCashFlowValuationTechniqueMembereqh:EmbeddedDerivativeDueFromReinsur</w:t>
      </w:r>
      <w:r>
        <w:rPr>
          <w:rFonts w:eastAsia="Times New Roman"/>
          <w:vanish/>
        </w:rPr>
        <w:t>anceReinsurersMemberus-gaap:MeasurementInputMortalityRateMemberus-gaap:FairValueInputsLevel3Membereqh:RangeThreeMembersrt:MinimumMember2021-12-310001333986srt:MaximumMembereqh:DiscountedCashFlowValuationTechniqueMembereqh:EmbeddedDerivativeDueFromReinsuran</w:t>
      </w:r>
      <w:r>
        <w:rPr>
          <w:rFonts w:eastAsia="Times New Roman"/>
          <w:vanish/>
        </w:rPr>
        <w:t>ceReinsurersMemberus-gaap:MeasurementInputMortalityRateMemberus-gaap:FairValueInputsLevel3Membereqh:RangeThreeMember2021-12-310001333986eqh:DiscountedCashFlowValuationTechniqueMembersrt:WeightedAverageMembereqh:EmbeddedDerivativeDueFromReinsuranceReinsurer</w:t>
      </w:r>
      <w:r>
        <w:rPr>
          <w:rFonts w:eastAsia="Times New Roman"/>
          <w:vanish/>
        </w:rPr>
        <w:t>sMemberus-gaap:MeasurementInputLapseRateMemberus-gaap:FairValueInputsLevel3Member2021-12-310001333986us-gaap:MeasurementInputWithdrawalRateMembereqh:DiscountedCashFlowValuationTechniqueMembersrt:WeightedAverageMembereqh:EmbeddedDerivativeDueFromReinsurance</w:t>
      </w:r>
      <w:r>
        <w:rPr>
          <w:rFonts w:eastAsia="Times New Roman"/>
          <w:vanish/>
        </w:rPr>
        <w:t>ReinsurersMemberus-gaap:FairValueInputsLevel3Member2021-12-310001333986eqh:DiscountedCashFlowValuationTechniqueMembersrt:WeightedAverageMembereqh:EmbeddedDerivativeDueFromReinsuranceReinsurersMemberus-gaap:FairValueInputsLevel3Memberus-gaap:MeasurementInpu</w:t>
      </w:r>
      <w:r>
        <w:rPr>
          <w:rFonts w:eastAsia="Times New Roman"/>
          <w:vanish/>
        </w:rPr>
        <w:t>tUtilizationRateMember2021-12-310001333986eqh:DiscountedCashFlowValuationTechniqueMembersrt:WeightedAverageMembereqh:EmbeddedDerivativeDueFromReinsuranceReinsurersMemberus-gaap:FairValueInputsLevel3Membereqh:MeasurementInputNonperformanceRiskMember2021-12-</w:t>
      </w:r>
      <w:r>
        <w:rPr>
          <w:rFonts w:eastAsia="Times New Roman"/>
          <w:vanish/>
        </w:rPr>
        <w:t>310001333986eqh:DiscountedCashFlowValuationTechniqueMembersrt:WeightedAverageMembereqh:EmbeddedDerivativeDueFromReinsuranceReinsurersMembereqh:MeasurementInputEquityVolatilityMemberus-gaap:FairValueInputsLevel3Member2021-12-310001333986eqh:DiscountedCashFl</w:t>
      </w:r>
      <w:r>
        <w:rPr>
          <w:rFonts w:eastAsia="Times New Roman"/>
          <w:vanish/>
        </w:rPr>
        <w:t>owValuationTechniqueMembersrt:WeightedAverageMembereqh:EmbeddedDerivativeDueFromReinsuranceReinsurersMemberus-gaap:MeasurementInputMortalityRateMemberus-gaap:FairValueInputsLevel3Membereqh:RangeOneMember2021-12-310001333986eqh:DiscountedCashFlowValuationTe</w:t>
      </w:r>
      <w:r>
        <w:rPr>
          <w:rFonts w:eastAsia="Times New Roman"/>
          <w:vanish/>
        </w:rPr>
        <w:t>chniqueMembersrt:WeightedAverageMembereqh:EmbeddedDerivativeDueFromReinsuranceReinsurersMemberus-gaap:MeasurementInputMortalityRateMemberus-gaap:FairValueInputsLevel3Membereqh:RangeThreeMember2021-12-310001333986eqh:DiscountedCashFlowValuationTechniqueMemb</w:t>
      </w:r>
      <w:r>
        <w:rPr>
          <w:rFonts w:eastAsia="Times New Roman"/>
          <w:vanish/>
        </w:rPr>
        <w:t>ersrt:WeightedAverageMembereqh:EmbeddedDerivativeDueFromReinsuranceReinsurersMembereqh:RangeTwoMemberus-gaap:MeasurementInputMortalityRateMemberus-gaap:FairValueInputsLevel3Member2021-12-310001333986eqh:DiscountedCashFlowValuationTechniqueMembereqh:Allianc</w:t>
      </w:r>
      <w:r>
        <w:rPr>
          <w:rFonts w:eastAsia="Times New Roman"/>
          <w:vanish/>
        </w:rPr>
        <w:t>eBernsteinMemberus-gaap:FairValueInputsLevel3Member2021-12-310001333986eqh:DiscountedCashFlowValuationTechniqueMembereqh:AllianceBernsteinMemberus-gaap:MeasurementInputLongTermRevenueGrowthRateMemberus-gaap:FairValueInputsLevel3Membersrt:MinimumMember2021-</w:t>
      </w:r>
      <w:r>
        <w:rPr>
          <w:rFonts w:eastAsia="Times New Roman"/>
          <w:vanish/>
        </w:rPr>
        <w:t>12-310001333986srt:MaximumMembereqh:DiscountedCashFlowValuationTechniqueMembereqh:AllianceBernsteinMemberus-gaap:MeasurementInputLongTermRevenueGrowthRateMemberus-gaap:FairValueInputsLevel3Member2021-12-310001333986eqh:DiscountedCashFlowValuationTechniqueM</w:t>
      </w:r>
      <w:r>
        <w:rPr>
          <w:rFonts w:eastAsia="Times New Roman"/>
          <w:vanish/>
        </w:rPr>
        <w:t>embereqh:AllianceBernsteinMemberus-gaap:MeasurementInputDiscountRateMemberus-gaap:FairValueInputsLevel3Membersrt:MinimumMember2021-12-310001333986srt:MaximumMembereqh:DiscountedCashFlowValuationTechniqueMembereqh:AllianceBernsteinMemberus-gaap:MeasurementI</w:t>
      </w:r>
      <w:r>
        <w:rPr>
          <w:rFonts w:eastAsia="Times New Roman"/>
          <w:vanish/>
        </w:rPr>
        <w:t>nputDiscountRateMemberus-gaap:FairValueInputsLevel3Member2021-12-310001333986eqh:DiscountedCashFlowValuationTechniqueMembereqh:AllianceBernsteinMembersrt:WeightedAverageMemberus-gaap:MeasurementInputLongTermRevenueGrowthRateMemberus-gaap:FairValueInputsLev</w:t>
      </w:r>
      <w:r>
        <w:rPr>
          <w:rFonts w:eastAsia="Times New Roman"/>
          <w:vanish/>
        </w:rPr>
        <w:t>el3Member2021-12-310001333986eqh:DiscountedCashFlowValuationTechniqueMembereqh:AllianceBernsteinMembersrt:WeightedAverageMemberus-gaap:MeasurementInputDiscountRateMemberus-gaap:FairValueInputsLevel3Member2021-12-310001333986eqh:DiscountedCashFlowValuationT</w:t>
      </w:r>
      <w:r>
        <w:rPr>
          <w:rFonts w:eastAsia="Times New Roman"/>
          <w:vanish/>
        </w:rPr>
        <w:t>echniqueMemberus-gaap:FairValueInputsLevel3Membereqh:GuaranteedMinimumInsuranceBenefitsnoLapseGuaranteeMember2021-12-310001333986eqh:DiscountedCashFlowValuationTechniqueMemberus-gaap:FairValueInputsLevel3Membereqh:GuaranteedMinimumInsuranceBenefitsnoLapseG</w:t>
      </w:r>
      <w:r>
        <w:rPr>
          <w:rFonts w:eastAsia="Times New Roman"/>
          <w:vanish/>
        </w:rPr>
        <w:t>uaranteeMembereqh:MeasurementInputNonperformanceRiskMember2021-12-310001333986eqh:DiscountedCashFlowValuationTechniqueMemberus-gaap:MeasurementInputLapseRateMemberus-gaap:FairValueInputsLevel3Membereqh:GuaranteedMinimumInsuranceBenefitsnoLapseGuaranteeMemb</w:t>
      </w:r>
      <w:r>
        <w:rPr>
          <w:rFonts w:eastAsia="Times New Roman"/>
          <w:vanish/>
        </w:rPr>
        <w:t>ersrt:MinimumMember2021-12-310001333986srt:MaximumMembereqh:DiscountedCashFlowValuationTechniqueMemberus-gaap:MeasurementInputLapseRateMemberus-gaap:FairValueInputsLevel3Membereqh:GuaranteedMinimumInsuranceBenefitsnoLapseGuaranteeMember2021-12-310001333986</w:t>
      </w:r>
      <w:r>
        <w:rPr>
          <w:rFonts w:eastAsia="Times New Roman"/>
          <w:vanish/>
        </w:rPr>
        <w:t>us-gaap:MeasurementInputWithdrawalRateMembereqh:DiscountedCashFlowValuationTechniqueMemberus-gaap:FairValueInputsLevel3Membereqh:GuaranteedMinimumInsuranceBenefitsnoLapseGuaranteeMembersrt:MinimumMember2021-12-310001333986us-gaap:MeasurementInputWithdrawal</w:t>
      </w:r>
      <w:r>
        <w:rPr>
          <w:rFonts w:eastAsia="Times New Roman"/>
          <w:vanish/>
        </w:rPr>
        <w:t>RateMembersrt:MaximumMembereqh:DiscountedCashFlowValuationTechniqueMemberus-gaap:FairValueInputsLevel3Membereqh:GuaranteedMinimumInsuranceBenefitsnoLapseGuaranteeMember2021-12-310001333986eqh:DiscountedCashFlowValuationTechniqueMembereqh:MeasurementInputAn</w:t>
      </w:r>
      <w:r>
        <w:rPr>
          <w:rFonts w:eastAsia="Times New Roman"/>
          <w:vanish/>
        </w:rPr>
        <w:t>nuitizationRateMemberus-gaap:FairValueInputsLevel3Membereqh:GuaranteedMinimumInsuranceBenefitsnoLapseGuaranteeMembersrt:MinimumMember2021-12-310001333986srt:MaximumMembereqh:DiscountedCashFlowValuationTechniqueMembereqh:MeasurementInputAnnuitizationRateMem</w:t>
      </w:r>
      <w:r>
        <w:rPr>
          <w:rFonts w:eastAsia="Times New Roman"/>
          <w:vanish/>
        </w:rPr>
        <w:t>berus-gaap:FairValueInputsLevel3Membereqh:GuaranteedMinimumInsuranceBenefitsnoLapseGuaranteeMember2021-12-310001333986eqh:DiscountedCashFlowValuationTechniqueMemberus-gaap:MeasurementInputMortalityRateMemberus-gaap:FairValueInputsLevel3Membereqh:Guaranteed</w:t>
      </w:r>
      <w:r>
        <w:rPr>
          <w:rFonts w:eastAsia="Times New Roman"/>
          <w:vanish/>
        </w:rPr>
        <w:t>MinimumInsuranceBenefitsnoLapseGuaranteeMembersrt:MinimumMembereqh:RangeOneMember2021-12-310001333986srt:MaximumMembereqh:DiscountedCashFlowValuationTechniqueMemberus-gaap:MeasurementInputMortalityRateMemberus-gaap:FairValueInputsLevel3Membereqh:Guaranteed</w:t>
      </w:r>
      <w:r>
        <w:rPr>
          <w:rFonts w:eastAsia="Times New Roman"/>
          <w:vanish/>
        </w:rPr>
        <w:t>MinimumInsuranceBenefitsnoLapseGuaranteeMembereqh:RangeOneMember2021-12-310001333986eqh:DiscountedCashFlowValuationTechniqueMembereqh:RangeTwoMemberus-gaap:MeasurementInputMortalityRateMemberus-gaap:FairValueInputsLevel3Membereqh:GuaranteedMinimumInsurance</w:t>
      </w:r>
      <w:r>
        <w:rPr>
          <w:rFonts w:eastAsia="Times New Roman"/>
          <w:vanish/>
        </w:rPr>
        <w:t>BenefitsnoLapseGuaranteeMembersrt:MinimumMember2021-12-310001333986srt:MaximumMembereqh:DiscountedCashFlowValuationTechniqueMembereqh:RangeTwoMemberus-gaap:MeasurementInputMortalityRateMemberus-gaap:FairValueInputsLevel3Membereqh:GuaranteedMinimumInsurance</w:t>
      </w:r>
      <w:r>
        <w:rPr>
          <w:rFonts w:eastAsia="Times New Roman"/>
          <w:vanish/>
        </w:rPr>
        <w:t>BenefitsnoLapseGuaranteeMember2021-12-310001333986eqh:DiscountedCashFlowValuationTechniqueMemberus-gaap:MeasurementInputMortalityRateMemberus-gaap:FairValueInputsLevel3Membereqh:GuaranteedMinimumInsuranceBenefitsnoLapseGuaranteeMembereqh:RangeThreeMembersr</w:t>
      </w:r>
      <w:r>
        <w:rPr>
          <w:rFonts w:eastAsia="Times New Roman"/>
          <w:vanish/>
        </w:rPr>
        <w:t>t:MinimumMember2021-12-310001333986srt:MaximumMembereqh:DiscountedCashFlowValuationTechniqueMemberus-gaap:MeasurementInputMortalityRateMemberus-gaap:FairValueInputsLevel3Membereqh:GuaranteedMinimumInsuranceBenefitsnoLapseGuaranteeMembereqh:RangeThreeMember</w:t>
      </w:r>
      <w:r>
        <w:rPr>
          <w:rFonts w:eastAsia="Times New Roman"/>
          <w:vanish/>
        </w:rPr>
        <w:t>2021-12-310001333986eqh:DiscountedCashFlowValuationTechniqueMembersrt:WeightedAverageMemberus-gaap:FairValueInputsLevel3Membereqh:GuaranteedMinimumInsuranceBenefitsnoLapseGuaranteeMembereqh:MeasurementInputNonperformanceRiskMember2021-12-310001333986eqh:Di</w:t>
      </w:r>
      <w:r>
        <w:rPr>
          <w:rFonts w:eastAsia="Times New Roman"/>
          <w:vanish/>
        </w:rPr>
        <w:t>scountedCashFlowValuationTechniqueMembersrt:WeightedAverageMemberus-gaap:MeasurementInputLapseRateMemberus-gaap:FairValueInputsLevel3Membereqh:GuaranteedMinimumInsuranceBenefitsnoLapseGuaranteeMember2021-12-310001333986us-gaap:MeasurementInputWithdrawalRat</w:t>
      </w:r>
      <w:r>
        <w:rPr>
          <w:rFonts w:eastAsia="Times New Roman"/>
          <w:vanish/>
        </w:rPr>
        <w:t>eMembereqh:DiscountedCashFlowValuationTechniqueMembersrt:WeightedAverageMemberus-gaap:FairValueInputsLevel3Membereqh:GuaranteedMinimumInsuranceBenefitsnoLapseGuaranteeMember2021-12-310001333986eqh:DiscountedCashFlowValuationTechniqueMembersrt:WeightedAvera</w:t>
      </w:r>
      <w:r>
        <w:rPr>
          <w:rFonts w:eastAsia="Times New Roman"/>
          <w:vanish/>
        </w:rPr>
        <w:t>geMembereqh:MeasurementInputAnnuitizationRateMemberus-gaap:FairValueInputsLevel3Membereqh:GuaranteedMinimumInsuranceBenefitsnoLapseGuaranteeMember2021-12-310001333986eqh:DiscountedCashFlowValuationTechniqueMembersrt:WeightedAverageMemberus-gaap:Measurement</w:t>
      </w:r>
      <w:r>
        <w:rPr>
          <w:rFonts w:eastAsia="Times New Roman"/>
          <w:vanish/>
        </w:rPr>
        <w:t>InputMortalityRateMemberus-gaap:FairValueInputsLevel3Membereqh:GuaranteedMinimumInsuranceBenefitsnoLapseGuaranteeMembereqh:RangeThreeMember2021-12-310001333986eqh:DiscountedCashFlowValuationTechniqueMembersrt:WeightedAverageMemberus-gaap:MeasurementInputMo</w:t>
      </w:r>
      <w:r>
        <w:rPr>
          <w:rFonts w:eastAsia="Times New Roman"/>
          <w:vanish/>
        </w:rPr>
        <w:t>rtalityRateMemberus-gaap:FairValueInputsLevel3Membereqh:GuaranteedMinimumInsuranceBenefitsnoLapseGuaranteeMembereqh:RangeOneMember2021-12-310001333986eqh:DiscountedCashFlowValuationTechniqueMembersrt:WeightedAverageMembereqh:RangeTwoMemberus-gaap:Measureme</w:t>
      </w:r>
      <w:r>
        <w:rPr>
          <w:rFonts w:eastAsia="Times New Roman"/>
          <w:vanish/>
        </w:rPr>
        <w:t>ntInputMortalityRateMemberus-gaap:FairValueInputsLevel3Membereqh:GuaranteedMinimumInsuranceBenefitsnoLapseGuaranteeMember2021-12-310001333986eqh:DiscountedCashFlowValuationTechniqueMembereqh:GmwbGwblMemberus-gaap:FairValueInputsLevel3Member2021-12-31000133</w:t>
      </w:r>
      <w:r>
        <w:rPr>
          <w:rFonts w:eastAsia="Times New Roman"/>
          <w:vanish/>
        </w:rPr>
        <w:t>3986eqh:DiscountedCashFlowValuationTechniqueMembereqh:GmwbGwblMemberus-gaap:FairValueInputsLevel3Membereqh:MeasurementInputNonperformanceRiskMember2021-12-310001333986eqh:DiscountedCashFlowValuationTechniqueMembereqh:GmwbGwblMemberus-gaap:MeasurementInputL</w:t>
      </w:r>
      <w:r>
        <w:rPr>
          <w:rFonts w:eastAsia="Times New Roman"/>
          <w:vanish/>
        </w:rPr>
        <w:t>apseRateMemberus-gaap:FairValueInputsLevel3Membersrt:MinimumMember2021-12-310001333986srt:MaximumMembereqh:DiscountedCashFlowValuationTechniqueMembereqh:GmwbGwblMemberus-gaap:MeasurementInputLapseRateMemberus-gaap:FairValueInputsLevel3Member2021-12-3100013</w:t>
      </w:r>
      <w:r>
        <w:rPr>
          <w:rFonts w:eastAsia="Times New Roman"/>
          <w:vanish/>
        </w:rPr>
        <w:t>33986us-gaap:MeasurementInputWithdrawalRateMembereqh:DiscountedCashFlowValuationTechniqueMembereqh:GmwbGwblMemberus-gaap:FairValueInputsLevel3Membersrt:MinimumMember2021-12-310001333986us-gaap:MeasurementInputWithdrawalRateMembersrt:MaximumMembereqh:Discou</w:t>
      </w:r>
      <w:r>
        <w:rPr>
          <w:rFonts w:eastAsia="Times New Roman"/>
          <w:vanish/>
        </w:rPr>
        <w:t>ntedCashFlowValuationTechniqueMembereqh:GmwbGwblMemberus-gaap:FairValueInputsLevel3Member2021-12-310001333986eqh:DiscountedCashFlowValuationTechniqueMembereqh:GmwbGwblMemberus-gaap:FairValueInputsLevel3Memberus-gaap:MeasurementInputUtilizationRateMember202</w:t>
      </w:r>
      <w:r>
        <w:rPr>
          <w:rFonts w:eastAsia="Times New Roman"/>
          <w:vanish/>
        </w:rPr>
        <w:t>1-12-310001333986eqh:DiscountedCashFlowValuationTechniqueMembereqh:GmwbGwblMembereqh:MeasurementInputEquityVolatilityMemberus-gaap:FairValueInputsLevel3Membersrt:MinimumMember2021-12-310001333986srt:MaximumMembereqh:DiscountedCashFlowValuationTechniqueMemb</w:t>
      </w:r>
      <w:r>
        <w:rPr>
          <w:rFonts w:eastAsia="Times New Roman"/>
          <w:vanish/>
        </w:rPr>
        <w:t>ereqh:GmwbGwblMembereqh:MeasurementInputEquityVolatilityMemberus-gaap:FairValueInputsLevel3Member2021-12-310001333986eqh:DiscountedCashFlowValuationTechniqueMembersrt:WeightedAverageMembereqh:GmwbGwblMemberus-gaap:MeasurementInputLapseRateMemberus-gaap:Fai</w:t>
      </w:r>
      <w:r>
        <w:rPr>
          <w:rFonts w:eastAsia="Times New Roman"/>
          <w:vanish/>
        </w:rPr>
        <w:t>rValueInputsLevel3Member2021-12-310001333986us-gaap:MeasurementInputWithdrawalRateMembereqh:DiscountedCashFlowValuationTechniqueMembersrt:WeightedAverageMembereqh:GmwbGwblMemberus-gaap:FairValueInputsLevel3Member2021-12-310001333986eqh:DiscountedCashFlowVa</w:t>
      </w:r>
      <w:r>
        <w:rPr>
          <w:rFonts w:eastAsia="Times New Roman"/>
          <w:vanish/>
        </w:rPr>
        <w:t>luationTechniqueMembersrt:WeightedAverageMembereqh:GmwbGwblMembereqh:MeasurementInputEquityVolatilityMemberus-gaap:FairValueInputsLevel3Member2021-12-310001333986eqh:DiscountedCashFlowValuationTechniqueMembereqh:GuaranteedInsuranceBenefitsMemberus-gaap:Fai</w:t>
      </w:r>
      <w:r>
        <w:rPr>
          <w:rFonts w:eastAsia="Times New Roman"/>
          <w:vanish/>
        </w:rPr>
        <w:t>rValueInputsLevel3Member2021-12-310001333986eqh:DiscountedCashFlowValuationTechniqueMembereqh:GuaranteedInsuranceBenefitsMemberus-gaap:FairValueInputsLevel3Membereqh:MeasurementInputNonperformanceRiskMember2021-12-310001333986eqh:DiscountedCashFlowValuatio</w:t>
      </w:r>
      <w:r>
        <w:rPr>
          <w:rFonts w:eastAsia="Times New Roman"/>
          <w:vanish/>
        </w:rPr>
        <w:t>nTechniqueMembereqh:GuaranteedInsuranceBenefitsMemberus-gaap:MeasurementInputLapseRateMemberus-gaap:FairValueInputsLevel3Membersrt:MinimumMember2021-12-310001333986srt:MaximumMembereqh:DiscountedCashFlowValuationTechniqueMembereqh:GuaranteedInsuranceBenefi</w:t>
      </w:r>
      <w:r>
        <w:rPr>
          <w:rFonts w:eastAsia="Times New Roman"/>
          <w:vanish/>
        </w:rPr>
        <w:t>tsMemberus-gaap:MeasurementInputLapseRateMemberus-gaap:FairValueInputsLevel3Member2021-12-310001333986us-gaap:MeasurementInputWithdrawalRateMembereqh:DiscountedCashFlowValuationTechniqueMembereqh:GuaranteedInsuranceBenefitsMemberus-gaap:FairValueInputsLeve</w:t>
      </w:r>
      <w:r>
        <w:rPr>
          <w:rFonts w:eastAsia="Times New Roman"/>
          <w:vanish/>
        </w:rPr>
        <w:t>l3Membersrt:MinimumMember2021-12-310001333986us-gaap:MeasurementInputWithdrawalRateMembersrt:MaximumMembereqh:DiscountedCashFlowValuationTechniqueMembereqh:GuaranteedInsuranceBenefitsMemberus-gaap:FairValueInputsLevel3Member2021-12-310001333986eqh:Discount</w:t>
      </w:r>
      <w:r>
        <w:rPr>
          <w:rFonts w:eastAsia="Times New Roman"/>
          <w:vanish/>
        </w:rPr>
        <w:t>edCashFlowValuationTechniqueMembereqh:GuaranteedInsuranceBenefitsMemberus-gaap:FairValueInputsLevel3Memberus-gaap:MeasurementInputUtilizationRateMembersrt:MinimumMember2021-12-310001333986srt:MaximumMembereqh:DiscountedCashFlowValuationTechniqueMembereqh:G</w:t>
      </w:r>
      <w:r>
        <w:rPr>
          <w:rFonts w:eastAsia="Times New Roman"/>
          <w:vanish/>
        </w:rPr>
        <w:t>uaranteedInsuranceBenefitsMemberus-gaap:FairValueInputsLevel3Memberus-gaap:MeasurementInputUtilizationRateMember2021-12-310001333986eqh:DiscountedCashFlowValuationTechniqueMembereqh:GuaranteedInsuranceBenefitsMembereqh:MeasurementInputEquityVolatilityMembe</w:t>
      </w:r>
      <w:r>
        <w:rPr>
          <w:rFonts w:eastAsia="Times New Roman"/>
          <w:vanish/>
        </w:rPr>
        <w:t>rus-gaap:FairValueInputsLevel3Membersrt:MinimumMember2021-12-310001333986srt:MaximumMembereqh:DiscountedCashFlowValuationTechniqueMembereqh:GuaranteedInsuranceBenefitsMembereqh:MeasurementInputEquityVolatilityMemberus-gaap:FairValueInputsLevel3Member2021-1</w:t>
      </w:r>
      <w:r>
        <w:rPr>
          <w:rFonts w:eastAsia="Times New Roman"/>
          <w:vanish/>
        </w:rPr>
        <w:t>2-310001333986eqh:DiscountedCashFlowValuationTechniqueMembersrt:WeightedAverageMembereqh:GuaranteedInsuranceBenefitsMemberus-gaap:MeasurementInputLapseRateMemberus-gaap:FairValueInputsLevel3Member2021-12-310001333986us-gaap:MeasurementInputWithdrawalRateMe</w:t>
      </w:r>
      <w:r>
        <w:rPr>
          <w:rFonts w:eastAsia="Times New Roman"/>
          <w:vanish/>
        </w:rPr>
        <w:t>mbereqh:DiscountedCashFlowValuationTechniqueMembersrt:WeightedAverageMembereqh:GuaranteedInsuranceBenefitsMemberus-gaap:FairValueInputsLevel3Member2021-12-310001333986eqh:DiscountedCashFlowValuationTechniqueMembersrt:WeightedAverageMembereqh:GuaranteedInsu</w:t>
      </w:r>
      <w:r>
        <w:rPr>
          <w:rFonts w:eastAsia="Times New Roman"/>
          <w:vanish/>
        </w:rPr>
        <w:t>ranceBenefitsMemberus-gaap:FairValueInputsLevel3Memberus-gaap:MeasurementInputUtilizationRateMember2021-12-310001333986eqh:DiscountedCashFlowValuationTechniqueMembersrt:WeightedAverageMembereqh:GuaranteedInsuranceBenefitsMembereqh:MeasurementInputEquityVol</w:t>
      </w:r>
      <w:r>
        <w:rPr>
          <w:rFonts w:eastAsia="Times New Roman"/>
          <w:vanish/>
        </w:rPr>
        <w:t>atilityMemberus-gaap:FairValueInputsLevel3Member2021-12-310001333986eqh:DiscountedCashFlowValuationTechniqueMembereqh:GuaranteedMinimumAnnuityBenefitsMemberus-gaap:FairValueInputsLevel3Member2021-12-310001333986eqh:DiscountedCashFlowValuationTechniqueMembe</w:t>
      </w:r>
      <w:r>
        <w:rPr>
          <w:rFonts w:eastAsia="Times New Roman"/>
          <w:vanish/>
        </w:rPr>
        <w:t>reqh:GuaranteedMinimumAnnuityBenefitsMemberus-gaap:FairValueInputsLevel3Membereqh:MeasurementInputNonperformanceRiskMember2021-12-310001333986eqh:DiscountedCashFlowValuationTechniqueMembereqh:GuaranteedMinimumAnnuityBenefitsMemberus-gaap:MeasurementInputLa</w:t>
      </w:r>
      <w:r>
        <w:rPr>
          <w:rFonts w:eastAsia="Times New Roman"/>
          <w:vanish/>
        </w:rPr>
        <w:t>pseRateMemberus-gaap:FairValueInputsLevel3Membersrt:MinimumMember2021-12-310001333986srt:MaximumMembereqh:DiscountedCashFlowValuationTechniqueMembereqh:GuaranteedMinimumAnnuityBenefitsMemberus-gaap:MeasurementInputLapseRateMemberus-gaap:FairValueInputsLeve</w:t>
      </w:r>
      <w:r>
        <w:rPr>
          <w:rFonts w:eastAsia="Times New Roman"/>
          <w:vanish/>
        </w:rPr>
        <w:t>l3Member2021-12-310001333986eqh:DiscountedCashFlowValuationTechniqueMembereqh:GuaranteedMinimumAnnuityBenefitsMembereqh:MeasurementInputEquityVolatilityMemberus-gaap:FairValueInputsLevel3Membersrt:MinimumMember2021-12-310001333986srt:MaximumMembereqh:Disco</w:t>
      </w:r>
      <w:r>
        <w:rPr>
          <w:rFonts w:eastAsia="Times New Roman"/>
          <w:vanish/>
        </w:rPr>
        <w:t>untedCashFlowValuationTechniqueMembereqh:GuaranteedMinimumAnnuityBenefitsMembereqh:MeasurementInputEquityVolatilityMemberus-gaap:FairValueInputsLevel3Member2021-12-310001333986eqh:DiscountedCashFlowValuationTechniqueMembersrt:WeightedAverageMembereqh:Guara</w:t>
      </w:r>
      <w:r>
        <w:rPr>
          <w:rFonts w:eastAsia="Times New Roman"/>
          <w:vanish/>
        </w:rPr>
        <w:t>nteedMinimumAnnuityBenefitsMemberus-gaap:MeasurementInputLapseRateMemberus-gaap:FairValueInputsLevel3Member2021-12-310001333986eqh:DiscountedCashFlowValuationTechniqueMembersrt:WeightedAverageMembereqh:GuaranteedMinimumAnnuityBenefitsMembereqh:MeasurementI</w:t>
      </w:r>
      <w:r>
        <w:rPr>
          <w:rFonts w:eastAsia="Times New Roman"/>
          <w:vanish/>
        </w:rPr>
        <w:t>nputEquityVolatilityMemberus-gaap:FairValueInputsLevel3Member2021-12-310001333986us-gaap:FairValueMeasurementsNonrecurringMemberus-gaap:FairValueInputsLevel3Member2022-12-310001333986us-gaap:FairValueMeasurementsNonrecurringMemberus-gaap:FairValueInputsLev</w:t>
      </w:r>
      <w:r>
        <w:rPr>
          <w:rFonts w:eastAsia="Times New Roman"/>
          <w:vanish/>
        </w:rPr>
        <w:t>el3Member2021-12-310001333986us-gaap:CarryingReportedAmountFairValueDisclosureMember2022-12-310001333986us-gaap:FairValueInputsLevel1Memberus-gaap:EstimateOfFairValueFairValueDisclosureMember2022-12-310001333986us-gaap:FairValueInputsLevel2Memberus-gaap:Es</w:t>
      </w:r>
      <w:r>
        <w:rPr>
          <w:rFonts w:eastAsia="Times New Roman"/>
          <w:vanish/>
        </w:rPr>
        <w:t>timateOfFairValueFairValueDisclosureMember2022-12-310001333986us-gaap:EstimateOfFairValueFairValueDisclosureMemberus-gaap:FairValueInputsLevel3Member2022-12-310001333986us-gaap:EstimateOfFairValueFairValueDisclosureMember2022-12-310001333986us-gaap:Carryin</w:t>
      </w:r>
      <w:r>
        <w:rPr>
          <w:rFonts w:eastAsia="Times New Roman"/>
          <w:vanish/>
        </w:rPr>
        <w:t>gReportedAmountFairValueDisclosureMember2021-12-310001333986us-gaap:FairValueInputsLevel1Memberus-gaap:EstimateOfFairValueFairValueDisclosureMember2021-12-310001333986us-gaap:FairValueInputsLevel2Memberus-gaap:EstimateOfFairValueFairValueDisclosureMember20</w:t>
      </w:r>
      <w:r>
        <w:rPr>
          <w:rFonts w:eastAsia="Times New Roman"/>
          <w:vanish/>
        </w:rPr>
        <w:t>21-12-310001333986us-gaap:EstimateOfFairValueFairValueDisclosureMemberus-gaap:FairValueInputsLevel3Member2021-12-310001333986us-gaap:EstimateOfFairValueFairValueDisclosureMember2021-12-310001333986eqh:GMDBDirectMember2019-12-310001333986eqh:GMDBAssumedMemb</w:t>
      </w:r>
      <w:r>
        <w:rPr>
          <w:rFonts w:eastAsia="Times New Roman"/>
          <w:vanish/>
        </w:rPr>
        <w:t>er2019-12-310001333986eqh:GMDBCededMember2019-12-310001333986eqh:GMIBDirectMember2019-12-310001333986eqh:GMIBAssumedMember2019-12-310001333986eqh:GMIBCededMember2019-12-310001333986eqh:GMDBDirectMember2020-01-012020-12-310001333986eqh:GMDBAssumedMember2020</w:t>
      </w:r>
      <w:r>
        <w:rPr>
          <w:rFonts w:eastAsia="Times New Roman"/>
          <w:vanish/>
        </w:rPr>
        <w:t>-01-012020-12-310001333986eqh:GMDBCededMember2020-01-012020-12-310001333986eqh:GMIBDirectMember2020-01-012020-12-310001333986eqh:GMIBAssumedMember2020-01-012020-12-310001333986eqh:GMIBCededMember2020-01-012020-12-310001333986eqh:GMDBDirectMember2020-12-310</w:t>
      </w:r>
      <w:r>
        <w:rPr>
          <w:rFonts w:eastAsia="Times New Roman"/>
          <w:vanish/>
        </w:rPr>
        <w:t>001333986eqh:GMDBAssumedMember2020-12-310001333986eqh:GMDBCededMember2020-12-310001333986eqh:GMIBDirectMember2020-12-310001333986eqh:GMIBAssumedMember2020-12-310001333986eqh:GMIBCededMember2020-12-310001333986eqh:GMDBDirectMember2021-01-012021-12-310001333</w:t>
      </w:r>
      <w:r>
        <w:rPr>
          <w:rFonts w:eastAsia="Times New Roman"/>
          <w:vanish/>
        </w:rPr>
        <w:t>986eqh:GMDBAssumedMember2021-01-012021-12-310001333986eqh:GMDBCededMember2021-01-012021-12-310001333986eqh:GMIBDirectMember2021-01-012021-12-310001333986eqh:GMIBAssumedMember2021-01-012021-12-310001333986eqh:GMIBCededMember2021-01-012021-12-310001333986eqh</w:t>
      </w:r>
      <w:r>
        <w:rPr>
          <w:rFonts w:eastAsia="Times New Roman"/>
          <w:vanish/>
        </w:rPr>
        <w:t>:GMDBDirectMember2021-12-310001333986eqh:GMDBAssumedMember2021-12-310001333986eqh:GMDBCededMember2021-12-310001333986eqh:GMIBDirectMember2021-12-310001333986eqh:GMIBAssumedMember2021-12-310001333986eqh:GMIBCededMember2021-12-310001333986eqh:GMDBDirectMembe</w:t>
      </w:r>
      <w:r>
        <w:rPr>
          <w:rFonts w:eastAsia="Times New Roman"/>
          <w:vanish/>
        </w:rPr>
        <w:t>r2022-01-012022-12-310001333986eqh:GMDBAssumedMember2022-01-012022-12-310001333986eqh:GMDBCededMember2022-01-012022-12-310001333986eqh:GMIBDirectMember2022-01-012022-12-310001333986eqh:GMIBAssumedMember2022-01-012022-12-310001333986eqh:GMIBCededMember2022-</w:t>
      </w:r>
      <w:r>
        <w:rPr>
          <w:rFonts w:eastAsia="Times New Roman"/>
          <w:vanish/>
        </w:rPr>
        <w:t>01-012022-12-310001333986eqh:GMDBDirectMember2022-12-310001333986eqh:GMDBAssumedMember2022-12-310001333986eqh:GMDBCededMember2022-12-310001333986eqh:GMIBDirectMember2022-12-310001333986eqh:GMIBAssumedMember2022-12-310001333986eqh:GMIBCededMember2022-12-310</w:t>
      </w:r>
      <w:r>
        <w:rPr>
          <w:rFonts w:eastAsia="Times New Roman"/>
          <w:vanish/>
        </w:rPr>
        <w:t>001333986us-gaap:ImmediateVariableAnnuityMemberus-gaap:GuaranteedMinimumDeathBenefitMembereqh:ReturnOfPremiumMember2022-12-310001333986eqh:RatchetMemberus-gaap:ImmediateVariableAnnuityMemberus-gaap:GuaranteedMinimumDeathBenefitMember2022-12-310001333986eqh</w:t>
      </w:r>
      <w:r>
        <w:rPr>
          <w:rFonts w:eastAsia="Times New Roman"/>
          <w:vanish/>
        </w:rPr>
        <w:t>:RollUpMemberus-gaap:ImmediateVariableAnnuityMemberus-gaap:GuaranteedMinimumDeathBenefitMember2022-12-310001333986us-gaap:ImmediateVariableAnnuityMembereqh:ComboMemberus-gaap:GuaranteedMinimumDeathBenefitMember2022-12-310001333986us-gaap:ImmediateVariableA</w:t>
      </w:r>
      <w:r>
        <w:rPr>
          <w:rFonts w:eastAsia="Times New Roman"/>
          <w:vanish/>
        </w:rPr>
        <w:t>nnuityMemberus-gaap:GuaranteedMinimumDeathBenefitMember2022-12-310001333986us-gaap:ImmediateVariableAnnuityMemberus-gaap:GuaranteedMinimumDeathBenefitMembereqh:ReturnOfPremiumMember2022-01-012022-12-310001333986eqh:RatchetMemberus-gaap:ImmediateVariableAnn</w:t>
      </w:r>
      <w:r>
        <w:rPr>
          <w:rFonts w:eastAsia="Times New Roman"/>
          <w:vanish/>
        </w:rPr>
        <w:t>uityMemberus-gaap:GuaranteedMinimumDeathBenefitMember2022-01-012022-12-310001333986eqh:RollUpMemberus-gaap:ImmediateVariableAnnuityMemberus-gaap:GuaranteedMinimumDeathBenefitMember2022-01-012022-12-310001333986us-gaap:ImmediateVariableAnnuityMembereqh:Comb</w:t>
      </w:r>
      <w:r>
        <w:rPr>
          <w:rFonts w:eastAsia="Times New Roman"/>
          <w:vanish/>
        </w:rPr>
        <w:t>oMemberus-gaap:GuaranteedMinimumDeathBenefitMember2022-01-012022-12-310001333986us-gaap:ImmediateVariableAnnuityMemberus-gaap:GuaranteedMinimumDeathBenefitMember2022-01-012022-12-310001333986eqh:RollUpMemberus-gaap:ImmediateVariableAnnuityMemberus-gaap:Gua</w:t>
      </w:r>
      <w:r>
        <w:rPr>
          <w:rFonts w:eastAsia="Times New Roman"/>
          <w:vanish/>
        </w:rPr>
        <w:t>ranteedMinimumDeathBenefitMembersrt:MinimumMember2022-01-012022-12-310001333986srt:MaximumMembereqh:RollUpMemberus-gaap:ImmediateVariableAnnuityMemberus-gaap:GuaranteedMinimumDeathBenefitMember2022-01-012022-12-310001333986us-gaap:ImmediateVariableAnnuityM</w:t>
      </w:r>
      <w:r>
        <w:rPr>
          <w:rFonts w:eastAsia="Times New Roman"/>
          <w:vanish/>
        </w:rPr>
        <w:t>embereqh:ComboMemberus-gaap:GuaranteedMinimumDeathBenefitMembersrt:MinimumMember2022-01-012022-12-310001333986srt:MaximumMemberus-gaap:ImmediateVariableAnnuityMembereqh:ComboMemberus-gaap:GuaranteedMinimumDeathBenefitMember2022-01-012022-12-310001333986us-</w:t>
      </w:r>
      <w:r>
        <w:rPr>
          <w:rFonts w:eastAsia="Times New Roman"/>
          <w:vanish/>
        </w:rPr>
        <w:t>gaap:ImmediateVariableAnnuityMemberus-gaap:GuaranteedMinimumDeathBenefitMembersrt:MinimumMember2022-01-012022-12-310001333986srt:MaximumMemberus-gaap:ImmediateVariableAnnuityMemberus-gaap:GuaranteedMinimumDeathBenefitMember2022-01-012022-12-310001333986us-</w:t>
      </w:r>
      <w:r>
        <w:rPr>
          <w:rFonts w:eastAsia="Times New Roman"/>
          <w:vanish/>
        </w:rPr>
        <w:t>gaap:GuaranteedMinimumIncomeBenefitMemberus-gaap:ImmediateVariableAnnuityMembereqh:ReturnOfPremiumMember2022-12-310001333986us-gaap:GuaranteedMinimumIncomeBenefitMembereqh:RatchetMemberus-gaap:ImmediateVariableAnnuityMember2022-12-310001333986us-gaap:Guara</w:t>
      </w:r>
      <w:r>
        <w:rPr>
          <w:rFonts w:eastAsia="Times New Roman"/>
          <w:vanish/>
        </w:rPr>
        <w:t>nteedMinimumIncomeBenefitMembereqh:RollUpMemberus-gaap:ImmediateVariableAnnuityMember2022-12-310001333986us-gaap:GuaranteedMinimumIncomeBenefitMemberus-gaap:ImmediateVariableAnnuityMembereqh:ComboMember2022-12-310001333986us-gaap:GuaranteedMinimumIncomeBen</w:t>
      </w:r>
      <w:r>
        <w:rPr>
          <w:rFonts w:eastAsia="Times New Roman"/>
          <w:vanish/>
        </w:rPr>
        <w:t>efitMemberus-gaap:ImmediateVariableAnnuityMember2022-12-310001333986us-gaap:GuaranteedMinimumIncomeBenefitMembereqh:RollUpMemberus-gaap:ImmediateVariableAnnuityMember2022-01-012022-12-310001333986us-gaap:GuaranteedMinimumIncomeBenefitMemberus-gaap:Immediat</w:t>
      </w:r>
      <w:r>
        <w:rPr>
          <w:rFonts w:eastAsia="Times New Roman"/>
          <w:vanish/>
        </w:rPr>
        <w:t>eVariableAnnuityMembereqh:ComboMember2022-01-012022-12-310001333986us-gaap:GuaranteedMinimumIncomeBenefitMemberus-gaap:ImmediateVariableAnnuityMember2022-01-012022-12-310001333986us-gaap:GuaranteedMinimumIncomeBenefitMembereqh:RollUpMemberus-gaap:Immediate</w:t>
      </w:r>
      <w:r>
        <w:rPr>
          <w:rFonts w:eastAsia="Times New Roman"/>
          <w:vanish/>
        </w:rPr>
        <w:t>VariableAnnuityMembersrt:MinimumMember2022-01-012022-12-310001333986us-gaap:GuaranteedMinimumIncomeBenefitMembersrt:MaximumMembereqh:RollUpMemberus-gaap:ImmediateVariableAnnuityMember2022-01-012022-12-310001333986us-gaap:GuaranteedMinimumIncomeBenefitMembe</w:t>
      </w:r>
      <w:r>
        <w:rPr>
          <w:rFonts w:eastAsia="Times New Roman"/>
          <w:vanish/>
        </w:rPr>
        <w:t>rus-gaap:ImmediateVariableAnnuityMembereqh:ComboMembersrt:MinimumMember2022-01-012022-12-310001333986us-gaap:GuaranteedMinimumIncomeBenefitMembersrt:MaximumMemberus-gaap:ImmediateVariableAnnuityMembereqh:ComboMember2022-01-012022-12-310001333986us-gaap:Gua</w:t>
      </w:r>
      <w:r>
        <w:rPr>
          <w:rFonts w:eastAsia="Times New Roman"/>
          <w:vanish/>
        </w:rPr>
        <w:t>ranteedMinimumIncomeBenefitMemberus-gaap:ImmediateVariableAnnuityMembersrt:MinimumMember2022-01-012022-12-310001333986us-gaap:GuaranteedMinimumIncomeBenefitMembersrt:MaximumMemberus-gaap:ImmediateVariableAnnuityMember2022-01-012022-12-310001333986us-gaap:C</w:t>
      </w:r>
      <w:r>
        <w:rPr>
          <w:rFonts w:eastAsia="Times New Roman"/>
          <w:vanish/>
        </w:rPr>
        <w:t>ommonStockMemberus-gaap:GuaranteedMinimumDeathBenefitMember2022-12-310001333986us-gaap:GuaranteedMinimumIncomeBenefitMemberus-gaap:CommonStockMember2022-12-310001333986us-gaap:CommonStockMemberus-gaap:GuaranteedMinimumDeathBenefitMember2021-12-310001333986</w:t>
      </w:r>
      <w:r>
        <w:rPr>
          <w:rFonts w:eastAsia="Times New Roman"/>
          <w:vanish/>
        </w:rPr>
        <w:t>us-gaap:GuaranteedMinimumIncomeBenefitMemberus-gaap:CommonStockMember2021-12-310001333986us-gaap:FixedIncomeInvestmentsMemberus-gaap:GuaranteedMinimumDeathBenefitMember2022-12-310001333986us-gaap:GuaranteedMinimumIncomeBenefitMemberus-gaap:FixedIncomeInves</w:t>
      </w:r>
      <w:r>
        <w:rPr>
          <w:rFonts w:eastAsia="Times New Roman"/>
          <w:vanish/>
        </w:rPr>
        <w:t>tmentsMember2022-12-310001333986us-gaap:FixedIncomeInvestmentsMemberus-gaap:GuaranteedMinimumDeathBenefitMember2021-12-310001333986us-gaap:GuaranteedMinimumIncomeBenefitMemberus-gaap:FixedIncomeInvestmentsMember2021-12-310001333986us-gaap:GuaranteedMinimum</w:t>
      </w:r>
      <w:r>
        <w:rPr>
          <w:rFonts w:eastAsia="Times New Roman"/>
          <w:vanish/>
        </w:rPr>
        <w:t>DeathBenefitMemberus-gaap:BalancedFundsMember2022-12-310001333986us-gaap:GuaranteedMinimumIncomeBenefitMemberus-gaap:BalancedFundsMember2022-12-310001333986us-gaap:GuaranteedMinimumDeathBenefitMemberus-gaap:BalancedFundsMember2021-12-310001333986us-gaap:Gu</w:t>
      </w:r>
      <w:r>
        <w:rPr>
          <w:rFonts w:eastAsia="Times New Roman"/>
          <w:vanish/>
        </w:rPr>
        <w:t>aranteedMinimumIncomeBenefitMemberus-gaap:BalancedFundsMember2021-12-310001333986us-gaap:OtherInvestmentsMemberus-gaap:GuaranteedMinimumDeathBenefitMember2022-12-310001333986us-gaap:GuaranteedMinimumIncomeBenefitMemberus-gaap:OtherInvestmentsMember2022-12-</w:t>
      </w:r>
      <w:r>
        <w:rPr>
          <w:rFonts w:eastAsia="Times New Roman"/>
          <w:vanish/>
        </w:rPr>
        <w:t>310001333986us-gaap:OtherInvestmentsMemberus-gaap:GuaranteedMinimumDeathBenefitMember2021-12-310001333986us-gaap:GuaranteedMinimumIncomeBenefitMemberus-gaap:OtherInvestmentsMember2021-12-310001333986us-gaap:GuaranteedMinimumDeathBenefitMember2022-12-310001</w:t>
      </w:r>
      <w:r>
        <w:rPr>
          <w:rFonts w:eastAsia="Times New Roman"/>
          <w:vanish/>
        </w:rPr>
        <w:t>333986us-gaap:GuaranteedMinimumIncomeBenefitMember2022-12-310001333986us-gaap:GuaranteedMinimumDeathBenefitMember2021-12-310001333986us-gaap:GuaranteedMinimumIncomeBenefitMember2021-12-310001333986eqh:DirectLiabilitiesForGuaranteesMember2021-12-31000133398</w:t>
      </w:r>
      <w:r>
        <w:rPr>
          <w:rFonts w:eastAsia="Times New Roman"/>
          <w:vanish/>
        </w:rPr>
        <w:t>6eqh:DirectLiabilitiesForGuaranteesMember2020-12-310001333986eqh:DirectLiabilitiesForGuaranteesMember2019-12-310001333986eqh:DirectLiabilitiesForGuaranteesMember2022-01-012022-12-310001333986eqh:DirectLiabilitiesForGuaranteesMember2021-01-012021-12-3100013</w:t>
      </w:r>
      <w:r>
        <w:rPr>
          <w:rFonts w:eastAsia="Times New Roman"/>
          <w:vanish/>
        </w:rPr>
        <w:t>33986eqh:DirectLiabilitiesForGuaranteesMember2020-01-012020-12-310001333986eqh:DirectLiabilitiesForGuaranteesMember2022-12-310001333986srt:MinimumMember2022-12-310001333986srt:MaximumMember2022-12-310001333986eqh:NewYorkCityNYMembereqh:AllianceBernsteinMem</w:t>
      </w:r>
      <w:r>
        <w:rPr>
          <w:rFonts w:eastAsia="Times New Roman"/>
          <w:vanish/>
        </w:rPr>
        <w:t>ber2019-04-30utr:sqft0001333986eqh:NewYorkCityNYMembereqh:AllianceBernsteinMember2020-12-310001333986eqh:NewYorkCityNYMember2019-04-300001333986eqh:NewYorkCityNYMember2022-01-012022-12-310001333986eqh:SyracuseNYMember2021-12-012021-12-310001333986eqh:Syrac</w:t>
      </w:r>
      <w:r>
        <w:rPr>
          <w:rFonts w:eastAsia="Times New Roman"/>
          <w:vanish/>
        </w:rPr>
        <w:t>useNYMember2021-12-310001333986eqh:GlobalAtlanticTransactionMembereqh:ReinsuranceTransactionMemberus-gaap:NumberOfEmployeesTotalMember2022-10-032022-10-030001333986eqh:NonAffiliatedEntityMemberus-gaap:GuaranteedMinimumDeathBenefitMember2022-12-310001333986</w:t>
      </w:r>
      <w:r>
        <w:rPr>
          <w:rFonts w:eastAsia="Times New Roman"/>
          <w:vanish/>
        </w:rPr>
        <w:t>eqh:NonAffiliatedEntityMemberus-gaap:GuaranteedMinimumDeathBenefitMember2021-12-310001333986us-gaap:GuaranteedMinimumIncomeBenefitMembereqh:NonAffiliatedEntityMember2022-12-310001333986us-gaap:GuaranteedMinimumIncomeBenefitMembereqh:NonAffiliatedEntityMemb</w:t>
      </w:r>
      <w:r>
        <w:rPr>
          <w:rFonts w:eastAsia="Times New Roman"/>
          <w:vanish/>
        </w:rPr>
        <w:t>er2021-12-310001333986eqh:VenerableInsuranceAndAnnuityCompanyMembereqh:KrollBondRatingAgencyARatingMember2022-12-310001333986eqh:VenerableInsuranceAndAnnuityCompanyMembereqh:KrollBondRatingAgencyARatingMember2021-12-310001333986eqh:GlobalAssessmentOfFuncti</w:t>
      </w:r>
      <w:r>
        <w:rPr>
          <w:rFonts w:eastAsia="Times New Roman"/>
          <w:vanish/>
        </w:rPr>
        <w:t>oningScaleMembereqh:FirstAllmericaGAFMember2022-12-310001333986srt:StandardPoorsAAMinusRatingMembereqh:RGAReinsuranceCompanyMember2022-12-310001333986srt:StandardPoorsAAMinusRatingMembereqh:RGAReinsuranceCompanyMember2021-12-310001333986srt:StandardPoorsAA</w:t>
      </w:r>
      <w:r>
        <w:rPr>
          <w:rFonts w:eastAsia="Times New Roman"/>
          <w:vanish/>
        </w:rPr>
        <w:t>MinusRatingMembereqh:ZurichLifeInsuranceCompanyLtdMember2022-12-310001333986srt:StandardPoorsAAMinusRatingMembereqh:ZurichLifeInsuranceCompanyLtdMember2021-12-310001333986eqh:GroupLifeAndHealthInsuranceMember2022-12-310001333986eqh:GroupLifeAndHealthInsura</w:t>
      </w:r>
      <w:r>
        <w:rPr>
          <w:rFonts w:eastAsia="Times New Roman"/>
          <w:vanish/>
        </w:rPr>
        <w:t>nceMember2021-12-310001333986eqh:RGAReinsuranceCompanyMember2022-12-310001333986eqh:RGAReinsuranceCompanyMember2021-12-310001333986eqh:FirstAllmericaGAFMember2022-12-310001333986eqh:FirstAllmericaGAFMember2021-12-310001333986eqh:ProtectiveLifeInsuranceComp</w:t>
      </w:r>
      <w:r>
        <w:rPr>
          <w:rFonts w:eastAsia="Times New Roman"/>
          <w:vanish/>
        </w:rPr>
        <w:t>anyMember2022-12-310001333986eqh:ProtectiveLifeInsuranceCompanyMember2021-12-310001333986us-gaap:CollateralizedLoanObligationsMember2022-12-310001333986us-gaap:CollateralizedLoanObligationsMember2021-12-310001333986eqh:SeniorNotesDue2023Member2022-12-31000</w:t>
      </w:r>
      <w:r>
        <w:rPr>
          <w:rFonts w:eastAsia="Times New Roman"/>
          <w:vanish/>
        </w:rPr>
        <w:t>1333986eqh:SeniorNotesDue2023Member2021-12-310001333986us-gaap:SeniorNotesMembereqh:SeniorNotesDue2048Member2022-12-310001333986us-gaap:SeniorNotesMembereqh:SeniorNotesDue2048Member2021-12-310001333986us-gaap:SeniorNotesMembereqh:SeniorNotesDue2028Member20</w:t>
      </w:r>
      <w:r>
        <w:rPr>
          <w:rFonts w:eastAsia="Times New Roman"/>
          <w:vanish/>
        </w:rPr>
        <w:t>22-12-310001333986us-gaap:SeniorNotesMembereqh:SeniorNotesDue2028Member2021-12-310001333986us-gaap:SeniorNotesMembereqh:SeniorNotesDue2023Member2022-12-310001333986us-gaap:SeniorNotesMembereqh:SeniorNotesDue2023Member2021-12-310001333986eqh:SeniorDebenture</w:t>
      </w:r>
      <w:r>
        <w:rPr>
          <w:rFonts w:eastAsia="Times New Roman"/>
          <w:vanish/>
        </w:rPr>
        <w:t>sNotesDue2028Memberus-gaap:SeniorNotesMember2022-12-310001333986eqh:SeniorDebenturesNotesDue2028Memberus-gaap:SeniorNotesMember2021-12-310001333986us-gaap:CommercialPaperMembereqh:ABCommercialPaperMember2022-12-310001333986us-gaap:CommercialPaperMembereqh:</w:t>
      </w:r>
      <w:r>
        <w:rPr>
          <w:rFonts w:eastAsia="Times New Roman"/>
          <w:vanish/>
        </w:rPr>
        <w:t>ABCommercialPaperMember2021-12-310001333986us-gaap:CommercialPaperMembereqh:ABCommercialPaperMember2022-01-012022-12-310001333986us-gaap:CommercialPaperMembereqh:ABCommercialPaperMember2021-01-012021-12-310001333986us-gaap:RevolvingCreditFacilityMembereqh:</w:t>
      </w:r>
      <w:r>
        <w:rPr>
          <w:rFonts w:eastAsia="Times New Roman"/>
          <w:vanish/>
        </w:rPr>
        <w:t>ABRevolvingCreditFacilityMemberus-gaap:LineOfCreditMember2022-12-310001333986us-gaap:RevolvingCreditFacilityMembereqh:ABRevolvingCreditFacilityMemberus-gaap:LineOfCreditMember2021-01-012021-12-310001333986eqh:SeniorNotesDue2023Memberus-gaap:SeniorNotesMemb</w:t>
      </w:r>
      <w:r>
        <w:rPr>
          <w:rFonts w:eastAsia="Times New Roman"/>
          <w:vanish/>
        </w:rPr>
        <w:t>er2018-04-200001333986eqh:SeniorNotesDue2023Memberus-gaap:SeniorNotesMember2021-12-310001333986eqh:SeniorNotesDue2028Memberus-gaap:SeniorNotesMember2018-04-200001333986eqh:SeniorNotesDue2048Memberus-gaap:SeniorNotesMember2018-04-200001333986eqh:SeniorNotes</w:t>
      </w:r>
      <w:r>
        <w:rPr>
          <w:rFonts w:eastAsia="Times New Roman"/>
          <w:vanish/>
        </w:rPr>
        <w:t>Due2023Memberus-gaap:SeniorNotesMember2021-01-012021-12-310001333986us-gaap:UnsecuredDebtMember2021-12-310001333986us-gaap:UnsecuredDebtMember2022-12-310001333986eqh:HoldingsRevolvingCreditFacilityMemberus-gaap:RevolvingCreditFacilityMember2018-02-28000133</w:t>
      </w:r>
      <w:r>
        <w:rPr>
          <w:rFonts w:eastAsia="Times New Roman"/>
          <w:vanish/>
        </w:rPr>
        <w:t>3986eqh:HoldingsRevolvingCreditFacilityMemberus-gaap:RevolvingCreditFacilityMember2018-02-012018-02-280001333986eqh:HoldingsRevolvingCreditFacilityMemberus-gaap:RevolvingCreditFacilityMember2021-06-300001333986eqh:HoldingsRevolvingCreditFacilityMemberus-ga</w:t>
      </w:r>
      <w:r>
        <w:rPr>
          <w:rFonts w:eastAsia="Times New Roman"/>
          <w:vanish/>
        </w:rPr>
        <w:t>ap:LetterOfCreditMember2018-02-280001333986eqh:HoldingsRevolvingCreditFacilityMemberus-gaap:LetterOfCreditMember2022-12-310001333986eqh:BilateralLetterOfCreditFacilitiesMemberus-gaap:LetterOfCreditMember2018-02-280001333986us-gaap:RevolvingCreditFacilityMe</w:t>
      </w:r>
      <w:r>
        <w:rPr>
          <w:rFonts w:eastAsia="Times New Roman"/>
          <w:vanish/>
        </w:rPr>
        <w:t>mbereqh:ABCommittedUnsecuredSeniorRevolvingCreditFacilityMember2022-12-310001333986eqh:ABUncommittedLineOfCreditMemberus-gaap:LineOfCreditMember2021-12-310001333986eqh:ABUncommittedLineOfCreditMemberus-gaap:LineOfCreditMember2022-12-310001333986eqh:SCBLine</w:t>
      </w:r>
      <w:r>
        <w:rPr>
          <w:rFonts w:eastAsia="Times New Roman"/>
          <w:vanish/>
        </w:rPr>
        <w:t>ofCreditMember2022-01-012022-12-31eqh:uncommittedLineOfCrediteqh:financialInstitution0001333986eqh:SCBLineofCreditMemberus-gaap:RevolvingCreditFacilityMember2022-01-012022-12-310001333986eqh:SCBLineofCreditMemberus-gaap:RevolvingCreditFacilityMember2022-12</w:t>
      </w:r>
      <w:r>
        <w:rPr>
          <w:rFonts w:eastAsia="Times New Roman"/>
          <w:vanish/>
        </w:rPr>
        <w:t>-310001333986eqh:SCBLineofCreditMemberus-gaap:RevolvingCreditFacilityMember2021-12-310001333986eqh:SCBLineofCreditMemberus-gaap:RevolvingCreditFacilityMember2021-01-012021-12-310001333986eqh:InvestmentManagementAndAdministrativeServicesProvidedToEQATEQPrem</w:t>
      </w:r>
      <w:r>
        <w:rPr>
          <w:rFonts w:eastAsia="Times New Roman"/>
          <w:vanish/>
        </w:rPr>
        <w:t>ierVIPTrust1290FundsAndOtherAXATrustsMembereqh:EquitableAffiliatesMember2022-01-012022-12-310001333986eqh:InvestmentManagementAndAdministrativeServicesProvidedToEQATEQPremierVIPTrust1290FundsAndOtherAXATrustsMembereqh:EquitableAffiliatesMember2021-01-01202</w:t>
      </w:r>
      <w:r>
        <w:rPr>
          <w:rFonts w:eastAsia="Times New Roman"/>
          <w:vanish/>
        </w:rPr>
        <w:t>1-12-310001333986eqh:InvestmentManagementAndAdministrativeServicesProvidedToEQATEQPremierVIPTrust1290FundsAndOtherAXATrustsMembereqh:EquitableAffiliatesMember2020-01-012020-12-310001333986eqh:EquitableAffiliatesMember2022-01-012022-12-310001333986eqh:Equit</w:t>
      </w:r>
      <w:r>
        <w:rPr>
          <w:rFonts w:eastAsia="Times New Roman"/>
          <w:vanish/>
        </w:rPr>
        <w:t>ableAffiliatesMember2021-01-012021-12-310001333986eqh:EquitableAffiliatesMember2020-01-012020-12-310001333986eqh:AXAEquitable401kPlanMember2022-01-012022-12-310001333986eqh:AXAEquitable401kPlanMember2021-01-012021-12-310001333986eqh:AXAEquitable401kPlanMem</w:t>
      </w:r>
      <w:r>
        <w:rPr>
          <w:rFonts w:eastAsia="Times New Roman"/>
          <w:vanish/>
        </w:rPr>
        <w:t>ber2020-01-012020-12-310001333986us-gaap:PensionPlansDefinedBenefitMember2022-01-012022-12-310001333986us-gaap:PensionPlansDefinedBenefitMember2021-01-012021-12-310001333986us-gaap:PensionPlansDefinedBenefitMember2020-01-012020-12-310001333986us-gaap:Quali</w:t>
      </w:r>
      <w:r>
        <w:rPr>
          <w:rFonts w:eastAsia="Times New Roman"/>
          <w:vanish/>
        </w:rPr>
        <w:t>fiedPlanMemberus-gaap:PensionPlansDefinedBenefitMember2021-12-310001333986us-gaap:QualifiedPlanMemberus-gaap:PensionPlansDefinedBenefitMember2020-12-310001333986us-gaap:QualifiedPlanMemberus-gaap:PensionPlansDefinedBenefitMember2022-01-012022-12-3100013339</w:t>
      </w:r>
      <w:r>
        <w:rPr>
          <w:rFonts w:eastAsia="Times New Roman"/>
          <w:vanish/>
        </w:rPr>
        <w:t>86us-gaap:QualifiedPlanMemberus-gaap:PensionPlansDefinedBenefitMember2021-01-012021-12-310001333986us-gaap:QualifiedPlanMemberus-gaap:PensionPlansDefinedBenefitMember2022-12-310001333986us-gaap:PensionPlansDefinedBenefitMember2021-12-310001333986us-gaap:Pe</w:t>
      </w:r>
      <w:r>
        <w:rPr>
          <w:rFonts w:eastAsia="Times New Roman"/>
          <w:vanish/>
        </w:rPr>
        <w:t>nsionPlansDefinedBenefitMember2020-12-310001333986us-gaap:PensionPlansDefinedBenefitMember2022-12-310001333986us-gaap:UnfundedPlanMember2022-12-310001333986us-gaap:UnfundedPlanMember2021-12-310001333986us-gaap:DebtSecuritiesMemberus-gaap:PensionPlansDefine</w:t>
      </w:r>
      <w:r>
        <w:rPr>
          <w:rFonts w:eastAsia="Times New Roman"/>
          <w:vanish/>
        </w:rPr>
        <w:t>dBenefitMember2022-12-310001333986us-gaap:DebtSecuritiesMemberus-gaap:PensionPlansDefinedBenefitMember2021-12-310001333986us-gaap:EquitySecuritiesMemberus-gaap:PensionPlansDefinedBenefitMember2022-12-310001333986us-gaap:EquitySecuritiesMemberus-gaap:Pensio</w:t>
      </w:r>
      <w:r>
        <w:rPr>
          <w:rFonts w:eastAsia="Times New Roman"/>
          <w:vanish/>
        </w:rPr>
        <w:t>nPlansDefinedBenefitMember2021-12-310001333986us-gaap:PensionPlansDefinedBenefitMemberus-gaap:RealEstateMember2022-12-310001333986us-gaap:PensionPlansDefinedBenefitMemberus-gaap:RealEstateMember2021-12-310001333986eqh:CashAndShortTermInvestmentsMemberus-ga</w:t>
      </w:r>
      <w:r>
        <w:rPr>
          <w:rFonts w:eastAsia="Times New Roman"/>
          <w:vanish/>
        </w:rPr>
        <w:t>ap:PensionPlansDefinedBenefitMember2022-12-310001333986eqh:CashAndShortTermInvestmentsMemberus-gaap:PensionPlansDefinedBenefitMember2021-12-310001333986us-gaap:OtherDebtSecuritiesMemberus-gaap:PensionPlansDefinedBenefitMember2022-12-310001333986us-gaap:Oth</w:t>
      </w:r>
      <w:r>
        <w:rPr>
          <w:rFonts w:eastAsia="Times New Roman"/>
          <w:vanish/>
        </w:rPr>
        <w:t>erDebtSecuritiesMemberus-gaap:PensionPlansDefinedBenefitMember2021-12-310001333986us-gaap:QualifiedPlanMemberus-gaap:FairValueInputsLevel1Memberus-gaap:CorporateDebtSecuritiesMember2022-12-310001333986us-gaap:QualifiedPlanMemberus-gaap:CorporateDebtSecurit</w:t>
      </w:r>
      <w:r>
        <w:rPr>
          <w:rFonts w:eastAsia="Times New Roman"/>
          <w:vanish/>
        </w:rPr>
        <w:t>iesMemberus-gaap:FairValueInputsLevel2Member2022-12-310001333986us-gaap:QualifiedPlanMemberus-gaap:CorporateDebtSecuritiesMember2022-12-310001333986us-gaap:QualifiedPlanMemberus-gaap:USTreasuryAndGovernmentMemberus-gaap:FairValueInputsLevel1Member2022-12-3</w:t>
      </w:r>
      <w:r>
        <w:rPr>
          <w:rFonts w:eastAsia="Times New Roman"/>
          <w:vanish/>
        </w:rPr>
        <w:t>10001333986us-gaap:QualifiedPlanMemberus-gaap:USTreasuryAndGovernmentMemberus-gaap:FairValueInputsLevel2Member2022-12-310001333986us-gaap:QualifiedPlanMemberus-gaap:USTreasuryAndGovernmentMember2022-12-310001333986us-gaap:QualifiedPlanMemberus-gaap:USState</w:t>
      </w:r>
      <w:r>
        <w:rPr>
          <w:rFonts w:eastAsia="Times New Roman"/>
          <w:vanish/>
        </w:rPr>
        <w:t>sAndPoliticalSubdivisionsMemberus-gaap:FairValueInputsLevel1Member2022-12-310001333986us-gaap:QualifiedPlanMemberus-gaap:USStatesAndPoliticalSubdivisionsMemberus-gaap:FairValueInputsLevel2Member2022-12-310001333986us-gaap:QualifiedPlanMemberus-gaap:USState</w:t>
      </w:r>
      <w:r>
        <w:rPr>
          <w:rFonts w:eastAsia="Times New Roman"/>
          <w:vanish/>
        </w:rPr>
        <w:t>sAndPoliticalSubdivisionsMember2022-12-310001333986us-gaap:QualifiedPlanMemberus-gaap:FairValueInputsLevel1Memberus-gaap:ForeignGovernmentDebtSecuritiesMember2022-12-310001333986us-gaap:QualifiedPlanMemberus-gaap:FairValueInputsLevel2Memberus-gaap:ForeignG</w:t>
      </w:r>
      <w:r>
        <w:rPr>
          <w:rFonts w:eastAsia="Times New Roman"/>
          <w:vanish/>
        </w:rPr>
        <w:t>overnmentDebtSecuritiesMember2022-12-310001333986us-gaap:QualifiedPlanMemberus-gaap:ForeignGovernmentDebtSecuritiesMember2022-12-310001333986us-gaap:QualifiedPlanMemberus-gaap:FairValueInputsLevel1Memberus-gaap:EquitySecuritiesMemberus-gaap:PensionPlansDef</w:t>
      </w:r>
      <w:r>
        <w:rPr>
          <w:rFonts w:eastAsia="Times New Roman"/>
          <w:vanish/>
        </w:rPr>
        <w:t>inedBenefitMember2022-12-310001333986us-gaap:QualifiedPlanMemberus-gaap:EquitySecuritiesMemberus-gaap:FairValueInputsLevel2Memberus-gaap:PensionPlansDefinedBenefitMember2022-12-310001333986us-gaap:QualifiedPlanMemberus-gaap:EquitySecuritiesMemberus-gaap:Pe</w:t>
      </w:r>
      <w:r>
        <w:rPr>
          <w:rFonts w:eastAsia="Times New Roman"/>
          <w:vanish/>
        </w:rPr>
        <w:t>nsionPlansDefinedBenefitMember2022-12-310001333986us-gaap:QualifiedPlanMemberus-gaap:FairValueInputsLevel1Memberus-gaap:EquityFundsMemberus-gaap:PensionPlansDefinedBenefitMember2022-12-310001333986us-gaap:QualifiedPlanMemberus-gaap:EquityFundsMemberus-gaap</w:t>
      </w:r>
      <w:r>
        <w:rPr>
          <w:rFonts w:eastAsia="Times New Roman"/>
          <w:vanish/>
        </w:rPr>
        <w:t>:FairValueInputsLevel2Memberus-gaap:PensionPlansDefinedBenefitMember2022-12-310001333986us-gaap:QualifiedPlanMemberus-gaap:EquityFundsMemberus-gaap:PensionPlansDefinedBenefitMember2022-12-310001333986us-gaap:QualifiedPlanMemberus-gaap:DefinedBenefitPlanCom</w:t>
      </w:r>
      <w:r>
        <w:rPr>
          <w:rFonts w:eastAsia="Times New Roman"/>
          <w:vanish/>
        </w:rPr>
        <w:t>monCollectiveTrustMemberus-gaap:FairValueInputsLevel1Memberus-gaap:PensionPlansDefinedBenefitMember2022-12-310001333986us-gaap:QualifiedPlanMemberus-gaap:DefinedBenefitPlanCommonCollectiveTrustMemberus-gaap:FairValueInputsLevel2Memberus-gaap:PensionPlansDe</w:t>
      </w:r>
      <w:r>
        <w:rPr>
          <w:rFonts w:eastAsia="Times New Roman"/>
          <w:vanish/>
        </w:rPr>
        <w:t>finedBenefitMember2022-12-310001333986us-gaap:QualifiedPlanMemberus-gaap:DefinedBenefitPlanCommonCollectiveTrustMemberus-gaap:PensionPlansDefinedBenefitMember2022-12-310001333986us-gaap:QualifiedPlanMemberus-gaap:FairValueInputsLevel1Memberus-gaap:CashAndC</w:t>
      </w:r>
      <w:r>
        <w:rPr>
          <w:rFonts w:eastAsia="Times New Roman"/>
          <w:vanish/>
        </w:rPr>
        <w:t>ashEquivalentsMemberus-gaap:PensionPlansDefinedBenefitMember2022-12-310001333986us-gaap:QualifiedPlanMemberus-gaap:FairValueInputsLevel2Memberus-gaap:CashAndCashEquivalentsMemberus-gaap:PensionPlansDefinedBenefitMember2022-12-310001333986us-gaap:QualifiedP</w:t>
      </w:r>
      <w:r>
        <w:rPr>
          <w:rFonts w:eastAsia="Times New Roman"/>
          <w:vanish/>
        </w:rPr>
        <w:t>lanMemberus-gaap:CashAndCashEquivalentsMemberus-gaap:PensionPlansDefinedBenefitMember2022-12-310001333986us-gaap:QualifiedPlanMemberus-gaap:FairValueInputsLevel1Memberus-gaap:PensionPlansDefinedBenefitMemberus-gaap:ShortTermInvestmentsMember2022-12-3100013</w:t>
      </w:r>
      <w:r>
        <w:rPr>
          <w:rFonts w:eastAsia="Times New Roman"/>
          <w:vanish/>
        </w:rPr>
        <w:t>33986us-gaap:QualifiedPlanMemberus-gaap:FairValueInputsLevel2Memberus-gaap:PensionPlansDefinedBenefitMemberus-gaap:ShortTermInvestmentsMember2022-12-310001333986us-gaap:QualifiedPlanMemberus-gaap:PensionPlansDefinedBenefitMemberus-gaap:ShortTermInvestments</w:t>
      </w:r>
      <w:r>
        <w:rPr>
          <w:rFonts w:eastAsia="Times New Roman"/>
          <w:vanish/>
        </w:rPr>
        <w:t>Member2022-12-310001333986us-gaap:QualifiedPlanMemberus-gaap:FairValueInputsLevel1Memberus-gaap:PensionPlansDefinedBenefitMember2022-12-310001333986us-gaap:QualifiedPlanMemberus-gaap:FairValueInputsLevel2Memberus-gaap:PensionPlansDefinedBenefitMember2022-1</w:t>
      </w:r>
      <w:r>
        <w:rPr>
          <w:rFonts w:eastAsia="Times New Roman"/>
          <w:vanish/>
        </w:rPr>
        <w:t>2-310001333986us-gaap:QualifiedPlanMemberus-gaap:FairValueInputsLevel12And3Memberus-gaap:PensionPlansDefinedBenefitMember2022-12-310001333986us-gaap:QualifiedPlanMemberus-gaap:FairValueMeasuredAtNetAssetValuePerShareMemberus-gaap:PensionPlansDefinedBenefit</w:t>
      </w:r>
      <w:r>
        <w:rPr>
          <w:rFonts w:eastAsia="Times New Roman"/>
          <w:vanish/>
        </w:rPr>
        <w:t>Member2022-12-310001333986us-gaap:QualifiedPlanMemberus-gaap:FairValueInputsLevel1Memberus-gaap:CorporateDebtSecuritiesMember2021-12-310001333986us-gaap:QualifiedPlanMemberus-gaap:CorporateDebtSecuritiesMemberus-gaap:FairValueInputsLevel2Member2021-12-3100</w:t>
      </w:r>
      <w:r>
        <w:rPr>
          <w:rFonts w:eastAsia="Times New Roman"/>
          <w:vanish/>
        </w:rPr>
        <w:t>01333986us-gaap:QualifiedPlanMemberus-gaap:CorporateDebtSecuritiesMember2021-12-310001333986us-gaap:QualifiedPlanMemberus-gaap:USTreasuryAndGovernmentMemberus-gaap:FairValueInputsLevel1Member2021-12-310001333986us-gaap:QualifiedPlanMemberus-gaap:USTreasury</w:t>
      </w:r>
      <w:r>
        <w:rPr>
          <w:rFonts w:eastAsia="Times New Roman"/>
          <w:vanish/>
        </w:rPr>
        <w:t>AndGovernmentMemberus-gaap:FairValueInputsLevel2Member2021-12-310001333986us-gaap:QualifiedPlanMemberus-gaap:USTreasuryAndGovernmentMember2021-12-310001333986us-gaap:QualifiedPlanMemberus-gaap:USStatesAndPoliticalSubdivisionsMemberus-gaap:FairValueInputsLe</w:t>
      </w:r>
      <w:r>
        <w:rPr>
          <w:rFonts w:eastAsia="Times New Roman"/>
          <w:vanish/>
        </w:rPr>
        <w:t>vel1Member2021-12-310001333986us-gaap:QualifiedPlanMemberus-gaap:USStatesAndPoliticalSubdivisionsMemberus-gaap:FairValueInputsLevel2Member2021-12-310001333986us-gaap:QualifiedPlanMemberus-gaap:USStatesAndPoliticalSubdivisionsMember2021-12-310001333986us-ga</w:t>
      </w:r>
      <w:r>
        <w:rPr>
          <w:rFonts w:eastAsia="Times New Roman"/>
          <w:vanish/>
        </w:rPr>
        <w:t>ap:QualifiedPlanMemberus-gaap:FairValueInputsLevel1Memberus-gaap:ForeignGovernmentDebtSecuritiesMember2021-12-310001333986us-gaap:QualifiedPlanMemberus-gaap:FairValueInputsLevel2Memberus-gaap:ForeignGovernmentDebtSecuritiesMember2021-12-310001333986us-gaap</w:t>
      </w:r>
      <w:r>
        <w:rPr>
          <w:rFonts w:eastAsia="Times New Roman"/>
          <w:vanish/>
        </w:rPr>
        <w:t>:QualifiedPlanMemberus-gaap:ForeignGovernmentDebtSecuritiesMember2021-12-310001333986us-gaap:QualifiedPlanMemberus-gaap:FairValueInputsLevel1Memberus-gaap:EquitySecuritiesMemberus-gaap:PensionPlansDefinedBenefitMember2021-12-310001333986us-gaap:QualifiedPl</w:t>
      </w:r>
      <w:r>
        <w:rPr>
          <w:rFonts w:eastAsia="Times New Roman"/>
          <w:vanish/>
        </w:rPr>
        <w:t>anMemberus-gaap:EquitySecuritiesMemberus-gaap:FairValueInputsLevel2Memberus-gaap:PensionPlansDefinedBenefitMember2021-12-310001333986us-gaap:QualifiedPlanMemberus-gaap:EquitySecuritiesMemberus-gaap:PensionPlansDefinedBenefitMember2021-12-310001333986us-gaa</w:t>
      </w:r>
      <w:r>
        <w:rPr>
          <w:rFonts w:eastAsia="Times New Roman"/>
          <w:vanish/>
        </w:rPr>
        <w:t>p:QualifiedPlanMemberus-gaap:FairValueInputsLevel1Memberus-gaap:EquityFundsMemberus-gaap:PensionPlansDefinedBenefitMember2021-12-310001333986us-gaap:QualifiedPlanMemberus-gaap:EquityFundsMemberus-gaap:FairValueInputsLevel2Memberus-gaap:PensionPlansDefinedB</w:t>
      </w:r>
      <w:r>
        <w:rPr>
          <w:rFonts w:eastAsia="Times New Roman"/>
          <w:vanish/>
        </w:rPr>
        <w:t>enefitMember2021-12-310001333986us-gaap:QualifiedPlanMemberus-gaap:EquityFundsMemberus-gaap:PensionPlansDefinedBenefitMember2021-12-310001333986us-gaap:QualifiedPlanMemberus-gaap:DefinedBenefitPlanCommonCollectiveTrustMemberus-gaap:FairValueInputsLevel1Mem</w:t>
      </w:r>
      <w:r>
        <w:rPr>
          <w:rFonts w:eastAsia="Times New Roman"/>
          <w:vanish/>
        </w:rPr>
        <w:t>berus-gaap:PensionPlansDefinedBenefitMember2021-12-310001333986us-gaap:QualifiedPlanMemberus-gaap:DefinedBenefitPlanCommonCollectiveTrustMemberus-gaap:FairValueInputsLevel2Memberus-gaap:PensionPlansDefinedBenefitMember2021-12-310001333986us-gaap:QualifiedP</w:t>
      </w:r>
      <w:r>
        <w:rPr>
          <w:rFonts w:eastAsia="Times New Roman"/>
          <w:vanish/>
        </w:rPr>
        <w:t>lanMemberus-gaap:DefinedBenefitPlanCommonCollectiveTrustMemberus-gaap:PensionPlansDefinedBenefitMember2021-12-310001333986us-gaap:QualifiedPlanMemberus-gaap:FairValueInputsLevel1Memberus-gaap:CashAndCashEquivalentsMemberus-gaap:PensionPlansDefinedBenefitMe</w:t>
      </w:r>
      <w:r>
        <w:rPr>
          <w:rFonts w:eastAsia="Times New Roman"/>
          <w:vanish/>
        </w:rPr>
        <w:t>mber2021-12-310001333986us-gaap:QualifiedPlanMemberus-gaap:FairValueInputsLevel2Memberus-gaap:CashAndCashEquivalentsMemberus-gaap:PensionPlansDefinedBenefitMember2021-12-310001333986us-gaap:QualifiedPlanMemberus-gaap:CashAndCashEquivalentsMemberus-gaap:Pen</w:t>
      </w:r>
      <w:r>
        <w:rPr>
          <w:rFonts w:eastAsia="Times New Roman"/>
          <w:vanish/>
        </w:rPr>
        <w:t>sionPlansDefinedBenefitMember2021-12-310001333986us-gaap:QualifiedPlanMemberus-gaap:FairValueInputsLevel1Memberus-gaap:PensionPlansDefinedBenefitMemberus-gaap:ShortTermInvestmentsMember2021-12-310001333986us-gaap:QualifiedPlanMemberus-gaap:FairValueInputsL</w:t>
      </w:r>
      <w:r>
        <w:rPr>
          <w:rFonts w:eastAsia="Times New Roman"/>
          <w:vanish/>
        </w:rPr>
        <w:t>evel2Memberus-gaap:PensionPlansDefinedBenefitMemberus-gaap:ShortTermInvestmentsMember2021-12-310001333986us-gaap:QualifiedPlanMemberus-gaap:PensionPlansDefinedBenefitMemberus-gaap:ShortTermInvestmentsMember2021-12-310001333986us-gaap:QualifiedPlanMemberus-</w:t>
      </w:r>
      <w:r>
        <w:rPr>
          <w:rFonts w:eastAsia="Times New Roman"/>
          <w:vanish/>
        </w:rPr>
        <w:t>gaap:FairValueInputsLevel1Memberus-gaap:PensionPlansDefinedBenefitMember2021-12-310001333986us-gaap:QualifiedPlanMemberus-gaap:FairValueInputsLevel2Memberus-gaap:PensionPlansDefinedBenefitMember2021-12-310001333986us-gaap:QualifiedPlanMemberus-gaap:FairVal</w:t>
      </w:r>
      <w:r>
        <w:rPr>
          <w:rFonts w:eastAsia="Times New Roman"/>
          <w:vanish/>
        </w:rPr>
        <w:t>ueInputsLevel12And3Memberus-gaap:PensionPlansDefinedBenefitMember2021-12-310001333986us-gaap:QualifiedPlanMemberus-gaap:FairValueMeasuredAtNetAssetValuePerShareMemberus-gaap:PensionPlansDefinedBenefitMember2021-12-310001333986us-gaap:FairValueMeasuredAtNet</w:t>
      </w:r>
      <w:r>
        <w:rPr>
          <w:rFonts w:eastAsia="Times New Roman"/>
          <w:vanish/>
        </w:rPr>
        <w:t>AssetValuePerShareMemberus-gaap:PrivateEquityFundsMember2022-12-310001333986us-gaap:FairValueMeasuredAtNetAssetValuePerShareMembereqh:PrivateRealEstateFundMember2022-12-310001333986us-gaap:HedgeFundsMemberus-gaap:FairValueMeasuredAtNetAssetValuePerShareMem</w:t>
      </w:r>
      <w:r>
        <w:rPr>
          <w:rFonts w:eastAsia="Times New Roman"/>
          <w:vanish/>
        </w:rPr>
        <w:t>ber2022-12-310001333986us-gaap:FairValueMeasuredAtNetAssetValuePerShareMember2022-12-310001333986us-gaap:FairValueMeasuredAtNetAssetValuePerShareMemberus-gaap:PrivateEquityFundsMember2021-12-310001333986us-gaap:FairValueMeasuredAtNetAssetValuePerShareMembe</w:t>
      </w:r>
      <w:r>
        <w:rPr>
          <w:rFonts w:eastAsia="Times New Roman"/>
          <w:vanish/>
        </w:rPr>
        <w:t>reqh:PrivateRealEstateFundMember2021-12-310001333986us-gaap:HedgeFundsMemberus-gaap:FairValueMeasuredAtNetAssetValuePerShareMember2021-12-310001333986us-gaap:FairValueMeasuredAtNetAssetValuePerShareMember2021-12-310001333986us-gaap:QualifiedPlanMembereqh:P</w:t>
      </w:r>
      <w:r>
        <w:rPr>
          <w:rFonts w:eastAsia="Times New Roman"/>
          <w:vanish/>
        </w:rPr>
        <w:t>rivateEstateInvestmentTrustsMemberus-gaap:PensionPlansDefinedBenefitMemberus-gaap:FairValueInputsLevel3Member2021-12-310001333986us-gaap:QualifiedPlanMembereqh:OtherEquityInvestmentsMemberus-gaap:PensionPlansDefinedBenefitMemberus-gaap:FairValueInputsLevel</w:t>
      </w:r>
      <w:r>
        <w:rPr>
          <w:rFonts w:eastAsia="Times New Roman"/>
          <w:vanish/>
        </w:rPr>
        <w:t>3Member2021-12-310001333986us-gaap:QualifiedPlanMemberus-gaap:PensionPlansDefinedBenefitMemberus-gaap:FairValueInputsLevel3Memberus-gaap:FixedMaturitiesMember2021-12-310001333986us-gaap:QualifiedPlanMembereqh:PrivateEstateInvestmentTrustsMemberus-gaap:Pens</w:t>
      </w:r>
      <w:r>
        <w:rPr>
          <w:rFonts w:eastAsia="Times New Roman"/>
          <w:vanish/>
        </w:rPr>
        <w:t>ionPlansDefinedBenefitMemberus-gaap:FairValueInputsLevel3Member2022-01-012022-12-310001333986us-gaap:QualifiedPlanMembereqh:OtherEquityInvestmentsMemberus-gaap:PensionPlansDefinedBenefitMemberus-gaap:FairValueInputsLevel3Member2022-01-012022-12-31000133398</w:t>
      </w:r>
      <w:r>
        <w:rPr>
          <w:rFonts w:eastAsia="Times New Roman"/>
          <w:vanish/>
        </w:rPr>
        <w:t>6us-gaap:QualifiedPlanMemberus-gaap:PensionPlansDefinedBenefitMemberus-gaap:FairValueInputsLevel3Memberus-gaap:FixedMaturitiesMember2022-01-012022-12-310001333986us-gaap:QualifiedPlanMembereqh:PrivateEstateInvestmentTrustsMemberus-gaap:PensionPlansDefinedB</w:t>
      </w:r>
      <w:r>
        <w:rPr>
          <w:rFonts w:eastAsia="Times New Roman"/>
          <w:vanish/>
        </w:rPr>
        <w:t>enefitMemberus-gaap:FairValueInputsLevel3Member2022-12-310001333986us-gaap:QualifiedPlanMembereqh:OtherEquityInvestmentsMemberus-gaap:PensionPlansDefinedBenefitMemberus-gaap:FairValueInputsLevel3Member2022-12-310001333986us-gaap:QualifiedPlanMemberus-gaap:</w:t>
      </w:r>
      <w:r>
        <w:rPr>
          <w:rFonts w:eastAsia="Times New Roman"/>
          <w:vanish/>
        </w:rPr>
        <w:t>PensionPlansDefinedBenefitMemberus-gaap:FairValueInputsLevel3Memberus-gaap:FixedMaturitiesMember2022-12-310001333986us-gaap:QualifiedPlanMembereqh:PrivateEstateInvestmentTrustsMemberus-gaap:PensionPlansDefinedBenefitMemberus-gaap:FairValueInputsLevel3Membe</w:t>
      </w:r>
      <w:r>
        <w:rPr>
          <w:rFonts w:eastAsia="Times New Roman"/>
          <w:vanish/>
        </w:rPr>
        <w:t>r2020-12-310001333986us-gaap:QualifiedPlanMembereqh:OtherEquityInvestmentsMemberus-gaap:PensionPlansDefinedBenefitMemberus-gaap:FairValueInputsLevel3Member2020-12-310001333986us-gaap:QualifiedPlanMemberus-gaap:PensionPlansDefinedBenefitMemberus-gaap:FairVa</w:t>
      </w:r>
      <w:r>
        <w:rPr>
          <w:rFonts w:eastAsia="Times New Roman"/>
          <w:vanish/>
        </w:rPr>
        <w:t>lueInputsLevel3Memberus-gaap:FixedMaturitiesMember2020-12-310001333986us-gaap:QualifiedPlanMembereqh:PrivateEstateInvestmentTrustsMemberus-gaap:PensionPlansDefinedBenefitMemberus-gaap:FairValueInputsLevel3Member2021-01-012021-12-310001333986us-gaap:Qualifi</w:t>
      </w:r>
      <w:r>
        <w:rPr>
          <w:rFonts w:eastAsia="Times New Roman"/>
          <w:vanish/>
        </w:rPr>
        <w:t>edPlanMembereqh:OtherEquityInvestmentsMemberus-gaap:PensionPlansDefinedBenefitMemberus-gaap:FairValueInputsLevel3Member2021-01-012021-12-310001333986us-gaap:QualifiedPlanMemberus-gaap:PensionPlansDefinedBenefitMemberus-gaap:FairValueInputsLevel3Memberus-ga</w:t>
      </w:r>
      <w:r>
        <w:rPr>
          <w:rFonts w:eastAsia="Times New Roman"/>
          <w:vanish/>
        </w:rPr>
        <w:t>ap:FixedMaturitiesMember2021-01-012021-12-310001333986us-gaap:QualifiedPlanMembereqh:PrivateEstateInvestmentTrustsMemberus-gaap:PensionPlansDefinedBenefitMemberus-gaap:FairValueInputsLevel3Member2019-12-310001333986us-gaap:QualifiedPlanMembereqh:OtherEquit</w:t>
      </w:r>
      <w:r>
        <w:rPr>
          <w:rFonts w:eastAsia="Times New Roman"/>
          <w:vanish/>
        </w:rPr>
        <w:t>yInvestmentsMemberus-gaap:PensionPlansDefinedBenefitMemberus-gaap:FairValueInputsLevel3Member2019-12-310001333986us-gaap:QualifiedPlanMemberus-gaap:PensionPlansDefinedBenefitMemberus-gaap:FairValueInputsLevel3Memberus-gaap:FixedMaturitiesMember2019-12-3100</w:t>
      </w:r>
      <w:r>
        <w:rPr>
          <w:rFonts w:eastAsia="Times New Roman"/>
          <w:vanish/>
        </w:rPr>
        <w:t>01333986us-gaap:QualifiedPlanMembereqh:PrivateEstateInvestmentTrustsMemberus-gaap:PensionPlansDefinedBenefitMemberus-gaap:FairValueInputsLevel3Member2020-01-012020-12-310001333986us-gaap:QualifiedPlanMembereqh:OtherEquityInvestmentsMemberus-gaap:PensionPla</w:t>
      </w:r>
      <w:r>
        <w:rPr>
          <w:rFonts w:eastAsia="Times New Roman"/>
          <w:vanish/>
        </w:rPr>
        <w:t>nsDefinedBenefitMemberus-gaap:FairValueInputsLevel3Member2020-01-012020-12-310001333986us-gaap:QualifiedPlanMemberus-gaap:PensionPlansDefinedBenefitMemberus-gaap:FairValueInputsLevel3Memberus-gaap:FixedMaturitiesMember2020-01-012020-12-310001333986us-gaap:</w:t>
      </w:r>
      <w:r>
        <w:rPr>
          <w:rFonts w:eastAsia="Times New Roman"/>
          <w:vanish/>
        </w:rPr>
        <w:t>QualifiedPlanMemberus-gaap:PensionPlansDefinedBenefitMemberus-gaap:FairValueInputsLevel3Member2022-12-310001333986us-gaap:QualifiedPlanMemberus-gaap:PensionPlansDefinedBenefitMemberus-gaap:FairValueInputsLevel3Member2021-12-310001333986eqh:EquitableFinanci</w:t>
      </w:r>
      <w:r>
        <w:rPr>
          <w:rFonts w:eastAsia="Times New Roman"/>
          <w:vanish/>
        </w:rPr>
        <w:t>alQPMember2022-12-310001333986eqh:EquitableFinancialQPMember2021-12-310001333986eqh:EquitableExcessRetirementPlanMember2022-12-310001333986eqh:EquitableExcessRetirementPlanMember2021-12-310001333986eqh:MONYLifeRetirementIncomeSecurityPlanForEmployeesMember</w:t>
      </w:r>
      <w:r>
        <w:rPr>
          <w:rFonts w:eastAsia="Times New Roman"/>
          <w:vanish/>
        </w:rPr>
        <w:t>2022-12-310001333986eqh:MONYLifeRetirementIncomeSecurityPlanForEmployeesMember2021-12-310001333986eqh:ABQualifiedRetirementPlansMember2021-01-012021-12-310001333986eqh:CashBalanceInterestCreditingRateForPreApril12012AccrualsMember2022-01-012022-12-31000133</w:t>
      </w:r>
      <w:r>
        <w:rPr>
          <w:rFonts w:eastAsia="Times New Roman"/>
          <w:vanish/>
        </w:rPr>
        <w:t>3986eqh:CashBalanceInterestCreditingRateForPreApril12012AccrualsMember2021-01-012021-12-310001333986eqh:CashBalanceInterestCreditingRateForPostApril12012AccrualsMember2022-01-012022-12-310001333986eqh:CashBalanceInterestCreditingRateForPostApril12012Accrua</w:t>
      </w:r>
      <w:r>
        <w:rPr>
          <w:rFonts w:eastAsia="Times New Roman"/>
          <w:vanish/>
        </w:rPr>
        <w:t>lsMember2021-01-012021-12-310001333986us-gaap:QualifiedPlanMembereqh:EquitableFinancialQPPre1987Member2022-01-012022-12-310001333986us-gaap:QualifiedPlanMembereqh:EquitableFinancialQPPre1987Member2021-01-012021-12-310001333986us-gaap:OtherPostretirementBen</w:t>
      </w:r>
      <w:r>
        <w:rPr>
          <w:rFonts w:eastAsia="Times New Roman"/>
          <w:vanish/>
        </w:rPr>
        <w:t>efitPlansDefinedBenefitMembereqh:ExecutiveSurvivorBenefitsPlanMember2022-12-310001333986us-gaap:OtherPostretirementBenefitPlansDefinedBenefitMember2022-01-012022-12-310001333986us-gaap:OtherPostretirementBenefitPlansDefinedBenefitMember2021-01-012021-12-31</w:t>
      </w:r>
      <w:r>
        <w:rPr>
          <w:rFonts w:eastAsia="Times New Roman"/>
          <w:vanish/>
        </w:rPr>
        <w:t>0001333986us-gaap:OtherPostretirementBenefitPlansDefinedBenefitMember2020-01-012020-12-310001333986us-gaap:OtherPostretirementBenefitPlansDefinedBenefitMember2021-12-310001333986us-gaap:OtherPostretirementBenefitPlansDefinedBenefitMember2020-12-31000133398</w:t>
      </w:r>
      <w:r>
        <w:rPr>
          <w:rFonts w:eastAsia="Times New Roman"/>
          <w:vanish/>
        </w:rPr>
        <w:t>6us-gaap:OtherPostretirementBenefitPlansDefinedBenefitMember2022-12-310001333986us-gaap:PostemploymentRetirementBenefitsMember2022-12-310001333986us-gaap:PostemploymentRetirementBenefitsMember2021-12-310001333986us-gaap:PostemploymentRetirementBenefitsMemb</w:t>
      </w:r>
      <w:r>
        <w:rPr>
          <w:rFonts w:eastAsia="Times New Roman"/>
          <w:vanish/>
        </w:rPr>
        <w:t>er2022-01-012022-12-310001333986us-gaap:PostemploymentRetirementBenefitsMember2021-01-012021-12-310001333986us-gaap:PostemploymentRetirementBenefitsMember2020-01-012020-12-310001333986us-gaap:DefinedBenefitPostretirementLifeInsuranceMember2022-12-310001333</w:t>
      </w:r>
      <w:r>
        <w:rPr>
          <w:rFonts w:eastAsia="Times New Roman"/>
          <w:vanish/>
        </w:rPr>
        <w:t>986us-gaap:DefinedBenefitPostretirementHealthCoverageMember2022-12-310001333986eqh:OtherDefinedBenefitPlansMembersrt:MinimumMember2022-01-012022-12-310001333986eqh:OtherDefinedBenefitPlansMembersrt:MinimumMember2021-01-012021-12-310001333986srt:MaximumMemb</w:t>
      </w:r>
      <w:r>
        <w:rPr>
          <w:rFonts w:eastAsia="Times New Roman"/>
          <w:vanish/>
        </w:rPr>
        <w:t>ereqh:OtherDefinedBenefitPlansMember2022-01-012022-12-310001333986srt:MaximumMembereqh:OtherDefinedBenefitPlansMember2021-01-012021-12-310001333986srt:MinimumMember2022-01-012022-12-310001333986srt:MinimumMember2021-01-012021-12-310001333986srt:MaximumMemb</w:t>
      </w:r>
      <w:r>
        <w:rPr>
          <w:rFonts w:eastAsia="Times New Roman"/>
          <w:vanish/>
        </w:rPr>
        <w:t>er2022-01-012022-12-310001333986srt:MaximumMember2021-01-012021-12-310001333986us-gaap:OtherPostretirementBenefitPlansDefinedBenefitMembersrt:MinimumMember2022-12-310001333986us-gaap:OtherPostretirementBenefitPlansDefinedBenefitMembersrt:MinimumMember2021-</w:t>
      </w:r>
      <w:r>
        <w:rPr>
          <w:rFonts w:eastAsia="Times New Roman"/>
          <w:vanish/>
        </w:rPr>
        <w:t>12-310001333986srt:MaximumMemberus-gaap:OtherPostretirementBenefitPlansDefinedBenefitMember2022-12-310001333986srt:MaximumMemberus-gaap:OtherPostretirementBenefitPlansDefinedBenefitMember2021-12-310001333986us-gaap:OtherPostretirementBenefitPlansDefinedBen</w:t>
      </w:r>
      <w:r>
        <w:rPr>
          <w:rFonts w:eastAsia="Times New Roman"/>
          <w:vanish/>
        </w:rPr>
        <w:t>efitMembersrt:MinimumMember2022-01-012022-12-310001333986us-gaap:OtherPostretirementBenefitPlansDefinedBenefitMembersrt:MinimumMember2021-01-012021-12-310001333986srt:MaximumMemberus-gaap:OtherPostretirementBenefitPlansDefinedBenefitMember2022-01-012022-12</w:t>
      </w:r>
      <w:r>
        <w:rPr>
          <w:rFonts w:eastAsia="Times New Roman"/>
          <w:vanish/>
        </w:rPr>
        <w:t>-310001333986srt:MaximumMemberus-gaap:OtherPostretirementBenefitPlansDefinedBenefitMember2021-01-012021-12-310001333986eqh:PerformanceUnitPlansCombinedMember2022-01-012022-12-310001333986eqh:PerformanceUnitPlansCombinedMember2021-01-012021-12-310001333986e</w:t>
      </w:r>
      <w:r>
        <w:rPr>
          <w:rFonts w:eastAsia="Times New Roman"/>
          <w:vanish/>
        </w:rPr>
        <w:t>qh:PerformanceUnitPlansCombinedMember2020-01-012020-12-310001333986eqh:StockOptionPlanMember2022-01-012022-12-310001333986eqh:StockOptionPlanMember2021-01-012021-12-310001333986eqh:StockOptionPlanMember2020-01-012020-12-310001333986us-gaap:RestrictedStockU</w:t>
      </w:r>
      <w:r>
        <w:rPr>
          <w:rFonts w:eastAsia="Times New Roman"/>
          <w:vanish/>
        </w:rPr>
        <w:t>nitsRSUMember2022-01-012022-12-310001333986us-gaap:RestrictedStockUnitsRSUMember2021-01-012021-12-310001333986us-gaap:RestrictedStockUnitsRSUMember2020-01-012020-12-310001333986eqh:OmnibusPlansMember2022-12-310001333986us-gaap:RestrictedStockUnitsRSUMember</w:t>
      </w:r>
      <w:r>
        <w:rPr>
          <w:rFonts w:eastAsia="Times New Roman"/>
          <w:vanish/>
        </w:rPr>
        <w:t>eqh:AnnualAwardsMember2022-01-012022-12-310001333986us-gaap:EmployeeStockOptionMembereqh:AnnualAwardsMember2022-01-012022-12-310001333986us-gaap:PerformanceSharesMembereqh:AnnualAwardsMember2022-01-012022-12-31eqh:tranche0001333986us-gaap:PerformanceShares</w:t>
      </w:r>
      <w:r>
        <w:rPr>
          <w:rFonts w:eastAsia="Times New Roman"/>
          <w:vanish/>
        </w:rPr>
        <w:t>Membereqh:AnnualAwardsMembersrt:MinimumMember2022-01-012022-12-310001333986us-gaap:PerformanceSharesMembersrt:MaximumMembereqh:AnnualAwardsMember2022-01-012022-12-310001333986eqh:Plan2017Member2022-12-310001333986eqh:NewlyIssuedABHoldingUnitsMembereqh:Plan</w:t>
      </w:r>
      <w:r>
        <w:rPr>
          <w:rFonts w:eastAsia="Times New Roman"/>
          <w:vanish/>
        </w:rPr>
        <w:t>2017Member2022-12-310001333986eqh:AllianceBernsteinMembereqh:EmployeesandDirectorsMember2022-01-012022-12-310001333986eqh:AllianceBernsteinMembereqh:EmployeesandDirectorsMember2021-01-012021-12-310001333986eqh:AllianceBernsteinMembereqh:EmployeesandDirecto</w:t>
      </w:r>
      <w:r>
        <w:rPr>
          <w:rFonts w:eastAsia="Times New Roman"/>
          <w:vanish/>
        </w:rPr>
        <w:t>rsMember2020-01-012020-12-310001333986eqh:NewlyIssuedABHoldingUnitsMembereqh:Plan2017SubjectToOtherHoldingUnitAwardsMember2022-12-310001333986srt:ParentCompanyMemberus-gaap:EmployeeStockOptionMember2021-12-310001333986srt:ParentCompanyMembereqh:AllianceBer</w:t>
      </w:r>
      <w:r>
        <w:rPr>
          <w:rFonts w:eastAsia="Times New Roman"/>
          <w:vanish/>
        </w:rPr>
        <w:t>nsteinHoldingUnitsMember2021-12-310001333986srt:ParentCompanyMembereqh:AxaOrdinarySharesMember2021-12-31iso4217:EURxbrli:shares0001333986srt:ParentCompanyMemberus-gaap:EmployeeStockOptionMember2022-01-012022-12-310001333986srt:ParentCompanyMembereqh:Allian</w:t>
      </w:r>
      <w:r>
        <w:rPr>
          <w:rFonts w:eastAsia="Times New Roman"/>
          <w:vanish/>
        </w:rPr>
        <w:t>ceBernsteinHoldingUnitsMember2022-01-012022-12-310001333986srt:ParentCompanyMembereqh:AxaOrdinarySharesMember2022-01-012022-12-310001333986srt:ParentCompanyMemberus-gaap:EmployeeStockOptionMember2022-12-310001333986srt:ParentCompanyMembereqh:AllianceBernst</w:t>
      </w:r>
      <w:r>
        <w:rPr>
          <w:rFonts w:eastAsia="Times New Roman"/>
          <w:vanish/>
        </w:rPr>
        <w:t>einHoldingUnitsMember2022-12-310001333986srt:ParentCompanyMembereqh:AxaOrdinarySharesMember2022-12-31iso4217:EUR0001333986srt:ParentCompanyMemberus-gaap:EmployeeStockOptionMember2021-01-012021-12-310001333986srt:ParentCompanyMemberus-gaap:EmployeeStockOpti</w:t>
      </w:r>
      <w:r>
        <w:rPr>
          <w:rFonts w:eastAsia="Times New Roman"/>
          <w:vanish/>
        </w:rPr>
        <w:t>onMember2020-01-012020-12-310001333986eqh:StockOptionPlanMember2022-12-310001333986srt:ParentCompanyMembereqh:StockOptionPlanMember2022-12-310001333986srt:ParentCompanyMembereqh:StockOptionPlanMember2022-01-012022-12-310001333986srt:ParentCompanyMemberus-g</w:t>
      </w:r>
      <w:r>
        <w:rPr>
          <w:rFonts w:eastAsia="Times New Roman"/>
          <w:vanish/>
        </w:rPr>
        <w:t>aap:RestrictedStockUnitsRSUMember2022-12-310001333986srt:ParentCompanyMembereqh:ABHoldingMember2022-12-310001333986srt:ParentCompanyMembereqh:ABHoldingMember2022-01-012022-12-310001333986us-gaap:RestrictedStockUnitsRSUMember2021-12-310001333986us-gaap:Rest</w:t>
      </w:r>
      <w:r>
        <w:rPr>
          <w:rFonts w:eastAsia="Times New Roman"/>
          <w:vanish/>
        </w:rPr>
        <w:t>rictedStockUnitsRSUMember2022-12-310001333986us-gaap:PerformanceSharesMembersrt:ParentCompanyMember2022-12-310001333986us-gaap:PerformanceSharesMember2021-12-310001333986us-gaap:PerformanceSharesMembersrt:ParentCompanyMember2021-12-310001333986us-gaap:Perf</w:t>
      </w:r>
      <w:r>
        <w:rPr>
          <w:rFonts w:eastAsia="Times New Roman"/>
          <w:vanish/>
        </w:rPr>
        <w:t>ormanceSharesMember2022-01-012022-12-310001333986us-gaap:PerformanceSharesMembersrt:ParentCompanyMember2022-01-012022-12-310001333986us-gaap:PerformanceSharesMember2022-12-310001333986us-gaap:ShareBasedCompensationAwardTrancheOneMemberus-gaap:EmployeeStock</w:t>
      </w:r>
      <w:r>
        <w:rPr>
          <w:rFonts w:eastAsia="Times New Roman"/>
          <w:vanish/>
        </w:rPr>
        <w:t>OptionMember2022-01-012022-12-310001333986us-gaap:ShareBasedCompensationAwardTrancheTwoMemberus-gaap:EmployeeStockOptionMember2022-01-012022-12-310001333986us-gaap:ShareBasedCompensationAwardTrancheThreeMemberus-gaap:EmployeeStockOptionMember2022-01-012022</w:t>
      </w:r>
      <w:r>
        <w:rPr>
          <w:rFonts w:eastAsia="Times New Roman"/>
          <w:vanish/>
        </w:rPr>
        <w:t>-12-310001333986eqh:ROEPerformanceSharesMember2022-01-012022-12-310001333986eqh:TSRPerformanceSharePlanMember2022-01-012022-12-310001333986srt:ParentCompanyMemberus-gaap:RestrictedStockUnitsRSUMember2022-01-012022-12-310001333986us-gaap:ForeignCountryMembe</w:t>
      </w:r>
      <w:r>
        <w:rPr>
          <w:rFonts w:eastAsia="Times New Roman"/>
          <w:vanish/>
        </w:rPr>
        <w:t>r2022-01-012022-12-310001333986us-gaap:ForeignCountryMember2021-01-012021-12-310001333986us-gaap:ForeignCountryMember2020-01-012020-12-3100013339862020-10-012020-12-310001333986eqh:BrachFamilyFoundationLitigationMember2016-02-290001333986eqh:EquitableFinan</w:t>
      </w:r>
      <w:r>
        <w:rPr>
          <w:rFonts w:eastAsia="Times New Roman"/>
          <w:vanish/>
        </w:rPr>
        <w:t>cialMember2016-02-29eqh:federalAction0001333986eqh:EquitableFinancialMemberstpr:NY2016-02-29eqh:legalAction0001333986eqh:PreCapitalizedTrustSecuritiesTrancheOneMember2019-04-012019-04-300001333986eqh:PreCapitalizedTrustSecuritiesTrancheTwoMember2019-04-012</w:t>
      </w:r>
      <w:r>
        <w:rPr>
          <w:rFonts w:eastAsia="Times New Roman"/>
          <w:vanish/>
        </w:rPr>
        <w:t>019-04-300001333986us-gaap:FederalHomeLoanBankCertificatesAndObligationsFHLBMembereqh:ShortTermFundingAgreementsMaturingInLessThanOneYearMember2021-12-310001333986us-gaap:FederalHomeLoanBankCertificatesAndObligationsFHLBMembereqh:ShortTermFundingAgreements</w:t>
      </w:r>
      <w:r>
        <w:rPr>
          <w:rFonts w:eastAsia="Times New Roman"/>
          <w:vanish/>
        </w:rPr>
        <w:t>MaturingInLessThanOneYearMember2022-01-012022-12-310001333986us-gaap:FederalHomeLoanBankCertificatesAndObligationsFHLBMembereqh:ShortTermFundingAgreementsMaturingInLessThanOneYearMember2022-12-310001333986eqh:LongTermFundingAgreementsMaturingBetweenTwoAndF</w:t>
      </w:r>
      <w:r>
        <w:rPr>
          <w:rFonts w:eastAsia="Times New Roman"/>
          <w:vanish/>
        </w:rPr>
        <w:t>iveYearsMemberus-gaap:FederalHomeLoanBankCertificatesAndObligationsFHLBMember2021-12-310001333986eqh:LongTermFundingAgreementsMaturingBetweenTwoAndFiveYearsMemberus-gaap:FederalHomeLoanBankCertificatesAndObligationsFHLBMember2022-01-012022-12-310001333986e</w:t>
      </w:r>
      <w:r>
        <w:rPr>
          <w:rFonts w:eastAsia="Times New Roman"/>
          <w:vanish/>
        </w:rPr>
        <w:t>qh:LongTermFundingAgreementsMaturingBetweenTwoAndFiveYearsMemberus-gaap:FederalHomeLoanBankCertificatesAndObligationsFHLBMember2022-12-310001333986us-gaap:FederalHomeLoanBankCertificatesAndObligationsFHLBMembereqh:LongTermFundingAgreementsMaturingInGreater</w:t>
      </w:r>
      <w:r>
        <w:rPr>
          <w:rFonts w:eastAsia="Times New Roman"/>
          <w:vanish/>
        </w:rPr>
        <w:t>ThanFiveYearsMember2021-12-310001333986us-gaap:FederalHomeLoanBankCertificatesAndObligationsFHLBMembereqh:LongTermFundingAgreementsMaturingInGreaterThanFiveYearsMember2022-01-012022-12-310001333986us-gaap:FederalHomeLoanBankCertificatesAndObligationsFHLBMe</w:t>
      </w:r>
      <w:r>
        <w:rPr>
          <w:rFonts w:eastAsia="Times New Roman"/>
          <w:vanish/>
        </w:rPr>
        <w:t>mbereqh:LongTermFundingAgreementsMaturingInGreaterThanFiveYearsMember2022-12-310001333986eqh:LongTermFundingAgreementsMemberus-gaap:FederalHomeLoanBankCertificatesAndObligationsFHLBMember2021-12-310001333986eqh:LongTermFundingAgreementsMemberus-gaap:Federa</w:t>
      </w:r>
      <w:r>
        <w:rPr>
          <w:rFonts w:eastAsia="Times New Roman"/>
          <w:vanish/>
        </w:rPr>
        <w:t>lHomeLoanBankCertificatesAndObligationsFHLBMember2022-01-012022-12-310001333986eqh:LongTermFundingAgreementsMemberus-gaap:FederalHomeLoanBankCertificatesAndObligationsFHLBMember2022-12-310001333986us-gaap:FederalHomeLoanBankCertificatesAndObligationsFHLBMe</w:t>
      </w:r>
      <w:r>
        <w:rPr>
          <w:rFonts w:eastAsia="Times New Roman"/>
          <w:vanish/>
        </w:rPr>
        <w:t>mber2021-12-310001333986us-gaap:FederalHomeLoanBankCertificatesAndObligationsFHLBMember2022-01-012022-12-310001333986us-gaap:FederalHomeLoanBankCertificatesAndObligationsFHLBMember2022-12-310001333986eqh:TrustNotesMember2022-12-310001333986eqh:FundingAgree</w:t>
      </w:r>
      <w:r>
        <w:rPr>
          <w:rFonts w:eastAsia="Times New Roman"/>
          <w:vanish/>
        </w:rPr>
        <w:t>mentBackedNotesProgramFABNMembereqh:ShortTermFundingAgreementsMaturingInLessThanOneYearMember2021-12-310001333986eqh:FundingAgreementBackedNotesProgramFABNMembereqh:ShortTermFundingAgreementsMaturingInLessThanOneYearMember2022-01-012022-12-310001333986eqh:</w:t>
      </w:r>
      <w:r>
        <w:rPr>
          <w:rFonts w:eastAsia="Times New Roman"/>
          <w:vanish/>
        </w:rPr>
        <w:t>FundingAgreementBackedNotesProgramFABNMembereqh:ShortTermFundingAgreementsMaturingInLessThanOneYearMember2022-12-310001333986eqh:LongTermFundingAgreementsMaturingBetweenTwoAndFiveYearsMembereqh:FundingAgreementBackedNotesProgramFABNMember2021-12-3100013339</w:t>
      </w:r>
      <w:r>
        <w:rPr>
          <w:rFonts w:eastAsia="Times New Roman"/>
          <w:vanish/>
        </w:rPr>
        <w:t>86eqh:LongTermFundingAgreementsMaturingBetweenTwoAndFiveYearsMembereqh:FundingAgreementBackedNotesProgramFABNMember2022-01-012022-12-310001333986eqh:LongTermFundingAgreementsMaturingBetweenTwoAndFiveYearsMembereqh:FundingAgreementBackedNotesProgramFABNMemb</w:t>
      </w:r>
      <w:r>
        <w:rPr>
          <w:rFonts w:eastAsia="Times New Roman"/>
          <w:vanish/>
        </w:rPr>
        <w:t>er2022-12-310001333986eqh:FundingAgreementBackedNotesProgramFABNMembereqh:LongTermFundingAgreementsMaturingInGreaterThanFiveYearsMember2021-12-310001333986eqh:FundingAgreementBackedNotesProgramFABNMembereqh:LongTermFundingAgreementsMaturingInGreaterThanFiv</w:t>
      </w:r>
      <w:r>
        <w:rPr>
          <w:rFonts w:eastAsia="Times New Roman"/>
          <w:vanish/>
        </w:rPr>
        <w:t>eYearsMember2022-01-012022-12-310001333986eqh:FundingAgreementBackedNotesProgramFABNMembereqh:LongTermFundingAgreementsMaturingInGreaterThanFiveYearsMember2022-12-310001333986eqh:FundingAgreementBackedNotesProgramFABNMembereqh:LongTermFundingAgreementsMemb</w:t>
      </w:r>
      <w:r>
        <w:rPr>
          <w:rFonts w:eastAsia="Times New Roman"/>
          <w:vanish/>
        </w:rPr>
        <w:t>er2021-12-310001333986eqh:FundingAgreementBackedNotesProgramFABNMembereqh:LongTermFundingAgreementsMember2022-01-012022-12-310001333986eqh:FundingAgreementBackedNotesProgramFABNMembereqh:LongTermFundingAgreementsMember2022-12-310001333986eqh:FundingAgreeme</w:t>
      </w:r>
      <w:r>
        <w:rPr>
          <w:rFonts w:eastAsia="Times New Roman"/>
          <w:vanish/>
        </w:rPr>
        <w:t>ntBackedNotesProgramFABNMember2021-12-310001333986eqh:FundingAgreementBackedNotesProgramFABNMember2022-01-012022-12-310001333986eqh:FundingAgreementBackedNotesProgramFABNMember2022-12-310001333986us-gaap:RevolvingCreditFacilityMember2022-12-310001333986us-</w:t>
      </w:r>
      <w:r>
        <w:rPr>
          <w:rFonts w:eastAsia="Times New Roman"/>
          <w:vanish/>
        </w:rPr>
        <w:t>gaap:SubsequentEventMember2023-01-012023-02-170001333986eqh:EQAZLifeReMember2022-12-310001333986eqh:HoldingsRevolvingCreditFacilityMemberus-gaap:RevolvingCreditFacilityMembereqh:EQAZLifeReMember2022-12-31eqh:prescribedAndPermittedPractice0001333986eqh:Stat</w:t>
      </w:r>
      <w:r>
        <w:rPr>
          <w:rFonts w:eastAsia="Times New Roman"/>
          <w:vanish/>
        </w:rPr>
        <w:t>ementOfStatutoryAccountingPrinciples108Member2022-12-310001333986eqh:StatementOfStatutoryAccountingPrinciples108Member2022-10-012022-12-310001333986eqh:StatementOfStatutoryAccountingPrinciples108Member2022-01-012022-12-310001333986eqh:StatementOfStatutoryA</w:t>
      </w:r>
      <w:r>
        <w:rPr>
          <w:rFonts w:eastAsia="Times New Roman"/>
          <w:vanish/>
        </w:rPr>
        <w:t>ccountingPrinciples108Member2021-09-300001333986eqh:RegulationNumber213Member2022-01-012022-12-310001333986eqh:RegulationNumber213Member2022-09-300001333986eqh:RegulationNumber213WithSeperateAccountsMember2022-01-012022-12-310001333986us-gaap:MaterialRecon</w:t>
      </w:r>
      <w:r>
        <w:rPr>
          <w:rFonts w:eastAsia="Times New Roman"/>
          <w:vanish/>
        </w:rPr>
        <w:t>cilingItemsMember2022-01-012022-12-310001333986us-gaap:MaterialReconcilingItemsMember2021-01-012021-12-310001333986us-gaap:MaterialReconcilingItemsMember2020-01-012020-12-310001333986us-gaap:OperatingSegmentsMembereqh:IndividualRetirementMember2022-01-0120</w:t>
      </w:r>
      <w:r>
        <w:rPr>
          <w:rFonts w:eastAsia="Times New Roman"/>
          <w:vanish/>
        </w:rPr>
        <w:t>22-12-310001333986us-gaap:OperatingSegmentsMembereqh:IndividualRetirementMember2021-01-012021-12-310001333986us-gaap:OperatingSegmentsMembereqh:IndividualRetirementMember2020-01-012020-12-310001333986eqh:GroupRetirementMemberus-gaap:OperatingSegmentsMember</w:t>
      </w:r>
      <w:r>
        <w:rPr>
          <w:rFonts w:eastAsia="Times New Roman"/>
          <w:vanish/>
        </w:rPr>
        <w:t>2022-01-012022-12-310001333986eqh:GroupRetirementMemberus-gaap:OperatingSegmentsMember2021-01-012021-12-310001333986eqh:GroupRetirementMemberus-gaap:OperatingSegmentsMember2020-01-012020-12-310001333986us-gaap:OperatingSegmentsMembereqh:InvestmentManagemen</w:t>
      </w:r>
      <w:r>
        <w:rPr>
          <w:rFonts w:eastAsia="Times New Roman"/>
          <w:vanish/>
        </w:rPr>
        <w:t>tAndResearchMember2022-01-012022-12-310001333986us-gaap:OperatingSegmentsMembereqh:InvestmentManagementAndResearchMember2021-01-012021-12-310001333986us-gaap:OperatingSegmentsMembereqh:InvestmentManagementAndResearchMember2020-01-012020-12-310001333986eqh:</w:t>
      </w:r>
      <w:r>
        <w:rPr>
          <w:rFonts w:eastAsia="Times New Roman"/>
          <w:vanish/>
        </w:rPr>
        <w:t>ProtectionSolutionsMemberus-gaap:OperatingSegmentsMember2022-01-012022-12-310001333986eqh:ProtectionSolutionsMemberus-gaap:OperatingSegmentsMember2021-01-012021-12-310001333986eqh:ProtectionSolutionsMemberus-gaap:OperatingSegmentsMember2020-01-012020-12-31</w:t>
      </w:r>
      <w:r>
        <w:rPr>
          <w:rFonts w:eastAsia="Times New Roman"/>
          <w:vanish/>
        </w:rPr>
        <w:t>0001333986us-gaap:CorporateNonSegmentMember2022-01-012022-12-310001333986us-gaap:CorporateNonSegmentMember2021-01-012021-12-310001333986us-gaap:CorporateNonSegmentMember2020-01-012020-12-310001333986us-gaap:MaterialReconcilingItemsMember2020-01-012020-03-3</w:t>
      </w:r>
      <w:r>
        <w:rPr>
          <w:rFonts w:eastAsia="Times New Roman"/>
          <w:vanish/>
        </w:rPr>
        <w:t>10001333986us-gaap:MaterialReconcilingItemsMembereqh:NonGuaranteedMinimumWithdrawalBenefitMember2022-01-012022-12-310001333986us-gaap:MaterialReconcilingItemsMembereqh:NonGuaranteedMinimumWithdrawalBenefitMember2021-01-012021-12-310001333986us-gaap:Materia</w:t>
      </w:r>
      <w:r>
        <w:rPr>
          <w:rFonts w:eastAsia="Times New Roman"/>
          <w:vanish/>
        </w:rPr>
        <w:t>lReconcilingItemsMembereqh:NonGuaranteedMinimumWithdrawalBenefitMember2020-01-012020-12-310001333986us-gaap:IntersegmentEliminationMember2022-01-012022-12-310001333986us-gaap:IntersegmentEliminationMember2021-01-012021-12-310001333986us-gaap:IntersegmentEl</w:t>
      </w:r>
      <w:r>
        <w:rPr>
          <w:rFonts w:eastAsia="Times New Roman"/>
          <w:vanish/>
        </w:rPr>
        <w:t>iminationMember2020-01-012020-12-310001333986us-gaap:IntersegmentEliminationMemberus-gaap:InvestmentAdviceMember2022-01-012022-12-310001333986us-gaap:IntersegmentEliminationMemberus-gaap:InvestmentAdviceMember2021-01-012021-12-310001333986us-gaap:Intersegm</w:t>
      </w:r>
      <w:r>
        <w:rPr>
          <w:rFonts w:eastAsia="Times New Roman"/>
          <w:vanish/>
        </w:rPr>
        <w:t>entEliminationMemberus-gaap:InvestmentAdviceMember2020-01-012020-12-310001333986us-gaap:OperatingSegmentsMembereqh:IndividualRetirementMember2022-12-310001333986us-gaap:OperatingSegmentsMembereqh:IndividualRetirementMember2021-12-310001333986eqh:GroupRetir</w:t>
      </w:r>
      <w:r>
        <w:rPr>
          <w:rFonts w:eastAsia="Times New Roman"/>
          <w:vanish/>
        </w:rPr>
        <w:t>ementMemberus-gaap:OperatingSegmentsMember2022-12-310001333986eqh:GroupRetirementMemberus-gaap:OperatingSegmentsMember2021-12-310001333986us-gaap:OperatingSegmentsMembereqh:InvestmentManagementAndResearchMember2022-12-310001333986us-gaap:OperatingSegmentsM</w:t>
      </w:r>
      <w:r>
        <w:rPr>
          <w:rFonts w:eastAsia="Times New Roman"/>
          <w:vanish/>
        </w:rPr>
        <w:t>embereqh:InvestmentManagementAndResearchMember2021-12-310001333986eqh:ProtectionSolutionsMemberus-gaap:OperatingSegmentsMember2022-12-310001333986eqh:ProtectionSolutionsMemberus-gaap:OperatingSegmentsMember2021-12-310001333986us-gaap:CorporateNonSegmentMem</w:t>
      </w:r>
      <w:r>
        <w:rPr>
          <w:rFonts w:eastAsia="Times New Roman"/>
          <w:vanish/>
        </w:rPr>
        <w:t>ber2022-12-310001333986us-gaap:CorporateNonSegmentMember2021-12-310001333986us-gaap:SeriesAPreferredStockMember2022-12-310001333986us-gaap:SeriesAPreferredStockMember2021-12-310001333986us-gaap:SeriesBPreferredStockMember2022-12-310001333986us-gaap:SeriesB</w:t>
      </w:r>
      <w:r>
        <w:rPr>
          <w:rFonts w:eastAsia="Times New Roman"/>
          <w:vanish/>
        </w:rPr>
        <w:t>PreferredStockMember2021-12-310001333986us-gaap:SeriesCPreferredStockMember2022-12-310001333986us-gaap:SeriesCPreferredStockMember2021-12-310001333986us-gaap:SeriesAPreferredStockMember2019-11-012019-12-310001333986us-gaap:SeriesAPreferredStockMember2019-1</w:t>
      </w:r>
      <w:r>
        <w:rPr>
          <w:rFonts w:eastAsia="Times New Roman"/>
          <w:vanish/>
        </w:rPr>
        <w:t>2-310001333986us-gaap:SeriesAPreferredStockMembersrt:ScenarioForecastMember2024-12-150001333986us-gaap:SeriesAPreferredStockMembersrt:ScenarioForecastMember2024-12-242024-12-240001333986us-gaap:SeriesAPreferredStockMembersrt:ScenarioForecastMember2024-12-2</w:t>
      </w:r>
      <w:r>
        <w:rPr>
          <w:rFonts w:eastAsia="Times New Roman"/>
          <w:vanish/>
        </w:rPr>
        <w:t>40001333986us-gaap:SeriesBPreferredStockMember2020-08-112020-08-110001333986us-gaap:SeriesBPreferredStockMember2020-08-110001333986srt:ScenarioForecastMemberus-gaap:SeriesBPreferredStockMember2025-12-152025-12-150001333986us-gaap:SeriesCPreferredStockMembe</w:t>
      </w:r>
      <w:r>
        <w:rPr>
          <w:rFonts w:eastAsia="Times New Roman"/>
          <w:vanish/>
        </w:rPr>
        <w:t>r2021-01-082021-01-080001333986us-gaap:SeriesCPreferredStockMember2021-01-080001333986us-gaap:SeriesAPreferredStockMember2022-01-012022-12-310001333986us-gaap:SeriesAPreferredStockMember2021-01-012021-12-310001333986us-gaap:SeriesAPreferredStockMember2020-</w:t>
      </w:r>
      <w:r>
        <w:rPr>
          <w:rFonts w:eastAsia="Times New Roman"/>
          <w:vanish/>
        </w:rPr>
        <w:t>01-012020-12-310001333986us-gaap:SeriesBPreferredStockMember2022-01-012022-12-310001333986us-gaap:SeriesBPreferredStockMember2021-01-012021-12-310001333986us-gaap:SeriesBPreferredStockMember2020-01-012020-12-310001333986us-gaap:SeriesCPreferredStockMember2</w:t>
      </w:r>
      <w:r>
        <w:rPr>
          <w:rFonts w:eastAsia="Times New Roman"/>
          <w:vanish/>
        </w:rPr>
        <w:t>022-01-012022-12-310001333986us-gaap:SeriesCPreferredStockMember2021-01-012021-12-310001333986us-gaap:SeriesCPreferredStockMember2020-01-012020-12-3100013339862022-02-090001333986eqh:AcceleratedShareRepurchaseAgreementMember2022-01-012022-12-310001333986eq</w:t>
      </w:r>
      <w:r>
        <w:rPr>
          <w:rFonts w:eastAsia="Times New Roman"/>
          <w:vanish/>
        </w:rPr>
        <w:t>h:AcceleratedShareRepurchaseAgreementMember2021-01-012021-12-310001333986eqh:AcceleratedShareRepurchaseAgreementMember2020-01-012020-12-310001333986eqh:AcceleratedShareRepurchaseAgreementApril2022Member2022-04-300001333986eqh:AcceleratedShareRepurchaseAgre</w:t>
      </w:r>
      <w:r>
        <w:rPr>
          <w:rFonts w:eastAsia="Times New Roman"/>
          <w:vanish/>
        </w:rPr>
        <w:t>ementApril2022Member2022-04-012022-04-300001333986eqh:AcceleratedShareRepurchaseAgreementMay2022Member2022-05-310001333986eqh:AcceleratedShareRepurchaseAgreementMay2022Member2022-05-012022-05-310001333986eqh:AcceleratedShareRepurchaseAgreementApril2022Memb</w:t>
      </w:r>
      <w:r>
        <w:rPr>
          <w:rFonts w:eastAsia="Times New Roman"/>
          <w:vanish/>
        </w:rPr>
        <w:t>er2022-05-310001333986eqh:AcceleratedShareRepurchaseAgreementApril2022Member2022-09-300001333986eqh:AcceleratedShareRepurchaseAgreementApril2022Member2022-09-012022-09-300001333986eqh:AcceleratedShareRepurchaseAgreementApril2022Member2022-11-300001333986eq</w:t>
      </w:r>
      <w:r>
        <w:rPr>
          <w:rFonts w:eastAsia="Times New Roman"/>
          <w:vanish/>
        </w:rPr>
        <w:t>h:AcceleratedShareRepurchaseAgreementMay2022Member2022-12-310001333986eqh:AcceleratedShareRepurchaseAgreementApril2022Member2022-12-012022-12-310001333986eqh:AcceleratedShareRepurchaseAgreementApril2022Member2022-12-310001333986eqh:ABHoldingMember2022-11-2</w:t>
      </w:r>
      <w:r>
        <w:rPr>
          <w:rFonts w:eastAsia="Times New Roman"/>
          <w:vanish/>
        </w:rPr>
        <w:t>20001333986eqh:SocieteGeneraleMember2022-11-2200013339862022-11-222022-11-220001333986eqh:CorporateSolutionsLifeReinsuranceCompanyMemberus-gaap:DisposalGroupHeldForSaleOrDisposedOfBySaleNotDiscontinuedOperationsMember2022-12-310001333986eqh:CorporateSoluti</w:t>
      </w:r>
      <w:r>
        <w:rPr>
          <w:rFonts w:eastAsia="Times New Roman"/>
          <w:vanish/>
        </w:rPr>
        <w:t>onsLifeReinsuranceCompanyMemberus-gaap:DisposalGroupHeldForSaleOrDisposedOfBySaleNotDiscontinuedOperationsMember2022-01-012022-12-310001333986eqh:CorporateSolutionsLifeReinsuranceCompanyMemberus-gaap:DisposalGroupHeldForSaleOrDisposedOfBySaleNotDiscontinue</w:t>
      </w:r>
      <w:r>
        <w:rPr>
          <w:rFonts w:eastAsia="Times New Roman"/>
          <w:vanish/>
        </w:rPr>
        <w:t>dOperationsMember2020-01-012020-12-310001333986eqh:CorporateSolutionsLifeReinsuranceCompanyMemberus-gaap:DisposalGroupHeldForSaleOrDisposedOfBySaleNotDiscontinuedOperationsMember2021-06-012021-06-010001333986eqh:CorporateSolutionsLifeReinsuranceCompanyMemb</w:t>
      </w:r>
      <w:r>
        <w:rPr>
          <w:rFonts w:eastAsia="Times New Roman"/>
          <w:vanish/>
        </w:rPr>
        <w:t>erus-gaap:DisposalGroupHeldForSaleOrDisposedOfBySaleNotDiscontinuedOperationsMember2021-01-012021-12-310001333986us-gaap:SubsequentEventMemberus-gaap:SeniorNotesMembereqh:SeniorNotesDue2023Member2023-01-110001333986us-gaap:SubsequentEventMemberus-gaap:Seni</w:t>
      </w:r>
      <w:r>
        <w:rPr>
          <w:rFonts w:eastAsia="Times New Roman"/>
          <w:vanish/>
        </w:rPr>
        <w:t>orNotesMembereqh:SeniorNotesDue2023Member2023-01-112023-01-110001333986us-gaap:SubsequentEventMember2023-02-090001333986eqh:AcceleratedShareRepurchaseAgreementMemberus-gaap:SubsequentEventMember2023-01-310001333986eqh:AcceleratedShareRepurchaseAgreementMem</w:t>
      </w:r>
      <w:r>
        <w:rPr>
          <w:rFonts w:eastAsia="Times New Roman"/>
          <w:vanish/>
        </w:rPr>
        <w:t>berus-gaap:SubsequentEventMember2023-01-012023-01-310001333986us-gaap:USTreasuryAndGovernmentMember2022-12-310001333986us-gaap:USStatesAndPoliticalSubdivisionsMember2022-12-310001333986us-gaap:ForeignGovernmentDebtMember2022-12-310001333986us-gaap:PublicUt</w:t>
      </w:r>
      <w:r>
        <w:rPr>
          <w:rFonts w:eastAsia="Times New Roman"/>
          <w:vanish/>
        </w:rPr>
        <w:t>ilityBondsMember2022-12-310001333986us-gaap:AllOtherCorporateBondsMember2022-12-310001333986us-gaap:ResidentialMortgageBackedSecuritiesMember2022-12-310001333986us-gaap:AssetBackedSecuritiesMember2022-12-310001333986us-gaap:CommercialMortgageBackedSecuriti</w:t>
      </w:r>
      <w:r>
        <w:rPr>
          <w:rFonts w:eastAsia="Times New Roman"/>
          <w:vanish/>
        </w:rPr>
        <w:t>esMember2022-12-310001333986us-gaap:RedeemablePreferredStockMember2022-12-310001333986us-gaap:FixedMaturitiesMember2022-12-310001333986eqh:FixedMaturitiesAtFairValueUsingTheFairValueOptionMember2022-12-310001333986us-gaap:MortgagesMember2022-12-31000133398</w:t>
      </w:r>
      <w:r>
        <w:rPr>
          <w:rFonts w:eastAsia="Times New Roman"/>
          <w:vanish/>
        </w:rPr>
        <w:t>6us-gaap:PolicyLoansMember2022-12-310001333986eqh:OtherLimitedPartnershipInterestsAndEquityInvestmentsMember2022-12-310001333986us-gaap:TradingAssetsExcludingDebtAndEquitySecuritiesMember2022-12-310001333986eqh:OtherInvestedAssetsMember2022-12-310001333986</w:t>
      </w:r>
      <w:r>
        <w:rPr>
          <w:rFonts w:eastAsia="Times New Roman"/>
          <w:vanish/>
        </w:rPr>
        <w:t>srt:ParentCompanyMember2022-12-310001333986srt:ParentCompanyMember2021-12-310001333986srt:ParentCompanyMember2022-01-012022-12-310001333986srt:ParentCompanyMember2021-01-012021-12-310001333986srt:ParentCompanyMember2020-01-012020-12-310001333986srt:ParentC</w:t>
      </w:r>
      <w:r>
        <w:rPr>
          <w:rFonts w:eastAsia="Times New Roman"/>
          <w:vanish/>
        </w:rPr>
        <w:t>ompanyMember2020-12-310001333986srt:ParentCompanyMember2019-12-310001333986srt:ParentCompanyMembereqh:EQHFacilityMember2019-11-040001333986srt:ParentCompanyMembereqh:EQHFacilityMember2022-12-310001333986srt:ParentCompanyMembereqh:EQHFacilityMember2021-12-3</w:t>
      </w:r>
      <w:r>
        <w:rPr>
          <w:rFonts w:eastAsia="Times New Roman"/>
          <w:vanish/>
        </w:rPr>
        <w:t>10001333986srt:ParentCompanyMembereqh:EQHFacilityMember2022-01-012022-12-310001333986srt:ParentCompanyMembereqh:EQHFacilityMember2021-01-012021-12-310001333986eqh:TermLoanTenYearsMembersrt:ParentCompanyMember2021-06-012021-06-300001333986eqh:TermLoanTenYea</w:t>
      </w:r>
      <w:r>
        <w:rPr>
          <w:rFonts w:eastAsia="Times New Roman"/>
          <w:vanish/>
        </w:rPr>
        <w:t>rsMembersrt:ParentCompanyMember2021-06-300001333986eqh:TermLoanTenYearsMembersrt:ParentCompanyMember2022-01-012022-12-310001333986eqh:TermLoanTenYearsMembersrt:ParentCompanyMember2021-01-012021-12-310001333986eqh:LoanFromRelatedParty133Membersrt:ParentComp</w:t>
      </w:r>
      <w:r>
        <w:rPr>
          <w:rFonts w:eastAsia="Times New Roman"/>
          <w:vanish/>
        </w:rPr>
        <w:t>anyMember2019-11-012019-11-300001333986eqh:LoanFromRelatedParty133Membersrt:ParentCompanyMemberus-gaap:LondonInterbankOfferedRateLIBORMember2019-11-012019-11-300001333986eqh:LoanFromRelatedParty133Membersrt:ParentCompanyMemberus-gaap:LondonInterbankOffered</w:t>
      </w:r>
      <w:r>
        <w:rPr>
          <w:rFonts w:eastAsia="Times New Roman"/>
          <w:vanish/>
        </w:rPr>
        <w:t>RateLIBORMember2021-01-012021-12-310001333986eqh:LoanFromRelatedParty133Membersrt:ParentCompanyMemberus-gaap:LondonInterbankOfferedRateLIBORMember2022-01-012022-12-310001333986eqh:InsuranceMemberus-gaap:OperatingSegmentsMember2022-12-310001333986eqh:Insura</w:t>
      </w:r>
      <w:r>
        <w:rPr>
          <w:rFonts w:eastAsia="Times New Roman"/>
          <w:vanish/>
        </w:rPr>
        <w:t>nceMemberus-gaap:OperatingSegmentsMember2022-01-012022-12-310001333986eqh:InsuranceMemberus-gaap:OperatingSegmentsMember2021-12-310001333986eqh:InsuranceMemberus-gaap:OperatingSegmentsMember2021-01-012021-12-310001333986eqh:InsuranceMemberus-gaap:Operating</w:t>
      </w:r>
      <w:r>
        <w:rPr>
          <w:rFonts w:eastAsia="Times New Roman"/>
          <w:vanish/>
        </w:rPr>
        <w:t>SegmentsMember2020-12-310001333986eqh:GroupRetirementMemberus-gaap:OperatingSegmentsMember2020-12-310001333986us-gaap:OperatingSegmentsMembereqh:InvestmentManagementAndResearchMember2020-12-310001333986eqh:ProtectionSolutionsMemberus-gaap:OperatingSegments</w:t>
      </w:r>
      <w:r>
        <w:rPr>
          <w:rFonts w:eastAsia="Times New Roman"/>
          <w:vanish/>
        </w:rPr>
        <w:t>Member2020-12-310001333986us-gaap:CorporateNonSegmentMember2020-12-310001333986eqh:InsuranceMemberus-gaap:OperatingSegmentsMember2020-01-012020-12-310001333986eqh:LifeInsuranceAndAnnuitiesSegmentMember2022-01-012022-12-310001333986us-gaap:AccidentAndHealth</w:t>
      </w:r>
      <w:r>
        <w:rPr>
          <w:rFonts w:eastAsia="Times New Roman"/>
          <w:vanish/>
        </w:rPr>
        <w:t>InsuranceSegmentMember2022-01-012022-12-310001333986eqh:LifeInsuranceAndAnnuitiesSegmentMember2021-01-012021-12-310001333986us-gaap:AccidentAndHealthInsuranceSegmentMember2021-01-012021-12-310001333986eqh:LifeInsuranceAndAnnuitiesSegmentMember2020-01-01202</w:t>
      </w:r>
      <w:r>
        <w:rPr>
          <w:rFonts w:eastAsia="Times New Roman"/>
          <w:vanish/>
        </w:rPr>
        <w:t>0-12-310001333986us-gaap:AccidentAndHealthInsuranceSegmentMember2020-01-012020-12-31</w:t>
      </w:r>
    </w:p>
    <w:p w:rsidR="00000000" w:rsidRDefault="00E54EC0">
      <w:pPr>
        <w:divId w:val="843738714"/>
        <w:rPr>
          <w:rFonts w:eastAsia="Times New Roman"/>
        </w:rPr>
      </w:pPr>
    </w:p>
    <w:p w:rsidR="00000000" w:rsidRDefault="00E54EC0">
      <w:pPr>
        <w:divId w:val="480997557"/>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jc w:val="center"/>
        <w:rPr>
          <w:rFonts w:eastAsia="Times New Roman"/>
        </w:rPr>
      </w:pPr>
      <w:r>
        <w:rPr>
          <w:rFonts w:eastAsia="Times New Roman"/>
          <w:b/>
          <w:bCs/>
          <w:color w:val="000000"/>
        </w:rPr>
        <w:t>UNITED STATES</w:t>
      </w:r>
    </w:p>
    <w:p w:rsidR="00000000" w:rsidRDefault="00E54EC0">
      <w:pPr>
        <w:jc w:val="center"/>
        <w:rPr>
          <w:rFonts w:eastAsia="Times New Roman"/>
        </w:rPr>
      </w:pPr>
      <w:r>
        <w:rPr>
          <w:rFonts w:eastAsia="Times New Roman"/>
          <w:b/>
          <w:bCs/>
          <w:color w:val="000000"/>
        </w:rPr>
        <w:t>SECURITIES AND EXCHANGE COMMISSION</w:t>
      </w:r>
    </w:p>
    <w:p w:rsidR="00000000" w:rsidRDefault="00E54EC0">
      <w:pPr>
        <w:jc w:val="center"/>
        <w:rPr>
          <w:rFonts w:eastAsia="Times New Roman"/>
        </w:rPr>
      </w:pPr>
      <w:r>
        <w:rPr>
          <w:rFonts w:eastAsia="Times New Roman"/>
          <w:b/>
          <w:bCs/>
          <w:color w:val="000000"/>
        </w:rPr>
        <w:t>Washington, D.C. 20549</w:t>
      </w:r>
    </w:p>
    <w:p w:rsidR="00000000" w:rsidRDefault="00E54EC0">
      <w:pPr>
        <w:jc w:val="center"/>
        <w:rPr>
          <w:rFonts w:eastAsia="Times New Roman"/>
        </w:rPr>
      </w:pPr>
      <w:r>
        <w:rPr>
          <w:rFonts w:eastAsia="Times New Roman"/>
          <w:b/>
          <w:bCs/>
          <w:color w:val="000000"/>
          <w:sz w:val="18"/>
          <w:szCs w:val="18"/>
        </w:rPr>
        <w:t>———————————————</w:t>
      </w:r>
    </w:p>
    <w:p w:rsidR="00000000" w:rsidRDefault="00E54EC0">
      <w:pPr>
        <w:jc w:val="center"/>
        <w:rPr>
          <w:rFonts w:eastAsia="Times New Roman"/>
        </w:rPr>
      </w:pPr>
      <w:r>
        <w:rPr>
          <w:rFonts w:eastAsia="Times New Roman"/>
          <w:b/>
          <w:bCs/>
          <w:color w:val="000000"/>
        </w:rPr>
        <w:t>FOR</w:t>
      </w:r>
      <w:r>
        <w:rPr>
          <w:rFonts w:eastAsia="Times New Roman"/>
          <w:b/>
          <w:bCs/>
          <w:color w:val="000000"/>
        </w:rPr>
        <w:t>M 10-K</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259527655"/>
          <w:jc w:val="center"/>
        </w:trPr>
        <w:tc>
          <w:tcPr>
            <w:tcW w:w="50" w:type="pct"/>
            <w:vAlign w:val="center"/>
            <w:hideMark/>
          </w:tcPr>
          <w:p w:rsidR="00000000" w:rsidRDefault="00E54EC0">
            <w:pPr>
              <w:jc w:val="center"/>
              <w:rPr>
                <w:rFonts w:eastAsia="Times New Roman"/>
              </w:rPr>
            </w:pPr>
          </w:p>
        </w:tc>
        <w:tc>
          <w:tcPr>
            <w:tcW w:w="1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6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59527655"/>
          <w:jc w:val="center"/>
        </w:trPr>
        <w:tc>
          <w:tcPr>
            <w:tcW w:w="0" w:type="auto"/>
            <w:gridSpan w:val="3"/>
            <w:tcMar>
              <w:top w:w="30" w:type="dxa"/>
              <w:left w:w="20" w:type="dxa"/>
              <w:bottom w:w="30" w:type="dxa"/>
              <w:right w:w="20" w:type="dxa"/>
            </w:tcMar>
            <w:hideMark/>
          </w:tcPr>
          <w:p w:rsidR="00000000" w:rsidRDefault="00E54EC0">
            <w:pPr>
              <w:spacing w:after="100"/>
              <w:jc w:val="center"/>
              <w:divId w:val="2045329641"/>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b/>
                <w:bCs/>
                <w:color w:val="000000"/>
                <w:sz w:val="18"/>
                <w:szCs w:val="18"/>
              </w:rPr>
              <w:t>ANNUAL REPORT PURSUANT TO SECTION 13 OR 15(d) OF THE SECURITIES EXCHANGE ACT OF 1934</w:t>
            </w:r>
          </w:p>
        </w:tc>
      </w:tr>
    </w:tbl>
    <w:p w:rsidR="00000000" w:rsidRDefault="00E54EC0">
      <w:pPr>
        <w:jc w:val="center"/>
        <w:divId w:val="33387792"/>
        <w:rPr>
          <w:rFonts w:eastAsia="Times New Roman"/>
        </w:rPr>
      </w:pPr>
      <w:r>
        <w:rPr>
          <w:rFonts w:eastAsia="Times New Roman"/>
          <w:b/>
          <w:bCs/>
          <w:color w:val="000000"/>
          <w:sz w:val="18"/>
          <w:szCs w:val="18"/>
        </w:rPr>
        <w:t>For the fiscal year ended December 31, 2022 </w:t>
      </w:r>
    </w:p>
    <w:p w:rsidR="00000000" w:rsidRDefault="00E54EC0">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582057918"/>
          <w:jc w:val="center"/>
        </w:trPr>
        <w:tc>
          <w:tcPr>
            <w:tcW w:w="50" w:type="pct"/>
            <w:vAlign w:val="center"/>
            <w:hideMark/>
          </w:tcPr>
          <w:p w:rsidR="00000000" w:rsidRDefault="00E54EC0">
            <w:pPr>
              <w:jc w:val="center"/>
              <w:rPr>
                <w:rFonts w:eastAsia="Times New Roman"/>
              </w:rPr>
            </w:pPr>
          </w:p>
        </w:tc>
        <w:tc>
          <w:tcPr>
            <w:tcW w:w="1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6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82057918"/>
          <w:jc w:val="center"/>
        </w:trPr>
        <w:tc>
          <w:tcPr>
            <w:tcW w:w="0" w:type="auto"/>
            <w:gridSpan w:val="3"/>
            <w:tcMar>
              <w:top w:w="30" w:type="dxa"/>
              <w:left w:w="20" w:type="dxa"/>
              <w:bottom w:w="30" w:type="dxa"/>
              <w:right w:w="20" w:type="dxa"/>
            </w:tcMar>
            <w:hideMark/>
          </w:tcPr>
          <w:p w:rsidR="00000000" w:rsidRDefault="00E54EC0">
            <w:pPr>
              <w:spacing w:after="100"/>
              <w:jc w:val="center"/>
              <w:divId w:val="283850810"/>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E54EC0">
      <w:pPr>
        <w:jc w:val="center"/>
        <w:divId w:val="646403171"/>
        <w:rPr>
          <w:rFonts w:eastAsia="Times New Roman"/>
        </w:rPr>
      </w:pPr>
      <w:r>
        <w:rPr>
          <w:rFonts w:eastAsia="Times New Roman"/>
          <w:b/>
          <w:bCs/>
          <w:color w:val="000000"/>
          <w:sz w:val="18"/>
          <w:szCs w:val="18"/>
        </w:rPr>
        <w:t>For the transition period from              to</w:t>
      </w:r>
    </w:p>
    <w:p w:rsidR="00000000" w:rsidRDefault="00E54EC0">
      <w:pPr>
        <w:jc w:val="center"/>
        <w:divId w:val="48844383"/>
        <w:rPr>
          <w:rFonts w:eastAsia="Times New Roman"/>
        </w:rPr>
      </w:pPr>
      <w:r>
        <w:rPr>
          <w:rFonts w:eastAsia="Times New Roman"/>
          <w:b/>
          <w:bCs/>
          <w:color w:val="000000"/>
          <w:sz w:val="20"/>
          <w:szCs w:val="20"/>
        </w:rPr>
        <w:t>Commission File No. 001-38469</w:t>
      </w:r>
    </w:p>
    <w:p w:rsidR="00000000" w:rsidRDefault="00E54EC0">
      <w:pPr>
        <w:jc w:val="center"/>
        <w:rPr>
          <w:rFonts w:eastAsia="Times New Roman"/>
        </w:rPr>
      </w:pPr>
      <w:r>
        <w:rPr>
          <w:rFonts w:eastAsia="Times New Roman"/>
          <w:b/>
          <w:bCs/>
          <w:color w:val="000000"/>
          <w:sz w:val="18"/>
          <w:szCs w:val="18"/>
        </w:rPr>
        <w:t>————————————————</w:t>
      </w:r>
    </w:p>
    <w:p w:rsidR="00000000" w:rsidRDefault="00E54EC0">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jc w:val="center"/>
        <w:rPr>
          <w:rFonts w:eastAsia="Times New Roman"/>
        </w:rPr>
      </w:pPr>
      <w:r>
        <w:rPr>
          <w:rFonts w:eastAsia="Times New Roman"/>
          <w:b/>
          <w:bCs/>
          <w:color w:val="000000"/>
          <w:sz w:val="36"/>
          <w:szCs w:val="36"/>
        </w:rPr>
        <w:t>Equitable Holdings,</w:t>
      </w:r>
      <w:r>
        <w:rPr>
          <w:rFonts w:eastAsia="Times New Roman"/>
          <w:b/>
          <w:bCs/>
          <w:color w:val="000000"/>
          <w:sz w:val="36"/>
          <w:szCs w:val="36"/>
        </w:rPr>
        <w:t xml:space="preserve"> Inc.</w:t>
      </w:r>
      <w:r>
        <w:rPr>
          <w:rFonts w:eastAsia="Times New Roman"/>
          <w:b/>
          <w:bCs/>
          <w:color w:val="000000"/>
          <w:sz w:val="44"/>
          <w:szCs w:val="44"/>
        </w:rPr>
        <w:t xml:space="preserve"> </w:t>
      </w:r>
    </w:p>
    <w:p w:rsidR="00000000" w:rsidRDefault="00E54EC0">
      <w:pPr>
        <w:jc w:val="center"/>
        <w:divId w:val="1142305885"/>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1582982815"/>
        </w:trPr>
        <w:tc>
          <w:tcPr>
            <w:tcW w:w="50" w:type="pct"/>
            <w:vAlign w:val="center"/>
            <w:hideMark/>
          </w:tcPr>
          <w:p w:rsidR="00000000" w:rsidRDefault="00E54EC0">
            <w:pPr>
              <w:jc w:val="center"/>
              <w:rPr>
                <w:rFonts w:eastAsia="Times New Roman"/>
              </w:rPr>
            </w:pPr>
          </w:p>
        </w:tc>
        <w:tc>
          <w:tcPr>
            <w:tcW w:w="24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3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8298281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90-0226248</w:t>
            </w:r>
          </w:p>
        </w:tc>
      </w:tr>
      <w:tr w:rsidR="00000000">
        <w:trPr>
          <w:divId w:val="158298281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(I.R.S. Employer Identification No.)</w:t>
            </w:r>
          </w:p>
        </w:tc>
      </w:tr>
    </w:tbl>
    <w:p w:rsidR="00000000" w:rsidRDefault="00E54EC0">
      <w:pPr>
        <w:divId w:val="151409807"/>
        <w:rPr>
          <w:rFonts w:eastAsia="Times New Roman"/>
        </w:rPr>
      </w:pPr>
      <w:r>
        <w:rPr>
          <w:rFonts w:eastAsia="Times New Roman"/>
          <w:b/>
          <w:bCs/>
          <w:color w:val="000000"/>
          <w:sz w:val="20"/>
          <w:szCs w:val="20"/>
        </w:rPr>
        <w:t xml:space="preserve">1290 Avenue of the Americas, New York, New York                 10104 </w:t>
      </w:r>
    </w:p>
    <w:p w:rsidR="00000000" w:rsidRDefault="00E54EC0">
      <w:pPr>
        <w:divId w:val="61611324"/>
        <w:rPr>
          <w:rFonts w:eastAsia="Times New Roman"/>
        </w:rPr>
      </w:pPr>
      <w:r>
        <w:rPr>
          <w:rFonts w:eastAsia="Times New Roman"/>
          <w:color w:val="000000"/>
          <w:sz w:val="16"/>
          <w:szCs w:val="16"/>
        </w:rPr>
        <w:t>(Address of principal executive offices) (Zip Code)</w:t>
      </w:r>
    </w:p>
    <w:p w:rsidR="00000000" w:rsidRDefault="00E54EC0">
      <w:pPr>
        <w:divId w:val="335235789"/>
        <w:rPr>
          <w:rFonts w:eastAsia="Times New Roman"/>
        </w:rPr>
      </w:pPr>
    </w:p>
    <w:p w:rsidR="00000000" w:rsidRDefault="00E54EC0">
      <w:pPr>
        <w:jc w:val="center"/>
        <w:rPr>
          <w:rFonts w:eastAsia="Times New Roman"/>
        </w:rPr>
      </w:pPr>
      <w:r>
        <w:rPr>
          <w:rFonts w:eastAsia="Times New Roman"/>
          <w:b/>
          <w:bCs/>
          <w:color w:val="000000"/>
          <w:sz w:val="20"/>
          <w:szCs w:val="20"/>
        </w:rPr>
        <w:t>(212) 554-1234</w:t>
      </w:r>
    </w:p>
    <w:p w:rsidR="00000000" w:rsidRDefault="00E54EC0">
      <w:pPr>
        <w:jc w:val="center"/>
        <w:divId w:val="696002668"/>
        <w:rPr>
          <w:rFonts w:eastAsia="Times New Roman"/>
        </w:rPr>
      </w:pPr>
      <w:r>
        <w:rPr>
          <w:rFonts w:eastAsia="Times New Roman"/>
          <w:color w:val="000000"/>
          <w:sz w:val="16"/>
          <w:szCs w:val="16"/>
        </w:rPr>
        <w:t>(Registrant’s telephone number, including area code)</w:t>
      </w:r>
    </w:p>
    <w:p w:rsidR="00000000" w:rsidRDefault="00E54EC0">
      <w:pPr>
        <w:divId w:val="1226717169"/>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2142846579"/>
          <w:jc w:val="center"/>
        </w:trPr>
        <w:tc>
          <w:tcPr>
            <w:tcW w:w="50" w:type="pct"/>
            <w:vAlign w:val="center"/>
            <w:hideMark/>
          </w:tcPr>
          <w:p w:rsidR="00000000" w:rsidRDefault="00E54EC0">
            <w:pPr>
              <w:rPr>
                <w:rFonts w:eastAsia="Times New Roman"/>
              </w:rPr>
            </w:pPr>
          </w:p>
        </w:tc>
        <w:tc>
          <w:tcPr>
            <w:tcW w:w="177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3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58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142846579"/>
          <w:jc w:val="center"/>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2142846579"/>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New York Stock Exchange</w:t>
            </w:r>
          </w:p>
        </w:tc>
      </w:tr>
      <w:tr w:rsidR="00000000">
        <w:trPr>
          <w:divId w:val="2142846579"/>
          <w:jc w:val="center"/>
        </w:trPr>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New York Stock Exchange</w:t>
            </w:r>
          </w:p>
        </w:tc>
      </w:tr>
      <w:tr w:rsidR="00000000">
        <w:trPr>
          <w:divId w:val="2142846579"/>
          <w:jc w:val="center"/>
        </w:trPr>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New York Stock Exchange</w:t>
            </w:r>
          </w:p>
        </w:tc>
      </w:tr>
    </w:tbl>
    <w:p w:rsidR="00000000" w:rsidRDefault="00E54EC0">
      <w:pPr>
        <w:divId w:val="1464730136"/>
        <w:rPr>
          <w:rFonts w:eastAsia="Times New Roman"/>
        </w:rPr>
      </w:pPr>
      <w:r>
        <w:rPr>
          <w:rFonts w:eastAsia="Times New Roman"/>
          <w:color w:val="000000"/>
          <w:sz w:val="16"/>
          <w:szCs w:val="16"/>
        </w:rPr>
        <w:t>Securities registered pursuant to Section 12(g) of the Act: None</w:t>
      </w:r>
    </w:p>
    <w:p w:rsidR="00000000" w:rsidRDefault="00E54EC0">
      <w:pPr>
        <w:divId w:val="1792505625"/>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ascii="Arial" w:eastAsia="Times New Roman" w:hAnsi="Arial" w:cs="Arial"/>
          <w:b/>
          <w:bCs/>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E54EC0">
      <w:pPr>
        <w:divId w:val="568417407"/>
        <w:rPr>
          <w:rFonts w:eastAsia="Times New Roman"/>
        </w:rPr>
      </w:pPr>
      <w:r>
        <w:rPr>
          <w:rFonts w:eastAsia="Times New Roman"/>
          <w:color w:val="000000"/>
          <w:sz w:val="16"/>
          <w:szCs w:val="16"/>
        </w:rPr>
        <w:t>Indicate by check mark if the registrant is not require</w:t>
      </w:r>
      <w:r>
        <w:rPr>
          <w:rFonts w:eastAsia="Times New Roman"/>
          <w:color w:val="000000"/>
          <w:sz w:val="16"/>
          <w:szCs w:val="16"/>
        </w:rPr>
        <w:t>d to file reports pursuant to Section 13 or Section 15(d) of the Act. Yes </w:t>
      </w:r>
      <w:r>
        <w:rPr>
          <w:rFonts w:ascii="Segoe UI Symbol" w:eastAsia="Times New Roman" w:hAnsi="Segoe UI Symbol" w:cs="Segoe UI Symbol"/>
          <w:color w:val="000000"/>
          <w:sz w:val="16"/>
          <w:szCs w:val="16"/>
        </w:rPr>
        <w:t>☐</w:t>
      </w:r>
      <w:r>
        <w:rPr>
          <w:rFonts w:ascii="Arial" w:eastAsia="Times New Roman" w:hAnsi="Arial" w:cs="Arial"/>
          <w:b/>
          <w:bCs/>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E54EC0">
      <w:pPr>
        <w:divId w:val="331220091"/>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w:t>
      </w:r>
      <w:r>
        <w:rPr>
          <w:rFonts w:eastAsia="Times New Roman"/>
          <w:color w:val="000000"/>
          <w:sz w:val="16"/>
          <w:szCs w:val="16"/>
        </w:rPr>
        <w:t>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E54EC0">
      <w:pPr>
        <w:divId w:val="1983382507"/>
        <w:rPr>
          <w:rFonts w:eastAsia="Times New Roman"/>
        </w:rPr>
      </w:pPr>
      <w:r>
        <w:rPr>
          <w:rFonts w:eastAsia="Times New Roman"/>
          <w:color w:val="000000"/>
          <w:sz w:val="16"/>
          <w:szCs w:val="16"/>
        </w:rPr>
        <w:t>Indicate by check mark whether the registrant has submitted electr</w:t>
      </w:r>
      <w:r>
        <w:rPr>
          <w:rFonts w:eastAsia="Times New Roman"/>
          <w:color w:val="000000"/>
          <w:sz w:val="16"/>
          <w:szCs w:val="16"/>
        </w:rPr>
        <w:t>onically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E54EC0">
      <w:pPr>
        <w:divId w:val="1491679921"/>
        <w:rPr>
          <w:rFonts w:eastAsia="Times New Roman"/>
        </w:rPr>
      </w:pPr>
      <w:r>
        <w:rPr>
          <w:rFonts w:eastAsia="Times New Roman"/>
          <w:color w:val="000000"/>
          <w:sz w:val="16"/>
          <w:szCs w:val="16"/>
        </w:rPr>
        <w:lastRenderedPageBreak/>
        <w:t xml:space="preserve">Indicate by check mark whether the registrant is a large accelerated filer, an accelerated filer, a non-accelerated filer, a smaller reporting company or an “emerging growth company”. See definition of “accelerated filer,” “large accelerated filer,” </w:t>
      </w:r>
      <w:r>
        <w:rPr>
          <w:rFonts w:eastAsia="Times New Roman"/>
          <w:color w:val="000000"/>
          <w:sz w:val="16"/>
          <w:szCs w:val="16"/>
        </w:rPr>
        <w:t>“smaller reporting company” and “emerging growth company” in Rule 12b-2 of the Exchange Act.</w:t>
      </w:r>
    </w:p>
    <w:tbl>
      <w:tblPr>
        <w:tblW w:w="4678" w:type="pct"/>
        <w:tblCellMar>
          <w:top w:w="15" w:type="dxa"/>
          <w:left w:w="15" w:type="dxa"/>
          <w:bottom w:w="15" w:type="dxa"/>
          <w:right w:w="15" w:type="dxa"/>
        </w:tblCellMar>
        <w:tblLook w:val="04A0" w:firstRow="1" w:lastRow="0" w:firstColumn="1" w:lastColumn="0" w:noHBand="0" w:noVBand="1"/>
      </w:tblPr>
      <w:tblGrid>
        <w:gridCol w:w="48"/>
        <w:gridCol w:w="1062"/>
        <w:gridCol w:w="36"/>
        <w:gridCol w:w="37"/>
        <w:gridCol w:w="113"/>
        <w:gridCol w:w="36"/>
        <w:gridCol w:w="82"/>
        <w:gridCol w:w="1021"/>
        <w:gridCol w:w="36"/>
        <w:gridCol w:w="37"/>
        <w:gridCol w:w="113"/>
        <w:gridCol w:w="36"/>
        <w:gridCol w:w="46"/>
        <w:gridCol w:w="1103"/>
        <w:gridCol w:w="36"/>
        <w:gridCol w:w="37"/>
        <w:gridCol w:w="114"/>
        <w:gridCol w:w="36"/>
        <w:gridCol w:w="90"/>
        <w:gridCol w:w="1693"/>
        <w:gridCol w:w="36"/>
        <w:gridCol w:w="37"/>
        <w:gridCol w:w="114"/>
        <w:gridCol w:w="36"/>
        <w:gridCol w:w="37"/>
        <w:gridCol w:w="1476"/>
        <w:gridCol w:w="36"/>
        <w:gridCol w:w="37"/>
        <w:gridCol w:w="114"/>
        <w:gridCol w:w="36"/>
      </w:tblGrid>
      <w:tr w:rsidR="00000000">
        <w:trPr>
          <w:divId w:val="767192477"/>
        </w:trPr>
        <w:tc>
          <w:tcPr>
            <w:tcW w:w="50" w:type="pct"/>
            <w:vAlign w:val="center"/>
            <w:hideMark/>
          </w:tcPr>
          <w:p w:rsidR="00000000" w:rsidRDefault="00E54EC0">
            <w:pPr>
              <w:rPr>
                <w:rFonts w:eastAsia="Times New Roman"/>
              </w:rPr>
            </w:pPr>
          </w:p>
        </w:tc>
        <w:tc>
          <w:tcPr>
            <w:tcW w:w="7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7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00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67192477"/>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E54EC0">
            <w:pPr>
              <w:spacing w:after="100"/>
              <w:divId w:val="958533913"/>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E54EC0">
            <w:pPr>
              <w:spacing w:after="100"/>
              <w:divId w:val="1983197313"/>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E54EC0">
            <w:pPr>
              <w:spacing w:after="100"/>
              <w:divId w:val="1732845224"/>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E54EC0">
            <w:pPr>
              <w:spacing w:after="100"/>
              <w:divId w:val="358820939"/>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E54EC0">
            <w:pPr>
              <w:spacing w:after="100"/>
              <w:divId w:val="1042941866"/>
              <w:rPr>
                <w:rFonts w:eastAsia="Times New Roman"/>
              </w:rPr>
            </w:pPr>
            <w:r>
              <w:rPr>
                <w:rFonts w:ascii="Wingdings" w:eastAsia="Times New Roman" w:hAnsi="Wingdings"/>
                <w:color w:val="000000"/>
                <w:sz w:val="16"/>
                <w:szCs w:val="16"/>
              </w:rPr>
              <w:t>☐</w:t>
            </w:r>
          </w:p>
        </w:tc>
      </w:tr>
      <w:tr w:rsidR="00000000">
        <w:trPr>
          <w:divId w:val="767192477"/>
        </w:trPr>
        <w:tc>
          <w:tcPr>
            <w:tcW w:w="0" w:type="auto"/>
            <w:gridSpan w:val="30"/>
            <w:tcMar>
              <w:top w:w="30" w:type="dxa"/>
              <w:left w:w="20" w:type="dxa"/>
              <w:bottom w:w="30" w:type="dxa"/>
              <w:right w:w="20" w:type="dxa"/>
            </w:tcMar>
            <w:vAlign w:val="center"/>
            <w:hideMark/>
          </w:tcPr>
          <w:p w:rsidR="00000000" w:rsidRDefault="00E54EC0">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o</w:t>
            </w:r>
          </w:p>
        </w:tc>
      </w:tr>
    </w:tbl>
    <w:p w:rsidR="00000000" w:rsidRDefault="00E54EC0">
      <w:pPr>
        <w:divId w:val="1046831884"/>
        <w:rPr>
          <w:rFonts w:eastAsia="Times New Roman"/>
        </w:rPr>
      </w:pPr>
      <w:r>
        <w:rPr>
          <w:rFonts w:eastAsia="Times New Roman"/>
          <w:color w:val="000000"/>
          <w:sz w:val="16"/>
          <w:szCs w:val="16"/>
        </w:rPr>
        <w:t xml:space="preserve">Indicate by check mark whether the registrant has </w:t>
      </w:r>
      <w:r>
        <w:rPr>
          <w:rFonts w:eastAsia="Times New Roman"/>
          <w:color w:val="000000"/>
          <w:sz w:val="16"/>
          <w:szCs w:val="16"/>
        </w:rPr>
        <w:t>ﬁ</w:t>
      </w:r>
      <w:r>
        <w:rPr>
          <w:rFonts w:eastAsia="Times New Roman"/>
          <w:color w:val="000000"/>
          <w:sz w:val="16"/>
          <w:szCs w:val="16"/>
        </w:rPr>
        <w:t>led a report on and attestation to its management’s assessment of the e</w:t>
      </w:r>
      <w:r>
        <w:rPr>
          <w:rFonts w:eastAsia="Times New Roman"/>
          <w:color w:val="000000"/>
          <w:sz w:val="16"/>
          <w:szCs w:val="16"/>
        </w:rPr>
        <w:t>ﬀ</w:t>
      </w:r>
      <w:r>
        <w:rPr>
          <w:rFonts w:eastAsia="Times New Roman"/>
          <w:color w:val="000000"/>
          <w:sz w:val="16"/>
          <w:szCs w:val="16"/>
        </w:rPr>
        <w:t xml:space="preserve">ectiveness of its internal control over </w:t>
      </w:r>
      <w:r>
        <w:rPr>
          <w:rFonts w:eastAsia="Times New Roman"/>
          <w:color w:val="000000"/>
          <w:sz w:val="16"/>
          <w:szCs w:val="16"/>
        </w:rPr>
        <w:t>ﬁ</w:t>
      </w:r>
      <w:r>
        <w:rPr>
          <w:rFonts w:eastAsia="Times New Roman"/>
          <w:color w:val="000000"/>
          <w:sz w:val="16"/>
          <w:szCs w:val="16"/>
        </w:rPr>
        <w:t xml:space="preserve">nancial reporting under Section 404(b) of the Sarbanes-Oxley Act (15 U.S.C. 7262(b)) by the registered public accounting </w:t>
      </w:r>
      <w:r>
        <w:rPr>
          <w:rFonts w:eastAsia="Times New Roman"/>
          <w:color w:val="000000"/>
          <w:sz w:val="16"/>
          <w:szCs w:val="16"/>
        </w:rPr>
        <w:t>ﬁ</w:t>
      </w:r>
      <w:r>
        <w:rPr>
          <w:rFonts w:eastAsia="Times New Roman"/>
          <w:color w:val="000000"/>
          <w:sz w:val="16"/>
          <w:szCs w:val="16"/>
        </w:rPr>
        <w:t>rm that prepared or issued its audit report.  </w:t>
      </w:r>
      <w:r>
        <w:rPr>
          <w:rFonts w:ascii="Segoe UI Symbol" w:eastAsia="Times New Roman" w:hAnsi="Segoe UI Symbol" w:cs="Segoe UI Symbol"/>
          <w:color w:val="000000"/>
          <w:sz w:val="16"/>
          <w:szCs w:val="16"/>
        </w:rPr>
        <w:t>☒</w:t>
      </w:r>
    </w:p>
    <w:p w:rsidR="00000000" w:rsidRDefault="00E54EC0">
      <w:pPr>
        <w:divId w:val="1929267094"/>
        <w:rPr>
          <w:rFonts w:eastAsia="Times New Roman"/>
        </w:rPr>
      </w:pPr>
      <w:r>
        <w:rPr>
          <w:rFonts w:eastAsia="Times New Roman"/>
          <w:color w:val="000000"/>
          <w:sz w:val="16"/>
          <w:szCs w:val="16"/>
          <w:shd w:val="clear" w:color="auto" w:fill="FFFFFF"/>
        </w:rPr>
        <w:t xml:space="preserve">If securities are registered pursuant to Section 12(b) of the Act, indicate by check mark whether the financial statements of the registrant included in the filing reflect the correction of an error to previously issued financial statements. </w:t>
      </w:r>
      <w:r>
        <w:rPr>
          <w:rFonts w:ascii="Segoe UI Symbol" w:eastAsia="Times New Roman" w:hAnsi="Segoe UI Symbol" w:cs="Segoe UI Symbol"/>
          <w:color w:val="000000"/>
          <w:sz w:val="16"/>
          <w:szCs w:val="16"/>
          <w:shd w:val="clear" w:color="auto" w:fill="FFFFFF"/>
        </w:rPr>
        <w:t>☐</w:t>
      </w:r>
    </w:p>
    <w:p w:rsidR="00000000" w:rsidRDefault="00E54EC0">
      <w:pPr>
        <w:divId w:val="1913923704"/>
        <w:rPr>
          <w:rFonts w:eastAsia="Times New Roman"/>
        </w:rPr>
      </w:pPr>
    </w:p>
    <w:p w:rsidR="00000000" w:rsidRDefault="00E54EC0">
      <w:pPr>
        <w:rPr>
          <w:rFonts w:eastAsia="Times New Roman"/>
        </w:rPr>
      </w:pPr>
      <w:r>
        <w:rPr>
          <w:rFonts w:eastAsia="Times New Roman"/>
        </w:rPr>
        <w:pict>
          <v:rect id="_x0000_i1026" style="width:0;height:1.5pt" o:hralign="center" o:hrstd="t" o:hr="t" fillcolor="#a0a0a0" stroked="f"/>
        </w:pict>
      </w:r>
    </w:p>
    <w:p w:rsidR="00000000" w:rsidRDefault="00E54EC0">
      <w:pPr>
        <w:divId w:val="1679848955"/>
        <w:rPr>
          <w:rFonts w:eastAsia="Times New Roman"/>
        </w:rPr>
      </w:pPr>
    </w:p>
    <w:p w:rsidR="00000000" w:rsidRDefault="00E54EC0">
      <w:pPr>
        <w:divId w:val="1158226317"/>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divId w:val="1856727655"/>
        <w:rPr>
          <w:rFonts w:eastAsia="Times New Roman"/>
        </w:rPr>
      </w:pPr>
      <w:r>
        <w:rPr>
          <w:rFonts w:eastAsia="Times New Roman"/>
          <w:color w:val="000000"/>
          <w:sz w:val="16"/>
          <w:szCs w:val="16"/>
          <w:shd w:val="clear" w:color="auto" w:fill="FFFFFF"/>
        </w:rPr>
        <w:t>Indicate by check mark whether any of those error corrections are restatements that required a recovery analysis of incentive-based compensation recei</w:t>
      </w:r>
      <w:r>
        <w:rPr>
          <w:rFonts w:eastAsia="Times New Roman"/>
          <w:color w:val="000000"/>
          <w:sz w:val="16"/>
          <w:szCs w:val="16"/>
          <w:shd w:val="clear" w:color="auto" w:fill="FFFFFF"/>
        </w:rPr>
        <w:t xml:space="preserve">ved by any of the registrant’s executive officers during the relevant recovery period pursuant to §240.10D-1(b). </w:t>
      </w:r>
      <w:r>
        <w:rPr>
          <w:rFonts w:ascii="Segoe UI Symbol" w:eastAsia="Times New Roman" w:hAnsi="Segoe UI Symbol" w:cs="Segoe UI Symbol"/>
          <w:color w:val="000000"/>
          <w:sz w:val="16"/>
          <w:szCs w:val="16"/>
          <w:shd w:val="clear" w:color="auto" w:fill="FFFFFF"/>
        </w:rPr>
        <w:t>☐</w:t>
      </w:r>
      <w:r>
        <w:rPr>
          <w:rFonts w:eastAsia="Times New Roman"/>
          <w:color w:val="000000"/>
          <w:sz w:val="16"/>
          <w:szCs w:val="16"/>
          <w:shd w:val="clear" w:color="auto" w:fill="FFFFFF"/>
        </w:rPr>
        <w:t xml:space="preserve">  </w:t>
      </w:r>
    </w:p>
    <w:p w:rsidR="00000000" w:rsidRDefault="00E54EC0">
      <w:pPr>
        <w:divId w:val="582689644"/>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6"/>
          <w:szCs w:val="16"/>
        </w:rPr>
        <w:t>☒</w:t>
      </w:r>
    </w:p>
    <w:p w:rsidR="00000000" w:rsidRDefault="00E54EC0">
      <w:pPr>
        <w:jc w:val="both"/>
        <w:divId w:val="2070033199"/>
        <w:rPr>
          <w:rFonts w:eastAsia="Times New Roman"/>
        </w:rPr>
      </w:pPr>
      <w:r>
        <w:rPr>
          <w:rFonts w:eastAsia="Times New Roman"/>
          <w:color w:val="000000"/>
          <w:sz w:val="16"/>
          <w:szCs w:val="16"/>
        </w:rPr>
        <w:t>The aggregate m</w:t>
      </w:r>
      <w:r>
        <w:rPr>
          <w:rFonts w:eastAsia="Times New Roman"/>
          <w:color w:val="000000"/>
          <w:sz w:val="16"/>
          <w:szCs w:val="16"/>
        </w:rPr>
        <w:t>arket value of the voting and non-voting common equity held by non-affiliates of the registrant at June 30, 2022 was approximately $9.8 billion.</w:t>
      </w:r>
    </w:p>
    <w:p w:rsidR="00000000" w:rsidRDefault="00E54EC0">
      <w:pPr>
        <w:jc w:val="both"/>
        <w:divId w:val="920137270"/>
        <w:rPr>
          <w:rFonts w:eastAsia="Times New Roman"/>
        </w:rPr>
      </w:pPr>
      <w:r>
        <w:rPr>
          <w:rFonts w:eastAsia="Times New Roman"/>
          <w:color w:val="000000"/>
          <w:sz w:val="16"/>
          <w:szCs w:val="16"/>
        </w:rPr>
        <w:t>As of February 17, 2023, 361,809,749 shares of the registrant’s Common Stock, $0.01 par value, were outstanding</w:t>
      </w:r>
      <w:r>
        <w:rPr>
          <w:rFonts w:eastAsia="Times New Roman"/>
          <w:color w:val="000000"/>
          <w:sz w:val="16"/>
          <w:szCs w:val="16"/>
        </w:rPr>
        <w:t>.</w:t>
      </w:r>
    </w:p>
    <w:p w:rsidR="00000000" w:rsidRDefault="00E54EC0">
      <w:pPr>
        <w:jc w:val="center"/>
        <w:divId w:val="1959098829"/>
        <w:rPr>
          <w:rFonts w:eastAsia="Times New Roman"/>
        </w:rPr>
      </w:pPr>
      <w:r>
        <w:rPr>
          <w:rFonts w:eastAsia="Times New Roman"/>
          <w:b/>
          <w:bCs/>
          <w:color w:val="000000"/>
          <w:sz w:val="18"/>
          <w:szCs w:val="18"/>
        </w:rPr>
        <w:t>DOCUMENTS INCORPORATED BY REFERENCE</w:t>
      </w:r>
    </w:p>
    <w:p w:rsidR="00000000" w:rsidRDefault="00E54EC0">
      <w:pPr>
        <w:divId w:val="1755082395"/>
        <w:rPr>
          <w:rFonts w:eastAsia="Times New Roman"/>
        </w:rPr>
      </w:pPr>
      <w:r>
        <w:rPr>
          <w:rFonts w:eastAsia="Times New Roman"/>
          <w:color w:val="000000"/>
          <w:sz w:val="16"/>
          <w:szCs w:val="16"/>
        </w:rPr>
        <w:t>Portions of the registrant’s proxy statement relating to the 2023 Annual Meeting of Shareholders to be filed with the SEC within 120 days of the fiscal year ended December 31, 2022 (the “2023 Proxy Statement”) are inco</w:t>
      </w:r>
      <w:r>
        <w:rPr>
          <w:rFonts w:eastAsia="Times New Roman"/>
          <w:color w:val="000000"/>
          <w:sz w:val="16"/>
          <w:szCs w:val="16"/>
        </w:rPr>
        <w:t>rporated by reference into Part III of this Annual Report on Form 10-K.</w:t>
      </w:r>
    </w:p>
    <w:p w:rsidR="00000000" w:rsidRDefault="00E54EC0">
      <w:pPr>
        <w:divId w:val="1816602408"/>
        <w:rPr>
          <w:rFonts w:eastAsia="Times New Roman"/>
        </w:rPr>
      </w:pPr>
    </w:p>
    <w:p w:rsidR="00000000" w:rsidRDefault="00E54EC0">
      <w:pPr>
        <w:rPr>
          <w:rFonts w:eastAsia="Times New Roman"/>
        </w:rPr>
      </w:pPr>
      <w:r>
        <w:rPr>
          <w:rFonts w:eastAsia="Times New Roman"/>
        </w:rPr>
        <w:pict>
          <v:rect id="_x0000_i1027" style="width:0;height:1.5pt" o:hralign="center" o:hrstd="t" o:hr="t" fillcolor="#a0a0a0" stroked="f"/>
        </w:pict>
      </w:r>
    </w:p>
    <w:p w:rsidR="00000000" w:rsidRDefault="00E54EC0">
      <w:pPr>
        <w:divId w:val="880435821"/>
        <w:rPr>
          <w:rFonts w:eastAsia="Times New Roman"/>
        </w:rPr>
      </w:pPr>
    </w:p>
    <w:p w:rsidR="00000000" w:rsidRDefault="00E54EC0">
      <w:pPr>
        <w:divId w:val="599795149"/>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jc w:val="center"/>
        <w:divId w:val="1972515952"/>
        <w:rPr>
          <w:rFonts w:eastAsia="Times New Roman"/>
        </w:rPr>
      </w:pPr>
    </w:p>
    <w:p w:rsidR="00000000" w:rsidRDefault="00E54EC0">
      <w:pPr>
        <w:jc w:val="center"/>
        <w:divId w:val="1299648203"/>
        <w:rPr>
          <w:rFonts w:eastAsia="Times New Roman"/>
        </w:rPr>
      </w:pPr>
      <w:r>
        <w:rPr>
          <w:rFonts w:eastAsia="Times New Roman"/>
          <w:b/>
          <w:bCs/>
          <w:color w:val="000000"/>
          <w:sz w:val="20"/>
          <w:szCs w:val="20"/>
        </w:rPr>
        <w:t>TABLE OF CONTENTS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74"/>
        <w:gridCol w:w="870"/>
        <w:gridCol w:w="37"/>
        <w:gridCol w:w="68"/>
        <w:gridCol w:w="6612"/>
        <w:gridCol w:w="38"/>
        <w:gridCol w:w="69"/>
        <w:gridCol w:w="489"/>
        <w:gridCol w:w="36"/>
      </w:tblGrid>
      <w:tr w:rsidR="00000000">
        <w:trPr>
          <w:divId w:val="111481715"/>
          <w:jc w:val="center"/>
        </w:trPr>
        <w:tc>
          <w:tcPr>
            <w:tcW w:w="50" w:type="pct"/>
            <w:vAlign w:val="center"/>
            <w:hideMark/>
          </w:tcPr>
          <w:p w:rsidR="00000000" w:rsidRDefault="00E54EC0">
            <w:pPr>
              <w:jc w:val="center"/>
              <w:rPr>
                <w:rFonts w:eastAsia="Times New Roman"/>
              </w:rPr>
            </w:pPr>
          </w:p>
        </w:tc>
        <w:tc>
          <w:tcPr>
            <w:tcW w:w="5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20"/>
                <w:szCs w:val="20"/>
              </w:rPr>
              <w:t>Page</w:t>
            </w: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75172638"/>
              <w:rPr>
                <w:rFonts w:eastAsia="Times New Roman"/>
              </w:rPr>
            </w:pPr>
            <w:hyperlink w:anchor="ifa77335c8c4046aba89b8098f04be9d1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divId w:val="310214129"/>
              <w:rPr>
                <w:rFonts w:eastAsia="Times New Roman"/>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777871503"/>
              <w:rPr>
                <w:rFonts w:eastAsia="Times New Roman"/>
              </w:rPr>
            </w:pPr>
            <w:hyperlink w:anchor="ifa77335c8c4046aba89b8098f04be9d1_517"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E54EC0">
            <w:pPr>
              <w:spacing w:after="100"/>
              <w:divId w:val="1992713631"/>
              <w:rPr>
                <w:rFonts w:eastAsia="Times New Roman"/>
              </w:rPr>
            </w:pPr>
            <w:hyperlink w:anchor="ifa77335c8c4046aba89b8098f04be9d1_517"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17" w:history="1">
              <w:r>
                <w:rPr>
                  <w:rStyle w:val="a3"/>
                  <w:rFonts w:eastAsia="Times New Roman"/>
                  <w:sz w:val="20"/>
                  <w:szCs w:val="20"/>
                </w:rPr>
                <w:t>5</w:t>
              </w:r>
            </w:hyperlink>
          </w:p>
        </w:tc>
      </w:tr>
      <w:tr w:rsidR="00000000">
        <w:trPr>
          <w:divId w:val="111481715"/>
          <w:jc w:val="center"/>
        </w:trPr>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514467508"/>
              <w:rPr>
                <w:rFonts w:eastAsia="Times New Roman"/>
              </w:rPr>
            </w:pPr>
            <w:hyperlink w:anchor="ifa77335c8c4046aba89b8098f04be9d1_562"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E54EC0">
            <w:pPr>
              <w:spacing w:after="100"/>
              <w:divId w:val="1542551642"/>
              <w:rPr>
                <w:rFonts w:eastAsia="Times New Roman"/>
              </w:rPr>
            </w:pPr>
            <w:hyperlink w:anchor="ifa77335c8c4046aba89b8098f04be9d1_56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62" w:history="1">
              <w:r>
                <w:rPr>
                  <w:rStyle w:val="a3"/>
                  <w:rFonts w:eastAsia="Times New Roman"/>
                  <w:sz w:val="20"/>
                  <w:szCs w:val="20"/>
                </w:rPr>
                <w:t>55</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785395895"/>
              <w:rPr>
                <w:rFonts w:eastAsia="Times New Roman"/>
              </w:rPr>
            </w:pPr>
            <w:hyperlink w:anchor="ifa77335c8c4046aba89b8098f04be9d1_568" w:history="1">
              <w:r>
                <w:rPr>
                  <w:rStyle w:val="a3"/>
                  <w:rFonts w:eastAsia="Times New Roman"/>
                  <w:sz w:val="20"/>
                  <w:szCs w:val="20"/>
                </w:rPr>
                <w:t>Item 1B.</w:t>
              </w:r>
            </w:hyperlink>
          </w:p>
        </w:tc>
        <w:tc>
          <w:tcPr>
            <w:tcW w:w="0" w:type="auto"/>
            <w:gridSpan w:val="3"/>
            <w:tcMar>
              <w:top w:w="30" w:type="dxa"/>
              <w:left w:w="20" w:type="dxa"/>
              <w:bottom w:w="30" w:type="dxa"/>
              <w:right w:w="20" w:type="dxa"/>
            </w:tcMar>
            <w:vAlign w:val="center"/>
            <w:hideMark/>
          </w:tcPr>
          <w:p w:rsidR="00000000" w:rsidRDefault="00E54EC0">
            <w:pPr>
              <w:spacing w:after="100"/>
              <w:divId w:val="2025931992"/>
              <w:rPr>
                <w:rFonts w:eastAsia="Times New Roman"/>
              </w:rPr>
            </w:pPr>
            <w:hyperlink w:anchor="ifa77335c8c4046aba89b8098f04be9d1_568"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68" w:history="1">
              <w:r>
                <w:rPr>
                  <w:rStyle w:val="a3"/>
                  <w:rFonts w:eastAsia="Times New Roman"/>
                  <w:sz w:val="20"/>
                  <w:szCs w:val="20"/>
                </w:rPr>
                <w:t>70</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799766284"/>
              <w:rPr>
                <w:rFonts w:eastAsia="Times New Roman"/>
              </w:rPr>
            </w:pPr>
            <w:hyperlink w:anchor="ifa77335c8c4046aba89b8098f04be9d1_571"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E54EC0">
            <w:pPr>
              <w:spacing w:after="100"/>
              <w:divId w:val="883904427"/>
              <w:rPr>
                <w:rFonts w:eastAsia="Times New Roman"/>
              </w:rPr>
            </w:pPr>
            <w:hyperlink w:anchor="ifa77335c8c4046aba89b8098f04be9d1_571"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71" w:history="1">
              <w:r>
                <w:rPr>
                  <w:rStyle w:val="a3"/>
                  <w:rFonts w:eastAsia="Times New Roman"/>
                  <w:sz w:val="20"/>
                  <w:szCs w:val="20"/>
                </w:rPr>
                <w:t>70</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925794501"/>
              <w:rPr>
                <w:rFonts w:eastAsia="Times New Roman"/>
              </w:rPr>
            </w:pPr>
            <w:hyperlink w:anchor="ifa77335c8c4046aba89b8098f04be9d1_469"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E54EC0">
            <w:pPr>
              <w:spacing w:after="100"/>
              <w:divId w:val="266738651"/>
              <w:rPr>
                <w:rFonts w:eastAsia="Times New Roman"/>
              </w:rPr>
            </w:pPr>
            <w:hyperlink w:anchor="ifa77335c8c4046aba89b8098f04be9d1_574"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74" w:history="1">
              <w:r>
                <w:rPr>
                  <w:rStyle w:val="a3"/>
                  <w:rFonts w:eastAsia="Times New Roman"/>
                  <w:sz w:val="20"/>
                  <w:szCs w:val="20"/>
                </w:rPr>
                <w:t>71</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824858446"/>
              <w:rPr>
                <w:rFonts w:eastAsia="Times New Roman"/>
              </w:rPr>
            </w:pPr>
            <w:hyperlink w:anchor="ifa77335c8c4046aba89b8098f04be9d1_481"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E54EC0">
            <w:pPr>
              <w:spacing w:after="100"/>
              <w:divId w:val="2074770616"/>
              <w:rPr>
                <w:rFonts w:eastAsia="Times New Roman"/>
              </w:rPr>
            </w:pPr>
            <w:hyperlink w:anchor="ifa77335c8c4046aba89b8098f04be9d1_48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77" w:history="1">
              <w:r>
                <w:rPr>
                  <w:rStyle w:val="a3"/>
                  <w:rFonts w:eastAsia="Times New Roman"/>
                  <w:sz w:val="20"/>
                  <w:szCs w:val="20"/>
                </w:rPr>
                <w:t>71</w:t>
              </w:r>
            </w:hyperlink>
          </w:p>
        </w:tc>
      </w:tr>
      <w:tr w:rsidR="00000000">
        <w:trPr>
          <w:divId w:val="111481715"/>
          <w:trHeight w:val="28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329019932"/>
              <w:rPr>
                <w:rFonts w:eastAsia="Times New Roman"/>
              </w:rPr>
            </w:pPr>
            <w:hyperlink w:anchor="ifa77335c8c4046aba89b8098f04be9d1_466"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724068543"/>
              <w:rPr>
                <w:rFonts w:eastAsia="Times New Roman"/>
              </w:rPr>
            </w:pPr>
            <w:hyperlink w:anchor="ifa77335c8c4046aba89b8098f04be9d1_583"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E54EC0">
            <w:pPr>
              <w:spacing w:after="100"/>
              <w:divId w:val="57871444"/>
              <w:rPr>
                <w:rFonts w:eastAsia="Times New Roman"/>
              </w:rPr>
            </w:pPr>
            <w:hyperlink w:anchor="ifa77335c8c4046aba89b8098f04be9d1_583"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83" w:history="1">
              <w:r>
                <w:rPr>
                  <w:rStyle w:val="a3"/>
                  <w:rFonts w:eastAsia="Times New Roman"/>
                  <w:sz w:val="20"/>
                  <w:szCs w:val="20"/>
                </w:rPr>
                <w:t>71</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2106607808"/>
              <w:rPr>
                <w:rFonts w:eastAsia="Times New Roman"/>
              </w:rPr>
            </w:pPr>
            <w:hyperlink w:anchor="ifa77335c8c4046aba89b8098f04be9d1_589"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E54EC0">
            <w:pPr>
              <w:spacing w:after="100"/>
              <w:divId w:val="124281608"/>
              <w:rPr>
                <w:rFonts w:eastAsia="Times New Roman"/>
              </w:rPr>
            </w:pPr>
            <w:hyperlink w:anchor="ifa77335c8c4046aba89b8098f04be9d1_586"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86" w:history="1">
              <w:r>
                <w:rPr>
                  <w:rStyle w:val="a3"/>
                  <w:rFonts w:eastAsia="Times New Roman"/>
                  <w:sz w:val="20"/>
                  <w:szCs w:val="20"/>
                </w:rPr>
                <w:t>73</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015036957"/>
              <w:rPr>
                <w:rFonts w:eastAsia="Times New Roman"/>
              </w:rPr>
            </w:pPr>
            <w:hyperlink w:anchor="ifa77335c8c4046aba89b8098f04be9d1_592" w:history="1">
              <w:r>
                <w:rPr>
                  <w:rStyle w:val="a3"/>
                  <w:rFonts w:eastAsia="Times New Roman"/>
                  <w:sz w:val="20"/>
                  <w:szCs w:val="20"/>
                </w:rPr>
                <w:t>Item 7.</w:t>
              </w:r>
            </w:hyperlink>
          </w:p>
        </w:tc>
        <w:tc>
          <w:tcPr>
            <w:tcW w:w="0" w:type="auto"/>
            <w:gridSpan w:val="3"/>
            <w:tcMar>
              <w:top w:w="30" w:type="dxa"/>
              <w:left w:w="20" w:type="dxa"/>
              <w:bottom w:w="30" w:type="dxa"/>
              <w:right w:w="20" w:type="dxa"/>
            </w:tcMar>
            <w:vAlign w:val="center"/>
            <w:hideMark/>
          </w:tcPr>
          <w:p w:rsidR="00000000" w:rsidRDefault="00E54EC0">
            <w:pPr>
              <w:spacing w:after="100"/>
              <w:divId w:val="1168255524"/>
              <w:rPr>
                <w:rFonts w:eastAsia="Times New Roman"/>
              </w:rPr>
            </w:pPr>
            <w:hyperlink w:anchor="ifa77335c8c4046aba89b8098f04be9d1_592"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592" w:history="1">
              <w:r>
                <w:rPr>
                  <w:rStyle w:val="a3"/>
                  <w:rFonts w:eastAsia="Times New Roman"/>
                  <w:sz w:val="20"/>
                  <w:szCs w:val="20"/>
                </w:rPr>
                <w:t>73</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811409590"/>
              <w:rPr>
                <w:rFonts w:eastAsia="Times New Roman"/>
              </w:rPr>
            </w:pPr>
            <w:hyperlink w:anchor="ifa77335c8c4046aba89b8098f04be9d1_619" w:history="1">
              <w:r>
                <w:rPr>
                  <w:rStyle w:val="a3"/>
                  <w:rFonts w:eastAsia="Times New Roman"/>
                  <w:sz w:val="20"/>
                  <w:szCs w:val="20"/>
                </w:rPr>
                <w:t>Item 7A.</w:t>
              </w:r>
            </w:hyperlink>
          </w:p>
        </w:tc>
        <w:tc>
          <w:tcPr>
            <w:tcW w:w="0" w:type="auto"/>
            <w:gridSpan w:val="3"/>
            <w:tcMar>
              <w:top w:w="30" w:type="dxa"/>
              <w:left w:w="20" w:type="dxa"/>
              <w:bottom w:w="30" w:type="dxa"/>
              <w:right w:w="20" w:type="dxa"/>
            </w:tcMar>
            <w:vAlign w:val="center"/>
            <w:hideMark/>
          </w:tcPr>
          <w:p w:rsidR="00000000" w:rsidRDefault="00E54EC0">
            <w:pPr>
              <w:spacing w:after="100"/>
              <w:divId w:val="1996836160"/>
              <w:rPr>
                <w:rFonts w:eastAsia="Times New Roman"/>
              </w:rPr>
            </w:pPr>
            <w:hyperlink w:anchor="ifa77335c8c4046aba89b8098f04be9d1_619"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619" w:history="1">
              <w:r>
                <w:rPr>
                  <w:rStyle w:val="a3"/>
                  <w:rFonts w:eastAsia="Times New Roman"/>
                  <w:sz w:val="20"/>
                  <w:szCs w:val="20"/>
                </w:rPr>
                <w:t>120</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730928119"/>
              <w:rPr>
                <w:rFonts w:eastAsia="Times New Roman"/>
              </w:rPr>
            </w:pPr>
            <w:hyperlink w:anchor="ifa77335c8c4046aba89b8098f04be9d1_622" w:history="1">
              <w:r>
                <w:rPr>
                  <w:rStyle w:val="a3"/>
                  <w:rFonts w:eastAsia="Times New Roman"/>
                  <w:sz w:val="20"/>
                  <w:szCs w:val="20"/>
                </w:rPr>
                <w:t>Item 8.</w:t>
              </w:r>
            </w:hyperlink>
          </w:p>
        </w:tc>
        <w:tc>
          <w:tcPr>
            <w:tcW w:w="0" w:type="auto"/>
            <w:gridSpan w:val="3"/>
            <w:tcMar>
              <w:top w:w="30" w:type="dxa"/>
              <w:left w:w="20" w:type="dxa"/>
              <w:bottom w:w="30" w:type="dxa"/>
              <w:right w:w="20" w:type="dxa"/>
            </w:tcMar>
            <w:vAlign w:val="center"/>
            <w:hideMark/>
          </w:tcPr>
          <w:p w:rsidR="00000000" w:rsidRDefault="00E54EC0">
            <w:pPr>
              <w:spacing w:after="100"/>
              <w:divId w:val="1819566876"/>
              <w:rPr>
                <w:rFonts w:eastAsia="Times New Roman"/>
              </w:rPr>
            </w:pPr>
            <w:hyperlink w:anchor="ifa77335c8c4046aba89b8098f04be9d1_622"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622" w:history="1">
              <w:r>
                <w:rPr>
                  <w:rStyle w:val="a3"/>
                  <w:rFonts w:eastAsia="Times New Roman"/>
                  <w:sz w:val="20"/>
                  <w:szCs w:val="20"/>
                </w:rPr>
                <w:t>125</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357271809"/>
              <w:rPr>
                <w:rFonts w:eastAsia="Times New Roman"/>
              </w:rPr>
            </w:pPr>
            <w:hyperlink w:anchor="ifa77335c8c4046aba89b8098f04be9d1_697" w:history="1">
              <w:r>
                <w:rPr>
                  <w:rStyle w:val="a3"/>
                  <w:rFonts w:eastAsia="Times New Roman"/>
                  <w:sz w:val="20"/>
                  <w:szCs w:val="20"/>
                </w:rPr>
                <w:t>Item 9.</w:t>
              </w:r>
            </w:hyperlink>
          </w:p>
        </w:tc>
        <w:tc>
          <w:tcPr>
            <w:tcW w:w="0" w:type="auto"/>
            <w:gridSpan w:val="3"/>
            <w:tcMar>
              <w:top w:w="30" w:type="dxa"/>
              <w:left w:w="20" w:type="dxa"/>
              <w:bottom w:w="30" w:type="dxa"/>
              <w:right w:w="20" w:type="dxa"/>
            </w:tcMar>
            <w:vAlign w:val="center"/>
            <w:hideMark/>
          </w:tcPr>
          <w:p w:rsidR="00000000" w:rsidRDefault="00E54EC0">
            <w:pPr>
              <w:spacing w:after="100"/>
              <w:divId w:val="2125340808"/>
              <w:rPr>
                <w:rFonts w:eastAsia="Times New Roman"/>
              </w:rPr>
            </w:pPr>
            <w:hyperlink w:anchor="ifa77335c8c4046aba89b8098f04be9d1_697"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697" w:history="1">
              <w:r>
                <w:rPr>
                  <w:rStyle w:val="a3"/>
                  <w:rFonts w:eastAsia="Times New Roman"/>
                  <w:sz w:val="20"/>
                  <w:szCs w:val="20"/>
                </w:rPr>
                <w:t>239</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604731690"/>
              <w:rPr>
                <w:rFonts w:eastAsia="Times New Roman"/>
              </w:rPr>
            </w:pPr>
            <w:hyperlink w:anchor="ifa77335c8c4046aba89b8098f04be9d1_463" w:history="1">
              <w:r>
                <w:rPr>
                  <w:rStyle w:val="a3"/>
                  <w:rFonts w:eastAsia="Times New Roman"/>
                  <w:sz w:val="20"/>
                  <w:szCs w:val="20"/>
                </w:rPr>
                <w:t>Item 9A.</w:t>
              </w:r>
            </w:hyperlink>
          </w:p>
        </w:tc>
        <w:tc>
          <w:tcPr>
            <w:tcW w:w="0" w:type="auto"/>
            <w:gridSpan w:val="3"/>
            <w:tcMar>
              <w:top w:w="30" w:type="dxa"/>
              <w:left w:w="20" w:type="dxa"/>
              <w:bottom w:w="30" w:type="dxa"/>
              <w:right w:w="20" w:type="dxa"/>
            </w:tcMar>
            <w:vAlign w:val="center"/>
            <w:hideMark/>
          </w:tcPr>
          <w:p w:rsidR="00000000" w:rsidRDefault="00E54EC0">
            <w:pPr>
              <w:spacing w:after="100"/>
              <w:divId w:val="1921208938"/>
              <w:rPr>
                <w:rFonts w:eastAsia="Times New Roman"/>
              </w:rPr>
            </w:pPr>
            <w:hyperlink w:anchor="ifa77335c8c4046aba89b8098f04be9d1_70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00" w:history="1">
              <w:r>
                <w:rPr>
                  <w:rStyle w:val="a3"/>
                  <w:rFonts w:eastAsia="Times New Roman"/>
                  <w:sz w:val="20"/>
                  <w:szCs w:val="20"/>
                </w:rPr>
                <w:t>239</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510408462"/>
              <w:rPr>
                <w:rFonts w:eastAsia="Times New Roman"/>
              </w:rPr>
            </w:pPr>
            <w:hyperlink w:anchor="ifa77335c8c4046aba89b8098f04be9d1_703" w:history="1">
              <w:r>
                <w:rPr>
                  <w:rStyle w:val="a3"/>
                  <w:rFonts w:eastAsia="Times New Roman"/>
                  <w:sz w:val="20"/>
                  <w:szCs w:val="20"/>
                </w:rPr>
                <w:t>Item 9B.</w:t>
              </w:r>
            </w:hyperlink>
          </w:p>
        </w:tc>
        <w:tc>
          <w:tcPr>
            <w:tcW w:w="0" w:type="auto"/>
            <w:gridSpan w:val="3"/>
            <w:tcMar>
              <w:top w:w="30" w:type="dxa"/>
              <w:left w:w="20" w:type="dxa"/>
              <w:bottom w:w="30" w:type="dxa"/>
              <w:right w:w="20" w:type="dxa"/>
            </w:tcMar>
            <w:vAlign w:val="center"/>
            <w:hideMark/>
          </w:tcPr>
          <w:p w:rsidR="00000000" w:rsidRDefault="00E54EC0">
            <w:pPr>
              <w:spacing w:after="100"/>
              <w:divId w:val="18313798"/>
              <w:rPr>
                <w:rFonts w:eastAsia="Times New Roman"/>
              </w:rPr>
            </w:pPr>
            <w:hyperlink w:anchor="ifa77335c8c4046aba89b8098f04be9d1_703"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03" w:history="1">
              <w:r>
                <w:rPr>
                  <w:rStyle w:val="a3"/>
                  <w:rFonts w:eastAsia="Times New Roman"/>
                  <w:sz w:val="20"/>
                  <w:szCs w:val="20"/>
                </w:rPr>
                <w:t>239</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458381979"/>
              <w:rPr>
                <w:rFonts w:eastAsia="Times New Roman"/>
              </w:rPr>
            </w:pPr>
            <w:hyperlink w:anchor="ifa77335c8c4046aba89b8098f04be9d1_706" w:history="1">
              <w:r>
                <w:rPr>
                  <w:rStyle w:val="a3"/>
                  <w:rFonts w:eastAsia="Times New Roman"/>
                  <w:sz w:val="20"/>
                  <w:szCs w:val="20"/>
                </w:rPr>
                <w:t>Item 9C.</w:t>
              </w:r>
            </w:hyperlink>
          </w:p>
        </w:tc>
        <w:tc>
          <w:tcPr>
            <w:tcW w:w="0" w:type="auto"/>
            <w:gridSpan w:val="3"/>
            <w:tcMar>
              <w:top w:w="30" w:type="dxa"/>
              <w:left w:w="20" w:type="dxa"/>
              <w:bottom w:w="30" w:type="dxa"/>
              <w:right w:w="20" w:type="dxa"/>
            </w:tcMar>
            <w:vAlign w:val="center"/>
            <w:hideMark/>
          </w:tcPr>
          <w:p w:rsidR="00000000" w:rsidRDefault="00E54EC0">
            <w:pPr>
              <w:spacing w:after="100"/>
              <w:divId w:val="276181976"/>
              <w:rPr>
                <w:rFonts w:eastAsia="Times New Roman"/>
              </w:rPr>
            </w:pPr>
            <w:hyperlink w:anchor="ifa77335c8c4046aba89b8098f04be9d1_706" w:history="1">
              <w:r>
                <w:rPr>
                  <w:rStyle w:val="a3"/>
                  <w:rFonts w:eastAsia="Times New Roman"/>
                  <w:sz w:val="20"/>
                  <w:szCs w:val="20"/>
                </w:rPr>
                <w:t>Disclosure Regarding Foreign Jurisdictions that Prevent Inspections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03" w:history="1">
              <w:r>
                <w:rPr>
                  <w:rStyle w:val="a3"/>
                  <w:rFonts w:eastAsia="Times New Roman"/>
                  <w:sz w:val="20"/>
                  <w:szCs w:val="20"/>
                </w:rPr>
                <w:t>239</w:t>
              </w:r>
            </w:hyperlink>
          </w:p>
        </w:tc>
      </w:tr>
      <w:tr w:rsidR="00000000">
        <w:trPr>
          <w:divId w:val="111481715"/>
          <w:trHeight w:val="28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996762430"/>
              <w:rPr>
                <w:rFonts w:eastAsia="Times New Roman"/>
              </w:rPr>
            </w:pPr>
            <w:hyperlink w:anchor="ifa77335c8c4046aba89b8098f04be9d1_709"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925462111"/>
              <w:rPr>
                <w:rFonts w:eastAsia="Times New Roman"/>
              </w:rPr>
            </w:pPr>
            <w:hyperlink w:anchor="ifa77335c8c4046aba89b8098f04be9d1_712" w:history="1">
              <w:r>
                <w:rPr>
                  <w:rStyle w:val="a3"/>
                  <w:rFonts w:eastAsia="Times New Roman"/>
                  <w:sz w:val="20"/>
                  <w:szCs w:val="20"/>
                </w:rPr>
                <w:t>Item 10.</w:t>
              </w:r>
            </w:hyperlink>
          </w:p>
        </w:tc>
        <w:tc>
          <w:tcPr>
            <w:tcW w:w="0" w:type="auto"/>
            <w:gridSpan w:val="3"/>
            <w:tcMar>
              <w:top w:w="30" w:type="dxa"/>
              <w:left w:w="20" w:type="dxa"/>
              <w:bottom w:w="30" w:type="dxa"/>
              <w:right w:w="20" w:type="dxa"/>
            </w:tcMar>
            <w:vAlign w:val="center"/>
            <w:hideMark/>
          </w:tcPr>
          <w:p w:rsidR="00000000" w:rsidRDefault="00E54EC0">
            <w:pPr>
              <w:spacing w:after="100"/>
              <w:divId w:val="1615475996"/>
              <w:rPr>
                <w:rFonts w:eastAsia="Times New Roman"/>
              </w:rPr>
            </w:pPr>
            <w:hyperlink w:anchor="ifa77335c8c4046aba89b8098f04be9d1_712"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12" w:history="1">
              <w:r>
                <w:rPr>
                  <w:rStyle w:val="a3"/>
                  <w:rFonts w:eastAsia="Times New Roman"/>
                  <w:sz w:val="20"/>
                  <w:szCs w:val="20"/>
                </w:rPr>
                <w:t>240</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2134472392"/>
              <w:rPr>
                <w:rFonts w:eastAsia="Times New Roman"/>
              </w:rPr>
            </w:pPr>
            <w:hyperlink w:anchor="ifa77335c8c4046aba89b8098f04be9d1_715" w:history="1">
              <w:r>
                <w:rPr>
                  <w:rStyle w:val="a3"/>
                  <w:rFonts w:eastAsia="Times New Roman"/>
                  <w:sz w:val="20"/>
                  <w:szCs w:val="20"/>
                </w:rPr>
                <w:t>Item 11.</w:t>
              </w:r>
            </w:hyperlink>
          </w:p>
        </w:tc>
        <w:tc>
          <w:tcPr>
            <w:tcW w:w="0" w:type="auto"/>
            <w:gridSpan w:val="3"/>
            <w:tcMar>
              <w:top w:w="30" w:type="dxa"/>
              <w:left w:w="20" w:type="dxa"/>
              <w:bottom w:w="30" w:type="dxa"/>
              <w:right w:w="20" w:type="dxa"/>
            </w:tcMar>
            <w:vAlign w:val="center"/>
            <w:hideMark/>
          </w:tcPr>
          <w:p w:rsidR="00000000" w:rsidRDefault="00E54EC0">
            <w:pPr>
              <w:spacing w:after="100"/>
              <w:divId w:val="75054625"/>
              <w:rPr>
                <w:rFonts w:eastAsia="Times New Roman"/>
              </w:rPr>
            </w:pPr>
            <w:hyperlink w:anchor="ifa77335c8c4046aba89b8098f04be9d1_715"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15" w:history="1">
              <w:r>
                <w:rPr>
                  <w:rStyle w:val="a3"/>
                  <w:rFonts w:eastAsia="Times New Roman"/>
                  <w:sz w:val="20"/>
                  <w:szCs w:val="20"/>
                </w:rPr>
                <w:t>240</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378171618"/>
              <w:rPr>
                <w:rFonts w:eastAsia="Times New Roman"/>
              </w:rPr>
            </w:pPr>
            <w:hyperlink w:anchor="ifa77335c8c4046aba89b8098f04be9d1_718" w:history="1">
              <w:r>
                <w:rPr>
                  <w:rStyle w:val="a3"/>
                  <w:rFonts w:eastAsia="Times New Roman"/>
                  <w:sz w:val="20"/>
                  <w:szCs w:val="20"/>
                </w:rPr>
                <w:t>Item 12.</w:t>
              </w:r>
            </w:hyperlink>
          </w:p>
        </w:tc>
        <w:tc>
          <w:tcPr>
            <w:tcW w:w="0" w:type="auto"/>
            <w:gridSpan w:val="3"/>
            <w:tcMar>
              <w:top w:w="30" w:type="dxa"/>
              <w:left w:w="20" w:type="dxa"/>
              <w:bottom w:w="30" w:type="dxa"/>
              <w:right w:w="20" w:type="dxa"/>
            </w:tcMar>
            <w:vAlign w:val="center"/>
            <w:hideMark/>
          </w:tcPr>
          <w:p w:rsidR="00000000" w:rsidRDefault="00E54EC0">
            <w:pPr>
              <w:spacing w:after="100"/>
              <w:divId w:val="767651771"/>
              <w:rPr>
                <w:rFonts w:eastAsia="Times New Roman"/>
              </w:rPr>
            </w:pPr>
            <w:hyperlink w:anchor="ifa77335c8c4046aba89b8098f04be9d1_718"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18" w:history="1">
              <w:r>
                <w:rPr>
                  <w:rStyle w:val="a3"/>
                  <w:rFonts w:eastAsia="Times New Roman"/>
                  <w:sz w:val="20"/>
                  <w:szCs w:val="20"/>
                </w:rPr>
                <w:t>240</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515443"/>
              <w:rPr>
                <w:rFonts w:eastAsia="Times New Roman"/>
              </w:rPr>
            </w:pPr>
            <w:hyperlink w:anchor="ifa77335c8c4046aba89b8098f04be9d1_721" w:history="1">
              <w:r>
                <w:rPr>
                  <w:rStyle w:val="a3"/>
                  <w:rFonts w:eastAsia="Times New Roman"/>
                  <w:sz w:val="20"/>
                  <w:szCs w:val="20"/>
                </w:rPr>
                <w:t>Item 13.</w:t>
              </w:r>
            </w:hyperlink>
          </w:p>
        </w:tc>
        <w:tc>
          <w:tcPr>
            <w:tcW w:w="0" w:type="auto"/>
            <w:gridSpan w:val="3"/>
            <w:tcMar>
              <w:top w:w="30" w:type="dxa"/>
              <w:left w:w="20" w:type="dxa"/>
              <w:bottom w:w="30" w:type="dxa"/>
              <w:right w:w="20" w:type="dxa"/>
            </w:tcMar>
            <w:vAlign w:val="center"/>
            <w:hideMark/>
          </w:tcPr>
          <w:p w:rsidR="00000000" w:rsidRDefault="00E54EC0">
            <w:pPr>
              <w:spacing w:after="100"/>
              <w:divId w:val="859391706"/>
              <w:rPr>
                <w:rFonts w:eastAsia="Times New Roman"/>
              </w:rPr>
            </w:pPr>
            <w:hyperlink w:anchor="ifa77335c8c4046aba89b8098f04be9d1_721"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21" w:history="1">
              <w:r>
                <w:rPr>
                  <w:rStyle w:val="a3"/>
                  <w:rFonts w:eastAsia="Times New Roman"/>
                  <w:sz w:val="20"/>
                  <w:szCs w:val="20"/>
                </w:rPr>
                <w:t>241</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227687327"/>
              <w:rPr>
                <w:rFonts w:eastAsia="Times New Roman"/>
              </w:rPr>
            </w:pPr>
            <w:hyperlink w:anchor="ifa77335c8c4046aba89b8098f04be9d1_724" w:history="1">
              <w:r>
                <w:rPr>
                  <w:rStyle w:val="a3"/>
                  <w:rFonts w:eastAsia="Times New Roman"/>
                  <w:sz w:val="20"/>
                  <w:szCs w:val="20"/>
                </w:rPr>
                <w:t>Item 14.</w:t>
              </w:r>
            </w:hyperlink>
          </w:p>
        </w:tc>
        <w:tc>
          <w:tcPr>
            <w:tcW w:w="0" w:type="auto"/>
            <w:gridSpan w:val="3"/>
            <w:tcMar>
              <w:top w:w="30" w:type="dxa"/>
              <w:left w:w="20" w:type="dxa"/>
              <w:bottom w:w="30" w:type="dxa"/>
              <w:right w:w="20" w:type="dxa"/>
            </w:tcMar>
            <w:vAlign w:val="center"/>
            <w:hideMark/>
          </w:tcPr>
          <w:p w:rsidR="00000000" w:rsidRDefault="00E54EC0">
            <w:pPr>
              <w:spacing w:after="100"/>
              <w:divId w:val="806901656"/>
              <w:rPr>
                <w:rFonts w:eastAsia="Times New Roman"/>
              </w:rPr>
            </w:pPr>
            <w:hyperlink w:anchor="ifa77335c8c4046aba89b8098f04be9d1_724"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24" w:history="1">
              <w:r>
                <w:rPr>
                  <w:rStyle w:val="a3"/>
                  <w:rFonts w:eastAsia="Times New Roman"/>
                  <w:sz w:val="20"/>
                  <w:szCs w:val="20"/>
                </w:rPr>
                <w:t>241</w:t>
              </w:r>
            </w:hyperlink>
          </w:p>
        </w:tc>
      </w:tr>
      <w:tr w:rsidR="00000000">
        <w:trPr>
          <w:divId w:val="111481715"/>
          <w:trHeight w:val="28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2141143267"/>
              <w:rPr>
                <w:rFonts w:eastAsia="Times New Roman"/>
              </w:rPr>
            </w:pPr>
            <w:hyperlink w:anchor="ifa77335c8c4046aba89b8098f04be9d1_727"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326274843"/>
              <w:rPr>
                <w:rFonts w:eastAsia="Times New Roman"/>
              </w:rPr>
            </w:pPr>
            <w:hyperlink w:anchor="ifa77335c8c4046aba89b8098f04be9d1_730" w:history="1">
              <w:r>
                <w:rPr>
                  <w:rStyle w:val="a3"/>
                  <w:rFonts w:eastAsia="Times New Roman"/>
                  <w:sz w:val="20"/>
                  <w:szCs w:val="20"/>
                </w:rPr>
                <w:t>Item 15.</w:t>
              </w:r>
            </w:hyperlink>
          </w:p>
        </w:tc>
        <w:tc>
          <w:tcPr>
            <w:tcW w:w="0" w:type="auto"/>
            <w:gridSpan w:val="3"/>
            <w:tcMar>
              <w:top w:w="30" w:type="dxa"/>
              <w:left w:w="20" w:type="dxa"/>
              <w:bottom w:w="30" w:type="dxa"/>
              <w:right w:w="20" w:type="dxa"/>
            </w:tcMar>
            <w:vAlign w:val="center"/>
            <w:hideMark/>
          </w:tcPr>
          <w:p w:rsidR="00000000" w:rsidRDefault="00E54EC0">
            <w:pPr>
              <w:spacing w:after="100"/>
              <w:divId w:val="148324870"/>
              <w:rPr>
                <w:rFonts w:eastAsia="Times New Roman"/>
              </w:rPr>
            </w:pPr>
            <w:hyperlink w:anchor="ifa77335c8c4046aba89b8098f04be9d1_730"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30" w:history="1">
              <w:r>
                <w:rPr>
                  <w:rStyle w:val="a3"/>
                  <w:rFonts w:eastAsia="Times New Roman"/>
                  <w:sz w:val="20"/>
                  <w:szCs w:val="20"/>
                </w:rPr>
                <w:t>242</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26825955"/>
              <w:rPr>
                <w:rFonts w:eastAsia="Times New Roman"/>
              </w:rPr>
            </w:pPr>
            <w:hyperlink w:anchor="ifa77335c8c4046aba89b8098f04be9d1_733" w:history="1">
              <w:r>
                <w:rPr>
                  <w:rStyle w:val="a3"/>
                  <w:rFonts w:eastAsia="Times New Roman"/>
                  <w:sz w:val="20"/>
                  <w:szCs w:val="20"/>
                </w:rPr>
                <w:t>Item 16.</w:t>
              </w:r>
            </w:hyperlink>
          </w:p>
        </w:tc>
        <w:tc>
          <w:tcPr>
            <w:tcW w:w="0" w:type="auto"/>
            <w:gridSpan w:val="3"/>
            <w:tcMar>
              <w:top w:w="30" w:type="dxa"/>
              <w:left w:w="20" w:type="dxa"/>
              <w:bottom w:w="30" w:type="dxa"/>
              <w:right w:w="20" w:type="dxa"/>
            </w:tcMar>
            <w:vAlign w:val="center"/>
            <w:hideMark/>
          </w:tcPr>
          <w:p w:rsidR="00000000" w:rsidRDefault="00E54EC0">
            <w:pPr>
              <w:spacing w:after="100"/>
              <w:divId w:val="1681661732"/>
              <w:rPr>
                <w:rFonts w:eastAsia="Times New Roman"/>
              </w:rPr>
            </w:pPr>
            <w:hyperlink w:anchor="ifa77335c8c4046aba89b8098f04be9d1_733"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33" w:history="1">
              <w:r>
                <w:rPr>
                  <w:rStyle w:val="a3"/>
                  <w:rFonts w:eastAsia="Times New Roman"/>
                  <w:sz w:val="20"/>
                  <w:szCs w:val="20"/>
                </w:rPr>
                <w:t>242</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1256591208"/>
              <w:rPr>
                <w:rFonts w:eastAsia="Times New Roman"/>
              </w:rPr>
            </w:pPr>
            <w:hyperlink w:anchor="ifa77335c8c4046aba89b8098f04be9d1_736" w:history="1">
              <w:r>
                <w:rPr>
                  <w:rStyle w:val="a3"/>
                  <w:rFonts w:eastAsia="Times New Roman"/>
                  <w:sz w:val="20"/>
                  <w:szCs w:val="20"/>
                </w:rPr>
                <w:t>Glossary</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36" w:history="1">
              <w:r>
                <w:rPr>
                  <w:rStyle w:val="a3"/>
                  <w:rFonts w:eastAsia="Times New Roman"/>
                  <w:sz w:val="20"/>
                  <w:szCs w:val="20"/>
                </w:rPr>
                <w:t>242</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55708431"/>
              <w:rPr>
                <w:rFonts w:eastAsia="Times New Roman"/>
              </w:rPr>
            </w:pPr>
            <w:hyperlink w:anchor="ifa77335c8c4046aba89b8098f04be9d1_739" w:history="1">
              <w:r>
                <w:rPr>
                  <w:rStyle w:val="a3"/>
                  <w:rFonts w:eastAsia="Times New Roman"/>
                  <w:sz w:val="20"/>
                  <w:szCs w:val="20"/>
                </w:rPr>
                <w:t>Acronyms</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39" w:history="1">
              <w:r>
                <w:rPr>
                  <w:rStyle w:val="a3"/>
                  <w:rFonts w:eastAsia="Times New Roman"/>
                  <w:sz w:val="20"/>
                  <w:szCs w:val="20"/>
                </w:rPr>
                <w:t>246</w:t>
              </w:r>
            </w:hyperlink>
          </w:p>
        </w:tc>
      </w:tr>
      <w:tr w:rsidR="00000000">
        <w:trPr>
          <w:divId w:val="111481715"/>
          <w:jc w:val="center"/>
        </w:trPr>
        <w:tc>
          <w:tcPr>
            <w:tcW w:w="0" w:type="auto"/>
            <w:gridSpan w:val="6"/>
            <w:tcMar>
              <w:top w:w="30" w:type="dxa"/>
              <w:left w:w="20" w:type="dxa"/>
              <w:bottom w:w="30" w:type="dxa"/>
              <w:right w:w="20" w:type="dxa"/>
            </w:tcMar>
            <w:vAlign w:val="center"/>
            <w:hideMark/>
          </w:tcPr>
          <w:p w:rsidR="00000000" w:rsidRDefault="00E54EC0">
            <w:pPr>
              <w:spacing w:after="100"/>
              <w:divId w:val="1428891004"/>
              <w:rPr>
                <w:rFonts w:eastAsia="Times New Roman"/>
              </w:rPr>
            </w:pPr>
            <w:hyperlink w:anchor="ifa77335c8c4046aba89b8098f04be9d1_742" w:history="1">
              <w:r>
                <w:rPr>
                  <w:rStyle w:val="a3"/>
                  <w:rFonts w:eastAsia="Times New Roman"/>
                  <w:sz w:val="20"/>
                  <w:szCs w:val="20"/>
                </w:rPr>
                <w:t>Index to Exhibits</w:t>
              </w:r>
            </w:hyperlink>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42" w:history="1">
              <w:r>
                <w:rPr>
                  <w:rStyle w:val="a3"/>
                  <w:rFonts w:eastAsia="Times New Roman"/>
                  <w:sz w:val="20"/>
                  <w:szCs w:val="20"/>
                </w:rPr>
                <w:t>249</w:t>
              </w:r>
            </w:hyperlink>
          </w:p>
        </w:tc>
      </w:tr>
      <w:tr w:rsidR="00000000">
        <w:trPr>
          <w:divId w:val="111481715"/>
          <w:jc w:val="center"/>
        </w:trPr>
        <w:tc>
          <w:tcPr>
            <w:tcW w:w="0" w:type="auto"/>
            <w:gridSpan w:val="3"/>
            <w:tcMar>
              <w:top w:w="30" w:type="dxa"/>
              <w:left w:w="20" w:type="dxa"/>
              <w:bottom w:w="30" w:type="dxa"/>
              <w:right w:w="20" w:type="dxa"/>
            </w:tcMar>
            <w:vAlign w:val="center"/>
            <w:hideMark/>
          </w:tcPr>
          <w:p w:rsidR="00000000" w:rsidRDefault="00E54EC0">
            <w:pPr>
              <w:spacing w:after="100"/>
              <w:divId w:val="278876411"/>
              <w:rPr>
                <w:rFonts w:eastAsia="Times New Roman"/>
              </w:rPr>
            </w:pPr>
            <w:hyperlink w:anchor="ifa77335c8c4046aba89b8098f04be9d1_745"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w:anchor="ifa77335c8c4046aba89b8098f04be9d1_745" w:history="1">
              <w:r>
                <w:rPr>
                  <w:rStyle w:val="a3"/>
                  <w:rFonts w:eastAsia="Times New Roman"/>
                  <w:sz w:val="20"/>
                  <w:szCs w:val="20"/>
                </w:rPr>
                <w:t>253</w:t>
              </w:r>
            </w:hyperlink>
          </w:p>
        </w:tc>
      </w:tr>
    </w:tbl>
    <w:p w:rsidR="00000000" w:rsidRDefault="00E54EC0">
      <w:pPr>
        <w:jc w:val="center"/>
        <w:divId w:val="731199245"/>
        <w:rPr>
          <w:rFonts w:eastAsia="Times New Roman"/>
        </w:rPr>
      </w:pPr>
    </w:p>
    <w:p w:rsidR="00000000" w:rsidRDefault="00E54EC0">
      <w:pPr>
        <w:divId w:val="1208500"/>
        <w:rPr>
          <w:rFonts w:eastAsia="Times New Roman"/>
        </w:rPr>
      </w:pPr>
    </w:p>
    <w:p w:rsidR="00000000" w:rsidRDefault="00E54EC0">
      <w:pPr>
        <w:rPr>
          <w:rFonts w:eastAsia="Times New Roman"/>
        </w:rPr>
      </w:pPr>
      <w:r>
        <w:rPr>
          <w:rFonts w:eastAsia="Times New Roman"/>
        </w:rPr>
        <w:pict>
          <v:rect id="_x0000_i1028" style="width:0;height:1.5pt" o:hralign="center" o:hrstd="t" o:hr="t" fillcolor="#a0a0a0" stroked="f"/>
        </w:pict>
      </w:r>
    </w:p>
    <w:p w:rsidR="00000000" w:rsidRDefault="00E54EC0">
      <w:pPr>
        <w:divId w:val="171066927"/>
        <w:rPr>
          <w:rFonts w:eastAsia="Times New Roman"/>
        </w:rPr>
      </w:pPr>
    </w:p>
    <w:p w:rsidR="00000000" w:rsidRDefault="00E54EC0">
      <w:pPr>
        <w:jc w:val="center"/>
        <w:divId w:val="159320388"/>
        <w:rPr>
          <w:rFonts w:eastAsia="Times New Roman"/>
        </w:rPr>
      </w:pPr>
      <w:r>
        <w:rPr>
          <w:rFonts w:eastAsia="Times New Roman"/>
          <w:b/>
          <w:bCs/>
          <w:color w:val="000000"/>
          <w:sz w:val="20"/>
          <w:szCs w:val="20"/>
        </w:rPr>
        <w:t>NOTE REGARDING FORWARD-LOOKING STATEMENTS AND INFORMATION</w:t>
      </w:r>
    </w:p>
    <w:p w:rsidR="00000000" w:rsidRDefault="00E54EC0">
      <w:pPr>
        <w:ind w:firstLine="360"/>
        <w:divId w:val="145978042"/>
        <w:rPr>
          <w:rFonts w:eastAsia="Times New Roman"/>
        </w:rPr>
      </w:pPr>
      <w:r>
        <w:rPr>
          <w:rFonts w:eastAsia="Times New Roman"/>
          <w:color w:val="000000"/>
          <w:sz w:val="20"/>
          <w:szCs w:val="20"/>
        </w:rPr>
        <w:t>Certain of the statements included or incorporated by reference in this Annual Report on Form 10-K constitute forward-looking statements within the meaning of t</w:t>
      </w:r>
      <w:r>
        <w:rPr>
          <w:rFonts w:eastAsia="Times New Roman"/>
          <w:color w:val="000000"/>
          <w:sz w:val="20"/>
          <w:szCs w:val="20"/>
        </w:rPr>
        <w:t>he Private Securities Litigation Reform Act of 1995. Words such as “expects,” “believes,” “anticipates,” “intends,” “seeks,” “aims,” “plans,” “assumes,” “estimates,” “projects,” “should,” “would,” “could,” “may,” “will,” “shall” or variations of such words</w:t>
      </w:r>
      <w:r>
        <w:rPr>
          <w:rFonts w:eastAsia="Times New Roman"/>
          <w:color w:val="000000"/>
          <w:sz w:val="20"/>
          <w:szCs w:val="20"/>
        </w:rPr>
        <w:t xml:space="preserve"> are generally part of forward-looking statements. Forward-looking statements are made based on management’s current expectations and beliefs concerning future developments and their potential effects upon Equitable Holdings, Inc. (“Holdings”) and its cons</w:t>
      </w:r>
      <w:r>
        <w:rPr>
          <w:rFonts w:eastAsia="Times New Roman"/>
          <w:color w:val="000000"/>
          <w:sz w:val="20"/>
          <w:szCs w:val="20"/>
        </w:rPr>
        <w:t>olidated subsidiaries. “We,” “us” and “our” refer to Holdings and its consolidated subsidiaries, unless the context refers only to Holdings as a corporate entity. There can be no assurance that future developments affecting Holdings will be those anticipat</w:t>
      </w:r>
      <w:r>
        <w:rPr>
          <w:rFonts w:eastAsia="Times New Roman"/>
          <w:color w:val="000000"/>
          <w:sz w:val="20"/>
          <w:szCs w:val="20"/>
        </w:rPr>
        <w:t xml:space="preserve">ed by management. Forward-looking statements include, without limitation, all matters that are not historical facts. </w:t>
      </w:r>
    </w:p>
    <w:p w:rsidR="00000000" w:rsidRDefault="00E54EC0">
      <w:pPr>
        <w:ind w:firstLine="360"/>
        <w:divId w:val="1978490585"/>
        <w:rPr>
          <w:rFonts w:eastAsia="Times New Roman"/>
        </w:rPr>
      </w:pPr>
      <w:r>
        <w:rPr>
          <w:rFonts w:eastAsia="Times New Roman"/>
          <w:color w:val="000000"/>
          <w:sz w:val="20"/>
          <w:szCs w:val="20"/>
        </w:rPr>
        <w:lastRenderedPageBreak/>
        <w:t>These forward-looking statements are not a guarantee of future performance and involve risks and uncertainties, and there are certain impo</w:t>
      </w:r>
      <w:r>
        <w:rPr>
          <w:rFonts w:eastAsia="Times New Roman"/>
          <w:color w:val="000000"/>
          <w:sz w:val="20"/>
          <w:szCs w:val="20"/>
        </w:rPr>
        <w:t>rtant factors that could cause actual results to differ, possibly materially, from expectations or estimates reflected in such forward-looking statements, including, among others: (i) conditions in the financial markets and economy, including the impact of</w:t>
      </w:r>
      <w:r>
        <w:rPr>
          <w:rFonts w:eastAsia="Times New Roman"/>
          <w:color w:val="000000"/>
          <w:sz w:val="20"/>
          <w:szCs w:val="20"/>
        </w:rPr>
        <w:t xml:space="preserve"> plateauing or decreasing economic growth and geopolitical conflicts and related economic conditions, equity market declines and volatility, interest rate fluctuations, impacts on our goodwill and changes in liquidity and access to and cost of capital; (ii</w:t>
      </w:r>
      <w:r>
        <w:rPr>
          <w:rFonts w:eastAsia="Times New Roman"/>
          <w:color w:val="000000"/>
          <w:sz w:val="20"/>
          <w:szCs w:val="20"/>
        </w:rPr>
        <w:t>) operational factors, including reliance on the payment of dividends to Holdings by its subsidiaries, protection of confidential customer information or proprietary business information, operational failures by us or our service providers, potential strat</w:t>
      </w:r>
      <w:r>
        <w:rPr>
          <w:rFonts w:eastAsia="Times New Roman"/>
          <w:color w:val="000000"/>
          <w:sz w:val="20"/>
          <w:szCs w:val="20"/>
        </w:rPr>
        <w:t>egic transactions, changes in accounting standards, and catastrophic events, such as the outbreak of pandemic diseases including COVID-19; (iii) credit, counterparties and investments, including counterparty default on derivative contracts, failure of fina</w:t>
      </w:r>
      <w:r>
        <w:rPr>
          <w:rFonts w:eastAsia="Times New Roman"/>
          <w:color w:val="000000"/>
          <w:sz w:val="20"/>
          <w:szCs w:val="20"/>
        </w:rPr>
        <w:t>ncial institutions, defaults by third parties and affiliates and economic downturns, defaults and other events adversely affecting our investments; (iv) our reinsurance and hedging programs; (v) our products, structure and product distribution, including v</w:t>
      </w:r>
      <w:r>
        <w:rPr>
          <w:rFonts w:eastAsia="Times New Roman"/>
          <w:color w:val="000000"/>
          <w:sz w:val="20"/>
          <w:szCs w:val="20"/>
        </w:rPr>
        <w:t>ariable annuity guaranteed benefits features within certain of our products, variations in statutory capital requirements, financial strength and claims-paying ratings, state insurance laws limiting the ability of our insurance subsidiaries to pay dividend</w:t>
      </w:r>
      <w:r>
        <w:rPr>
          <w:rFonts w:eastAsia="Times New Roman"/>
          <w:color w:val="000000"/>
          <w:sz w:val="20"/>
          <w:szCs w:val="20"/>
        </w:rPr>
        <w:t>s and key product distribution relationships; (vi) estimates, assumptions and valuations, including risk management policies and procedures, potential inadequacy of reserves and experience differing from pricing expectations, amortization of deferred acqui</w:t>
      </w:r>
      <w:r>
        <w:rPr>
          <w:rFonts w:eastAsia="Times New Roman"/>
          <w:color w:val="000000"/>
          <w:sz w:val="20"/>
          <w:szCs w:val="20"/>
        </w:rPr>
        <w:t>sition costs and financial models; (vii) our Investment Management and Research segment, including fluctuations in assets under management and the industry-wide shift from actively-managed investment services to passive services; (viii) recruitment and ret</w:t>
      </w:r>
      <w:r>
        <w:rPr>
          <w:rFonts w:eastAsia="Times New Roman"/>
          <w:color w:val="000000"/>
          <w:sz w:val="20"/>
          <w:szCs w:val="20"/>
        </w:rPr>
        <w:t>ention of key employees and experienced and productive financial professionals; (ix) subjectivity of the determination of the amount of allowances and impairments taken on our investments; (x) legal and regulatory risks, including federal and state legisla</w:t>
      </w:r>
      <w:r>
        <w:rPr>
          <w:rFonts w:eastAsia="Times New Roman"/>
          <w:color w:val="000000"/>
          <w:sz w:val="20"/>
          <w:szCs w:val="20"/>
        </w:rPr>
        <w:t>tion affecting financial institutions, insurance regulation and tax reform; (xi) risks related to our common stock and (xii) general risks, including strong industry competition, information systems failing or being compromised and protecting our intellect</w:t>
      </w:r>
      <w:r>
        <w:rPr>
          <w:rFonts w:eastAsia="Times New Roman"/>
          <w:color w:val="000000"/>
          <w:sz w:val="20"/>
          <w:szCs w:val="20"/>
        </w:rPr>
        <w:t xml:space="preserve">ual property. </w:t>
      </w:r>
    </w:p>
    <w:p w:rsidR="00000000" w:rsidRDefault="00E54EC0">
      <w:pPr>
        <w:ind w:firstLine="360"/>
        <w:divId w:val="1499148613"/>
        <w:rPr>
          <w:rFonts w:eastAsia="Times New Roman"/>
        </w:rPr>
      </w:pPr>
    </w:p>
    <w:p w:rsidR="00000000" w:rsidRDefault="00E54EC0">
      <w:pPr>
        <w:ind w:firstLine="360"/>
        <w:divId w:val="846095229"/>
        <w:rPr>
          <w:rFonts w:eastAsia="Times New Roman"/>
        </w:rPr>
      </w:pPr>
      <w:r>
        <w:rPr>
          <w:rFonts w:eastAsia="Times New Roman"/>
          <w:color w:val="000000"/>
          <w:sz w:val="20"/>
          <w:szCs w:val="20"/>
        </w:rPr>
        <w:t>You should read this Annual Report on Form 10-K completely and with the understanding that actual future results may be materially different from expectations. All forward-looking statements made in this Annual Report on Form 10-K are qual</w:t>
      </w:r>
      <w:r>
        <w:rPr>
          <w:rFonts w:eastAsia="Times New Roman"/>
          <w:color w:val="000000"/>
          <w:sz w:val="20"/>
          <w:szCs w:val="20"/>
        </w:rPr>
        <w:t xml:space="preserve">ified by these cautionary statements. Further, any forward-looking statement speaks only as of the date on which it is made, and we undertake no obligation to update or revise any forward-looking statement to reflect events or circumstances after the date </w:t>
      </w:r>
      <w:r>
        <w:rPr>
          <w:rFonts w:eastAsia="Times New Roman"/>
          <w:color w:val="000000"/>
          <w:sz w:val="20"/>
          <w:szCs w:val="20"/>
        </w:rPr>
        <w:t>on which the statement is made or to reflect the occurrence of unanticipated events, except as otherwise may be required by law.</w:t>
      </w:r>
    </w:p>
    <w:p w:rsidR="00000000" w:rsidRDefault="00E54EC0">
      <w:pPr>
        <w:ind w:firstLine="360"/>
        <w:divId w:val="1521238994"/>
        <w:rPr>
          <w:rFonts w:eastAsia="Times New Roman"/>
        </w:rPr>
      </w:pPr>
      <w:r>
        <w:rPr>
          <w:rFonts w:eastAsia="Times New Roman"/>
          <w:color w:val="000000"/>
          <w:sz w:val="20"/>
          <w:szCs w:val="20"/>
        </w:rPr>
        <w:t xml:space="preserve">Other risks, uncertainties and factors, including those discussed under “Risk Factors,” could cause our actual results to differ materially from those projected in any forward-looking statements we make. Readers should read carefully the factors described </w:t>
      </w:r>
      <w:r>
        <w:rPr>
          <w:rFonts w:eastAsia="Times New Roman"/>
          <w:color w:val="000000"/>
          <w:sz w:val="20"/>
          <w:szCs w:val="20"/>
        </w:rPr>
        <w:t>in “Risk Factors” to better understand the risks and uncertainties inherent in our business and underlying any forward-looking statements.</w:t>
      </w:r>
    </w:p>
    <w:p w:rsidR="00000000" w:rsidRDefault="00E54EC0">
      <w:pPr>
        <w:ind w:firstLine="360"/>
        <w:divId w:val="1864048650"/>
        <w:rPr>
          <w:rFonts w:eastAsia="Times New Roman"/>
        </w:rPr>
      </w:pPr>
      <w:r>
        <w:rPr>
          <w:rFonts w:eastAsia="Times New Roman"/>
          <w:color w:val="000000"/>
          <w:sz w:val="20"/>
          <w:szCs w:val="20"/>
        </w:rPr>
        <w:t>Throughout this Annual Report on Form 10-K we use certain defined terms and abbreviations, which are defined or summa</w:t>
      </w:r>
      <w:r>
        <w:rPr>
          <w:rFonts w:eastAsia="Times New Roman"/>
          <w:color w:val="000000"/>
          <w:sz w:val="20"/>
          <w:szCs w:val="20"/>
        </w:rPr>
        <w:t>rized in the “Glossary” and “Acronyms” sections.</w:t>
      </w:r>
    </w:p>
    <w:p w:rsidR="00000000" w:rsidRDefault="00E54EC0">
      <w:pPr>
        <w:divId w:val="939994814"/>
        <w:rPr>
          <w:rFonts w:eastAsia="Times New Roman"/>
        </w:rPr>
      </w:pPr>
    </w:p>
    <w:p w:rsidR="00000000" w:rsidRDefault="00E54EC0">
      <w:pPr>
        <w:jc w:val="center"/>
        <w:divId w:val="1029405715"/>
        <w:rPr>
          <w:rFonts w:eastAsia="Times New Roman"/>
        </w:rPr>
      </w:pPr>
      <w:r>
        <w:rPr>
          <w:rFonts w:eastAsia="Times New Roman"/>
          <w:color w:val="000000"/>
          <w:sz w:val="20"/>
          <w:szCs w:val="20"/>
        </w:rPr>
        <w:t>4</w:t>
      </w:r>
    </w:p>
    <w:p w:rsidR="00000000" w:rsidRDefault="00E54EC0">
      <w:pPr>
        <w:rPr>
          <w:rFonts w:eastAsia="Times New Roman"/>
        </w:rPr>
      </w:pPr>
      <w:r>
        <w:rPr>
          <w:rFonts w:eastAsia="Times New Roman"/>
        </w:rPr>
        <w:pict>
          <v:rect id="_x0000_i1029" style="width:0;height:1.5pt" o:hralign="center" o:hrstd="t" o:hr="t" fillcolor="#a0a0a0" stroked="f"/>
        </w:pict>
      </w:r>
    </w:p>
    <w:p w:rsidR="00000000" w:rsidRDefault="00E54EC0">
      <w:pPr>
        <w:divId w:val="459036719"/>
        <w:rPr>
          <w:rFonts w:eastAsia="Times New Roman"/>
        </w:rPr>
      </w:pPr>
    </w:p>
    <w:p w:rsidR="00000000" w:rsidRDefault="00E54EC0">
      <w:pPr>
        <w:divId w:val="1856384025"/>
        <w:rPr>
          <w:rFonts w:eastAsia="Times New Roman"/>
        </w:rPr>
      </w:pPr>
      <w:r>
        <w:rPr>
          <w:rFonts w:eastAsia="Times New Roman"/>
          <w:b/>
          <w:bCs/>
          <w:color w:val="000000"/>
          <w:sz w:val="20"/>
          <w:szCs w:val="20"/>
        </w:rPr>
        <w:t>Part I, Item 1.</w:t>
      </w:r>
    </w:p>
    <w:p w:rsidR="00000000" w:rsidRDefault="00E54EC0">
      <w:pPr>
        <w:jc w:val="center"/>
        <w:divId w:val="1375810298"/>
        <w:rPr>
          <w:rFonts w:eastAsia="Times New Roman"/>
        </w:rPr>
      </w:pPr>
      <w:r>
        <w:rPr>
          <w:rFonts w:eastAsia="Times New Roman"/>
          <w:b/>
          <w:bCs/>
          <w:color w:val="000000"/>
          <w:sz w:val="20"/>
          <w:szCs w:val="20"/>
        </w:rPr>
        <w:t>BUSINESS</w:t>
      </w:r>
    </w:p>
    <w:p w:rsidR="00000000" w:rsidRDefault="00E54EC0">
      <w:pPr>
        <w:divId w:val="656955716"/>
        <w:rPr>
          <w:rFonts w:eastAsia="Times New Roman"/>
        </w:rPr>
      </w:pPr>
      <w:r>
        <w:rPr>
          <w:rFonts w:eastAsia="Times New Roman"/>
          <w:b/>
          <w:bCs/>
          <w:color w:val="000000"/>
          <w:sz w:val="20"/>
          <w:szCs w:val="20"/>
        </w:rPr>
        <w:t>Overview</w:t>
      </w:r>
    </w:p>
    <w:p w:rsidR="00000000" w:rsidRDefault="00E54EC0">
      <w:pPr>
        <w:ind w:firstLine="360"/>
        <w:divId w:val="958415331"/>
        <w:rPr>
          <w:rFonts w:eastAsia="Times New Roman"/>
        </w:rPr>
      </w:pPr>
      <w:r>
        <w:rPr>
          <w:rFonts w:eastAsia="Times New Roman"/>
          <w:color w:val="000000"/>
          <w:sz w:val="20"/>
          <w:szCs w:val="20"/>
        </w:rPr>
        <w:t>We are one of America’s leading financial services companies and have helped clients prepare for their financial future with confi</w:t>
      </w:r>
      <w:r>
        <w:rPr>
          <w:rFonts w:eastAsia="Times New Roman"/>
          <w:color w:val="000000"/>
          <w:sz w:val="20"/>
          <w:szCs w:val="20"/>
        </w:rPr>
        <w:t xml:space="preserve">dence since 1859. Our approximately 12,400 employees and advisors are entrusted with more than $750 billion of AUM through two complementary and well-established principal franchises, Equitable and AllianceBernstein, providing: </w:t>
      </w:r>
    </w:p>
    <w:p w:rsidR="00000000" w:rsidRDefault="00E54EC0">
      <w:pPr>
        <w:ind w:hanging="360"/>
        <w:jc w:val="both"/>
        <w:divId w:val="1117527331"/>
        <w:rPr>
          <w:rFonts w:eastAsia="Times New Roman"/>
        </w:rPr>
      </w:pPr>
      <w:r>
        <w:rPr>
          <w:rFonts w:eastAsia="Times New Roman"/>
          <w:color w:val="000000"/>
          <w:sz w:val="20"/>
          <w:szCs w:val="20"/>
        </w:rPr>
        <w:lastRenderedPageBreak/>
        <w:t>•Advice and solutions for h</w:t>
      </w:r>
      <w:r>
        <w:rPr>
          <w:rFonts w:eastAsia="Times New Roman"/>
          <w:color w:val="000000"/>
          <w:sz w:val="20"/>
          <w:szCs w:val="20"/>
        </w:rPr>
        <w:t>elping Americans to set and meet their retirement goals and protect and transfer their wealth across generations; and</w:t>
      </w:r>
    </w:p>
    <w:p w:rsidR="00000000" w:rsidRDefault="00E54EC0">
      <w:pPr>
        <w:ind w:hanging="360"/>
        <w:jc w:val="both"/>
        <w:divId w:val="1519848727"/>
        <w:rPr>
          <w:rFonts w:eastAsia="Times New Roman"/>
        </w:rPr>
      </w:pPr>
      <w:r>
        <w:rPr>
          <w:rFonts w:eastAsia="Times New Roman"/>
          <w:color w:val="000000"/>
          <w:sz w:val="20"/>
          <w:szCs w:val="20"/>
        </w:rPr>
        <w:t>•A wide range of investment management insights, expertise and innovations to drive better investment decisions and outcomes for clients a</w:t>
      </w:r>
      <w:r>
        <w:rPr>
          <w:rFonts w:eastAsia="Times New Roman"/>
          <w:color w:val="000000"/>
          <w:sz w:val="20"/>
          <w:szCs w:val="20"/>
        </w:rPr>
        <w:t>nd institutional investors worldwide.</w:t>
      </w:r>
    </w:p>
    <w:p w:rsidR="00000000" w:rsidRDefault="00E54EC0">
      <w:pPr>
        <w:ind w:firstLine="360"/>
        <w:divId w:val="1160655909"/>
        <w:rPr>
          <w:rFonts w:eastAsia="Times New Roman"/>
        </w:rPr>
      </w:pPr>
      <w:r>
        <w:rPr>
          <w:rFonts w:eastAsia="Times New Roman"/>
          <w:color w:val="000000"/>
          <w:sz w:val="20"/>
          <w:szCs w:val="20"/>
        </w:rPr>
        <w:t>We aim to be a trusted partner to our clients by providing advice, products and services that help them navigate complex financial decisions. Our financial strength and the quality of our people, their ingenuity and th</w:t>
      </w:r>
      <w:r>
        <w:rPr>
          <w:rFonts w:eastAsia="Times New Roman"/>
          <w:color w:val="000000"/>
          <w:sz w:val="20"/>
          <w:szCs w:val="20"/>
        </w:rPr>
        <w:t>e service they provide help us build relationships of trust with our clients.</w:t>
      </w:r>
    </w:p>
    <w:p w:rsidR="00000000" w:rsidRDefault="00E54EC0">
      <w:pPr>
        <w:ind w:firstLine="360"/>
        <w:divId w:val="165437356"/>
        <w:rPr>
          <w:rFonts w:eastAsia="Times New Roman"/>
        </w:rPr>
      </w:pPr>
      <w:r>
        <w:rPr>
          <w:rFonts w:eastAsia="Times New Roman"/>
          <w:color w:val="000000"/>
          <w:sz w:val="20"/>
          <w:szCs w:val="20"/>
        </w:rPr>
        <w:t>We have market-leading positions in our four segments: Individual Retirement, Group Retirement, Investment Management and Research, and Protection Solutions.</w:t>
      </w:r>
    </w:p>
    <w:p w:rsidR="00000000" w:rsidRDefault="00E54EC0">
      <w:pPr>
        <w:ind w:firstLine="360"/>
        <w:divId w:val="2090544346"/>
        <w:rPr>
          <w:rFonts w:eastAsia="Times New Roman"/>
        </w:rPr>
      </w:pPr>
      <w:r>
        <w:rPr>
          <w:rFonts w:eastAsia="Times New Roman"/>
          <w:color w:val="000000"/>
          <w:sz w:val="20"/>
          <w:szCs w:val="20"/>
        </w:rPr>
        <w:t>We distribute our pr</w:t>
      </w:r>
      <w:r>
        <w:rPr>
          <w:rFonts w:eastAsia="Times New Roman"/>
          <w:color w:val="000000"/>
          <w:sz w:val="20"/>
          <w:szCs w:val="20"/>
        </w:rPr>
        <w:t>oducts through a premier affiliated and third-party distribution platform, consisting of:</w:t>
      </w:r>
    </w:p>
    <w:p w:rsidR="00000000" w:rsidRDefault="00E54EC0">
      <w:pPr>
        <w:ind w:firstLine="360"/>
        <w:divId w:val="1197157509"/>
        <w:rPr>
          <w:rFonts w:eastAsia="Times New Roman"/>
        </w:rPr>
      </w:pPr>
      <w:r>
        <w:rPr>
          <w:rFonts w:eastAsia="Times New Roman"/>
          <w:color w:val="000000"/>
          <w:sz w:val="20"/>
          <w:szCs w:val="20"/>
        </w:rPr>
        <w:t>Affiliated Distribution:</w:t>
      </w:r>
    </w:p>
    <w:p w:rsidR="00000000" w:rsidRDefault="00E54EC0">
      <w:pPr>
        <w:ind w:hanging="360"/>
        <w:jc w:val="both"/>
        <w:divId w:val="1862889811"/>
        <w:rPr>
          <w:rFonts w:eastAsia="Times New Roman"/>
        </w:rPr>
      </w:pPr>
      <w:r>
        <w:rPr>
          <w:rFonts w:eastAsia="Times New Roman"/>
          <w:color w:val="000000"/>
          <w:sz w:val="20"/>
          <w:szCs w:val="20"/>
        </w:rPr>
        <w:t>•Our affiliated retail sales force, Equitable Advisors, which has approximately 4,300 licensed financial professionals who advise on retireme</w:t>
      </w:r>
      <w:r>
        <w:rPr>
          <w:rFonts w:eastAsia="Times New Roman"/>
          <w:color w:val="000000"/>
          <w:sz w:val="20"/>
          <w:szCs w:val="20"/>
        </w:rPr>
        <w:t xml:space="preserve">nt, protection and investment advisory solutions; and </w:t>
      </w:r>
    </w:p>
    <w:p w:rsidR="00000000" w:rsidRDefault="00E54EC0">
      <w:pPr>
        <w:ind w:hanging="360"/>
        <w:jc w:val="both"/>
        <w:divId w:val="398553282"/>
        <w:rPr>
          <w:rFonts w:eastAsia="Times New Roman"/>
        </w:rPr>
      </w:pPr>
      <w:r>
        <w:rPr>
          <w:rFonts w:eastAsia="Times New Roman"/>
          <w:color w:val="000000"/>
          <w:sz w:val="20"/>
          <w:szCs w:val="20"/>
        </w:rPr>
        <w:t xml:space="preserve">•More than 200 Bernstein Financial Advisors, who are responsible for the sale of investment products and solutions to Private Wealth clients. </w:t>
      </w:r>
    </w:p>
    <w:p w:rsidR="00000000" w:rsidRDefault="00E54EC0">
      <w:pPr>
        <w:ind w:firstLine="360"/>
        <w:divId w:val="1534345579"/>
        <w:rPr>
          <w:rFonts w:eastAsia="Times New Roman"/>
        </w:rPr>
      </w:pPr>
      <w:r>
        <w:rPr>
          <w:rFonts w:eastAsia="Times New Roman"/>
          <w:color w:val="000000"/>
          <w:sz w:val="20"/>
          <w:szCs w:val="20"/>
        </w:rPr>
        <w:t>Third-Party Distribution:</w:t>
      </w:r>
    </w:p>
    <w:p w:rsidR="00000000" w:rsidRDefault="00E54EC0">
      <w:pPr>
        <w:ind w:hanging="360"/>
        <w:jc w:val="both"/>
        <w:divId w:val="1312636791"/>
        <w:rPr>
          <w:rFonts w:eastAsia="Times New Roman"/>
        </w:rPr>
      </w:pPr>
      <w:r>
        <w:rPr>
          <w:rFonts w:eastAsia="Times New Roman"/>
          <w:color w:val="000000"/>
          <w:sz w:val="20"/>
          <w:szCs w:val="20"/>
        </w:rPr>
        <w:t>•Approximately 1,000 distributio</w:t>
      </w:r>
      <w:r>
        <w:rPr>
          <w:rFonts w:eastAsia="Times New Roman"/>
          <w:color w:val="000000"/>
          <w:sz w:val="20"/>
          <w:szCs w:val="20"/>
        </w:rPr>
        <w:t>n agreements with banks, broker dealers, insurance carriers, brokerage general agencies, independent marketing organizations and wires giving us access to more than 145,000 financial professionals to market our retirement, protection and investment solutio</w:t>
      </w:r>
      <w:r>
        <w:rPr>
          <w:rFonts w:eastAsia="Times New Roman"/>
          <w:color w:val="000000"/>
          <w:sz w:val="20"/>
          <w:szCs w:val="20"/>
        </w:rPr>
        <w:t xml:space="preserve">ns; and </w:t>
      </w:r>
    </w:p>
    <w:p w:rsidR="00000000" w:rsidRDefault="00E54EC0">
      <w:pPr>
        <w:ind w:hanging="360"/>
        <w:divId w:val="1344936265"/>
        <w:rPr>
          <w:rFonts w:eastAsia="Times New Roman"/>
        </w:rPr>
      </w:pPr>
      <w:r>
        <w:rPr>
          <w:rFonts w:eastAsia="Times New Roman"/>
          <w:color w:val="000000"/>
          <w:sz w:val="20"/>
          <w:szCs w:val="20"/>
        </w:rPr>
        <w:t xml:space="preserve">•An AB global distribution team of more than </w:t>
      </w:r>
      <w:r>
        <w:rPr>
          <w:rFonts w:eastAsia="Times New Roman"/>
          <w:color w:val="000000"/>
          <w:sz w:val="20"/>
          <w:szCs w:val="20"/>
          <w:shd w:val="clear" w:color="auto" w:fill="FFFFFF"/>
        </w:rPr>
        <w:t>500</w:t>
      </w:r>
      <w:r>
        <w:rPr>
          <w:rFonts w:eastAsia="Times New Roman"/>
          <w:color w:val="000000"/>
          <w:sz w:val="20"/>
          <w:szCs w:val="20"/>
        </w:rPr>
        <w:t xml:space="preserve"> professionals, who engage with more than </w:t>
      </w:r>
      <w:r>
        <w:rPr>
          <w:rFonts w:eastAsia="Times New Roman"/>
          <w:color w:val="000000"/>
          <w:sz w:val="20"/>
          <w:szCs w:val="20"/>
          <w:shd w:val="clear" w:color="auto" w:fill="FFFFFF"/>
        </w:rPr>
        <w:t>5,000</w:t>
      </w:r>
      <w:r>
        <w:rPr>
          <w:rFonts w:eastAsia="Times New Roman"/>
          <w:color w:val="000000"/>
          <w:sz w:val="20"/>
          <w:szCs w:val="20"/>
        </w:rPr>
        <w:t xml:space="preserve"> retail distribution partners and more than </w:t>
      </w:r>
      <w:r>
        <w:rPr>
          <w:rFonts w:eastAsia="Times New Roman"/>
          <w:color w:val="000000"/>
          <w:sz w:val="20"/>
          <w:szCs w:val="20"/>
          <w:shd w:val="clear" w:color="auto" w:fill="FFFFFF"/>
        </w:rPr>
        <w:t>700</w:t>
      </w:r>
      <w:r>
        <w:rPr>
          <w:rFonts w:eastAsia="Times New Roman"/>
          <w:color w:val="000000"/>
          <w:sz w:val="20"/>
          <w:szCs w:val="20"/>
        </w:rPr>
        <w:t xml:space="preserve"> institutional clients.</w:t>
      </w:r>
    </w:p>
    <w:p w:rsidR="00000000" w:rsidRDefault="00E54EC0">
      <w:pPr>
        <w:jc w:val="center"/>
        <w:divId w:val="69275063"/>
        <w:rPr>
          <w:rFonts w:eastAsia="Times New Roman"/>
        </w:rPr>
      </w:pPr>
      <w:r>
        <w:rPr>
          <w:rFonts w:eastAsia="Times New Roman"/>
          <w:color w:val="000000"/>
          <w:sz w:val="20"/>
          <w:szCs w:val="20"/>
        </w:rPr>
        <w:t>5</w:t>
      </w:r>
    </w:p>
    <w:p w:rsidR="00000000" w:rsidRDefault="00E54EC0">
      <w:pPr>
        <w:rPr>
          <w:rFonts w:eastAsia="Times New Roman"/>
        </w:rPr>
      </w:pPr>
      <w:r>
        <w:rPr>
          <w:rFonts w:eastAsia="Times New Roman"/>
        </w:rPr>
        <w:pict>
          <v:rect id="_x0000_i1030" style="width:0;height:1.5pt" o:hralign="center" o:hrstd="t" o:hr="t" fillcolor="#a0a0a0" stroked="f"/>
        </w:pict>
      </w:r>
    </w:p>
    <w:p w:rsidR="00000000" w:rsidRDefault="00E54EC0">
      <w:pPr>
        <w:divId w:val="848061366"/>
        <w:rPr>
          <w:rFonts w:eastAsia="Times New Roman"/>
        </w:rPr>
      </w:pPr>
    </w:p>
    <w:p w:rsidR="00000000" w:rsidRDefault="00E54EC0">
      <w:pPr>
        <w:jc w:val="both"/>
        <w:divId w:val="1496647267"/>
        <w:rPr>
          <w:rFonts w:eastAsia="Times New Roman"/>
        </w:rPr>
      </w:pPr>
      <w:r>
        <w:rPr>
          <w:rFonts w:eastAsia="Times New Roman"/>
          <w:b/>
          <w:bCs/>
          <w:i/>
          <w:iCs/>
          <w:color w:val="000000"/>
          <w:sz w:val="20"/>
          <w:szCs w:val="20"/>
        </w:rPr>
        <w:t>Our Organizational Structure</w:t>
      </w:r>
    </w:p>
    <w:p w:rsidR="00000000" w:rsidRDefault="00E54EC0">
      <w:pPr>
        <w:ind w:firstLine="360"/>
        <w:divId w:val="46876145"/>
        <w:rPr>
          <w:rFonts w:eastAsia="Times New Roman"/>
        </w:rPr>
      </w:pPr>
      <w:r>
        <w:rPr>
          <w:rFonts w:eastAsia="Times New Roman"/>
          <w:color w:val="000000"/>
          <w:sz w:val="20"/>
          <w:szCs w:val="20"/>
        </w:rPr>
        <w:t>We are a holding company that operates our business through a number of direct and indirect subsidiaries. Our two principal franchises include Equitable and AllianceBernstein. The following organizational chart presents the ownership of our principal subsi</w:t>
      </w:r>
      <w:r>
        <w:rPr>
          <w:rFonts w:eastAsia="Times New Roman"/>
          <w:color w:val="000000"/>
          <w:sz w:val="20"/>
          <w:szCs w:val="20"/>
        </w:rPr>
        <w:t>diaries as of December 31, 2022.</w:t>
      </w:r>
    </w:p>
    <w:p w:rsidR="00000000" w:rsidRDefault="00E54EC0">
      <w:pPr>
        <w:divId w:val="1201018850"/>
        <w:rPr>
          <w:rFonts w:eastAsia="Times New Roman"/>
        </w:rPr>
      </w:pPr>
      <w:r>
        <w:rPr>
          <w:rFonts w:eastAsia="Times New Roman"/>
          <w:noProof/>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divId w:val="1300185609"/>
        <w:rPr>
          <w:rFonts w:eastAsia="Times New Roman"/>
        </w:rPr>
      </w:pPr>
    </w:p>
    <w:p w:rsidR="00000000" w:rsidRDefault="00E54EC0">
      <w:pPr>
        <w:ind w:hanging="360"/>
        <w:divId w:val="1774283633"/>
        <w:rPr>
          <w:rFonts w:eastAsia="Times New Roman"/>
        </w:rPr>
      </w:pPr>
      <w:r>
        <w:rPr>
          <w:rFonts w:eastAsia="Times New Roman"/>
          <w:color w:val="000000"/>
          <w:sz w:val="18"/>
          <w:szCs w:val="18"/>
        </w:rPr>
        <w:t>(1)</w:t>
      </w:r>
      <w:r>
        <w:rPr>
          <w:rFonts w:eastAsia="Times New Roman"/>
          <w:color w:val="000000"/>
          <w:sz w:val="16"/>
          <w:szCs w:val="16"/>
        </w:rPr>
        <w:t>We own an approximate 61% economic interest in AB through various wholly-owned subsidi</w:t>
      </w:r>
      <w:r>
        <w:rPr>
          <w:rFonts w:eastAsia="Times New Roman"/>
          <w:color w:val="000000"/>
          <w:sz w:val="16"/>
          <w:szCs w:val="16"/>
        </w:rPr>
        <w:t>aries. Our economic interest consists of approximately 60% of the AB Units, approximately 4% of the AB Holding Units (representing an approximate 1% economic interest in ABLP), and 1% of the AB Units held by the GP. Our indirect, wholly-owned subsidiary, A</w:t>
      </w:r>
      <w:r>
        <w:rPr>
          <w:rFonts w:eastAsia="Times New Roman"/>
          <w:color w:val="000000"/>
          <w:sz w:val="16"/>
          <w:szCs w:val="16"/>
        </w:rPr>
        <w:t>llianceBernstein Corporation, is the General Partner of AB with the authority to manage and control AB, and accordingly, AB is consolidated in our financial statements. ABLP is the operating partnership for the AB business, and AB Holding’s activities cons</w:t>
      </w:r>
      <w:r>
        <w:rPr>
          <w:rFonts w:eastAsia="Times New Roman"/>
          <w:color w:val="000000"/>
          <w:sz w:val="16"/>
          <w:szCs w:val="16"/>
        </w:rPr>
        <w:t>ist of owning AB Units and engaging in related activities. AB Holding Units trade on the NYSE under the ticker symbol “AB”. AB Units do not trade publicly.</w:t>
      </w:r>
    </w:p>
    <w:p w:rsidR="00000000" w:rsidRDefault="00E54EC0">
      <w:pPr>
        <w:jc w:val="both"/>
        <w:divId w:val="1814374554"/>
        <w:rPr>
          <w:rFonts w:eastAsia="Times New Roman"/>
        </w:rPr>
      </w:pPr>
    </w:p>
    <w:p w:rsidR="00000000" w:rsidRDefault="00E54EC0">
      <w:pPr>
        <w:jc w:val="center"/>
        <w:divId w:val="1104888227"/>
        <w:rPr>
          <w:rFonts w:eastAsia="Times New Roman"/>
        </w:rPr>
      </w:pPr>
      <w:r>
        <w:rPr>
          <w:rFonts w:eastAsia="Times New Roman"/>
          <w:color w:val="000000"/>
          <w:sz w:val="20"/>
          <w:szCs w:val="20"/>
        </w:rPr>
        <w:t>6</w:t>
      </w:r>
    </w:p>
    <w:p w:rsidR="00000000" w:rsidRDefault="00E54EC0">
      <w:pPr>
        <w:rPr>
          <w:rFonts w:eastAsia="Times New Roman"/>
        </w:rPr>
      </w:pPr>
      <w:r>
        <w:rPr>
          <w:rFonts w:eastAsia="Times New Roman"/>
        </w:rPr>
        <w:pict>
          <v:rect id="_x0000_i1032" style="width:0;height:1.5pt" o:hralign="center" o:hrstd="t" o:hr="t" fillcolor="#a0a0a0" stroked="f"/>
        </w:pict>
      </w:r>
    </w:p>
    <w:p w:rsidR="00000000" w:rsidRDefault="00E54EC0">
      <w:pPr>
        <w:divId w:val="1643540105"/>
        <w:rPr>
          <w:rFonts w:eastAsia="Times New Roman"/>
        </w:rPr>
      </w:pPr>
    </w:p>
    <w:p w:rsidR="00000000" w:rsidRDefault="00E54EC0">
      <w:pPr>
        <w:divId w:val="1246769758"/>
        <w:rPr>
          <w:rFonts w:eastAsia="Times New Roman"/>
        </w:rPr>
      </w:pPr>
      <w:r>
        <w:rPr>
          <w:rFonts w:eastAsia="Times New Roman"/>
          <w:b/>
          <w:bCs/>
          <w:color w:val="000000"/>
          <w:sz w:val="20"/>
          <w:szCs w:val="20"/>
        </w:rPr>
        <w:t xml:space="preserve">Segment Information </w:t>
      </w:r>
    </w:p>
    <w:p w:rsidR="00000000" w:rsidRDefault="00E54EC0">
      <w:pPr>
        <w:ind w:firstLine="360"/>
        <w:divId w:val="1676347693"/>
        <w:rPr>
          <w:rFonts w:eastAsia="Times New Roman"/>
        </w:rPr>
      </w:pPr>
      <w:r>
        <w:rPr>
          <w:rFonts w:eastAsia="Times New Roman"/>
          <w:color w:val="000000"/>
          <w:sz w:val="20"/>
          <w:szCs w:val="20"/>
        </w:rPr>
        <w:lastRenderedPageBreak/>
        <w:t xml:space="preserve">We are organized into four segments: </w:t>
      </w:r>
      <w:r>
        <w:rPr>
          <w:rFonts w:eastAsia="Times New Roman"/>
          <w:color w:val="000000"/>
          <w:sz w:val="20"/>
          <w:szCs w:val="20"/>
        </w:rPr>
        <w:t>Individual Retirement, Group Retirement, Investment Management and Research, and Protection Solutions. We report certain activities and items that are not included in our segments in Corporate and Other.</w:t>
      </w:r>
    </w:p>
    <w:p w:rsidR="00000000" w:rsidRDefault="00E54EC0">
      <w:pPr>
        <w:ind w:hanging="360"/>
        <w:jc w:val="both"/>
        <w:divId w:val="154733366"/>
        <w:rPr>
          <w:rFonts w:eastAsia="Times New Roman"/>
        </w:rPr>
      </w:pPr>
      <w:r>
        <w:rPr>
          <w:rFonts w:eastAsia="Times New Roman"/>
          <w:color w:val="000000"/>
          <w:sz w:val="20"/>
          <w:szCs w:val="20"/>
        </w:rPr>
        <w:t>•</w:t>
      </w:r>
      <w:r>
        <w:rPr>
          <w:rFonts w:eastAsia="Times New Roman"/>
          <w:b/>
          <w:bCs/>
          <w:color w:val="000000"/>
          <w:sz w:val="20"/>
          <w:szCs w:val="20"/>
        </w:rPr>
        <w:t>Individual Retirement</w:t>
      </w:r>
      <w:r>
        <w:rPr>
          <w:rFonts w:eastAsia="Times New Roman"/>
          <w:color w:val="000000"/>
          <w:sz w:val="20"/>
          <w:szCs w:val="20"/>
        </w:rPr>
        <w:t>—</w:t>
      </w:r>
      <w:r>
        <w:rPr>
          <w:rFonts w:eastAsia="Times New Roman"/>
          <w:color w:val="000000"/>
          <w:sz w:val="20"/>
          <w:szCs w:val="20"/>
        </w:rPr>
        <w:t xml:space="preserve">We are a leading provider of variable annuity products, which primarily meet the needs of individuals saving for retirement or seeking retirement income by allowing them to invest in various markets through underlying investment options. </w:t>
      </w:r>
    </w:p>
    <w:p w:rsidR="00000000" w:rsidRDefault="00E54EC0">
      <w:pPr>
        <w:ind w:hanging="360"/>
        <w:jc w:val="both"/>
        <w:divId w:val="607005880"/>
        <w:rPr>
          <w:rFonts w:eastAsia="Times New Roman"/>
        </w:rPr>
      </w:pPr>
      <w:r>
        <w:rPr>
          <w:rFonts w:eastAsia="Times New Roman"/>
          <w:color w:val="000000"/>
          <w:sz w:val="20"/>
          <w:szCs w:val="20"/>
        </w:rPr>
        <w:t>•</w:t>
      </w:r>
      <w:r>
        <w:rPr>
          <w:rFonts w:eastAsia="Times New Roman"/>
          <w:b/>
          <w:bCs/>
          <w:color w:val="000000"/>
          <w:sz w:val="20"/>
          <w:szCs w:val="20"/>
        </w:rPr>
        <w:t>Group Retirement</w:t>
      </w:r>
      <w:r>
        <w:rPr>
          <w:rFonts w:eastAsia="Times New Roman"/>
          <w:color w:val="000000"/>
          <w:sz w:val="20"/>
          <w:szCs w:val="20"/>
        </w:rPr>
        <w:t xml:space="preserve">—We offer tax-deferred investment and retirement services or products to plans sponsored by educational entities, municipalities and not-for-profit entities, as well as small and medium-sized businesses. </w:t>
      </w:r>
    </w:p>
    <w:p w:rsidR="00000000" w:rsidRDefault="00E54EC0">
      <w:pPr>
        <w:ind w:hanging="360"/>
        <w:jc w:val="both"/>
        <w:divId w:val="687951231"/>
        <w:rPr>
          <w:rFonts w:eastAsia="Times New Roman"/>
        </w:rPr>
      </w:pPr>
      <w:r>
        <w:rPr>
          <w:rFonts w:eastAsia="Times New Roman"/>
          <w:color w:val="000000"/>
          <w:sz w:val="20"/>
          <w:szCs w:val="20"/>
        </w:rPr>
        <w:t>•</w:t>
      </w:r>
      <w:r>
        <w:rPr>
          <w:rFonts w:eastAsia="Times New Roman"/>
          <w:b/>
          <w:bCs/>
          <w:color w:val="000000"/>
          <w:sz w:val="20"/>
          <w:szCs w:val="20"/>
        </w:rPr>
        <w:t>Investment Management and Research</w:t>
      </w:r>
      <w:r>
        <w:rPr>
          <w:rFonts w:eastAsia="Times New Roman"/>
          <w:color w:val="000000"/>
          <w:sz w:val="20"/>
          <w:szCs w:val="20"/>
        </w:rPr>
        <w:t>—We are a leadin</w:t>
      </w:r>
      <w:r>
        <w:rPr>
          <w:rFonts w:eastAsia="Times New Roman"/>
          <w:color w:val="000000"/>
          <w:sz w:val="20"/>
          <w:szCs w:val="20"/>
        </w:rPr>
        <w:t xml:space="preserve">g provider of diversified investment management, research and related services to a broad range of clients globally. </w:t>
      </w:r>
    </w:p>
    <w:p w:rsidR="00000000" w:rsidRDefault="00E54EC0">
      <w:pPr>
        <w:ind w:hanging="360"/>
        <w:divId w:val="316155895"/>
        <w:rPr>
          <w:rFonts w:eastAsia="Times New Roman"/>
        </w:rPr>
      </w:pPr>
      <w:r>
        <w:rPr>
          <w:rFonts w:eastAsia="Times New Roman"/>
          <w:color w:val="000000"/>
          <w:sz w:val="20"/>
          <w:szCs w:val="20"/>
        </w:rPr>
        <w:t>•</w:t>
      </w:r>
      <w:r>
        <w:rPr>
          <w:rFonts w:eastAsia="Times New Roman"/>
          <w:b/>
          <w:bCs/>
          <w:color w:val="000000"/>
          <w:sz w:val="20"/>
          <w:szCs w:val="20"/>
        </w:rPr>
        <w:t>Protection Solutions</w:t>
      </w:r>
      <w:r>
        <w:rPr>
          <w:rFonts w:eastAsia="Times New Roman"/>
          <w:color w:val="000000"/>
          <w:sz w:val="20"/>
          <w:szCs w:val="20"/>
        </w:rPr>
        <w:t>—We focus our life insurance products on attractive protection segments such as VUL insurance and IUL insurance and o</w:t>
      </w:r>
      <w:r>
        <w:rPr>
          <w:rFonts w:eastAsia="Times New Roman"/>
          <w:color w:val="000000"/>
          <w:sz w:val="20"/>
          <w:szCs w:val="20"/>
        </w:rPr>
        <w:t xml:space="preserve">ur employee benefits business on small and medium-sized businesses. </w:t>
      </w:r>
    </w:p>
    <w:p w:rsidR="00000000" w:rsidRDefault="00E54EC0">
      <w:pPr>
        <w:ind w:firstLine="360"/>
        <w:divId w:val="1031224080"/>
        <w:rPr>
          <w:rFonts w:eastAsia="Times New Roman"/>
        </w:rPr>
      </w:pPr>
      <w:r>
        <w:rPr>
          <w:rFonts w:eastAsia="Times New Roman"/>
          <w:color w:val="000000"/>
          <w:sz w:val="20"/>
          <w:szCs w:val="20"/>
        </w:rPr>
        <w:t>For financial information on segments, see “Management’s Discussion and Analysis of Financial Condition and Results of Operations—Results of Operations by Segment” and Notes 1 and 19 of t</w:t>
      </w:r>
      <w:r>
        <w:rPr>
          <w:rFonts w:eastAsia="Times New Roman"/>
          <w:color w:val="000000"/>
          <w:sz w:val="20"/>
          <w:szCs w:val="20"/>
        </w:rPr>
        <w:t>he Notes to the Consolidated Financial Statements.</w:t>
      </w:r>
    </w:p>
    <w:p w:rsidR="00000000" w:rsidRDefault="00E54EC0">
      <w:pPr>
        <w:divId w:val="1896813484"/>
        <w:rPr>
          <w:rFonts w:eastAsia="Times New Roman"/>
        </w:rPr>
      </w:pPr>
      <w:r>
        <w:rPr>
          <w:rFonts w:eastAsia="Times New Roman"/>
          <w:b/>
          <w:bCs/>
          <w:color w:val="000000"/>
          <w:sz w:val="20"/>
          <w:szCs w:val="20"/>
        </w:rPr>
        <w:t xml:space="preserve">Individual Retirement </w:t>
      </w:r>
    </w:p>
    <w:p w:rsidR="00000000" w:rsidRDefault="00E54EC0">
      <w:pPr>
        <w:ind w:firstLine="360"/>
        <w:divId w:val="1278676398"/>
        <w:rPr>
          <w:rFonts w:eastAsia="Times New Roman"/>
        </w:rPr>
      </w:pPr>
      <w:r>
        <w:rPr>
          <w:rFonts w:eastAsia="Times New Roman"/>
          <w:color w:val="000000"/>
          <w:sz w:val="20"/>
          <w:szCs w:val="20"/>
        </w:rPr>
        <w:t>Our Individual Retirement segment is a leading provider of individual variable annuity products, which are primarily sold to affluent and high net worth individuals saving for retire</w:t>
      </w:r>
      <w:r>
        <w:rPr>
          <w:rFonts w:eastAsia="Times New Roman"/>
          <w:color w:val="000000"/>
          <w:sz w:val="20"/>
          <w:szCs w:val="20"/>
        </w:rPr>
        <w:t xml:space="preserve">ment or seeking guaranteed retirement income. We have a long history of innovation, as one of the first companies, in 1968, to enter the variable annuity market, as the first company, in 1996, to provide variable annuities with living benefits, and as the </w:t>
      </w:r>
      <w:r>
        <w:rPr>
          <w:rFonts w:eastAsia="Times New Roman"/>
          <w:color w:val="000000"/>
          <w:sz w:val="20"/>
          <w:szCs w:val="20"/>
        </w:rPr>
        <w:t>first company, in 2010, to bring to market an index-linked variable annuity product that provides some downside protection to investors, while still giving them the opportunity to invest for growth. Our Individual Retirement business is an important source</w:t>
      </w:r>
      <w:r>
        <w:rPr>
          <w:rFonts w:eastAsia="Times New Roman"/>
          <w:color w:val="000000"/>
          <w:sz w:val="20"/>
          <w:szCs w:val="20"/>
        </w:rPr>
        <w:t xml:space="preserve"> of earnings and cash flow for our company, and we believe our hedging strategy preserves a substantial portion of these cash flows across a wide range of risk scenarios. The primary sources of revenue for our Individual Retirement segment include fee reve</w:t>
      </w:r>
      <w:r>
        <w:rPr>
          <w:rFonts w:eastAsia="Times New Roman"/>
          <w:color w:val="000000"/>
          <w:sz w:val="20"/>
          <w:szCs w:val="20"/>
        </w:rPr>
        <w:t xml:space="preserve">nue and investment income. </w:t>
      </w:r>
    </w:p>
    <w:p w:rsidR="00000000" w:rsidRDefault="00E54EC0">
      <w:pPr>
        <w:ind w:firstLine="360"/>
        <w:divId w:val="1646356428"/>
        <w:rPr>
          <w:rFonts w:eastAsia="Times New Roman"/>
        </w:rPr>
      </w:pPr>
      <w:r>
        <w:rPr>
          <w:rFonts w:eastAsia="Times New Roman"/>
          <w:color w:val="000000"/>
          <w:sz w:val="20"/>
          <w:szCs w:val="20"/>
        </w:rPr>
        <w:t xml:space="preserve">We principally focus on selling three variable annuity products, each of which provides policyholders with distinct benefits, features and return profiles. We continue to innovate our offering, periodically updating our product </w:t>
      </w:r>
      <w:r>
        <w:rPr>
          <w:rFonts w:eastAsia="Times New Roman"/>
          <w:color w:val="000000"/>
          <w:sz w:val="20"/>
          <w:szCs w:val="20"/>
        </w:rPr>
        <w:t>benefits and introducing new variable annuity products to meet the evolving needs of our clients while managing the risk and return of these variable annuity products to our company. Due to our innovation, our product mix has evolved considerably since the</w:t>
      </w:r>
      <w:r>
        <w:rPr>
          <w:rFonts w:eastAsia="Times New Roman"/>
          <w:color w:val="000000"/>
          <w:sz w:val="20"/>
          <w:szCs w:val="20"/>
        </w:rPr>
        <w:t xml:space="preserve"> 2008 financial crisis. The majority of our sales in 2022 consisted of products without variable annuity guarantee benefits features (“GMxB features”) (other than the ROP death benefit), and less than 1% of 2022 FYP was attributable to products with fixed </w:t>
      </w:r>
      <w:r>
        <w:rPr>
          <w:rFonts w:eastAsia="Times New Roman"/>
          <w:color w:val="000000"/>
          <w:sz w:val="20"/>
          <w:szCs w:val="20"/>
        </w:rPr>
        <w:t>rate guarantees. To further our growth, we plan to continue to innovate our product portfolio, expand and deepen our distribution channels and effectively manage risk in our business.</w:t>
      </w:r>
    </w:p>
    <w:p w:rsidR="00000000" w:rsidRDefault="00E54EC0">
      <w:pPr>
        <w:jc w:val="both"/>
        <w:divId w:val="828248942"/>
        <w:rPr>
          <w:rFonts w:eastAsia="Times New Roman"/>
        </w:rPr>
      </w:pPr>
      <w:r>
        <w:rPr>
          <w:rFonts w:eastAsia="Times New Roman"/>
          <w:b/>
          <w:bCs/>
          <w:i/>
          <w:iCs/>
          <w:color w:val="000000"/>
          <w:sz w:val="20"/>
          <w:szCs w:val="20"/>
        </w:rPr>
        <w:t xml:space="preserve">Products </w:t>
      </w:r>
    </w:p>
    <w:p w:rsidR="00000000" w:rsidRDefault="00E54EC0">
      <w:pPr>
        <w:ind w:firstLine="360"/>
        <w:divId w:val="1830898425"/>
        <w:rPr>
          <w:rFonts w:eastAsia="Times New Roman"/>
        </w:rPr>
      </w:pPr>
      <w:r>
        <w:rPr>
          <w:rFonts w:eastAsia="Times New Roman"/>
          <w:color w:val="000000"/>
          <w:sz w:val="20"/>
          <w:szCs w:val="20"/>
        </w:rPr>
        <w:t>We primarily sell three variable annuity products each providi</w:t>
      </w:r>
      <w:r>
        <w:rPr>
          <w:rFonts w:eastAsia="Times New Roman"/>
          <w:color w:val="000000"/>
          <w:sz w:val="20"/>
          <w:szCs w:val="20"/>
        </w:rPr>
        <w:t xml:space="preserve">ng policyholders with distinct features and return profiles. Our current primary product offering, ordered below according to sales volume for the year ended December 31, 2022, includes: </w:t>
      </w:r>
    </w:p>
    <w:p w:rsidR="00000000" w:rsidRDefault="00E54EC0">
      <w:pPr>
        <w:ind w:hanging="360"/>
        <w:jc w:val="both"/>
        <w:divId w:val="1430928699"/>
        <w:rPr>
          <w:rFonts w:eastAsia="Times New Roman"/>
        </w:rPr>
      </w:pPr>
      <w:r>
        <w:rPr>
          <w:rFonts w:eastAsia="Times New Roman"/>
          <w:color w:val="000000"/>
          <w:sz w:val="20"/>
          <w:szCs w:val="20"/>
        </w:rPr>
        <w:t>•</w:t>
      </w:r>
      <w:r>
        <w:rPr>
          <w:rFonts w:eastAsia="Times New Roman"/>
          <w:i/>
          <w:iCs/>
          <w:color w:val="000000"/>
          <w:sz w:val="20"/>
          <w:szCs w:val="20"/>
        </w:rPr>
        <w:t>Structured Capital Strategies (“SCS”)</w:t>
      </w:r>
      <w:r>
        <w:rPr>
          <w:rFonts w:eastAsia="Times New Roman"/>
          <w:color w:val="000000"/>
          <w:sz w:val="20"/>
          <w:szCs w:val="20"/>
        </w:rPr>
        <w:t>. SCS is an index-linked varia</w:t>
      </w:r>
      <w:r>
        <w:rPr>
          <w:rFonts w:eastAsia="Times New Roman"/>
          <w:color w:val="000000"/>
          <w:sz w:val="20"/>
          <w:szCs w:val="20"/>
        </w:rPr>
        <w:t>ble annuity product which allows the policyholder to invest in various investment options, whose performance is tied to one or more securities indices, commodities indices or ETF, subject to a performance cap, over a set period of time. The risks associate</w:t>
      </w:r>
      <w:r>
        <w:rPr>
          <w:rFonts w:eastAsia="Times New Roman"/>
          <w:color w:val="000000"/>
          <w:sz w:val="20"/>
          <w:szCs w:val="20"/>
        </w:rPr>
        <w:t xml:space="preserve">d with such investment options are borne entirely by the policyholder, except the portion of any negative performance that we absorb (a buffer) upon investment maturity. Prior to November 2021, this variable annuity did not offer GMxB features, other than </w:t>
      </w:r>
      <w:r>
        <w:rPr>
          <w:rFonts w:eastAsia="Times New Roman"/>
          <w:color w:val="000000"/>
          <w:sz w:val="20"/>
          <w:szCs w:val="20"/>
        </w:rPr>
        <w:t>an optional return of premium death benefit that we had introduced on some versions. In November 2021, we introduced SCS Income, a new version of SCS, offering a GMxB feature. SCS Income is also an index-linked annuity that combines lifetime income options</w:t>
      </w:r>
      <w:r>
        <w:rPr>
          <w:rFonts w:eastAsia="Times New Roman"/>
          <w:color w:val="000000"/>
          <w:sz w:val="20"/>
          <w:szCs w:val="20"/>
        </w:rPr>
        <w:t xml:space="preserve"> with some protection from equity market volatility.</w:t>
      </w:r>
    </w:p>
    <w:p w:rsidR="00000000" w:rsidRDefault="00E54EC0">
      <w:pPr>
        <w:ind w:hanging="360"/>
        <w:jc w:val="both"/>
        <w:divId w:val="156851159"/>
        <w:rPr>
          <w:rFonts w:eastAsia="Times New Roman"/>
        </w:rPr>
      </w:pPr>
      <w:r>
        <w:rPr>
          <w:rFonts w:eastAsia="Times New Roman"/>
          <w:color w:val="000000"/>
          <w:sz w:val="20"/>
          <w:szCs w:val="20"/>
        </w:rPr>
        <w:t>•</w:t>
      </w:r>
      <w:r>
        <w:rPr>
          <w:rFonts w:eastAsia="Times New Roman"/>
          <w:i/>
          <w:iCs/>
          <w:color w:val="000000"/>
          <w:sz w:val="20"/>
          <w:szCs w:val="20"/>
        </w:rPr>
        <w:t>Retirement Cornerstone (“RC”).</w:t>
      </w:r>
      <w:r>
        <w:rPr>
          <w:rFonts w:eastAsia="Times New Roman"/>
          <w:color w:val="000000"/>
          <w:sz w:val="20"/>
          <w:szCs w:val="20"/>
        </w:rPr>
        <w:t xml:space="preserve"> Our Retirement Cornerstone product offers two platforms: (i) RC Performance, which offers access to a broad selection of funds with annuitization benefits based solely on </w:t>
      </w:r>
      <w:r>
        <w:rPr>
          <w:rFonts w:eastAsia="Times New Roman"/>
          <w:color w:val="000000"/>
          <w:sz w:val="20"/>
          <w:szCs w:val="20"/>
        </w:rPr>
        <w:t xml:space="preserve">non-guaranteed account investment performance and (ii) RC Protection, which offers access to a focused selection of funds and an optional floating-rate GMxB feature providing guaranteed income for life. </w:t>
      </w:r>
    </w:p>
    <w:p w:rsidR="00000000" w:rsidRDefault="00E54EC0">
      <w:pPr>
        <w:jc w:val="center"/>
        <w:divId w:val="1951666940"/>
        <w:rPr>
          <w:rFonts w:eastAsia="Times New Roman"/>
        </w:rPr>
      </w:pPr>
      <w:r>
        <w:rPr>
          <w:rFonts w:eastAsia="Times New Roman"/>
          <w:color w:val="000000"/>
          <w:sz w:val="20"/>
          <w:szCs w:val="20"/>
        </w:rPr>
        <w:t>7</w:t>
      </w:r>
    </w:p>
    <w:p w:rsidR="00000000" w:rsidRDefault="00E54EC0">
      <w:pPr>
        <w:rPr>
          <w:rFonts w:eastAsia="Times New Roman"/>
        </w:rPr>
      </w:pPr>
      <w:r>
        <w:rPr>
          <w:rFonts w:eastAsia="Times New Roman"/>
        </w:rPr>
        <w:pict>
          <v:rect id="_x0000_i1033" style="width:0;height:1.5pt" o:hralign="center" o:hrstd="t" o:hr="t" fillcolor="#a0a0a0" stroked="f"/>
        </w:pict>
      </w:r>
    </w:p>
    <w:p w:rsidR="00000000" w:rsidRDefault="00E54EC0">
      <w:pPr>
        <w:divId w:val="1218669643"/>
        <w:rPr>
          <w:rFonts w:eastAsia="Times New Roman"/>
        </w:rPr>
      </w:pPr>
    </w:p>
    <w:p w:rsidR="00000000" w:rsidRDefault="00E54EC0">
      <w:pPr>
        <w:ind w:hanging="360"/>
        <w:jc w:val="both"/>
        <w:divId w:val="1063720824"/>
        <w:rPr>
          <w:rFonts w:eastAsia="Times New Roman"/>
        </w:rPr>
      </w:pPr>
      <w:r>
        <w:rPr>
          <w:rFonts w:eastAsia="Times New Roman"/>
          <w:color w:val="000000"/>
          <w:sz w:val="20"/>
          <w:szCs w:val="20"/>
        </w:rPr>
        <w:t>•</w:t>
      </w:r>
      <w:r>
        <w:rPr>
          <w:rFonts w:eastAsia="Times New Roman"/>
          <w:i/>
          <w:iCs/>
          <w:color w:val="000000"/>
          <w:sz w:val="20"/>
          <w:szCs w:val="20"/>
        </w:rPr>
        <w:t>Investment Edge</w:t>
      </w:r>
      <w:r>
        <w:rPr>
          <w:rFonts w:eastAsia="Times New Roman"/>
          <w:color w:val="000000"/>
          <w:sz w:val="20"/>
          <w:szCs w:val="20"/>
        </w:rPr>
        <w:t>. Our investment-only variable annuity is a wealth accumulation variable annuity that defers current taxes during accumulation and provides tax-efficient distributions on non-qualified assets through scheduled payments over a set period of t</w:t>
      </w:r>
      <w:r>
        <w:rPr>
          <w:rFonts w:eastAsia="Times New Roman"/>
          <w:color w:val="000000"/>
          <w:sz w:val="20"/>
          <w:szCs w:val="20"/>
        </w:rPr>
        <w:t>ime with a portion of each payment being a return of cost basis, thus excludable from taxes.</w:t>
      </w:r>
      <w:r>
        <w:rPr>
          <w:rFonts w:eastAsia="Times New Roman"/>
          <w:i/>
          <w:iCs/>
          <w:color w:val="000000"/>
          <w:sz w:val="20"/>
          <w:szCs w:val="20"/>
        </w:rPr>
        <w:t xml:space="preserve"> </w:t>
      </w:r>
      <w:r>
        <w:rPr>
          <w:rFonts w:eastAsia="Times New Roman"/>
          <w:color w:val="000000"/>
          <w:sz w:val="20"/>
          <w:szCs w:val="20"/>
        </w:rPr>
        <w:t>An optional SIO feature allows a policyholder to invest in various investment options whose performance is tied to one or more securities indices, subject to a per</w:t>
      </w:r>
      <w:r>
        <w:rPr>
          <w:rFonts w:eastAsia="Times New Roman"/>
          <w:color w:val="000000"/>
          <w:sz w:val="20"/>
          <w:szCs w:val="20"/>
        </w:rPr>
        <w:t>formance cap, with some downside protection over a set period of time. This optional SIO feature leverages our innovative SCS offering.</w:t>
      </w:r>
      <w:r>
        <w:rPr>
          <w:rFonts w:eastAsia="Times New Roman"/>
          <w:i/>
          <w:iCs/>
          <w:color w:val="000000"/>
          <w:sz w:val="20"/>
          <w:szCs w:val="20"/>
        </w:rPr>
        <w:t xml:space="preserve"> </w:t>
      </w:r>
      <w:r>
        <w:rPr>
          <w:rFonts w:eastAsia="Times New Roman"/>
          <w:color w:val="000000"/>
          <w:sz w:val="20"/>
          <w:szCs w:val="20"/>
        </w:rPr>
        <w:t>Investment Edge does not offer any GMxB feature other than an optional return of premium death benefit.</w:t>
      </w:r>
    </w:p>
    <w:p w:rsidR="00000000" w:rsidRDefault="00E54EC0">
      <w:pPr>
        <w:ind w:hanging="360"/>
        <w:divId w:val="1706061589"/>
        <w:rPr>
          <w:rFonts w:eastAsia="Times New Roman"/>
        </w:rPr>
      </w:pPr>
      <w:r>
        <w:rPr>
          <w:rFonts w:eastAsia="Times New Roman"/>
          <w:i/>
          <w:iCs/>
          <w:color w:val="000000"/>
          <w:sz w:val="20"/>
          <w:szCs w:val="20"/>
        </w:rPr>
        <w:t>•Other products.</w:t>
      </w:r>
      <w:r>
        <w:rPr>
          <w:rFonts w:eastAsia="Times New Roman"/>
          <w:i/>
          <w:iCs/>
          <w:color w:val="000000"/>
          <w:sz w:val="20"/>
          <w:szCs w:val="20"/>
        </w:rPr>
        <w:t xml:space="preserve"> </w:t>
      </w:r>
      <w:r>
        <w:rPr>
          <w:rFonts w:eastAsia="Times New Roman"/>
          <w:color w:val="000000"/>
          <w:sz w:val="20"/>
          <w:szCs w:val="20"/>
        </w:rPr>
        <w:t xml:space="preserve">We offer other products which offer optional GMxB benefits. These other products do not contribute significantly to our sales. </w:t>
      </w:r>
    </w:p>
    <w:p w:rsidR="00000000" w:rsidRDefault="00E54EC0">
      <w:pPr>
        <w:ind w:firstLine="360"/>
        <w:divId w:val="324355571"/>
        <w:rPr>
          <w:rFonts w:eastAsia="Times New Roman"/>
        </w:rPr>
      </w:pPr>
      <w:r>
        <w:rPr>
          <w:rFonts w:eastAsia="Times New Roman"/>
          <w:color w:val="000000"/>
          <w:sz w:val="20"/>
          <w:szCs w:val="20"/>
        </w:rPr>
        <w:t> Our variable annuity portfolio is mature. Since 2008, we shifted our business from selling variable annuity products with GMxB</w:t>
      </w:r>
      <w:r>
        <w:rPr>
          <w:rFonts w:eastAsia="Times New Roman"/>
          <w:color w:val="000000"/>
          <w:sz w:val="20"/>
          <w:szCs w:val="20"/>
        </w:rPr>
        <w:t xml:space="preserve"> features with fixed roll-up rates, to predominantly (i) variable annuity products without GMxB features (other than the return of premium death benefit in some cases) and (ii) variable annuity products with GMxB features with floating roll-up rates. Based</w:t>
      </w:r>
      <w:r>
        <w:rPr>
          <w:rFonts w:eastAsia="Times New Roman"/>
          <w:color w:val="000000"/>
          <w:sz w:val="20"/>
          <w:szCs w:val="20"/>
        </w:rPr>
        <w:t xml:space="preserve"> on FYP, we have shifted our portfolio from 90% fixed rate GMxB products in 2008 to 92% floating rate GMxB products and non-GMxB products in 2022. In addition, AV has shifted from 77% Fixed Rate GMxB products in 2008 to 23% in 2022.</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1545"/>
        <w:gridCol w:w="37"/>
        <w:gridCol w:w="69"/>
        <w:gridCol w:w="1546"/>
        <w:gridCol w:w="37"/>
        <w:gridCol w:w="69"/>
        <w:gridCol w:w="1546"/>
        <w:gridCol w:w="37"/>
        <w:gridCol w:w="69"/>
        <w:gridCol w:w="1546"/>
        <w:gridCol w:w="36"/>
        <w:gridCol w:w="69"/>
        <w:gridCol w:w="1546"/>
        <w:gridCol w:w="36"/>
      </w:tblGrid>
      <w:tr w:rsidR="00000000">
        <w:trPr>
          <w:divId w:val="2068334805"/>
          <w:jc w:val="center"/>
        </w:trPr>
        <w:tc>
          <w:tcPr>
            <w:tcW w:w="50" w:type="pct"/>
            <w:vAlign w:val="center"/>
            <w:hideMark/>
          </w:tcPr>
          <w:p w:rsidR="00000000" w:rsidRDefault="00E54EC0">
            <w:pPr>
              <w:ind w:firstLine="360"/>
              <w:rPr>
                <w:rFonts w:eastAsia="Times New Roman"/>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68334805"/>
          <w:jc w:val="center"/>
        </w:trPr>
        <w:tc>
          <w:tcPr>
            <w:tcW w:w="0" w:type="auto"/>
            <w:gridSpan w:val="15"/>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Evoluti</w:t>
            </w:r>
            <w:r>
              <w:rPr>
                <w:rFonts w:eastAsia="Times New Roman"/>
                <w:b/>
                <w:bCs/>
                <w:color w:val="000000"/>
                <w:sz w:val="20"/>
                <w:szCs w:val="20"/>
              </w:rPr>
              <w:t>on of Variable Annuity FYP</w:t>
            </w:r>
          </w:p>
        </w:tc>
      </w:tr>
    </w:tbl>
    <w:p w:rsidR="00000000" w:rsidRDefault="00E54EC0">
      <w:pPr>
        <w:spacing w:after="240"/>
        <w:ind w:firstLine="360"/>
        <w:jc w:val="center"/>
        <w:divId w:val="755134094"/>
        <w:rPr>
          <w:rFonts w:eastAsia="Times New Roman"/>
        </w:rPr>
      </w:pPr>
      <w:r>
        <w:rPr>
          <w:rFonts w:eastAsia="Times New Roman"/>
          <w:noProof/>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ind w:firstLine="360"/>
        <w:divId w:val="2011836317"/>
        <w:rPr>
          <w:rFonts w:eastAsia="Times New Roman"/>
        </w:rPr>
      </w:pPr>
      <w:r>
        <w:rPr>
          <w:rFonts w:eastAsia="Times New Roman"/>
          <w:color w:val="000000"/>
          <w:sz w:val="20"/>
          <w:szCs w:val="20"/>
        </w:rPr>
        <w:t>The following tables present the relative contribution to FYP of each of the above products and GMxB features for the 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784884256"/>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8488425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78488425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8488425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8488425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FYP by Product</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8488425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SCS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7,953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8488425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Retirement Cornerstone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8488425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Edge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8488425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8488425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FYP</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11,483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10,983 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7,173 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6808210"/>
        <w:rPr>
          <w:rFonts w:eastAsia="Times New Roman"/>
        </w:rPr>
      </w:pPr>
    </w:p>
    <w:p w:rsidR="00000000" w:rsidRDefault="00E54EC0">
      <w:pPr>
        <w:jc w:val="center"/>
        <w:divId w:val="1155343121"/>
        <w:rPr>
          <w:rFonts w:eastAsia="Times New Roman"/>
        </w:rPr>
      </w:pPr>
      <w:r>
        <w:rPr>
          <w:rFonts w:eastAsia="Times New Roman"/>
          <w:color w:val="000000"/>
          <w:sz w:val="20"/>
          <w:szCs w:val="20"/>
        </w:rPr>
        <w:t>8</w:t>
      </w:r>
    </w:p>
    <w:p w:rsidR="00000000" w:rsidRDefault="00E54EC0">
      <w:pPr>
        <w:rPr>
          <w:rFonts w:eastAsia="Times New Roman"/>
        </w:rPr>
      </w:pPr>
      <w:r>
        <w:rPr>
          <w:rFonts w:eastAsia="Times New Roman"/>
        </w:rPr>
        <w:pict>
          <v:rect id="_x0000_i1036" style="width:0;height:1.5pt" o:hralign="center" o:hrstd="t" o:hr="t" fillcolor="#a0a0a0" stroked="f"/>
        </w:pict>
      </w:r>
    </w:p>
    <w:p w:rsidR="00000000" w:rsidRDefault="00E54EC0">
      <w:pPr>
        <w:divId w:val="13124475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579286651"/>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7928665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57928665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57928665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7928665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FYP by Guarantee Feature</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792866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Non-GMxB</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ROP Death Benefit Only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Non-GMxB &amp; ROP Death Benefit Only</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9,509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792866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Floating Rate GMxB</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1,623 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Rate GMxB</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GMxB</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792866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792866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FYP</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11,483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10,983 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7,173 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08403342"/>
        <w:rPr>
          <w:rFonts w:eastAsia="Times New Roman"/>
        </w:rPr>
      </w:pPr>
    </w:p>
    <w:p w:rsidR="00000000" w:rsidRDefault="00E54EC0">
      <w:pPr>
        <w:ind w:firstLine="360"/>
        <w:divId w:val="1460875619"/>
        <w:rPr>
          <w:rFonts w:eastAsia="Times New Roman"/>
        </w:rPr>
      </w:pPr>
      <w:r>
        <w:rPr>
          <w:rFonts w:eastAsia="Times New Roman"/>
          <w:color w:val="000000"/>
          <w:sz w:val="20"/>
          <w:szCs w:val="20"/>
        </w:rPr>
        <w:t>Our sales for the years ended December </w:t>
      </w:r>
      <w:r>
        <w:rPr>
          <w:rFonts w:eastAsia="Times New Roman"/>
          <w:color w:val="000000"/>
          <w:sz w:val="20"/>
          <w:szCs w:val="20"/>
        </w:rPr>
        <w:t xml:space="preserve">31, 2022, 2021 and 2020 further demonstrate the result of our product sales evolution, as 80%, 79% and 74% of FYP, respectively, came from variable annuity products that do not contain GMxB riders, and of the GMxB riders sold, they overwhelmingly featured </w:t>
      </w:r>
      <w:r>
        <w:rPr>
          <w:rFonts w:eastAsia="Times New Roman"/>
          <w:color w:val="000000"/>
          <w:sz w:val="20"/>
          <w:szCs w:val="20"/>
        </w:rPr>
        <w:t xml:space="preserve">floating, as opposed to fixed, roll-up rates. </w:t>
      </w:r>
    </w:p>
    <w:p w:rsidR="00000000" w:rsidRDefault="00E54EC0">
      <w:pPr>
        <w:ind w:firstLine="360"/>
        <w:divId w:val="751122997"/>
        <w:rPr>
          <w:rFonts w:eastAsia="Times New Roman"/>
        </w:rPr>
      </w:pPr>
      <w:r>
        <w:rPr>
          <w:rFonts w:eastAsia="Times New Roman"/>
          <w:color w:val="000000"/>
          <w:sz w:val="20"/>
          <w:szCs w:val="20"/>
        </w:rPr>
        <w:t xml:space="preserve">Our Individual Retirement segment works with EIMG to identify and include appropriate underlying investment options in its products, as well as to control the costs of these options and increase profitability </w:t>
      </w:r>
      <w:r>
        <w:rPr>
          <w:rFonts w:eastAsia="Times New Roman"/>
          <w:color w:val="000000"/>
          <w:sz w:val="20"/>
          <w:szCs w:val="20"/>
        </w:rPr>
        <w:t xml:space="preserve">of the products. For a discussion of EIMG, see below “—Equitable Investment Management.” </w:t>
      </w:r>
    </w:p>
    <w:p w:rsidR="00000000" w:rsidRDefault="00E54EC0">
      <w:pPr>
        <w:jc w:val="both"/>
        <w:divId w:val="380324138"/>
        <w:rPr>
          <w:rFonts w:eastAsia="Times New Roman"/>
        </w:rPr>
      </w:pPr>
      <w:r>
        <w:rPr>
          <w:rFonts w:eastAsia="Times New Roman"/>
          <w:b/>
          <w:bCs/>
          <w:i/>
          <w:iCs/>
          <w:color w:val="000000"/>
          <w:sz w:val="20"/>
          <w:szCs w:val="20"/>
        </w:rPr>
        <w:t xml:space="preserve">Variable Annuities Policy Feature Overview </w:t>
      </w:r>
    </w:p>
    <w:p w:rsidR="00000000" w:rsidRDefault="00E54EC0">
      <w:pPr>
        <w:ind w:firstLine="360"/>
        <w:divId w:val="1938100074"/>
        <w:rPr>
          <w:rFonts w:eastAsia="Times New Roman"/>
        </w:rPr>
      </w:pPr>
      <w:r>
        <w:rPr>
          <w:rFonts w:eastAsia="Times New Roman"/>
          <w:color w:val="000000"/>
          <w:sz w:val="20"/>
          <w:szCs w:val="20"/>
        </w:rPr>
        <w:t>Variable annuities allow the policyholder to make deposits into accounts offering variable investment options. For deposits allocated to Separate Accounts, the risks associated with the investment options are borne entirely by the policyholder, except wher</w:t>
      </w:r>
      <w:r>
        <w:rPr>
          <w:rFonts w:eastAsia="Times New Roman"/>
          <w:color w:val="000000"/>
          <w:sz w:val="20"/>
          <w:szCs w:val="20"/>
        </w:rPr>
        <w:t>e the policyholder elects GMxB features in certain variable annuities, for which additional fees are charged. Additionally, certain variable annuity products permit policyholders to allocate a portion of their account to investment options backed by the Ge</w:t>
      </w:r>
      <w:r>
        <w:rPr>
          <w:rFonts w:eastAsia="Times New Roman"/>
          <w:color w:val="000000"/>
          <w:sz w:val="20"/>
          <w:szCs w:val="20"/>
        </w:rPr>
        <w:t>neral Account and are credited with interest rates that we determine, subject to certain limitations. As of December 31, 2022, the total AV of our variable annuity products was $95.8 billion, consisting of $57.0 billion of Separate Accounts AV and $38.8 bi</w:t>
      </w:r>
      <w:r>
        <w:rPr>
          <w:rFonts w:eastAsia="Times New Roman"/>
          <w:color w:val="000000"/>
          <w:sz w:val="20"/>
          <w:szCs w:val="20"/>
        </w:rPr>
        <w:t xml:space="preserve">llion of General Account AV. </w:t>
      </w:r>
    </w:p>
    <w:p w:rsidR="00000000" w:rsidRDefault="00E54EC0">
      <w:pPr>
        <w:ind w:firstLine="360"/>
        <w:divId w:val="1556430595"/>
        <w:rPr>
          <w:rFonts w:eastAsia="Times New Roman"/>
        </w:rPr>
      </w:pPr>
      <w:r>
        <w:rPr>
          <w:rFonts w:eastAsia="Times New Roman"/>
          <w:color w:val="000000"/>
          <w:sz w:val="20"/>
          <w:szCs w:val="20"/>
        </w:rPr>
        <w:t>Certain variable annuity products offer one or more GMxB features in addition to the standard return of premium death benefit guarantee. GMxB features (other than the return of premium death benefit guarantee) provide the poli</w:t>
      </w:r>
      <w:r>
        <w:rPr>
          <w:rFonts w:eastAsia="Times New Roman"/>
          <w:color w:val="000000"/>
          <w:sz w:val="20"/>
          <w:szCs w:val="20"/>
        </w:rPr>
        <w:t>cyholder a minimum return based on their initial deposit adjusted for withdrawals (</w:t>
      </w:r>
      <w:r>
        <w:rPr>
          <w:rFonts w:eastAsia="Times New Roman"/>
          <w:i/>
          <w:iCs/>
          <w:color w:val="000000"/>
          <w:sz w:val="20"/>
          <w:szCs w:val="20"/>
        </w:rPr>
        <w:t>i.e.</w:t>
      </w:r>
      <w:r>
        <w:rPr>
          <w:rFonts w:eastAsia="Times New Roman"/>
          <w:color w:val="000000"/>
          <w:sz w:val="20"/>
          <w:szCs w:val="20"/>
        </w:rPr>
        <w:t>, the benefit base), thus guarding against a downturn in the markets. The rate of this return may increase the specified benefit base at a guaranteed minimum rate (</w:t>
      </w:r>
      <w:r>
        <w:rPr>
          <w:rFonts w:eastAsia="Times New Roman"/>
          <w:i/>
          <w:iCs/>
          <w:color w:val="000000"/>
          <w:sz w:val="20"/>
          <w:szCs w:val="20"/>
        </w:rPr>
        <w:t>i.e.</w:t>
      </w:r>
      <w:r>
        <w:rPr>
          <w:rFonts w:eastAsia="Times New Roman"/>
          <w:color w:val="000000"/>
          <w:sz w:val="20"/>
          <w:szCs w:val="20"/>
        </w:rPr>
        <w:t>,</w:t>
      </w:r>
      <w:r>
        <w:rPr>
          <w:rFonts w:eastAsia="Times New Roman"/>
          <w:color w:val="000000"/>
          <w:sz w:val="20"/>
          <w:szCs w:val="20"/>
        </w:rPr>
        <w:t xml:space="preserve"> a fixed roll-up rate) or may increase the benefit base at a rate tied to interest rates (</w:t>
      </w:r>
      <w:r>
        <w:rPr>
          <w:rFonts w:eastAsia="Times New Roman"/>
          <w:i/>
          <w:iCs/>
          <w:color w:val="000000"/>
          <w:sz w:val="20"/>
          <w:szCs w:val="20"/>
        </w:rPr>
        <w:t>i.e.</w:t>
      </w:r>
      <w:r>
        <w:rPr>
          <w:rFonts w:eastAsia="Times New Roman"/>
          <w:color w:val="000000"/>
          <w:sz w:val="20"/>
          <w:szCs w:val="20"/>
        </w:rPr>
        <w:t xml:space="preserve">, a floating roll-up rate). GMxB riders must be chosen by the policyholder no later than at the issuance of the contract. </w:t>
      </w:r>
    </w:p>
    <w:p w:rsidR="00000000" w:rsidRDefault="00E54EC0">
      <w:pPr>
        <w:ind w:firstLine="360"/>
        <w:divId w:val="1729451731"/>
        <w:rPr>
          <w:rFonts w:eastAsia="Times New Roman"/>
        </w:rPr>
      </w:pPr>
      <w:r>
        <w:rPr>
          <w:rFonts w:eastAsia="Times New Roman"/>
          <w:color w:val="000000"/>
          <w:sz w:val="20"/>
          <w:szCs w:val="20"/>
        </w:rPr>
        <w:t>The following table presents our variab</w:t>
      </w:r>
      <w:r>
        <w:rPr>
          <w:rFonts w:eastAsia="Times New Roman"/>
          <w:color w:val="000000"/>
          <w:sz w:val="20"/>
          <w:szCs w:val="20"/>
        </w:rPr>
        <w:t>le annuity AV by GMxB feature for our variable annuity business in our Individual Retirement segment as of December 31, 2022, 2021 and 2020:</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19"/>
        <w:gridCol w:w="37"/>
        <w:gridCol w:w="120"/>
        <w:gridCol w:w="991"/>
        <w:gridCol w:w="36"/>
        <w:gridCol w:w="36"/>
        <w:gridCol w:w="36"/>
        <w:gridCol w:w="36"/>
        <w:gridCol w:w="120"/>
        <w:gridCol w:w="950"/>
        <w:gridCol w:w="36"/>
        <w:gridCol w:w="36"/>
        <w:gridCol w:w="36"/>
        <w:gridCol w:w="36"/>
        <w:gridCol w:w="120"/>
        <w:gridCol w:w="950"/>
        <w:gridCol w:w="36"/>
      </w:tblGrid>
      <w:tr w:rsidR="00000000">
        <w:trPr>
          <w:divId w:val="1163664136"/>
          <w:jc w:val="center"/>
        </w:trPr>
        <w:tc>
          <w:tcPr>
            <w:tcW w:w="50" w:type="pct"/>
            <w:vAlign w:val="center"/>
            <w:hideMark/>
          </w:tcPr>
          <w:p w:rsidR="00000000" w:rsidRDefault="00E54EC0">
            <w:pPr>
              <w:ind w:firstLine="360"/>
              <w:rPr>
                <w:rFonts w:eastAsia="Times New Roman"/>
              </w:rPr>
            </w:pPr>
          </w:p>
        </w:tc>
        <w:tc>
          <w:tcPr>
            <w:tcW w:w="28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63664136"/>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163664136"/>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163664136"/>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63664136"/>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Account Value</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63664136"/>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Non-GMxB</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43,843 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36,162 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3664136"/>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ROP Death Benefit Only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10,438 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3664136"/>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Non-GMxB &amp; ROP Death Benefit Only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52,094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55,281 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46,600 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3664136"/>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Floating Rate GMxB</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26,486 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25,168 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3664136"/>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Rate GMxB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21,949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30,137 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45,622 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3664136"/>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3664136"/>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Variable Annuity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95,759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111,904 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117,390 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468132713"/>
        <w:rPr>
          <w:rFonts w:eastAsia="Times New Roman"/>
        </w:rPr>
      </w:pPr>
      <w:r>
        <w:rPr>
          <w:rFonts w:eastAsia="Times New Roman"/>
          <w:color w:val="000000"/>
          <w:sz w:val="20"/>
          <w:szCs w:val="20"/>
        </w:rPr>
        <w:t>9</w:t>
      </w:r>
    </w:p>
    <w:p w:rsidR="00000000" w:rsidRDefault="00E54EC0">
      <w:pPr>
        <w:rPr>
          <w:rFonts w:eastAsia="Times New Roman"/>
        </w:rPr>
      </w:pPr>
      <w:r>
        <w:rPr>
          <w:rFonts w:eastAsia="Times New Roman"/>
        </w:rPr>
        <w:pict>
          <v:rect id="_x0000_i1037" style="width:0;height:1.5pt" o:hralign="center" o:hrstd="t" o:hr="t" fillcolor="#a0a0a0" stroked="f"/>
        </w:pict>
      </w:r>
    </w:p>
    <w:p w:rsidR="00000000" w:rsidRDefault="00E54EC0">
      <w:pPr>
        <w:divId w:val="1624000912"/>
        <w:rPr>
          <w:rFonts w:eastAsia="Times New Roman"/>
        </w:rPr>
      </w:pPr>
    </w:p>
    <w:p w:rsidR="00000000" w:rsidRDefault="00E54EC0">
      <w:pPr>
        <w:ind w:hanging="360"/>
        <w:divId w:val="1060324251"/>
        <w:rPr>
          <w:rFonts w:eastAsia="Times New Roman"/>
        </w:rPr>
      </w:pPr>
      <w:r>
        <w:rPr>
          <w:rFonts w:eastAsia="Times New Roman"/>
          <w:color w:val="000000"/>
          <w:sz w:val="18"/>
          <w:szCs w:val="18"/>
        </w:rPr>
        <w:t xml:space="preserve">(1) AV is net of amounts ceded to Venerable during 2021. See Note 1 of the Notes to the Consolidated Financial Statements. </w:t>
      </w:r>
    </w:p>
    <w:p w:rsidR="00000000" w:rsidRDefault="00E54EC0">
      <w:pPr>
        <w:ind w:firstLine="360"/>
        <w:divId w:val="945119532"/>
        <w:rPr>
          <w:rFonts w:eastAsia="Times New Roman"/>
        </w:rPr>
      </w:pPr>
      <w:r>
        <w:rPr>
          <w:rFonts w:eastAsia="Times New Roman"/>
          <w:color w:val="000000"/>
          <w:sz w:val="20"/>
          <w:szCs w:val="20"/>
        </w:rPr>
        <w:t>The following table presents our variable annuity benefit base by GMxB feature for the Individ</w:t>
      </w:r>
      <w:r>
        <w:rPr>
          <w:rFonts w:eastAsia="Times New Roman"/>
          <w:color w:val="000000"/>
          <w:sz w:val="20"/>
          <w:szCs w:val="20"/>
        </w:rPr>
        <w:t>ual Retirement segment as of December 31, 2022, 2021 and 2020. Many of our variable annuity contracts offer more than one type of GMxB feature such that the amounts listed below are not mutually exclusive. Thus, the benefit base cannot be totaled.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19"/>
        <w:gridCol w:w="37"/>
        <w:gridCol w:w="120"/>
        <w:gridCol w:w="991"/>
        <w:gridCol w:w="36"/>
        <w:gridCol w:w="36"/>
        <w:gridCol w:w="36"/>
        <w:gridCol w:w="36"/>
        <w:gridCol w:w="120"/>
        <w:gridCol w:w="950"/>
        <w:gridCol w:w="36"/>
        <w:gridCol w:w="36"/>
        <w:gridCol w:w="36"/>
        <w:gridCol w:w="36"/>
        <w:gridCol w:w="120"/>
        <w:gridCol w:w="950"/>
        <w:gridCol w:w="36"/>
      </w:tblGrid>
      <w:tr w:rsidR="00000000">
        <w:trPr>
          <w:divId w:val="124352988"/>
          <w:jc w:val="center"/>
        </w:trPr>
        <w:tc>
          <w:tcPr>
            <w:tcW w:w="50" w:type="pct"/>
            <w:vAlign w:val="center"/>
            <w:hideMark/>
          </w:tcPr>
          <w:p w:rsidR="00000000" w:rsidRDefault="00E54EC0">
            <w:pPr>
              <w:ind w:firstLine="360"/>
              <w:rPr>
                <w:rFonts w:eastAsia="Times New Roman"/>
              </w:rPr>
            </w:pPr>
          </w:p>
        </w:tc>
        <w:tc>
          <w:tcPr>
            <w:tcW w:w="28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4352988"/>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24352988"/>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24352988"/>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4352988"/>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Benefit Base</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352988"/>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ROP Death Benefit Only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352988"/>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Floating Rate GMxB</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352988"/>
          <w:jc w:val="center"/>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GMDB</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23,501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23,574 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23,095 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352988"/>
          <w:jc w:val="center"/>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24,882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24,123 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23,029 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352988"/>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Rate GMxB</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352988"/>
          <w:jc w:val="center"/>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GMDB (1)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34,017 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58,028 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352988"/>
          <w:jc w:val="center"/>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33,455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34,719 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60,695 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352988"/>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302085354"/>
        <w:rPr>
          <w:rFonts w:eastAsia="Times New Roman"/>
        </w:rPr>
      </w:pPr>
      <w:r>
        <w:rPr>
          <w:rFonts w:eastAsia="Times New Roman"/>
          <w:color w:val="000000"/>
          <w:sz w:val="18"/>
          <w:szCs w:val="18"/>
        </w:rPr>
        <w:t xml:space="preserve">(1) Benefit base is net of amounts ceded to Venerable during 2021. See Note 1 of the Notes to the Consolidated Financial Statements. </w:t>
      </w:r>
    </w:p>
    <w:p w:rsidR="00000000" w:rsidRDefault="00E54EC0">
      <w:pPr>
        <w:ind w:firstLine="360"/>
        <w:divId w:val="1352994728"/>
        <w:rPr>
          <w:rFonts w:eastAsia="Times New Roman"/>
        </w:rPr>
      </w:pPr>
      <w:r>
        <w:rPr>
          <w:rFonts w:eastAsia="Times New Roman"/>
          <w:color w:val="000000"/>
          <w:sz w:val="20"/>
          <w:szCs w:val="20"/>
        </w:rPr>
        <w:t>The guaranteed bene</w:t>
      </w:r>
      <w:r>
        <w:rPr>
          <w:rFonts w:eastAsia="Times New Roman"/>
          <w:color w:val="000000"/>
          <w:sz w:val="20"/>
          <w:szCs w:val="20"/>
        </w:rPr>
        <w:t>fit received by a policyholder pursuant to a GMxB feature is calculated based on the benefit base. The benefit base is defined as a hypothetical amount (</w:t>
      </w:r>
      <w:r>
        <w:rPr>
          <w:rFonts w:eastAsia="Times New Roman"/>
          <w:i/>
          <w:iCs/>
          <w:color w:val="000000"/>
          <w:sz w:val="20"/>
          <w:szCs w:val="20"/>
        </w:rPr>
        <w:t>i.e.</w:t>
      </w:r>
      <w:r>
        <w:rPr>
          <w:rFonts w:eastAsia="Times New Roman"/>
          <w:color w:val="000000"/>
          <w:sz w:val="20"/>
          <w:szCs w:val="20"/>
        </w:rPr>
        <w:t>, not actual cash value) used to calculate the policyholder’s optional benefits within a variable a</w:t>
      </w:r>
      <w:r>
        <w:rPr>
          <w:rFonts w:eastAsia="Times New Roman"/>
          <w:color w:val="000000"/>
          <w:sz w:val="20"/>
          <w:szCs w:val="20"/>
        </w:rPr>
        <w:t>nnuity. A benefit base cannot be withdrawn for cash and is used solely to calculate the variable annuity’s optional guarantee values. Generally, the benefit base is not subject to a cap on the value. However, the benefit base stops increasing after a defin</w:t>
      </w:r>
      <w:r>
        <w:rPr>
          <w:rFonts w:eastAsia="Times New Roman"/>
          <w:color w:val="000000"/>
          <w:sz w:val="20"/>
          <w:szCs w:val="20"/>
        </w:rPr>
        <w:t xml:space="preserve">ed time period or at a maximum age, usually age 85 or 95, as defined in the contract. </w:t>
      </w:r>
    </w:p>
    <w:p w:rsidR="00000000" w:rsidRDefault="00E54EC0">
      <w:pPr>
        <w:ind w:firstLine="360"/>
        <w:divId w:val="939459475"/>
        <w:rPr>
          <w:rFonts w:eastAsia="Times New Roman"/>
        </w:rPr>
      </w:pPr>
      <w:r>
        <w:rPr>
          <w:rFonts w:eastAsia="Times New Roman"/>
          <w:color w:val="000000"/>
          <w:sz w:val="20"/>
          <w:szCs w:val="20"/>
        </w:rPr>
        <w:t xml:space="preserve">The calculation of the benefit base varies by benefit type and may differ in value from the policyholder’s AV for the following reasons: </w:t>
      </w:r>
    </w:p>
    <w:p w:rsidR="00000000" w:rsidRDefault="00E54EC0">
      <w:pPr>
        <w:ind w:hanging="360"/>
        <w:divId w:val="516503342"/>
        <w:rPr>
          <w:rFonts w:eastAsia="Times New Roman"/>
        </w:rPr>
      </w:pPr>
      <w:r>
        <w:rPr>
          <w:rFonts w:eastAsia="Times New Roman"/>
          <w:color w:val="000000"/>
          <w:sz w:val="20"/>
          <w:szCs w:val="20"/>
        </w:rPr>
        <w:t>•The benefit base is defined to</w:t>
      </w:r>
      <w:r>
        <w:rPr>
          <w:rFonts w:eastAsia="Times New Roman"/>
          <w:color w:val="000000"/>
          <w:sz w:val="20"/>
          <w:szCs w:val="20"/>
        </w:rPr>
        <w:t xml:space="preserve"> exclude the effects of a decline in the market value of the policyholder’s AV. Accordingly, actual claim payments to be made in the future to the policyholder will be determined without giving effect to market declines. </w:t>
      </w:r>
    </w:p>
    <w:p w:rsidR="00000000" w:rsidRDefault="00E54EC0">
      <w:pPr>
        <w:ind w:hanging="360"/>
        <w:divId w:val="116875995"/>
        <w:rPr>
          <w:rFonts w:eastAsia="Times New Roman"/>
        </w:rPr>
      </w:pPr>
      <w:r>
        <w:rPr>
          <w:rFonts w:eastAsia="Times New Roman"/>
          <w:color w:val="000000"/>
          <w:sz w:val="20"/>
          <w:szCs w:val="20"/>
        </w:rPr>
        <w:t>•The terms of the benefit base may</w:t>
      </w:r>
      <w:r>
        <w:rPr>
          <w:rFonts w:eastAsia="Times New Roman"/>
          <w:color w:val="000000"/>
          <w:sz w:val="20"/>
          <w:szCs w:val="20"/>
        </w:rPr>
        <w:t xml:space="preserve"> allow it to increase at a guaranteed rate irrespective of the rate of return on the policyholder’s AV. </w:t>
      </w:r>
    </w:p>
    <w:p w:rsidR="00000000" w:rsidRDefault="00E54EC0">
      <w:pPr>
        <w:ind w:firstLine="360"/>
        <w:divId w:val="584074946"/>
        <w:rPr>
          <w:rFonts w:eastAsia="Times New Roman"/>
        </w:rPr>
      </w:pPr>
      <w:r>
        <w:rPr>
          <w:rFonts w:eastAsia="Times New Roman"/>
          <w:color w:val="000000"/>
          <w:sz w:val="20"/>
          <w:szCs w:val="20"/>
        </w:rPr>
        <w:t xml:space="preserve">We currently offer GMxB riders. Their principal features are as follows: </w:t>
      </w:r>
    </w:p>
    <w:p w:rsidR="00000000" w:rsidRDefault="00E54EC0">
      <w:pPr>
        <w:ind w:hanging="360"/>
        <w:jc w:val="both"/>
        <w:divId w:val="516819685"/>
        <w:rPr>
          <w:rFonts w:eastAsia="Times New Roman"/>
        </w:rPr>
      </w:pPr>
      <w:r>
        <w:rPr>
          <w:rFonts w:eastAsia="Times New Roman"/>
          <w:color w:val="000000"/>
          <w:sz w:val="20"/>
          <w:szCs w:val="20"/>
        </w:rPr>
        <w:t>•GMDBs provide that in the event of the death of the policyholder, the benefi</w:t>
      </w:r>
      <w:r>
        <w:rPr>
          <w:rFonts w:eastAsia="Times New Roman"/>
          <w:color w:val="000000"/>
          <w:sz w:val="20"/>
          <w:szCs w:val="20"/>
        </w:rPr>
        <w:t xml:space="preserve">ciary will receive the higher of the current contract account balance or the benefit base upon the death of the owner (or annuitant). </w:t>
      </w:r>
    </w:p>
    <w:p w:rsidR="00000000" w:rsidRDefault="00E54EC0">
      <w:pPr>
        <w:ind w:hanging="360"/>
        <w:divId w:val="1866943796"/>
        <w:rPr>
          <w:rFonts w:eastAsia="Times New Roman"/>
        </w:rPr>
      </w:pPr>
      <w:r>
        <w:rPr>
          <w:rFonts w:eastAsia="Times New Roman"/>
          <w:color w:val="000000"/>
          <w:sz w:val="20"/>
          <w:szCs w:val="20"/>
        </w:rPr>
        <w:t>•</w:t>
      </w:r>
      <w:r>
        <w:rPr>
          <w:rFonts w:eastAsia="Times New Roman"/>
          <w:color w:val="000000"/>
          <w:sz w:val="20"/>
          <w:szCs w:val="20"/>
        </w:rPr>
        <w:t>GMIBs provide, if elected by the policyholder after a stipulated waiting period from contract issuance, guaranteed minimum annual lifetime payments based on predetermined guaranteed annuity purchase factors that may exceed what the contract AV can purchase</w:t>
      </w:r>
      <w:r>
        <w:rPr>
          <w:rFonts w:eastAsia="Times New Roman"/>
          <w:color w:val="000000"/>
          <w:sz w:val="20"/>
          <w:szCs w:val="20"/>
        </w:rPr>
        <w:t xml:space="preserve"> at then-current annuity purchase rates.</w:t>
      </w:r>
    </w:p>
    <w:p w:rsidR="00000000" w:rsidRDefault="00E54EC0">
      <w:pPr>
        <w:ind w:firstLine="360"/>
        <w:divId w:val="1774323787"/>
        <w:rPr>
          <w:rFonts w:eastAsia="Times New Roman"/>
        </w:rPr>
      </w:pPr>
      <w:r>
        <w:rPr>
          <w:rFonts w:eastAsia="Times New Roman"/>
          <w:color w:val="000000"/>
          <w:sz w:val="20"/>
          <w:szCs w:val="20"/>
        </w:rPr>
        <w:t xml:space="preserve">For more information on GMxB riders, see “—Overview of GMxB Features.” </w:t>
      </w:r>
    </w:p>
    <w:p w:rsidR="00000000" w:rsidRDefault="00E54EC0">
      <w:pPr>
        <w:jc w:val="both"/>
        <w:divId w:val="1022629363"/>
        <w:rPr>
          <w:rFonts w:eastAsia="Times New Roman"/>
        </w:rPr>
      </w:pPr>
      <w:r>
        <w:rPr>
          <w:rFonts w:eastAsia="Times New Roman"/>
          <w:b/>
          <w:bCs/>
          <w:i/>
          <w:iCs/>
          <w:color w:val="000000"/>
          <w:sz w:val="20"/>
          <w:szCs w:val="20"/>
        </w:rPr>
        <w:t xml:space="preserve">Markets </w:t>
      </w:r>
    </w:p>
    <w:p w:rsidR="00000000" w:rsidRDefault="00E54EC0">
      <w:pPr>
        <w:ind w:firstLine="360"/>
        <w:divId w:val="291400816"/>
        <w:rPr>
          <w:rFonts w:eastAsia="Times New Roman"/>
        </w:rPr>
      </w:pPr>
      <w:r>
        <w:rPr>
          <w:rFonts w:eastAsia="Times New Roman"/>
          <w:color w:val="000000"/>
          <w:sz w:val="20"/>
          <w:szCs w:val="20"/>
        </w:rPr>
        <w:t>For our Individual Retirement segment, we target sales of our products to both retirees seeking retirement income and a broader class of investors, including affluent, high net worth individuals and families saving for retirement, registered investment adv</w:t>
      </w:r>
      <w:r>
        <w:rPr>
          <w:rFonts w:eastAsia="Times New Roman"/>
          <w:color w:val="000000"/>
          <w:sz w:val="20"/>
          <w:szCs w:val="20"/>
        </w:rPr>
        <w:t>isers and their clients, as well as younger investors who have maxed out contributions to other retirement accounts but are seeking tax-deferred growth opportunities. As the retirement age population in the United States continues to grow and employers con</w:t>
      </w:r>
      <w:r>
        <w:rPr>
          <w:rFonts w:eastAsia="Times New Roman"/>
          <w:color w:val="000000"/>
          <w:sz w:val="20"/>
          <w:szCs w:val="20"/>
        </w:rPr>
        <w:t xml:space="preserve">tinue to shift away from defined benefit plans, we expect the need for these retirement savings and income products to expand. </w:t>
      </w:r>
    </w:p>
    <w:p w:rsidR="00000000" w:rsidRDefault="00E54EC0">
      <w:pPr>
        <w:jc w:val="center"/>
        <w:divId w:val="637422205"/>
        <w:rPr>
          <w:rFonts w:eastAsia="Times New Roman"/>
        </w:rPr>
      </w:pPr>
      <w:r>
        <w:rPr>
          <w:rFonts w:eastAsia="Times New Roman"/>
          <w:color w:val="000000"/>
          <w:sz w:val="20"/>
          <w:szCs w:val="20"/>
        </w:rPr>
        <w:t>10</w:t>
      </w:r>
    </w:p>
    <w:p w:rsidR="00000000" w:rsidRDefault="00E54EC0">
      <w:pPr>
        <w:rPr>
          <w:rFonts w:eastAsia="Times New Roman"/>
        </w:rPr>
      </w:pPr>
      <w:r>
        <w:rPr>
          <w:rFonts w:eastAsia="Times New Roman"/>
        </w:rPr>
        <w:pict>
          <v:rect id="_x0000_i1038" style="width:0;height:1.5pt" o:hralign="center" o:hrstd="t" o:hr="t" fillcolor="#a0a0a0" stroked="f"/>
        </w:pict>
      </w:r>
    </w:p>
    <w:p w:rsidR="00000000" w:rsidRDefault="00E54EC0">
      <w:pPr>
        <w:divId w:val="966084390"/>
        <w:rPr>
          <w:rFonts w:eastAsia="Times New Roman"/>
        </w:rPr>
      </w:pPr>
    </w:p>
    <w:p w:rsidR="00000000" w:rsidRDefault="00E54EC0">
      <w:pPr>
        <w:ind w:firstLine="360"/>
        <w:divId w:val="560480777"/>
        <w:rPr>
          <w:rFonts w:eastAsia="Times New Roman"/>
        </w:rPr>
      </w:pPr>
      <w:r>
        <w:rPr>
          <w:rFonts w:eastAsia="Times New Roman"/>
          <w:color w:val="000000"/>
          <w:sz w:val="20"/>
          <w:szCs w:val="20"/>
        </w:rPr>
        <w:t>Our customers can prioritize certain features based on their life-stage and investment</w:t>
      </w:r>
      <w:r>
        <w:rPr>
          <w:rFonts w:eastAsia="Times New Roman"/>
          <w:color w:val="000000"/>
          <w:sz w:val="20"/>
          <w:szCs w:val="20"/>
        </w:rPr>
        <w:t xml:space="preserve"> needs. In addition, our products offer features designed to serve different market conditions.</w:t>
      </w:r>
      <w:r>
        <w:rPr>
          <w:rFonts w:eastAsia="Times New Roman"/>
          <w:color w:val="000000"/>
          <w:sz w:val="18"/>
          <w:szCs w:val="18"/>
        </w:rPr>
        <w:t xml:space="preserve"> </w:t>
      </w:r>
      <w:r>
        <w:rPr>
          <w:rFonts w:eastAsia="Times New Roman"/>
          <w:color w:val="000000"/>
          <w:sz w:val="20"/>
          <w:szCs w:val="20"/>
        </w:rPr>
        <w:t xml:space="preserve">SCS serves clients with investable assets who want exposure to equity markets but also want to guard against a market correction. SCS Income serves clients who </w:t>
      </w:r>
      <w:r>
        <w:rPr>
          <w:rFonts w:eastAsia="Times New Roman"/>
          <w:color w:val="000000"/>
          <w:sz w:val="20"/>
          <w:szCs w:val="20"/>
        </w:rPr>
        <w:t>want exposure to equity markets but also want to protect against market correction while seeking guaranteed incom</w:t>
      </w:r>
      <w:r>
        <w:rPr>
          <w:rFonts w:eastAsia="Times New Roman"/>
          <w:color w:val="000000"/>
          <w:sz w:val="18"/>
          <w:szCs w:val="18"/>
        </w:rPr>
        <w:t xml:space="preserve">e. </w:t>
      </w:r>
      <w:r>
        <w:rPr>
          <w:rFonts w:eastAsia="Times New Roman"/>
          <w:color w:val="000000"/>
          <w:sz w:val="20"/>
          <w:szCs w:val="20"/>
        </w:rPr>
        <w:t xml:space="preserve">Retirement Cornerstone serves clients who want growth potential and guaranteed income with increases in a rising interest rate environment. </w:t>
      </w:r>
      <w:r>
        <w:rPr>
          <w:rFonts w:eastAsia="Times New Roman"/>
          <w:color w:val="000000"/>
          <w:sz w:val="20"/>
          <w:szCs w:val="20"/>
        </w:rPr>
        <w:t>Investment Edge serves clients concerned about rising taxes.</w:t>
      </w:r>
    </w:p>
    <w:p w:rsidR="00000000" w:rsidRDefault="00E54EC0">
      <w:pPr>
        <w:jc w:val="both"/>
        <w:divId w:val="2015759875"/>
        <w:rPr>
          <w:rFonts w:eastAsia="Times New Roman"/>
        </w:rPr>
      </w:pPr>
      <w:r>
        <w:rPr>
          <w:rFonts w:eastAsia="Times New Roman"/>
          <w:b/>
          <w:bCs/>
          <w:i/>
          <w:iCs/>
          <w:color w:val="000000"/>
          <w:sz w:val="20"/>
          <w:szCs w:val="20"/>
        </w:rPr>
        <w:t xml:space="preserve">Distribution </w:t>
      </w:r>
    </w:p>
    <w:p w:rsidR="00000000" w:rsidRDefault="00E54EC0">
      <w:pPr>
        <w:ind w:firstLine="360"/>
        <w:divId w:val="305165948"/>
        <w:rPr>
          <w:rFonts w:eastAsia="Times New Roman"/>
        </w:rPr>
      </w:pPr>
      <w:r>
        <w:rPr>
          <w:rFonts w:eastAsia="Times New Roman"/>
          <w:color w:val="000000"/>
          <w:sz w:val="20"/>
          <w:szCs w:val="20"/>
        </w:rPr>
        <w:t>We distribute our variable annuity products through Equitable Advisors and through third-party distribution channels. For the year ended December 31, 2022, Equitable Advisors repres</w:t>
      </w:r>
      <w:r>
        <w:rPr>
          <w:rFonts w:eastAsia="Times New Roman"/>
          <w:color w:val="000000"/>
          <w:sz w:val="20"/>
          <w:szCs w:val="20"/>
        </w:rPr>
        <w:t>ented 35% of our variable annuity FYP in this segment, while our third-party distribution channel represented 65% of our variable annuity FYP in this segment. We employ over 170 external and internal wholesalers who distribute our variable annuity products</w:t>
      </w:r>
      <w:r>
        <w:rPr>
          <w:rFonts w:eastAsia="Times New Roman"/>
          <w:color w:val="000000"/>
          <w:sz w:val="20"/>
          <w:szCs w:val="20"/>
        </w:rPr>
        <w:t xml:space="preserve"> across both channels. </w:t>
      </w:r>
    </w:p>
    <w:p w:rsidR="00000000" w:rsidRDefault="00E54EC0">
      <w:pPr>
        <w:ind w:firstLine="360"/>
        <w:divId w:val="782042137"/>
        <w:rPr>
          <w:rFonts w:eastAsia="Times New Roman"/>
        </w:rPr>
      </w:pPr>
      <w:r>
        <w:rPr>
          <w:rFonts w:eastAsia="Times New Roman"/>
          <w:i/>
          <w:iCs/>
          <w:color w:val="000000"/>
          <w:sz w:val="20"/>
          <w:szCs w:val="20"/>
        </w:rPr>
        <w:t xml:space="preserve">Affiliated Distribution. </w:t>
      </w:r>
      <w:r>
        <w:rPr>
          <w:rFonts w:eastAsia="Times New Roman"/>
          <w:color w:val="000000"/>
          <w:sz w:val="20"/>
          <w:szCs w:val="20"/>
        </w:rPr>
        <w:t>We offer our variable annuity products on a retail basis through our affiliated retail sales force of financial professionals, Equitable Advisors. These financial professionals have access to and offer a bro</w:t>
      </w:r>
      <w:r>
        <w:rPr>
          <w:rFonts w:eastAsia="Times New Roman"/>
          <w:color w:val="000000"/>
          <w:sz w:val="20"/>
          <w:szCs w:val="20"/>
        </w:rPr>
        <w:t xml:space="preserve">ad array of variable annuity, life insurance, employee benefits and investment products and services from affiliated and unaffiliated insurers and other financial service providers. </w:t>
      </w:r>
    </w:p>
    <w:p w:rsidR="00000000" w:rsidRDefault="00E54EC0">
      <w:pPr>
        <w:ind w:firstLine="360"/>
        <w:divId w:val="794786845"/>
        <w:rPr>
          <w:rFonts w:eastAsia="Times New Roman"/>
        </w:rPr>
      </w:pPr>
      <w:r>
        <w:rPr>
          <w:rFonts w:eastAsia="Times New Roman"/>
          <w:i/>
          <w:iCs/>
          <w:color w:val="000000"/>
          <w:sz w:val="20"/>
          <w:szCs w:val="20"/>
        </w:rPr>
        <w:t xml:space="preserve">Third-Party Distribution. </w:t>
      </w:r>
      <w:r>
        <w:rPr>
          <w:rFonts w:eastAsia="Times New Roman"/>
          <w:color w:val="000000"/>
          <w:sz w:val="20"/>
          <w:szCs w:val="20"/>
        </w:rPr>
        <w:t>We have shifted the focus of our third-party di</w:t>
      </w:r>
      <w:r>
        <w:rPr>
          <w:rFonts w:eastAsia="Times New Roman"/>
          <w:color w:val="000000"/>
          <w:sz w:val="20"/>
          <w:szCs w:val="20"/>
        </w:rPr>
        <w:t xml:space="preserve">stribution significantly over the last decade, growing our distribution in the bank, broker-dealer and insurance partner channels. </w:t>
      </w:r>
    </w:p>
    <w:p w:rsidR="00000000" w:rsidRDefault="00E54EC0">
      <w:pPr>
        <w:ind w:firstLine="360"/>
        <w:divId w:val="579489546"/>
        <w:rPr>
          <w:rFonts w:eastAsia="Times New Roman"/>
        </w:rPr>
      </w:pPr>
      <w:r>
        <w:rPr>
          <w:rFonts w:eastAsia="Times New Roman"/>
          <w:color w:val="000000"/>
          <w:sz w:val="20"/>
          <w:szCs w:val="20"/>
        </w:rPr>
        <w:t>The table below presents the contributions to and percentage of FYP of our variable annuity products by distribution channel</w:t>
      </w:r>
      <w:r>
        <w:rPr>
          <w:rFonts w:eastAsia="Times New Roman"/>
          <w:color w:val="000000"/>
          <w:sz w:val="20"/>
          <w:szCs w:val="20"/>
        </w:rPr>
        <w:t xml:space="preserve"> for the year ended December 31, 2022.</w:t>
      </w:r>
    </w:p>
    <w:tbl>
      <w:tblPr>
        <w:tblW w:w="4970" w:type="pct"/>
        <w:jc w:val="center"/>
        <w:tblCellMar>
          <w:top w:w="15" w:type="dxa"/>
          <w:left w:w="15" w:type="dxa"/>
          <w:bottom w:w="15" w:type="dxa"/>
          <w:right w:w="15" w:type="dxa"/>
        </w:tblCellMar>
        <w:tblLook w:val="04A0" w:firstRow="1" w:lastRow="0" w:firstColumn="1" w:lastColumn="0" w:noHBand="0" w:noVBand="1"/>
      </w:tblPr>
      <w:tblGrid>
        <w:gridCol w:w="69"/>
        <w:gridCol w:w="1546"/>
        <w:gridCol w:w="37"/>
        <w:gridCol w:w="69"/>
        <w:gridCol w:w="1546"/>
        <w:gridCol w:w="36"/>
        <w:gridCol w:w="69"/>
        <w:gridCol w:w="1546"/>
        <w:gridCol w:w="36"/>
        <w:gridCol w:w="69"/>
        <w:gridCol w:w="1546"/>
        <w:gridCol w:w="36"/>
        <w:gridCol w:w="69"/>
        <w:gridCol w:w="1546"/>
        <w:gridCol w:w="36"/>
      </w:tblGrid>
      <w:tr w:rsidR="00000000">
        <w:trPr>
          <w:divId w:val="1639922100"/>
          <w:jc w:val="center"/>
        </w:trPr>
        <w:tc>
          <w:tcPr>
            <w:tcW w:w="50" w:type="pct"/>
            <w:vAlign w:val="center"/>
            <w:hideMark/>
          </w:tcPr>
          <w:p w:rsidR="00000000" w:rsidRDefault="00E54EC0">
            <w:pPr>
              <w:ind w:firstLine="360"/>
              <w:rPr>
                <w:rFonts w:eastAsia="Times New Roman"/>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39922100"/>
          <w:jc w:val="center"/>
        </w:trPr>
        <w:tc>
          <w:tcPr>
            <w:tcW w:w="0" w:type="auto"/>
            <w:gridSpan w:val="15"/>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FYP by Distribution</w:t>
            </w:r>
          </w:p>
        </w:tc>
      </w:tr>
    </w:tbl>
    <w:p w:rsidR="00000000" w:rsidRDefault="00E54EC0">
      <w:pPr>
        <w:spacing w:after="180"/>
        <w:jc w:val="center"/>
        <w:divId w:val="1121606914"/>
        <w:rPr>
          <w:rFonts w:eastAsia="Times New Roman"/>
        </w:rPr>
      </w:pPr>
      <w:r>
        <w:rPr>
          <w:rFonts w:eastAsia="Times New Roman"/>
          <w:noProof/>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ind w:firstLine="360"/>
        <w:divId w:val="704405990"/>
        <w:rPr>
          <w:rFonts w:eastAsia="Times New Roman"/>
        </w:rPr>
      </w:pPr>
      <w:r>
        <w:rPr>
          <w:rFonts w:eastAsia="Times New Roman"/>
          <w:color w:val="000000"/>
          <w:sz w:val="20"/>
          <w:szCs w:val="20"/>
        </w:rPr>
        <w:t>Other than Equitable Advisors, no single distribution firm contributed more than 10% of our sales in 2022.</w:t>
      </w:r>
    </w:p>
    <w:p w:rsidR="00000000" w:rsidRDefault="00E54EC0">
      <w:pPr>
        <w:jc w:val="both"/>
        <w:divId w:val="1499954250"/>
        <w:rPr>
          <w:rFonts w:eastAsia="Times New Roman"/>
        </w:rPr>
      </w:pPr>
      <w:r>
        <w:rPr>
          <w:rFonts w:eastAsia="Times New Roman"/>
          <w:b/>
          <w:bCs/>
          <w:i/>
          <w:iCs/>
          <w:color w:val="000000"/>
          <w:sz w:val="20"/>
          <w:szCs w:val="20"/>
        </w:rPr>
        <w:t xml:space="preserve">Competition </w:t>
      </w:r>
    </w:p>
    <w:p w:rsidR="00000000" w:rsidRDefault="00E54EC0">
      <w:pPr>
        <w:ind w:firstLine="360"/>
        <w:divId w:val="1534532776"/>
        <w:rPr>
          <w:rFonts w:eastAsia="Times New Roman"/>
        </w:rPr>
      </w:pPr>
      <w:r>
        <w:rPr>
          <w:rFonts w:eastAsia="Times New Roman"/>
          <w:color w:val="000000"/>
          <w:sz w:val="20"/>
          <w:szCs w:val="20"/>
        </w:rPr>
        <w:t>Our Individual Retirement business competes with traditional life insurers, as well as banks, mutual fund companies and other investment</w:t>
      </w:r>
      <w:r>
        <w:rPr>
          <w:rFonts w:eastAsia="Times New Roman"/>
          <w:color w:val="000000"/>
          <w:sz w:val="20"/>
          <w:szCs w:val="20"/>
        </w:rPr>
        <w:t xml:space="preserve"> managers. The variable annuities market is highly competitive, with no single provider dominating the market across products. The main factors that distinguish competitors to clients include product features, access to capital, access to diversified sourc</w:t>
      </w:r>
      <w:r>
        <w:rPr>
          <w:rFonts w:eastAsia="Times New Roman"/>
          <w:color w:val="000000"/>
          <w:sz w:val="20"/>
          <w:szCs w:val="20"/>
        </w:rPr>
        <w:t>es of distribution, financial and claims-paying ratings, investment options, brand recognition, quality of service, technological capabilities and tax-favored status of certain products. It is difficult to provide unique variable annuities products because</w:t>
      </w:r>
      <w:r>
        <w:rPr>
          <w:rFonts w:eastAsia="Times New Roman"/>
          <w:color w:val="000000"/>
          <w:sz w:val="20"/>
          <w:szCs w:val="20"/>
        </w:rPr>
        <w:t xml:space="preserve">, once such products are made available to the public, they often are reproduced and offered by our competitors. Competition may affect, among other matters, both the growth of our business and the pricing and features of our products. </w:t>
      </w:r>
    </w:p>
    <w:p w:rsidR="00000000" w:rsidRDefault="00E54EC0">
      <w:pPr>
        <w:jc w:val="center"/>
        <w:divId w:val="1797523111"/>
        <w:rPr>
          <w:rFonts w:eastAsia="Times New Roman"/>
        </w:rPr>
      </w:pPr>
      <w:r>
        <w:rPr>
          <w:rFonts w:eastAsia="Times New Roman"/>
          <w:color w:val="000000"/>
          <w:sz w:val="20"/>
          <w:szCs w:val="20"/>
        </w:rPr>
        <w:t>11</w:t>
      </w:r>
    </w:p>
    <w:p w:rsidR="00000000" w:rsidRDefault="00E54EC0">
      <w:pPr>
        <w:rPr>
          <w:rFonts w:eastAsia="Times New Roman"/>
        </w:rPr>
      </w:pPr>
      <w:r>
        <w:rPr>
          <w:rFonts w:eastAsia="Times New Roman"/>
        </w:rPr>
        <w:pict>
          <v:rect id="_x0000_i1040" style="width:0;height:1.5pt" o:hralign="center" o:hrstd="t" o:hr="t" fillcolor="#a0a0a0" stroked="f"/>
        </w:pict>
      </w:r>
    </w:p>
    <w:p w:rsidR="00000000" w:rsidRDefault="00E54EC0">
      <w:pPr>
        <w:divId w:val="1823042774"/>
        <w:rPr>
          <w:rFonts w:eastAsia="Times New Roman"/>
        </w:rPr>
      </w:pPr>
    </w:p>
    <w:p w:rsidR="00000000" w:rsidRDefault="00E54EC0">
      <w:pPr>
        <w:jc w:val="both"/>
        <w:divId w:val="1133403260"/>
        <w:rPr>
          <w:rFonts w:eastAsia="Times New Roman"/>
        </w:rPr>
      </w:pPr>
      <w:r>
        <w:rPr>
          <w:rFonts w:eastAsia="Times New Roman"/>
          <w:b/>
          <w:bCs/>
          <w:i/>
          <w:iCs/>
          <w:color w:val="000000"/>
          <w:sz w:val="20"/>
          <w:szCs w:val="20"/>
        </w:rPr>
        <w:t xml:space="preserve">Underwriting and Pricing </w:t>
      </w:r>
    </w:p>
    <w:p w:rsidR="00000000" w:rsidRDefault="00E54EC0">
      <w:pPr>
        <w:ind w:firstLine="360"/>
        <w:divId w:val="931936301"/>
        <w:rPr>
          <w:rFonts w:eastAsia="Times New Roman"/>
        </w:rPr>
      </w:pPr>
      <w:r>
        <w:rPr>
          <w:rFonts w:eastAsia="Times New Roman"/>
          <w:color w:val="000000"/>
          <w:sz w:val="20"/>
          <w:szCs w:val="20"/>
        </w:rPr>
        <w:t>We generally do not underwrite our variable annuity products on an individual-by-individual basis. Instead, we price our products based upon our expected investment returns and assumptions regarding mortality</w:t>
      </w:r>
      <w:r>
        <w:rPr>
          <w:rFonts w:eastAsia="Times New Roman"/>
          <w:color w:val="000000"/>
          <w:sz w:val="20"/>
          <w:szCs w:val="20"/>
        </w:rPr>
        <w:t>, longevity and persistency for our policyholders collectively, while taking into account historical experience, volatility of expected earnings on our AV, and the expected time to retirement. Our product pricing models also take into account capital requi</w:t>
      </w:r>
      <w:r>
        <w:rPr>
          <w:rFonts w:eastAsia="Times New Roman"/>
          <w:color w:val="000000"/>
          <w:sz w:val="20"/>
          <w:szCs w:val="20"/>
        </w:rPr>
        <w:t xml:space="preserve">rements, hedging costs and operating expenses. Investment-oriented products are priced based on various factors, which may include investment return, expenses, persistency and optionality. </w:t>
      </w:r>
    </w:p>
    <w:p w:rsidR="00000000" w:rsidRDefault="00E54EC0">
      <w:pPr>
        <w:ind w:firstLine="360"/>
        <w:divId w:val="926690459"/>
        <w:rPr>
          <w:rFonts w:eastAsia="Times New Roman"/>
        </w:rPr>
      </w:pPr>
      <w:r>
        <w:rPr>
          <w:rFonts w:eastAsia="Times New Roman"/>
          <w:color w:val="000000"/>
          <w:sz w:val="20"/>
          <w:szCs w:val="20"/>
        </w:rPr>
        <w:t>Our variable annuity products generally include penalties for earl</w:t>
      </w:r>
      <w:r>
        <w:rPr>
          <w:rFonts w:eastAsia="Times New Roman"/>
          <w:color w:val="000000"/>
          <w:sz w:val="20"/>
          <w:szCs w:val="20"/>
        </w:rPr>
        <w:t>y withdrawals. From time to time, we reevaluate the type and level of GMxB and other features we offer. We have previously changed the nature and pricing of the features we offer and will likely do so from time to time in the future as the needs of our cli</w:t>
      </w:r>
      <w:r>
        <w:rPr>
          <w:rFonts w:eastAsia="Times New Roman"/>
          <w:color w:val="000000"/>
          <w:sz w:val="20"/>
          <w:szCs w:val="20"/>
        </w:rPr>
        <w:t xml:space="preserve">ents, the economic environment and our risk appetite evolve. </w:t>
      </w:r>
    </w:p>
    <w:p w:rsidR="00000000" w:rsidRDefault="00E54EC0">
      <w:pPr>
        <w:jc w:val="both"/>
        <w:divId w:val="1034844518"/>
        <w:rPr>
          <w:rFonts w:eastAsia="Times New Roman"/>
        </w:rPr>
      </w:pPr>
      <w:r>
        <w:rPr>
          <w:rFonts w:eastAsia="Times New Roman"/>
          <w:b/>
          <w:bCs/>
          <w:i/>
          <w:iCs/>
          <w:color w:val="000000"/>
          <w:sz w:val="20"/>
          <w:szCs w:val="20"/>
        </w:rPr>
        <w:t>Fees</w:t>
      </w:r>
    </w:p>
    <w:p w:rsidR="00000000" w:rsidRDefault="00E54EC0">
      <w:pPr>
        <w:ind w:firstLine="360"/>
        <w:divId w:val="1505440718"/>
        <w:rPr>
          <w:rFonts w:eastAsia="Times New Roman"/>
        </w:rPr>
      </w:pPr>
      <w:r>
        <w:rPr>
          <w:rFonts w:eastAsia="Times New Roman"/>
          <w:color w:val="000000"/>
          <w:sz w:val="20"/>
          <w:szCs w:val="20"/>
        </w:rPr>
        <w:t>We earn various types of fee revenue based on AV, fund assets and benefit base. In general, fees from GMxB features that are calculated based on the benefit base are more stable compared to</w:t>
      </w:r>
      <w:r>
        <w:rPr>
          <w:rFonts w:eastAsia="Times New Roman"/>
          <w:color w:val="000000"/>
          <w:sz w:val="20"/>
          <w:szCs w:val="20"/>
        </w:rPr>
        <w:t xml:space="preserve"> fees calculated based on the AV. Fees that we collect include mortality &amp; expense, administrative charges and distribution charges; withdrawal charges; investment management fees, 12b-1 fees, death benefit rider charges, living benefit rider charges and i</w:t>
      </w:r>
      <w:r>
        <w:rPr>
          <w:rFonts w:eastAsia="Times New Roman"/>
          <w:color w:val="000000"/>
          <w:sz w:val="20"/>
          <w:szCs w:val="20"/>
        </w:rPr>
        <w:t>nvestment income.</w:t>
      </w:r>
    </w:p>
    <w:p w:rsidR="00000000" w:rsidRDefault="00E54EC0">
      <w:pPr>
        <w:jc w:val="both"/>
        <w:divId w:val="2032219701"/>
        <w:rPr>
          <w:rFonts w:eastAsia="Times New Roman"/>
        </w:rPr>
      </w:pPr>
      <w:r>
        <w:rPr>
          <w:rFonts w:eastAsia="Times New Roman"/>
          <w:b/>
          <w:bCs/>
          <w:i/>
          <w:iCs/>
          <w:color w:val="000000"/>
          <w:sz w:val="20"/>
          <w:szCs w:val="20"/>
        </w:rPr>
        <w:t xml:space="preserve">Risk Management </w:t>
      </w:r>
    </w:p>
    <w:p w:rsidR="00000000" w:rsidRDefault="00E54EC0">
      <w:pPr>
        <w:ind w:firstLine="360"/>
        <w:divId w:val="527917228"/>
        <w:rPr>
          <w:rFonts w:eastAsia="Times New Roman"/>
        </w:rPr>
      </w:pPr>
      <w:r>
        <w:rPr>
          <w:rFonts w:eastAsia="Times New Roman"/>
          <w:color w:val="000000"/>
          <w:sz w:val="20"/>
          <w:szCs w:val="20"/>
        </w:rPr>
        <w:t>We approach risk management of our variable annuity products: (i) prospectively, by assessing, and from time to time, modifying our current product offerings to manage our risk and (ii) retrospectively, by implementing ac</w:t>
      </w:r>
      <w:r>
        <w:rPr>
          <w:rFonts w:eastAsia="Times New Roman"/>
          <w:color w:val="000000"/>
          <w:sz w:val="20"/>
          <w:szCs w:val="20"/>
        </w:rPr>
        <w:t xml:space="preserve">tions to reduce our exposure and manage the risks associated with in-force variable annuity contracts. </w:t>
      </w:r>
    </w:p>
    <w:p w:rsidR="00000000" w:rsidRDefault="00E54EC0">
      <w:pPr>
        <w:divId w:val="1393970347"/>
        <w:rPr>
          <w:rFonts w:eastAsia="Times New Roman"/>
        </w:rPr>
      </w:pPr>
      <w:r>
        <w:rPr>
          <w:rFonts w:eastAsia="Times New Roman"/>
          <w:i/>
          <w:iCs/>
          <w:color w:val="000000"/>
          <w:sz w:val="20"/>
          <w:szCs w:val="20"/>
          <w:u w:val="single"/>
        </w:rPr>
        <w:t xml:space="preserve">Current GMxB Product Strategy </w:t>
      </w:r>
    </w:p>
    <w:p w:rsidR="00000000" w:rsidRDefault="00E54EC0">
      <w:pPr>
        <w:ind w:firstLine="360"/>
        <w:divId w:val="1397049680"/>
        <w:rPr>
          <w:rFonts w:eastAsia="Times New Roman"/>
        </w:rPr>
      </w:pPr>
      <w:r>
        <w:rPr>
          <w:rFonts w:eastAsia="Times New Roman"/>
          <w:color w:val="000000"/>
          <w:sz w:val="20"/>
          <w:szCs w:val="20"/>
        </w:rPr>
        <w:t>Since 2008, we redesigned our variable annuity product offering by introducing new variable annuities without GMxB featur</w:t>
      </w:r>
      <w:r>
        <w:rPr>
          <w:rFonts w:eastAsia="Times New Roman"/>
          <w:color w:val="000000"/>
          <w:sz w:val="20"/>
          <w:szCs w:val="20"/>
        </w:rPr>
        <w:t>es, discontinuing the offering of certain GMxB features and adding or adjusting other features to better enable us to manage the risk associated with these products. Through the increase in sales of our products without GMxB features, sales of our variable</w:t>
      </w:r>
      <w:r>
        <w:rPr>
          <w:rFonts w:eastAsia="Times New Roman"/>
          <w:color w:val="000000"/>
          <w:sz w:val="20"/>
          <w:szCs w:val="20"/>
        </w:rPr>
        <w:t xml:space="preserve"> annuity contracts with GMxB features have decreased significantly as a percentage of our total sales. We continue to offer certain GMxB features to meet evolving consumer demand while maintaining attractive risk-adjusted returns and effectively managing o</w:t>
      </w:r>
      <w:r>
        <w:rPr>
          <w:rFonts w:eastAsia="Times New Roman"/>
          <w:color w:val="000000"/>
          <w:sz w:val="20"/>
          <w:szCs w:val="20"/>
        </w:rPr>
        <w:t xml:space="preserve">ur risk. </w:t>
      </w:r>
    </w:p>
    <w:p w:rsidR="00000000" w:rsidRDefault="00E54EC0">
      <w:pPr>
        <w:ind w:firstLine="360"/>
        <w:divId w:val="786894811"/>
        <w:rPr>
          <w:rFonts w:eastAsia="Times New Roman"/>
        </w:rPr>
      </w:pPr>
      <w:r>
        <w:rPr>
          <w:rFonts w:eastAsia="Times New Roman"/>
          <w:color w:val="000000"/>
          <w:sz w:val="20"/>
          <w:szCs w:val="20"/>
        </w:rPr>
        <w:t xml:space="preserve"> Some of the features of our GMxB products have been redesigned over the past several years to better manage our risk and to meet customer demand. For example: </w:t>
      </w:r>
    </w:p>
    <w:p w:rsidR="00000000" w:rsidRDefault="00E54EC0">
      <w:pPr>
        <w:ind w:hanging="450"/>
        <w:jc w:val="both"/>
        <w:divId w:val="1250433333"/>
        <w:rPr>
          <w:rFonts w:eastAsia="Times New Roman"/>
        </w:rPr>
      </w:pPr>
      <w:r>
        <w:rPr>
          <w:rFonts w:eastAsia="Times New Roman"/>
          <w:color w:val="000000"/>
          <w:sz w:val="20"/>
          <w:szCs w:val="20"/>
        </w:rPr>
        <w:t>•we primarily offer floating (tied to interest rates), as opposed to fixed, roll-up r</w:t>
      </w:r>
      <w:r>
        <w:rPr>
          <w:rFonts w:eastAsia="Times New Roman"/>
          <w:color w:val="000000"/>
          <w:sz w:val="20"/>
          <w:szCs w:val="20"/>
        </w:rPr>
        <w:t xml:space="preserve">ates; </w:t>
      </w:r>
    </w:p>
    <w:p w:rsidR="00000000" w:rsidRDefault="00E54EC0">
      <w:pPr>
        <w:ind w:hanging="450"/>
        <w:jc w:val="both"/>
        <w:divId w:val="359479816"/>
        <w:rPr>
          <w:rFonts w:eastAsia="Times New Roman"/>
        </w:rPr>
      </w:pPr>
      <w:r>
        <w:rPr>
          <w:rFonts w:eastAsia="Times New Roman"/>
          <w:color w:val="000000"/>
          <w:sz w:val="20"/>
          <w:szCs w:val="20"/>
        </w:rPr>
        <w:t xml:space="preserve">•we offer lower risk investment options, including passive investments and bond funds with reduced credit risk if certain optional guaranteed benefits are elected; and </w:t>
      </w:r>
    </w:p>
    <w:p w:rsidR="00000000" w:rsidRDefault="00E54EC0">
      <w:pPr>
        <w:ind w:hanging="450"/>
        <w:divId w:val="1318874050"/>
        <w:rPr>
          <w:rFonts w:eastAsia="Times New Roman"/>
        </w:rPr>
      </w:pPr>
      <w:r>
        <w:rPr>
          <w:rFonts w:eastAsia="Times New Roman"/>
          <w:color w:val="000000"/>
          <w:sz w:val="20"/>
          <w:szCs w:val="20"/>
        </w:rPr>
        <w:t>•</w:t>
      </w:r>
      <w:r>
        <w:rPr>
          <w:rFonts w:eastAsia="Times New Roman"/>
          <w:color w:val="000000"/>
          <w:sz w:val="20"/>
          <w:szCs w:val="20"/>
        </w:rPr>
        <w:t>we offer managed volatility funds, which seek to reduce the risk of large, sudden declines in AV during market downturns by managing the volatility or draw-down risk of the underlying fund holdings through re-balancing the fund holdings within certain guid</w:t>
      </w:r>
      <w:r>
        <w:rPr>
          <w:rFonts w:eastAsia="Times New Roman"/>
          <w:color w:val="000000"/>
          <w:sz w:val="20"/>
          <w:szCs w:val="20"/>
        </w:rPr>
        <w:t xml:space="preserve">elines or overlaying hedging strategies at the fund level. </w:t>
      </w:r>
    </w:p>
    <w:p w:rsidR="00000000" w:rsidRDefault="00E54EC0">
      <w:pPr>
        <w:ind w:firstLine="360"/>
        <w:divId w:val="426850294"/>
        <w:rPr>
          <w:rFonts w:eastAsia="Times New Roman"/>
        </w:rPr>
      </w:pPr>
      <w:r>
        <w:rPr>
          <w:rFonts w:eastAsia="Times New Roman"/>
          <w:color w:val="000000"/>
          <w:sz w:val="20"/>
          <w:szCs w:val="20"/>
        </w:rPr>
        <w:t>To further manage our risk, features in our current GMxB products provide us with the right to make adjustments post-sale, including the ability to increase benefit charges. For more information o</w:t>
      </w:r>
      <w:r>
        <w:rPr>
          <w:rFonts w:eastAsia="Times New Roman"/>
          <w:color w:val="000000"/>
          <w:sz w:val="20"/>
          <w:szCs w:val="20"/>
        </w:rPr>
        <w:t xml:space="preserve">n GMxB features contained in our current and in-force products, see below “—Overview of GMxB Features.” </w:t>
      </w:r>
    </w:p>
    <w:p w:rsidR="00000000" w:rsidRDefault="00E54EC0">
      <w:pPr>
        <w:divId w:val="1842506465"/>
        <w:rPr>
          <w:rFonts w:eastAsia="Times New Roman"/>
        </w:rPr>
      </w:pPr>
      <w:r>
        <w:rPr>
          <w:rFonts w:eastAsia="Times New Roman"/>
          <w:i/>
          <w:iCs/>
          <w:color w:val="000000"/>
          <w:sz w:val="20"/>
          <w:szCs w:val="20"/>
          <w:u w:val="single"/>
        </w:rPr>
        <w:t>In-force Variable Annuity Management</w:t>
      </w:r>
      <w:r>
        <w:rPr>
          <w:rFonts w:eastAsia="Times New Roman"/>
          <w:i/>
          <w:iCs/>
          <w:color w:val="000000"/>
          <w:sz w:val="20"/>
          <w:szCs w:val="20"/>
        </w:rPr>
        <w:t xml:space="preserve"> </w:t>
      </w:r>
    </w:p>
    <w:p w:rsidR="00000000" w:rsidRDefault="00E54EC0">
      <w:pPr>
        <w:ind w:firstLine="360"/>
        <w:divId w:val="1921451694"/>
        <w:rPr>
          <w:rFonts w:eastAsia="Times New Roman"/>
        </w:rPr>
      </w:pPr>
      <w:r>
        <w:rPr>
          <w:rFonts w:eastAsia="Times New Roman"/>
          <w:color w:val="000000"/>
          <w:sz w:val="20"/>
          <w:szCs w:val="20"/>
        </w:rPr>
        <w:t>Since the financial crisis, we have implemented several actions to reduce our exposure and manage the risks assoc</w:t>
      </w:r>
      <w:r>
        <w:rPr>
          <w:rFonts w:eastAsia="Times New Roman"/>
          <w:color w:val="000000"/>
          <w:sz w:val="20"/>
          <w:szCs w:val="20"/>
        </w:rPr>
        <w:t>iated with in-force variable annuity contracts while ensuring policyholder rights are fully respected. We manage the risks associated with our in-force variable annuity business through our dynamic hedging program, reinsurance and product design. The dynam</w:t>
      </w:r>
      <w:r>
        <w:rPr>
          <w:rFonts w:eastAsia="Times New Roman"/>
          <w:color w:val="000000"/>
          <w:sz w:val="20"/>
          <w:szCs w:val="20"/>
        </w:rPr>
        <w:t>ic hedging program was implemented in the early 2000s. In addition, we use reinsurance for the GMxB riders on our older variable annuity products. We have also introduced several other risk management programs, some of which are described in this section b</w:t>
      </w:r>
      <w:r>
        <w:rPr>
          <w:rFonts w:eastAsia="Times New Roman"/>
          <w:color w:val="000000"/>
          <w:sz w:val="20"/>
          <w:szCs w:val="20"/>
        </w:rPr>
        <w:t xml:space="preserve">elow. </w:t>
      </w:r>
    </w:p>
    <w:p w:rsidR="00000000" w:rsidRDefault="00E54EC0">
      <w:pPr>
        <w:jc w:val="center"/>
        <w:divId w:val="1345207473"/>
        <w:rPr>
          <w:rFonts w:eastAsia="Times New Roman"/>
        </w:rPr>
      </w:pPr>
      <w:r>
        <w:rPr>
          <w:rFonts w:eastAsia="Times New Roman"/>
          <w:color w:val="000000"/>
          <w:sz w:val="20"/>
          <w:szCs w:val="20"/>
        </w:rPr>
        <w:t>12</w:t>
      </w:r>
    </w:p>
    <w:p w:rsidR="00000000" w:rsidRDefault="00E54EC0">
      <w:pPr>
        <w:rPr>
          <w:rFonts w:eastAsia="Times New Roman"/>
        </w:rPr>
      </w:pPr>
      <w:r>
        <w:rPr>
          <w:rFonts w:eastAsia="Times New Roman"/>
        </w:rPr>
        <w:pict>
          <v:rect id="_x0000_i1041" style="width:0;height:1.5pt" o:hralign="center" o:hrstd="t" o:hr="t" fillcolor="#a0a0a0" stroked="f"/>
        </w:pict>
      </w:r>
    </w:p>
    <w:p w:rsidR="00000000" w:rsidRDefault="00E54EC0">
      <w:pPr>
        <w:divId w:val="1236357530"/>
        <w:rPr>
          <w:rFonts w:eastAsia="Times New Roman"/>
        </w:rPr>
      </w:pPr>
    </w:p>
    <w:p w:rsidR="00000000" w:rsidRDefault="00E54EC0">
      <w:pPr>
        <w:ind w:firstLine="360"/>
        <w:divId w:val="351229116"/>
        <w:rPr>
          <w:rFonts w:eastAsia="Times New Roman"/>
        </w:rPr>
      </w:pPr>
      <w:r>
        <w:rPr>
          <w:rFonts w:eastAsia="Times New Roman"/>
          <w:color w:val="000000"/>
          <w:sz w:val="20"/>
          <w:szCs w:val="20"/>
        </w:rPr>
        <w:t>To actively manage and protect against the economic risks associated with our in-force variable annuity products, our management team has taken a multi-pronged approach. Our in-force variable annuity risk man</w:t>
      </w:r>
      <w:r>
        <w:rPr>
          <w:rFonts w:eastAsia="Times New Roman"/>
          <w:color w:val="000000"/>
          <w:sz w:val="20"/>
          <w:szCs w:val="20"/>
        </w:rPr>
        <w:t xml:space="preserve">agement programs include: </w:t>
      </w:r>
    </w:p>
    <w:p w:rsidR="00000000" w:rsidRDefault="00E54EC0">
      <w:pPr>
        <w:divId w:val="1162505256"/>
        <w:rPr>
          <w:rFonts w:eastAsia="Times New Roman"/>
        </w:rPr>
      </w:pPr>
      <w:r>
        <w:rPr>
          <w:rFonts w:eastAsia="Times New Roman"/>
          <w:b/>
          <w:bCs/>
          <w:color w:val="000000"/>
          <w:sz w:val="20"/>
          <w:szCs w:val="20"/>
        </w:rPr>
        <w:t xml:space="preserve">Hedging </w:t>
      </w:r>
    </w:p>
    <w:p w:rsidR="00000000" w:rsidRDefault="00E54EC0">
      <w:pPr>
        <w:ind w:firstLine="360"/>
        <w:divId w:val="1955937038"/>
        <w:rPr>
          <w:rFonts w:eastAsia="Times New Roman"/>
        </w:rPr>
      </w:pPr>
      <w:r>
        <w:rPr>
          <w:rFonts w:eastAsia="Times New Roman"/>
          <w:color w:val="000000"/>
          <w:sz w:val="20"/>
          <w:szCs w:val="20"/>
        </w:rPr>
        <w:t>We use a dynamic hedging strategy supplemented by static hedges to offset changes in our economic liability from changes in equity markets and interest rates. In addition to our dynamic hedging strategy, we have static h</w:t>
      </w:r>
      <w:r>
        <w:rPr>
          <w:rFonts w:eastAsia="Times New Roman"/>
          <w:color w:val="000000"/>
          <w:sz w:val="20"/>
          <w:szCs w:val="20"/>
        </w:rPr>
        <w:t>edge positions to maintain a target asset level for all variable annuities. A wide range of derivatives contracts are used in these hedging programs, such as futures and total return swaps (both equity and fixed income), options and variance swaps, as well</w:t>
      </w:r>
      <w:r>
        <w:rPr>
          <w:rFonts w:eastAsia="Times New Roman"/>
          <w:color w:val="000000"/>
          <w:sz w:val="20"/>
          <w:szCs w:val="20"/>
        </w:rPr>
        <w:t xml:space="preserve"> as, to a lesser extent, bond investments and repurchase agreements. For GMxB features, we retain certain risks including basis, credit spread, and some volatility risk and risk associated with actual versus expected assumptions for mortality, lapse and su</w:t>
      </w:r>
      <w:r>
        <w:rPr>
          <w:rFonts w:eastAsia="Times New Roman"/>
          <w:color w:val="000000"/>
          <w:sz w:val="20"/>
          <w:szCs w:val="20"/>
        </w:rPr>
        <w:t>rrender, withdrawal and contract-holder election rates, among other things. We enter into both centrally cleared and over-the-counter derivatives and have material credit exposure to derivatives dealer counterparties and clearing house members.</w:t>
      </w:r>
    </w:p>
    <w:p w:rsidR="00000000" w:rsidRDefault="00E54EC0">
      <w:pPr>
        <w:divId w:val="714938007"/>
        <w:rPr>
          <w:rFonts w:eastAsia="Times New Roman"/>
        </w:rPr>
      </w:pPr>
      <w:r>
        <w:rPr>
          <w:rFonts w:eastAsia="Times New Roman"/>
          <w:b/>
          <w:bCs/>
          <w:color w:val="000000"/>
          <w:sz w:val="20"/>
          <w:szCs w:val="20"/>
        </w:rPr>
        <w:t>Reinsurance</w:t>
      </w:r>
      <w:r>
        <w:rPr>
          <w:rFonts w:eastAsia="Times New Roman"/>
          <w:b/>
          <w:bCs/>
          <w:color w:val="000000"/>
          <w:sz w:val="20"/>
          <w:szCs w:val="20"/>
        </w:rPr>
        <w:t xml:space="preserve"> </w:t>
      </w:r>
    </w:p>
    <w:p w:rsidR="00000000" w:rsidRDefault="00E54EC0">
      <w:pPr>
        <w:ind w:firstLine="360"/>
        <w:divId w:val="511798286"/>
        <w:rPr>
          <w:rFonts w:eastAsia="Times New Roman"/>
        </w:rPr>
      </w:pPr>
      <w:r>
        <w:rPr>
          <w:rFonts w:eastAsia="Times New Roman"/>
          <w:color w:val="000000"/>
          <w:sz w:val="20"/>
          <w:szCs w:val="20"/>
        </w:rPr>
        <w:t>We use reinsurance to mitigate a portion of the risks that we face in certain of our variable annuity products with regard to a portion of the GMxB features. Under our reinsurance arrangements, other insurers assume a portion of the obligation to pay cla</w:t>
      </w:r>
      <w:r>
        <w:rPr>
          <w:rFonts w:eastAsia="Times New Roman"/>
          <w:color w:val="000000"/>
          <w:sz w:val="20"/>
          <w:szCs w:val="20"/>
        </w:rPr>
        <w:t>ims and related expenses to which we are subject. However, we remain liable as the direct insurer on all risks we reinsure and, therefore, are subject to the risk that our reinsurer is unable or unwilling to pay or reimburse claims at the time demand is ma</w:t>
      </w:r>
      <w:r>
        <w:rPr>
          <w:rFonts w:eastAsia="Times New Roman"/>
          <w:color w:val="000000"/>
          <w:sz w:val="20"/>
          <w:szCs w:val="20"/>
        </w:rPr>
        <w:t>de. We evaluate the financial condition of our reinsurers in an effort to minimize our exposure to significant losses from reinsurer insolvencies. Also, we ensure that we obtain collateral to mitigate our risk of loss.</w:t>
      </w:r>
    </w:p>
    <w:p w:rsidR="00000000" w:rsidRDefault="00E54EC0">
      <w:pPr>
        <w:ind w:firstLine="360"/>
        <w:divId w:val="199705439"/>
        <w:rPr>
          <w:rFonts w:eastAsia="Times New Roman"/>
        </w:rPr>
      </w:pPr>
      <w:r>
        <w:rPr>
          <w:rFonts w:eastAsia="Times New Roman"/>
          <w:i/>
          <w:iCs/>
          <w:color w:val="000000"/>
          <w:sz w:val="20"/>
          <w:szCs w:val="20"/>
        </w:rPr>
        <w:t xml:space="preserve">Non-affiliate Reinsurance. </w:t>
      </w:r>
      <w:r>
        <w:rPr>
          <w:rFonts w:eastAsia="Times New Roman"/>
          <w:color w:val="000000"/>
          <w:sz w:val="20"/>
          <w:szCs w:val="20"/>
        </w:rPr>
        <w:t>We have re</w:t>
      </w:r>
      <w:r>
        <w:rPr>
          <w:rFonts w:eastAsia="Times New Roman"/>
          <w:color w:val="000000"/>
          <w:sz w:val="20"/>
          <w:szCs w:val="20"/>
        </w:rPr>
        <w:t>insured to non-affiliated reinsurers a portion of our exposure on variable annuity products that offer a GMxB feature. As of December 31, 2022, we had reinsured to non-affiliated reinsurers, subject to certain maximum amounts or caps in any one period, app</w:t>
      </w:r>
      <w:r>
        <w:rPr>
          <w:rFonts w:eastAsia="Times New Roman"/>
          <w:color w:val="000000"/>
          <w:sz w:val="20"/>
          <w:szCs w:val="20"/>
        </w:rPr>
        <w:t>roximately 59.8% of our NAR resulting from the GMIB feature and approximately 41.6% of our NAR to the GMDB obligation on variable annuity contracts in force as of December 31, 2022. For additional information regarding our use of reinsurance, see Note 11 o</w:t>
      </w:r>
      <w:r>
        <w:rPr>
          <w:rFonts w:eastAsia="Times New Roman"/>
          <w:color w:val="000000"/>
          <w:sz w:val="20"/>
          <w:szCs w:val="20"/>
        </w:rPr>
        <w:t>f the Notes to the Consolidated Financial Statements.</w:t>
      </w:r>
    </w:p>
    <w:p w:rsidR="00000000" w:rsidRDefault="00E54EC0">
      <w:pPr>
        <w:ind w:firstLine="360"/>
        <w:divId w:val="604533131"/>
        <w:rPr>
          <w:rFonts w:eastAsia="Times New Roman"/>
        </w:rPr>
      </w:pPr>
      <w:r>
        <w:rPr>
          <w:rFonts w:eastAsia="Times New Roman"/>
          <w:i/>
          <w:iCs/>
          <w:color w:val="000000"/>
          <w:sz w:val="20"/>
          <w:szCs w:val="20"/>
        </w:rPr>
        <w:t>Captive Reinsurance.</w:t>
      </w:r>
      <w:r>
        <w:rPr>
          <w:rFonts w:eastAsia="Times New Roman"/>
          <w:color w:val="000000"/>
          <w:sz w:val="20"/>
          <w:szCs w:val="20"/>
        </w:rPr>
        <w:t xml:space="preserve"> </w:t>
      </w:r>
      <w:r>
        <w:rPr>
          <w:rFonts w:eastAsia="Times New Roman"/>
          <w:color w:val="000000"/>
          <w:sz w:val="20"/>
          <w:szCs w:val="20"/>
        </w:rPr>
        <w:t>In addition to non-affiliated reinsurance, Equitable Financial has ceded to its affiliate, EQ AZ Life RE, a captive reinsurance company, a 100% quota share of all liabilities for variable annuities with GMIB riders issued on or after May 1, 1999 through Au</w:t>
      </w:r>
      <w:r>
        <w:rPr>
          <w:rFonts w:eastAsia="Times New Roman"/>
          <w:color w:val="000000"/>
          <w:sz w:val="20"/>
          <w:szCs w:val="20"/>
        </w:rPr>
        <w:t>gust 31, 2005 in excess of the liability assumed by two unaffiliated reinsurers, which are subject to certain maximum amounts or limitations on aggregate claims. We use captive reinsurance as part of our capital management strategy. For additional informat</w:t>
      </w:r>
      <w:r>
        <w:rPr>
          <w:rFonts w:eastAsia="Times New Roman"/>
          <w:color w:val="000000"/>
          <w:sz w:val="20"/>
          <w:szCs w:val="20"/>
        </w:rPr>
        <w:t>ion regarding our use of captives, see “—Regulation—Insurance Regulation—Captive Reinsurance Regulation and Variable Annuity Capital Standards”, “Risk Factors—Risks Relating to Our Retirement and Protection Businesses—Risks Relating to Reinsurance and Hedg</w:t>
      </w:r>
      <w:r>
        <w:rPr>
          <w:rFonts w:eastAsia="Times New Roman"/>
          <w:color w:val="000000"/>
          <w:sz w:val="20"/>
          <w:szCs w:val="20"/>
        </w:rPr>
        <w:t>ing—Our reinsurance arrangement with an affiliated captive” and “Management’s Discussion and Analysis of Financial Condition and Results of Operations—Liquidity and Capital Resources—Captive Reinsurance Company.”</w:t>
      </w:r>
    </w:p>
    <w:p w:rsidR="00000000" w:rsidRDefault="00E54EC0">
      <w:pPr>
        <w:divId w:val="147984883"/>
        <w:rPr>
          <w:rFonts w:eastAsia="Times New Roman"/>
        </w:rPr>
      </w:pPr>
      <w:r>
        <w:rPr>
          <w:rFonts w:eastAsia="Times New Roman"/>
          <w:b/>
          <w:bCs/>
          <w:color w:val="000000"/>
          <w:sz w:val="20"/>
          <w:szCs w:val="20"/>
        </w:rPr>
        <w:t xml:space="preserve"> Overview of GMxB Features </w:t>
      </w:r>
    </w:p>
    <w:p w:rsidR="00000000" w:rsidRDefault="00E54EC0">
      <w:pPr>
        <w:ind w:firstLine="360"/>
        <w:divId w:val="453984377"/>
        <w:rPr>
          <w:rFonts w:eastAsia="Times New Roman"/>
        </w:rPr>
      </w:pPr>
      <w:r>
        <w:rPr>
          <w:rFonts w:eastAsia="Times New Roman"/>
          <w:color w:val="000000"/>
          <w:sz w:val="20"/>
          <w:szCs w:val="20"/>
        </w:rPr>
        <w:t>We have histori</w:t>
      </w:r>
      <w:r>
        <w:rPr>
          <w:rFonts w:eastAsia="Times New Roman"/>
          <w:color w:val="000000"/>
          <w:sz w:val="20"/>
          <w:szCs w:val="20"/>
        </w:rPr>
        <w:t xml:space="preserve">cally offered a variety of variable annuity benefit features, including GMxB features, to our policyholders in our Individual Retirement segment. </w:t>
      </w:r>
    </w:p>
    <w:p w:rsidR="00000000" w:rsidRDefault="00E54EC0">
      <w:pPr>
        <w:jc w:val="both"/>
        <w:divId w:val="2070423307"/>
        <w:rPr>
          <w:rFonts w:eastAsia="Times New Roman"/>
        </w:rPr>
      </w:pPr>
      <w:r>
        <w:rPr>
          <w:rFonts w:eastAsia="Times New Roman"/>
          <w:b/>
          <w:bCs/>
          <w:i/>
          <w:iCs/>
          <w:color w:val="000000"/>
          <w:sz w:val="20"/>
          <w:szCs w:val="20"/>
        </w:rPr>
        <w:t>Guaranteed Minimum Death Benefits</w:t>
      </w:r>
    </w:p>
    <w:p w:rsidR="00000000" w:rsidRDefault="00E54EC0">
      <w:pPr>
        <w:ind w:firstLine="360"/>
        <w:divId w:val="1453670479"/>
        <w:rPr>
          <w:rFonts w:eastAsia="Times New Roman"/>
        </w:rPr>
      </w:pPr>
      <w:r>
        <w:rPr>
          <w:rFonts w:eastAsia="Times New Roman"/>
          <w:color w:val="000000"/>
          <w:sz w:val="20"/>
          <w:szCs w:val="20"/>
        </w:rPr>
        <w:t>We have historically offered GMDB features in isolation or together with GM</w:t>
      </w:r>
      <w:r>
        <w:rPr>
          <w:rFonts w:eastAsia="Times New Roman"/>
          <w:color w:val="000000"/>
          <w:sz w:val="20"/>
          <w:szCs w:val="20"/>
        </w:rPr>
        <w:t xml:space="preserve">LB features. A GMDB is an optional benefit that guarantees an annuitant’s beneficiaries are entitled to a minimum payment based on the benefit base, which could be greater than the underlying AV, upon the death of the annuitant. </w:t>
      </w:r>
    </w:p>
    <w:p w:rsidR="00000000" w:rsidRDefault="00E54EC0">
      <w:pPr>
        <w:ind w:firstLine="360"/>
        <w:divId w:val="1029188462"/>
        <w:rPr>
          <w:rFonts w:eastAsia="Times New Roman"/>
        </w:rPr>
      </w:pPr>
    </w:p>
    <w:p w:rsidR="00000000" w:rsidRDefault="00E54EC0">
      <w:pPr>
        <w:ind w:firstLine="360"/>
        <w:divId w:val="980689940"/>
        <w:rPr>
          <w:rFonts w:eastAsia="Times New Roman"/>
        </w:rPr>
      </w:pPr>
      <w:r>
        <w:rPr>
          <w:rFonts w:eastAsia="Times New Roman"/>
          <w:color w:val="000000"/>
          <w:sz w:val="20"/>
          <w:szCs w:val="20"/>
        </w:rPr>
        <w:t>The following table pres</w:t>
      </w:r>
      <w:r>
        <w:rPr>
          <w:rFonts w:eastAsia="Times New Roman"/>
          <w:color w:val="000000"/>
          <w:sz w:val="20"/>
          <w:szCs w:val="20"/>
        </w:rPr>
        <w:t>ents the AV and benefit base by type of guaranteed minimum death benefit. Because variable annuity contracts with GMDB features may also offer GMLB features, the GMDB amounts listed are not mutually exclusive from the GMLB amounts provided in the table bel</w:t>
      </w:r>
      <w:r>
        <w:rPr>
          <w:rFonts w:eastAsia="Times New Roman"/>
          <w:color w:val="000000"/>
          <w:sz w:val="20"/>
          <w:szCs w:val="20"/>
        </w:rPr>
        <w:t>ow.</w:t>
      </w:r>
    </w:p>
    <w:p w:rsidR="00000000" w:rsidRDefault="00E54EC0">
      <w:pPr>
        <w:jc w:val="center"/>
        <w:divId w:val="594628036"/>
        <w:rPr>
          <w:rFonts w:eastAsia="Times New Roman"/>
        </w:rPr>
      </w:pPr>
      <w:r>
        <w:rPr>
          <w:rFonts w:eastAsia="Times New Roman"/>
          <w:color w:val="000000"/>
          <w:sz w:val="20"/>
          <w:szCs w:val="20"/>
        </w:rPr>
        <w:t>13</w:t>
      </w:r>
    </w:p>
    <w:p w:rsidR="00000000" w:rsidRDefault="00E54EC0">
      <w:pPr>
        <w:rPr>
          <w:rFonts w:eastAsia="Times New Roman"/>
        </w:rPr>
      </w:pPr>
      <w:r>
        <w:rPr>
          <w:rFonts w:eastAsia="Times New Roman"/>
        </w:rPr>
        <w:pict>
          <v:rect id="_x0000_i1042" style="width:0;height:1.5pt" o:hralign="center" o:hrstd="t" o:hr="t" fillcolor="#a0a0a0" stroked="f"/>
        </w:pict>
      </w:r>
    </w:p>
    <w:p w:rsidR="00000000" w:rsidRDefault="00E54EC0">
      <w:pPr>
        <w:divId w:val="8068251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53"/>
        <w:gridCol w:w="38"/>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350690809"/>
        </w:trPr>
        <w:tc>
          <w:tcPr>
            <w:tcW w:w="50" w:type="pct"/>
            <w:vAlign w:val="center"/>
            <w:hideMark/>
          </w:tcPr>
          <w:p w:rsidR="00000000" w:rsidRDefault="00E54EC0">
            <w:pPr>
              <w:rPr>
                <w:rFonts w:eastAsia="Times New Roman"/>
              </w:rPr>
            </w:pPr>
          </w:p>
        </w:tc>
        <w:tc>
          <w:tcPr>
            <w:tcW w:w="19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5069080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35069080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5069080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Benefit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Benefit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Benefit</w:t>
            </w:r>
          </w:p>
        </w:tc>
      </w:tr>
      <w:tr w:rsidR="00000000">
        <w:trPr>
          <w:divId w:val="35069080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Base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Base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Base</w:t>
            </w:r>
          </w:p>
        </w:tc>
      </w:tr>
      <w:tr w:rsidR="00000000">
        <w:trPr>
          <w:divId w:val="35069080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5069080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GMDB In-Force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5069080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ROP Death Benefit Only (3)</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10,437 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Floating Rate GMDB</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5069080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Greater of Ratchet or Roll-up</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7,105 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7,867 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7,995 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All Other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19,381 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15,707 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18,047 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15,100 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Total Floating Rate GMDB</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23,501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26,486 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23,574 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25,168 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23,095 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5069080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Fixed Rate GMDB</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5069080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Greater of Ratchet or Roll-up (3)</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20,721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14,748 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21,518 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26,800 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42,521 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All Other (2)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12,689 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18,822 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15,507 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r>
              <w:rPr>
                <w:rFonts w:eastAsia="Times New Roman"/>
                <w:color w:val="000000"/>
                <w:sz w:val="20"/>
                <w:szCs w:val="20"/>
              </w:rPr>
              <w:t>Total Fixed Rate GMDB</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21,949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32,487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30,138 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34,207 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45,622 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58,028 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5069080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5069080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GMDB</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53,515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63,186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68,061 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64,224 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81,227 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87,264 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758941141"/>
        <w:rPr>
          <w:rFonts w:eastAsia="Times New Roman"/>
        </w:rPr>
      </w:pPr>
      <w:r>
        <w:rPr>
          <w:rFonts w:eastAsia="Times New Roman"/>
          <w:color w:val="000000"/>
          <w:sz w:val="18"/>
          <w:szCs w:val="18"/>
        </w:rPr>
        <w:t>______________</w:t>
      </w:r>
    </w:p>
    <w:p w:rsidR="00000000" w:rsidRDefault="00E54EC0">
      <w:pPr>
        <w:ind w:hanging="360"/>
        <w:divId w:val="1190948575"/>
        <w:rPr>
          <w:rFonts w:eastAsia="Times New Roman"/>
        </w:rPr>
      </w:pPr>
      <w:r>
        <w:rPr>
          <w:rFonts w:eastAsia="Times New Roman"/>
          <w:color w:val="000000"/>
          <w:sz w:val="18"/>
          <w:szCs w:val="18"/>
        </w:rPr>
        <w:t xml:space="preserve">(1)    See table summarizing the NAR and reserves of policyholders by type of GMxB feature for variable annuity contracts as of December 31, 2022, 2021 and 2020 under “—Net Amount at Risk.” </w:t>
      </w:r>
    </w:p>
    <w:p w:rsidR="00000000" w:rsidRDefault="00E54EC0">
      <w:pPr>
        <w:ind w:hanging="360"/>
        <w:divId w:val="89743753"/>
        <w:rPr>
          <w:rFonts w:eastAsia="Times New Roman"/>
        </w:rPr>
      </w:pPr>
      <w:r>
        <w:rPr>
          <w:rFonts w:eastAsia="Times New Roman"/>
          <w:color w:val="000000"/>
          <w:sz w:val="18"/>
          <w:szCs w:val="18"/>
        </w:rPr>
        <w:t>(2) All Other includes</w:t>
      </w:r>
      <w:r>
        <w:rPr>
          <w:rFonts w:eastAsia="Times New Roman"/>
          <w:color w:val="000000"/>
          <w:sz w:val="18"/>
          <w:szCs w:val="18"/>
        </w:rPr>
        <w:t xml:space="preserve"> individual variable annuity policies with Annual Ratchet or Roll-up GMDB, either stand-alone or in conjunction with a GMLB, or with ROP GMDB in conjunction with a GMLB.</w:t>
      </w:r>
    </w:p>
    <w:p w:rsidR="00000000" w:rsidRDefault="00E54EC0">
      <w:pPr>
        <w:ind w:hanging="360"/>
        <w:divId w:val="2023242477"/>
        <w:rPr>
          <w:rFonts w:eastAsia="Times New Roman"/>
        </w:rPr>
      </w:pPr>
      <w:r>
        <w:rPr>
          <w:rFonts w:eastAsia="Times New Roman"/>
          <w:color w:val="000000"/>
          <w:sz w:val="18"/>
          <w:szCs w:val="18"/>
        </w:rPr>
        <w:t>(3)    </w:t>
      </w:r>
      <w:r>
        <w:rPr>
          <w:rFonts w:eastAsia="Times New Roman"/>
          <w:color w:val="000000"/>
          <w:sz w:val="18"/>
          <w:szCs w:val="18"/>
        </w:rPr>
        <w:t>AV and Benefit base is net of amounts ceded to Venerable during 2021. See Note 1 of the Notes to the Consolidated Financial Statements.</w:t>
      </w:r>
    </w:p>
    <w:p w:rsidR="00000000" w:rsidRDefault="00E54EC0">
      <w:pPr>
        <w:jc w:val="both"/>
        <w:divId w:val="867447155"/>
        <w:rPr>
          <w:rFonts w:eastAsia="Times New Roman"/>
        </w:rPr>
      </w:pPr>
      <w:r>
        <w:rPr>
          <w:rFonts w:eastAsia="Times New Roman"/>
          <w:b/>
          <w:bCs/>
          <w:i/>
          <w:iCs/>
          <w:color w:val="000000"/>
          <w:sz w:val="20"/>
          <w:szCs w:val="20"/>
        </w:rPr>
        <w:t>Guaranteed Living Benefits</w:t>
      </w:r>
    </w:p>
    <w:p w:rsidR="00000000" w:rsidRDefault="00E54EC0">
      <w:pPr>
        <w:ind w:firstLine="360"/>
        <w:divId w:val="647250243"/>
        <w:rPr>
          <w:rFonts w:eastAsia="Times New Roman"/>
        </w:rPr>
      </w:pPr>
      <w:r>
        <w:rPr>
          <w:rFonts w:eastAsia="Times New Roman"/>
          <w:color w:val="000000"/>
          <w:sz w:val="20"/>
          <w:szCs w:val="20"/>
        </w:rPr>
        <w:t xml:space="preserve">We have historically offered a variety of guaranteed living benefits to our policyholders in </w:t>
      </w:r>
      <w:r>
        <w:rPr>
          <w:rFonts w:eastAsia="Times New Roman"/>
          <w:color w:val="000000"/>
          <w:sz w:val="20"/>
          <w:szCs w:val="20"/>
        </w:rPr>
        <w:t>our Individual Retirement segment. Our block of variable annuities includes four types of guaranteed living benefit riders: GMIB, GWBL/GMWB, GMAB and GIB. Based on total AV, approximately 45% of our variable annuity block included living benefit guarantees</w:t>
      </w:r>
      <w:r>
        <w:rPr>
          <w:rFonts w:eastAsia="Times New Roman"/>
          <w:color w:val="000000"/>
          <w:sz w:val="20"/>
          <w:szCs w:val="20"/>
        </w:rPr>
        <w:t xml:space="preserve"> as of December 31, 2022. </w:t>
      </w:r>
    </w:p>
    <w:p w:rsidR="00000000" w:rsidRDefault="00E54EC0">
      <w:pPr>
        <w:divId w:val="858011499"/>
        <w:rPr>
          <w:rFonts w:eastAsia="Times New Roman"/>
        </w:rPr>
      </w:pPr>
    </w:p>
    <w:p w:rsidR="00000000" w:rsidRDefault="00E54EC0">
      <w:pPr>
        <w:ind w:firstLine="360"/>
        <w:divId w:val="181625087"/>
        <w:rPr>
          <w:rFonts w:eastAsia="Times New Roman"/>
        </w:rPr>
      </w:pPr>
      <w:r>
        <w:rPr>
          <w:rFonts w:eastAsia="Times New Roman"/>
          <w:color w:val="000000"/>
          <w:sz w:val="20"/>
          <w:szCs w:val="20"/>
        </w:rPr>
        <w:t>The following table presents the AV and benefit base by type of guaranteed living benefit. Because variable annuity contracts with GMLB features may also offer GMDB features, the GMLB amounts listed are not mutually exclusive f</w:t>
      </w:r>
      <w:r>
        <w:rPr>
          <w:rFonts w:eastAsia="Times New Roman"/>
          <w:color w:val="000000"/>
          <w:sz w:val="20"/>
          <w:szCs w:val="20"/>
        </w:rPr>
        <w:t>rom the GMDB amounts provided in the table above.</w:t>
      </w:r>
    </w:p>
    <w:p w:rsidR="00000000" w:rsidRDefault="00E54EC0">
      <w:pPr>
        <w:jc w:val="center"/>
        <w:divId w:val="911234313"/>
        <w:rPr>
          <w:rFonts w:eastAsia="Times New Roman"/>
        </w:rPr>
      </w:pPr>
      <w:r>
        <w:rPr>
          <w:rFonts w:eastAsia="Times New Roman"/>
          <w:color w:val="000000"/>
          <w:sz w:val="20"/>
          <w:szCs w:val="20"/>
        </w:rPr>
        <w:t>14</w:t>
      </w:r>
    </w:p>
    <w:p w:rsidR="00000000" w:rsidRDefault="00E54EC0">
      <w:pPr>
        <w:rPr>
          <w:rFonts w:eastAsia="Times New Roman"/>
        </w:rPr>
      </w:pPr>
      <w:r>
        <w:rPr>
          <w:rFonts w:eastAsia="Times New Roman"/>
        </w:rPr>
        <w:pict>
          <v:rect id="_x0000_i1043" style="width:0;height:1.5pt" o:hralign="center" o:hrstd="t" o:hr="t" fillcolor="#a0a0a0" stroked="f"/>
        </w:pict>
      </w:r>
    </w:p>
    <w:p w:rsidR="00000000" w:rsidRDefault="00E54EC0">
      <w:pPr>
        <w:divId w:val="18821342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53"/>
        <w:gridCol w:w="38"/>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39483302"/>
        </w:trPr>
        <w:tc>
          <w:tcPr>
            <w:tcW w:w="50" w:type="pct"/>
            <w:vAlign w:val="center"/>
            <w:hideMark/>
          </w:tcPr>
          <w:p w:rsidR="00000000" w:rsidRDefault="00E54EC0">
            <w:pPr>
              <w:rPr>
                <w:rFonts w:eastAsia="Times New Roman"/>
              </w:rPr>
            </w:pPr>
          </w:p>
        </w:tc>
        <w:tc>
          <w:tcPr>
            <w:tcW w:w="226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948330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3948330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948330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Benefit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Benefit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Benefit</w:t>
            </w:r>
          </w:p>
        </w:tc>
      </w:tr>
      <w:tr w:rsidR="00000000">
        <w:trPr>
          <w:divId w:val="3948330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Base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Base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Base</w:t>
            </w:r>
          </w:p>
        </w:tc>
      </w:tr>
      <w:tr w:rsidR="00000000">
        <w:trPr>
          <w:divId w:val="3948330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948330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GMLB In-Force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48330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Floating Rate GMLB</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48330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18,848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24,882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23,435 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24,123 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22,002 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48330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(GIB)</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2,623 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483302"/>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Floating Rate GMLB</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20,818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27,555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26,058 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26,919 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24,764 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26,007 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483302"/>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48330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Fixed Rate GMLB</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48330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16,889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40,065 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39,369 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60,695 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48330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All Other (e.g., GWBL / GMWB, GMAB, other)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483302"/>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Fixed Rate GMLB</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18,099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35,170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40,911 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60,494 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40,199 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61,860 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483302"/>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48330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GMLB</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38,917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62,725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66,969 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87,413 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64,963 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87,867 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433941552"/>
        <w:rPr>
          <w:rFonts w:eastAsia="Times New Roman"/>
        </w:rPr>
      </w:pPr>
      <w:r>
        <w:rPr>
          <w:rFonts w:eastAsia="Times New Roman"/>
          <w:color w:val="000000"/>
          <w:sz w:val="18"/>
          <w:szCs w:val="18"/>
        </w:rPr>
        <w:t>______________</w:t>
      </w:r>
    </w:p>
    <w:p w:rsidR="00000000" w:rsidRDefault="00E54EC0">
      <w:pPr>
        <w:ind w:hanging="360"/>
        <w:divId w:val="1600869618"/>
        <w:rPr>
          <w:rFonts w:eastAsia="Times New Roman"/>
        </w:rPr>
      </w:pPr>
      <w:r>
        <w:rPr>
          <w:rFonts w:eastAsia="Times New Roman"/>
          <w:color w:val="000000"/>
          <w:sz w:val="18"/>
          <w:szCs w:val="18"/>
        </w:rPr>
        <w:t>(1)See table summarizing the NAR and reserves of policyholders by type of GMxB feature for variable annuity contracts as of December 3</w:t>
      </w:r>
      <w:r>
        <w:rPr>
          <w:rFonts w:eastAsia="Times New Roman"/>
          <w:color w:val="000000"/>
          <w:sz w:val="18"/>
          <w:szCs w:val="18"/>
        </w:rPr>
        <w:t>1, 2022, 2021 and 2020 under “—Net Amount at Risk.”</w:t>
      </w:r>
    </w:p>
    <w:p w:rsidR="00000000" w:rsidRDefault="00E54EC0">
      <w:pPr>
        <w:ind w:hanging="360"/>
        <w:divId w:val="2070807251"/>
        <w:rPr>
          <w:rFonts w:eastAsia="Times New Roman"/>
        </w:rPr>
      </w:pPr>
      <w:r>
        <w:rPr>
          <w:rFonts w:eastAsia="Times New Roman"/>
          <w:color w:val="000000"/>
          <w:sz w:val="18"/>
          <w:szCs w:val="18"/>
        </w:rPr>
        <w:t xml:space="preserve">(2)    All Other includes individual variable annuity policies with stand-alone Annual Ratchet or stand-alone Roll-up GMDB. </w:t>
      </w:r>
    </w:p>
    <w:p w:rsidR="00000000" w:rsidRDefault="00E54EC0">
      <w:pPr>
        <w:jc w:val="both"/>
        <w:divId w:val="1518496967"/>
        <w:rPr>
          <w:rFonts w:eastAsia="Times New Roman"/>
        </w:rPr>
      </w:pPr>
      <w:r>
        <w:rPr>
          <w:rFonts w:eastAsia="Times New Roman"/>
          <w:b/>
          <w:bCs/>
          <w:i/>
          <w:iCs/>
          <w:color w:val="000000"/>
          <w:sz w:val="20"/>
          <w:szCs w:val="20"/>
        </w:rPr>
        <w:t xml:space="preserve">Net Amount at Risk </w:t>
      </w:r>
    </w:p>
    <w:p w:rsidR="00000000" w:rsidRDefault="00E54EC0">
      <w:pPr>
        <w:ind w:firstLine="360"/>
        <w:divId w:val="1105802938"/>
        <w:rPr>
          <w:rFonts w:eastAsia="Times New Roman"/>
        </w:rPr>
      </w:pPr>
      <w:r>
        <w:rPr>
          <w:rFonts w:eastAsia="Times New Roman"/>
          <w:color w:val="000000"/>
          <w:sz w:val="20"/>
          <w:szCs w:val="20"/>
        </w:rPr>
        <w:t>The NAR for the GMDB is the amount of death benefits payable in excess of the total AV (if any) as of the balance sheet date, net of reinsurance. It represents the amount of the claim we would incur if death claims were made on all contracts with a GMDB on</w:t>
      </w:r>
      <w:r>
        <w:rPr>
          <w:rFonts w:eastAsia="Times New Roman"/>
          <w:color w:val="000000"/>
          <w:sz w:val="20"/>
          <w:szCs w:val="20"/>
        </w:rPr>
        <w:t xml:space="preserve"> the balance sheet date and includes any additional contractual claims associated with riders purchased to assist with covering income taxes payable upon death. </w:t>
      </w:r>
    </w:p>
    <w:p w:rsidR="00000000" w:rsidRDefault="00E54EC0">
      <w:pPr>
        <w:ind w:firstLine="360"/>
        <w:divId w:val="607468206"/>
        <w:rPr>
          <w:rFonts w:eastAsia="Times New Roman"/>
        </w:rPr>
      </w:pPr>
      <w:r>
        <w:rPr>
          <w:rFonts w:eastAsia="Times New Roman"/>
          <w:color w:val="000000"/>
          <w:sz w:val="20"/>
          <w:szCs w:val="20"/>
        </w:rPr>
        <w:t>The NAR for the GMIB is the amount (if any) that would be required to be added to the total AV</w:t>
      </w:r>
      <w:r>
        <w:rPr>
          <w:rFonts w:eastAsia="Times New Roman"/>
          <w:color w:val="000000"/>
          <w:sz w:val="20"/>
          <w:szCs w:val="20"/>
        </w:rPr>
        <w:t xml:space="preserve"> to purchase a lifetime income stream, based on current annuity rates, equal to the minimum amount provided under the GMIB. This amount represents our potential economic exposure to such guarantees in the event all policyholders were to annuitize on the ba</w:t>
      </w:r>
      <w:r>
        <w:rPr>
          <w:rFonts w:eastAsia="Times New Roman"/>
          <w:color w:val="000000"/>
          <w:sz w:val="20"/>
          <w:szCs w:val="20"/>
        </w:rPr>
        <w:t xml:space="preserve">lance sheet date, even though the guaranteed amount under the contracts may not be annuitized until after the waiting period of the contract. </w:t>
      </w:r>
    </w:p>
    <w:p w:rsidR="00000000" w:rsidRDefault="00E54EC0">
      <w:pPr>
        <w:ind w:firstLine="360"/>
        <w:divId w:val="1238369700"/>
        <w:rPr>
          <w:rFonts w:eastAsia="Times New Roman"/>
        </w:rPr>
      </w:pPr>
      <w:r>
        <w:rPr>
          <w:rFonts w:eastAsia="Times New Roman"/>
          <w:color w:val="000000"/>
          <w:sz w:val="20"/>
          <w:szCs w:val="20"/>
        </w:rPr>
        <w:t>The NAR for the GWBL, GMWB and GMAB is the actuarial present value in excess of the AVs (if any) as of the balanc</w:t>
      </w:r>
      <w:r>
        <w:rPr>
          <w:rFonts w:eastAsia="Times New Roman"/>
          <w:color w:val="000000"/>
          <w:sz w:val="20"/>
          <w:szCs w:val="20"/>
        </w:rPr>
        <w:t>e sheet date. The NAR assumes utilization of benefits by all policyholders as of the balance sheet date. For the GMWB and GWBL benefits, only a small portion of the benefit base is available for withdrawal on an annual basis. For the GMAB, the NAR would no</w:t>
      </w:r>
      <w:r>
        <w:rPr>
          <w:rFonts w:eastAsia="Times New Roman"/>
          <w:color w:val="000000"/>
          <w:sz w:val="20"/>
          <w:szCs w:val="20"/>
        </w:rPr>
        <w:t xml:space="preserve">t be available until the GMAB maturity date. </w:t>
      </w:r>
    </w:p>
    <w:p w:rsidR="00000000" w:rsidRDefault="00E54EC0">
      <w:pPr>
        <w:ind w:firstLine="360"/>
        <w:divId w:val="2024473528"/>
        <w:rPr>
          <w:rFonts w:eastAsia="Times New Roman"/>
        </w:rPr>
      </w:pPr>
      <w:r>
        <w:rPr>
          <w:rFonts w:eastAsia="Times New Roman"/>
          <w:color w:val="000000"/>
          <w:sz w:val="20"/>
          <w:szCs w:val="20"/>
        </w:rPr>
        <w:t>NAR reflects the difference between the benefit base (as adjusted, in some cases, as described above) and the AV. We believe that NAR alone provides an inadequate presentation of the risk exposure of our in-for</w:t>
      </w:r>
      <w:r>
        <w:rPr>
          <w:rFonts w:eastAsia="Times New Roman"/>
          <w:color w:val="000000"/>
          <w:sz w:val="20"/>
          <w:szCs w:val="20"/>
        </w:rPr>
        <w:t xml:space="preserve">ce variable annuity portfolio. NAR does not take into consideration the aggregate amount of reserves and capital that we hold against our variable annuity portfolio. </w:t>
      </w:r>
    </w:p>
    <w:p w:rsidR="00000000" w:rsidRDefault="00E54EC0">
      <w:pPr>
        <w:ind w:firstLine="360"/>
        <w:divId w:val="1012534550"/>
        <w:rPr>
          <w:rFonts w:eastAsia="Times New Roman"/>
        </w:rPr>
      </w:pPr>
      <w:r>
        <w:rPr>
          <w:rFonts w:eastAsia="Times New Roman"/>
          <w:color w:val="000000"/>
          <w:sz w:val="20"/>
          <w:szCs w:val="20"/>
        </w:rPr>
        <w:t>The NAR and reserves of contract owners by type of GMxB feature for variable annuity cont</w:t>
      </w:r>
      <w:r>
        <w:rPr>
          <w:rFonts w:eastAsia="Times New Roman"/>
          <w:color w:val="000000"/>
          <w:sz w:val="20"/>
          <w:szCs w:val="20"/>
        </w:rPr>
        <w:t>racts are summarized below as of December 31, 2022, 2021 and 2020. Many of our variable annuity contracts offer more than one type of guarantee such that the GMIB amounts are not mutually exclusive to the amounts in the GMDB table.</w:t>
      </w:r>
    </w:p>
    <w:p w:rsidR="00000000" w:rsidRDefault="00E54EC0">
      <w:pPr>
        <w:jc w:val="center"/>
        <w:divId w:val="379747036"/>
        <w:rPr>
          <w:rFonts w:eastAsia="Times New Roman"/>
        </w:rPr>
      </w:pPr>
      <w:r>
        <w:rPr>
          <w:rFonts w:eastAsia="Times New Roman"/>
          <w:color w:val="000000"/>
          <w:sz w:val="20"/>
          <w:szCs w:val="20"/>
        </w:rPr>
        <w:t>15</w:t>
      </w:r>
    </w:p>
    <w:p w:rsidR="00000000" w:rsidRDefault="00E54EC0">
      <w:pPr>
        <w:rPr>
          <w:rFonts w:eastAsia="Times New Roman"/>
        </w:rPr>
      </w:pPr>
      <w:r>
        <w:rPr>
          <w:rFonts w:eastAsia="Times New Roman"/>
        </w:rPr>
        <w:pict>
          <v:rect id="_x0000_i1044" style="width:0;height:1.5pt" o:hralign="center" o:hrstd="t" o:hr="t" fillcolor="#a0a0a0" stroked="f"/>
        </w:pict>
      </w:r>
    </w:p>
    <w:p w:rsidR="00000000" w:rsidRDefault="00E54EC0">
      <w:pPr>
        <w:divId w:val="20608606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264"/>
        <w:gridCol w:w="36"/>
        <w:gridCol w:w="120"/>
        <w:gridCol w:w="620"/>
        <w:gridCol w:w="36"/>
        <w:gridCol w:w="36"/>
        <w:gridCol w:w="36"/>
        <w:gridCol w:w="36"/>
        <w:gridCol w:w="120"/>
        <w:gridCol w:w="574"/>
        <w:gridCol w:w="36"/>
        <w:gridCol w:w="36"/>
        <w:gridCol w:w="36"/>
        <w:gridCol w:w="36"/>
        <w:gridCol w:w="120"/>
        <w:gridCol w:w="574"/>
        <w:gridCol w:w="36"/>
        <w:gridCol w:w="36"/>
        <w:gridCol w:w="36"/>
        <w:gridCol w:w="36"/>
        <w:gridCol w:w="120"/>
        <w:gridCol w:w="574"/>
        <w:gridCol w:w="36"/>
        <w:gridCol w:w="36"/>
        <w:gridCol w:w="36"/>
        <w:gridCol w:w="36"/>
        <w:gridCol w:w="120"/>
        <w:gridCol w:w="600"/>
        <w:gridCol w:w="36"/>
        <w:gridCol w:w="36"/>
        <w:gridCol w:w="36"/>
        <w:gridCol w:w="36"/>
        <w:gridCol w:w="120"/>
        <w:gridCol w:w="551"/>
        <w:gridCol w:w="36"/>
      </w:tblGrid>
      <w:tr w:rsidR="00000000">
        <w:trPr>
          <w:divId w:val="114757623"/>
        </w:trPr>
        <w:tc>
          <w:tcPr>
            <w:tcW w:w="50" w:type="pct"/>
            <w:vAlign w:val="center"/>
            <w:hideMark/>
          </w:tcPr>
          <w:p w:rsidR="00000000" w:rsidRDefault="00E54EC0">
            <w:pPr>
              <w:rPr>
                <w:rFonts w:eastAsia="Times New Roman"/>
              </w:rPr>
            </w:pPr>
          </w:p>
        </w:tc>
        <w:tc>
          <w:tcPr>
            <w:tcW w:w="19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475762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1475762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1475762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Reserves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Reserves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Reserves</w:t>
            </w:r>
          </w:p>
        </w:tc>
      </w:tr>
      <w:tr w:rsidR="00000000">
        <w:trPr>
          <w:divId w:val="11475762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475762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GMDB</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475762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ROP Death Benefit Only (1) (2)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N/A</w:t>
            </w:r>
          </w:p>
        </w:tc>
      </w:tr>
      <w:tr w:rsidR="00000000">
        <w:trPr>
          <w:divId w:val="11475762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Floating Rate GMDB</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75762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Rate GMDB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12,091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8,061 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2,360 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75762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8,987 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2,737 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18,271 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320"/>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tblGrid>
      <w:tr w:rsidR="00000000">
        <w:tc>
          <w:tcPr>
            <w:tcW w:w="50" w:type="pct"/>
            <w:vAlign w:val="center"/>
            <w:hideMark/>
          </w:tcPr>
          <w:p w:rsidR="00000000" w:rsidRDefault="00E54EC0">
            <w:pPr>
              <w:rPr>
                <w:rFonts w:eastAsia="Times New Roman"/>
              </w:rPr>
            </w:pPr>
          </w:p>
        </w:tc>
        <w:tc>
          <w:tcPr>
            <w:tcW w:w="19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Reserves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Reserves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Reserves</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GMIB</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Floating Rate GMIB</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Rate GMIB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10,461 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14,110 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4,613 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10,461 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14,246 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2791002"/>
        <w:rPr>
          <w:rFonts w:eastAsia="Times New Roman"/>
        </w:rPr>
      </w:pPr>
      <w:r>
        <w:rPr>
          <w:rFonts w:eastAsia="Times New Roman"/>
          <w:color w:val="000000"/>
          <w:sz w:val="18"/>
          <w:szCs w:val="18"/>
        </w:rPr>
        <w:t>______________</w:t>
      </w:r>
    </w:p>
    <w:p w:rsidR="00000000" w:rsidRDefault="00E54EC0">
      <w:pPr>
        <w:ind w:hanging="360"/>
        <w:divId w:val="421413525"/>
        <w:rPr>
          <w:rFonts w:eastAsia="Times New Roman"/>
        </w:rPr>
      </w:pPr>
      <w:r>
        <w:rPr>
          <w:rFonts w:eastAsia="Times New Roman"/>
          <w:color w:val="000000"/>
          <w:sz w:val="18"/>
          <w:szCs w:val="18"/>
        </w:rPr>
        <w:t>(1)    U.S. GAAP reserves for ROP death benefit only are not available, as U.S. GAAP reserve valuation basis applies on policy contracts grouped by issue year.</w:t>
      </w:r>
    </w:p>
    <w:p w:rsidR="00000000" w:rsidRDefault="00E54EC0">
      <w:pPr>
        <w:ind w:hanging="360"/>
        <w:divId w:val="1646665355"/>
        <w:rPr>
          <w:rFonts w:eastAsia="Times New Roman"/>
        </w:rPr>
      </w:pPr>
      <w:r>
        <w:rPr>
          <w:rFonts w:eastAsia="Times New Roman"/>
          <w:color w:val="000000"/>
          <w:sz w:val="18"/>
          <w:szCs w:val="18"/>
        </w:rPr>
        <w:t>(2) NAR is net of amounts ced</w:t>
      </w:r>
      <w:r>
        <w:rPr>
          <w:rFonts w:eastAsia="Times New Roman"/>
          <w:color w:val="000000"/>
          <w:sz w:val="18"/>
          <w:szCs w:val="18"/>
        </w:rPr>
        <w:t>ed to Venerable during 2021. See Note 1 of the Notes to the Consolidated Financial Statements for details of the Venerable Transaction.</w:t>
      </w:r>
    </w:p>
    <w:p w:rsidR="00000000" w:rsidRDefault="00E54EC0">
      <w:pPr>
        <w:jc w:val="center"/>
        <w:divId w:val="1048455332"/>
        <w:rPr>
          <w:rFonts w:eastAsia="Times New Roman"/>
        </w:rPr>
      </w:pPr>
      <w:r>
        <w:rPr>
          <w:rFonts w:eastAsia="Times New Roman"/>
          <w:color w:val="000000"/>
          <w:sz w:val="20"/>
          <w:szCs w:val="20"/>
        </w:rPr>
        <w:t>16</w:t>
      </w:r>
    </w:p>
    <w:p w:rsidR="00000000" w:rsidRDefault="00E54EC0">
      <w:pPr>
        <w:rPr>
          <w:rFonts w:eastAsia="Times New Roman"/>
        </w:rPr>
      </w:pPr>
      <w:r>
        <w:rPr>
          <w:rFonts w:eastAsia="Times New Roman"/>
        </w:rPr>
        <w:pict>
          <v:rect id="_x0000_i1045" style="width:0;height:1.5pt" o:hralign="center" o:hrstd="t" o:hr="t" fillcolor="#a0a0a0" stroked="f"/>
        </w:pict>
      </w:r>
    </w:p>
    <w:p w:rsidR="00000000" w:rsidRDefault="00E54EC0">
      <w:pPr>
        <w:divId w:val="1058937512"/>
        <w:rPr>
          <w:rFonts w:eastAsia="Times New Roman"/>
        </w:rPr>
      </w:pPr>
    </w:p>
    <w:p w:rsidR="00000000" w:rsidRDefault="00E54EC0">
      <w:pPr>
        <w:divId w:val="535392786"/>
        <w:rPr>
          <w:rFonts w:eastAsia="Times New Roman"/>
        </w:rPr>
      </w:pPr>
      <w:r>
        <w:rPr>
          <w:rFonts w:eastAsia="Times New Roman"/>
          <w:b/>
          <w:bCs/>
          <w:color w:val="000000"/>
          <w:sz w:val="20"/>
          <w:szCs w:val="20"/>
        </w:rPr>
        <w:t xml:space="preserve">Group Retirement </w:t>
      </w:r>
    </w:p>
    <w:p w:rsidR="00000000" w:rsidRDefault="00E54EC0">
      <w:pPr>
        <w:ind w:firstLine="360"/>
        <w:divId w:val="1266572398"/>
        <w:rPr>
          <w:rFonts w:eastAsia="Times New Roman"/>
        </w:rPr>
      </w:pPr>
      <w:r>
        <w:rPr>
          <w:rFonts w:eastAsia="Times New Roman"/>
          <w:color w:val="000000"/>
          <w:sz w:val="20"/>
          <w:szCs w:val="20"/>
        </w:rPr>
        <w:t xml:space="preserve">Our Group Retirement segment offers tax-deferred investment </w:t>
      </w:r>
      <w:r>
        <w:rPr>
          <w:rFonts w:eastAsia="Times New Roman"/>
          <w:color w:val="000000"/>
          <w:sz w:val="20"/>
          <w:szCs w:val="20"/>
        </w:rPr>
        <w:t>and retirement services or products to plans sponsored by educational entities, municipalities and not-for-profit entities, as well as small and medium-sized businesses. We operate in the 403(b), 457(b) and 401(k) markets where we sell variable annuity and</w:t>
      </w:r>
      <w:r>
        <w:rPr>
          <w:rFonts w:eastAsia="Times New Roman"/>
          <w:color w:val="000000"/>
          <w:sz w:val="20"/>
          <w:szCs w:val="20"/>
        </w:rPr>
        <w:t xml:space="preserve"> mutual fund-based products. RBG, a dedicated subset of over 1,000 Equitable Advisors, is the primary distributor of our products and related solutions to individuals in the K-12 education market. </w:t>
      </w:r>
    </w:p>
    <w:p w:rsidR="00000000" w:rsidRDefault="00E54EC0">
      <w:pPr>
        <w:ind w:firstLine="360"/>
        <w:divId w:val="179247249"/>
        <w:rPr>
          <w:rFonts w:eastAsia="Times New Roman"/>
        </w:rPr>
      </w:pPr>
      <w:r>
        <w:rPr>
          <w:rFonts w:eastAsia="Times New Roman"/>
          <w:color w:val="000000"/>
          <w:sz w:val="20"/>
          <w:szCs w:val="20"/>
        </w:rPr>
        <w:t>The tax-exempt 403(b)/457(b) market, which includes our 40</w:t>
      </w:r>
      <w:r>
        <w:rPr>
          <w:rFonts w:eastAsia="Times New Roman"/>
          <w:color w:val="000000"/>
          <w:sz w:val="20"/>
          <w:szCs w:val="20"/>
        </w:rPr>
        <w:t xml:space="preserve">3(b) K–12 education market business, accounted for 63% of gross premiums within the Group Retirement business for the year ended December 31, 2022. The institutional lifetime income market accounts for 17%, the corporate 401(k) market accounts for 16% and </w:t>
      </w:r>
      <w:r>
        <w:rPr>
          <w:rFonts w:eastAsia="Times New Roman"/>
          <w:color w:val="000000"/>
          <w:sz w:val="20"/>
          <w:szCs w:val="20"/>
        </w:rPr>
        <w:t xml:space="preserve">the remaining 4% is Other as of December 31, 2022. </w:t>
      </w:r>
    </w:p>
    <w:p w:rsidR="00000000" w:rsidRDefault="00E54EC0">
      <w:pPr>
        <w:ind w:firstLine="360"/>
        <w:divId w:val="1963270389"/>
        <w:rPr>
          <w:rFonts w:eastAsia="Times New Roman"/>
        </w:rPr>
      </w:pPr>
      <w:r>
        <w:rPr>
          <w:rFonts w:eastAsia="Times New Roman"/>
          <w:color w:val="000000"/>
          <w:sz w:val="20"/>
          <w:szCs w:val="20"/>
        </w:rPr>
        <w:t>The recurring nature of the revenues from our Group Retirement business makes this segment an important and stable contributor of earnings and cash flow to our business. The primary sources of revenue for</w:t>
      </w:r>
      <w:r>
        <w:rPr>
          <w:rFonts w:eastAsia="Times New Roman"/>
          <w:color w:val="000000"/>
          <w:sz w:val="20"/>
          <w:szCs w:val="20"/>
        </w:rPr>
        <w:t xml:space="preserve"> the Group Retirement business include fee revenue and investment income. </w:t>
      </w:r>
    </w:p>
    <w:p w:rsidR="00000000" w:rsidRDefault="00E54EC0">
      <w:pPr>
        <w:jc w:val="both"/>
        <w:divId w:val="1462919177"/>
        <w:rPr>
          <w:rFonts w:eastAsia="Times New Roman"/>
        </w:rPr>
      </w:pPr>
      <w:r>
        <w:rPr>
          <w:rFonts w:eastAsia="Times New Roman"/>
          <w:b/>
          <w:bCs/>
          <w:i/>
          <w:iCs/>
          <w:color w:val="000000"/>
          <w:sz w:val="20"/>
          <w:szCs w:val="20"/>
        </w:rPr>
        <w:t xml:space="preserve">Products </w:t>
      </w:r>
    </w:p>
    <w:p w:rsidR="00000000" w:rsidRDefault="00E54EC0">
      <w:pPr>
        <w:ind w:firstLine="360"/>
        <w:divId w:val="1469398770"/>
        <w:rPr>
          <w:rFonts w:eastAsia="Times New Roman"/>
        </w:rPr>
      </w:pPr>
      <w:r>
        <w:rPr>
          <w:rFonts w:eastAsia="Times New Roman"/>
          <w:color w:val="000000"/>
          <w:sz w:val="20"/>
          <w:szCs w:val="20"/>
        </w:rPr>
        <w:t>Our products offer educators, municipal employees and corporate employees a savings opportunity that provides tax-deferred wealth accumulation. Our innovative product offerings address all retirement phases with diverse investment options.</w:t>
      </w:r>
    </w:p>
    <w:p w:rsidR="00000000" w:rsidRDefault="00E54EC0">
      <w:pPr>
        <w:divId w:val="1875845990"/>
        <w:rPr>
          <w:rFonts w:eastAsia="Times New Roman"/>
        </w:rPr>
      </w:pPr>
      <w:r>
        <w:rPr>
          <w:rFonts w:eastAsia="Times New Roman"/>
          <w:i/>
          <w:iCs/>
          <w:color w:val="000000"/>
          <w:sz w:val="20"/>
          <w:szCs w:val="20"/>
          <w:u w:val="single"/>
        </w:rPr>
        <w:t>Variable Annuiti</w:t>
      </w:r>
      <w:r>
        <w:rPr>
          <w:rFonts w:eastAsia="Times New Roman"/>
          <w:i/>
          <w:iCs/>
          <w:color w:val="000000"/>
          <w:sz w:val="20"/>
          <w:szCs w:val="20"/>
          <w:u w:val="single"/>
        </w:rPr>
        <w:t>es</w:t>
      </w:r>
      <w:r>
        <w:rPr>
          <w:rFonts w:eastAsia="Times New Roman"/>
          <w:i/>
          <w:iCs/>
          <w:color w:val="000000"/>
          <w:sz w:val="20"/>
          <w:szCs w:val="20"/>
        </w:rPr>
        <w:t xml:space="preserve"> </w:t>
      </w:r>
    </w:p>
    <w:p w:rsidR="00000000" w:rsidRDefault="00E54EC0">
      <w:pPr>
        <w:ind w:firstLine="360"/>
        <w:divId w:val="508563551"/>
        <w:rPr>
          <w:rFonts w:eastAsia="Times New Roman"/>
        </w:rPr>
      </w:pPr>
      <w:r>
        <w:rPr>
          <w:rFonts w:eastAsia="Times New Roman"/>
          <w:color w:val="000000"/>
          <w:sz w:val="20"/>
          <w:szCs w:val="20"/>
        </w:rPr>
        <w:t>Our variable annuities offer defined contribution plan record-keeping, as well as administrative and participant services combined with a variety of proprietary and non-proprietary investment options. Our variable annuity investment lineup mostly consi</w:t>
      </w:r>
      <w:r>
        <w:rPr>
          <w:rFonts w:eastAsia="Times New Roman"/>
          <w:color w:val="000000"/>
          <w:sz w:val="20"/>
          <w:szCs w:val="20"/>
        </w:rPr>
        <w:t>sts of proprietary variable investment options that are managed by EIMG, which provides discretionary investment management services for these investment options that include developing and executing asset allocation strategies and providing rigorous overs</w:t>
      </w:r>
      <w:r>
        <w:rPr>
          <w:rFonts w:eastAsia="Times New Roman"/>
          <w:color w:val="000000"/>
          <w:sz w:val="20"/>
          <w:szCs w:val="20"/>
        </w:rPr>
        <w:t xml:space="preserve">ight of sub-advisors for the investment options. This helps to ensure that we retain high quality managers and that we leverage our scale across both the Individual Retirement and Group Retirement products. In addition, our variable annuity products offer </w:t>
      </w:r>
      <w:r>
        <w:rPr>
          <w:rFonts w:eastAsia="Times New Roman"/>
          <w:color w:val="000000"/>
          <w:sz w:val="20"/>
          <w:szCs w:val="20"/>
        </w:rPr>
        <w:t xml:space="preserve">the following features: </w:t>
      </w:r>
    </w:p>
    <w:p w:rsidR="00000000" w:rsidRDefault="00E54EC0">
      <w:pPr>
        <w:ind w:hanging="360"/>
        <w:jc w:val="both"/>
        <w:divId w:val="180631631"/>
        <w:rPr>
          <w:rFonts w:eastAsia="Times New Roman"/>
        </w:rPr>
      </w:pPr>
      <w:r>
        <w:rPr>
          <w:rFonts w:eastAsia="Times New Roman"/>
          <w:color w:val="000000"/>
          <w:sz w:val="20"/>
          <w:szCs w:val="20"/>
        </w:rPr>
        <w:t>•Guaranteed Investment Option (GIO)—Provides a fixed interest rate and guarantee of principal.</w:t>
      </w:r>
    </w:p>
    <w:p w:rsidR="00000000" w:rsidRDefault="00E54EC0">
      <w:pPr>
        <w:ind w:hanging="360"/>
        <w:divId w:val="1004434841"/>
        <w:rPr>
          <w:rFonts w:eastAsia="Times New Roman"/>
        </w:rPr>
      </w:pPr>
      <w:r>
        <w:rPr>
          <w:rFonts w:eastAsia="Times New Roman"/>
          <w:color w:val="000000"/>
          <w:sz w:val="20"/>
          <w:szCs w:val="20"/>
        </w:rPr>
        <w:t>•Structured Investment Option (SIO)—</w:t>
      </w:r>
      <w:r>
        <w:rPr>
          <w:rFonts w:eastAsia="Times New Roman"/>
          <w:color w:val="000000"/>
          <w:sz w:val="20"/>
          <w:szCs w:val="20"/>
        </w:rPr>
        <w:t>Provides upside market participation that tracks certain available indices subject to a performance cap, with some downside protection against losses in the investment over a one, three or five-year period. This option leverages our innovative SCS individu</w:t>
      </w:r>
      <w:r>
        <w:rPr>
          <w:rFonts w:eastAsia="Times New Roman"/>
          <w:color w:val="000000"/>
          <w:sz w:val="20"/>
          <w:szCs w:val="20"/>
        </w:rPr>
        <w:t>al annuity offering, and we believe that we are the only provider that offers this type of offering combined in a variable annuity offering in the defined contribution market today.</w:t>
      </w:r>
    </w:p>
    <w:p w:rsidR="00000000" w:rsidRDefault="00E54EC0">
      <w:pPr>
        <w:ind w:hanging="360"/>
        <w:divId w:val="193887259"/>
        <w:rPr>
          <w:rFonts w:eastAsia="Times New Roman"/>
        </w:rPr>
      </w:pPr>
      <w:r>
        <w:rPr>
          <w:rFonts w:eastAsia="Times New Roman"/>
          <w:color w:val="000000"/>
          <w:sz w:val="20"/>
          <w:szCs w:val="20"/>
        </w:rPr>
        <w:t>•Personal Income Benefit—An optional GMxB feature that enables participant</w:t>
      </w:r>
      <w:r>
        <w:rPr>
          <w:rFonts w:eastAsia="Times New Roman"/>
          <w:color w:val="000000"/>
          <w:sz w:val="20"/>
          <w:szCs w:val="20"/>
        </w:rPr>
        <w:t>s to obtain a guaranteed withdrawal benefit for life for an additional fee.</w:t>
      </w:r>
    </w:p>
    <w:p w:rsidR="00000000" w:rsidRDefault="00E54EC0">
      <w:pPr>
        <w:ind w:firstLine="360"/>
        <w:divId w:val="842084838"/>
        <w:rPr>
          <w:rFonts w:eastAsia="Times New Roman"/>
        </w:rPr>
      </w:pPr>
      <w:r>
        <w:rPr>
          <w:rFonts w:eastAsia="Times New Roman"/>
          <w:color w:val="000000"/>
          <w:sz w:val="20"/>
          <w:szCs w:val="20"/>
        </w:rPr>
        <w:t>While GMxB features provide differentiation in the market, only approximately $519 million, or 1.6%, of our total AV is invested in products with GMxB features (other than ROP deat</w:t>
      </w:r>
      <w:r>
        <w:rPr>
          <w:rFonts w:eastAsia="Times New Roman"/>
          <w:color w:val="000000"/>
          <w:sz w:val="20"/>
          <w:szCs w:val="20"/>
        </w:rPr>
        <w:t xml:space="preserve">h benefits) as of December 31, 2022. This includes Institutional products with guaranteed benefits. </w:t>
      </w:r>
    </w:p>
    <w:p w:rsidR="00000000" w:rsidRDefault="00E54EC0">
      <w:pPr>
        <w:divId w:val="1401950103"/>
        <w:rPr>
          <w:rFonts w:eastAsia="Times New Roman"/>
        </w:rPr>
      </w:pPr>
      <w:r>
        <w:rPr>
          <w:rFonts w:eastAsia="Times New Roman"/>
          <w:i/>
          <w:iCs/>
          <w:color w:val="000000"/>
          <w:sz w:val="20"/>
          <w:szCs w:val="20"/>
          <w:u w:val="single"/>
        </w:rPr>
        <w:t>Open Architecture Mutual Fund Platform</w:t>
      </w:r>
    </w:p>
    <w:p w:rsidR="00000000" w:rsidRDefault="00E54EC0">
      <w:pPr>
        <w:ind w:firstLine="360"/>
        <w:divId w:val="726952736"/>
        <w:rPr>
          <w:rFonts w:eastAsia="Times New Roman"/>
        </w:rPr>
      </w:pPr>
      <w:r>
        <w:rPr>
          <w:rFonts w:eastAsia="Times New Roman"/>
          <w:color w:val="000000"/>
          <w:sz w:val="20"/>
          <w:szCs w:val="20"/>
        </w:rPr>
        <w:t>We also offer a mutual fund-based product to complement our variable annuity products. This platform provides a simi</w:t>
      </w:r>
      <w:r>
        <w:rPr>
          <w:rFonts w:eastAsia="Times New Roman"/>
          <w:color w:val="000000"/>
          <w:sz w:val="20"/>
          <w:szCs w:val="20"/>
        </w:rPr>
        <w:t>lar service offering to our variable annuities. The program allows plan sponsors to select from thousands of proprietary and third party-sponsored mutual funds. The platform also offers a group fixed annuity that operates very similarly to the GIO as an av</w:t>
      </w:r>
      <w:r>
        <w:rPr>
          <w:rFonts w:eastAsia="Times New Roman"/>
          <w:color w:val="000000"/>
          <w:sz w:val="20"/>
          <w:szCs w:val="20"/>
        </w:rPr>
        <w:t xml:space="preserve">ailable investment option on this platform. </w:t>
      </w:r>
    </w:p>
    <w:p w:rsidR="00000000" w:rsidRDefault="00E54EC0">
      <w:pPr>
        <w:divId w:val="1686714202"/>
        <w:rPr>
          <w:rFonts w:eastAsia="Times New Roman"/>
        </w:rPr>
      </w:pPr>
      <w:r>
        <w:rPr>
          <w:rFonts w:eastAsia="Times New Roman"/>
          <w:i/>
          <w:iCs/>
          <w:color w:val="000000"/>
          <w:sz w:val="20"/>
          <w:szCs w:val="20"/>
          <w:u w:val="single"/>
        </w:rPr>
        <w:t>Services</w:t>
      </w:r>
    </w:p>
    <w:p w:rsidR="00000000" w:rsidRDefault="00E54EC0">
      <w:pPr>
        <w:ind w:firstLine="360"/>
        <w:divId w:val="2122257066"/>
        <w:rPr>
          <w:rFonts w:eastAsia="Times New Roman"/>
        </w:rPr>
      </w:pPr>
      <w:r>
        <w:rPr>
          <w:rFonts w:eastAsia="Times New Roman"/>
          <w:color w:val="000000"/>
          <w:sz w:val="20"/>
          <w:szCs w:val="20"/>
        </w:rPr>
        <w:t>Both our variable annuity and open architecture mutual fund products offer a suite of tools and services to enable plan participants to obtain education and guidance on their contributions and investmen</w:t>
      </w:r>
      <w:r>
        <w:rPr>
          <w:rFonts w:eastAsia="Times New Roman"/>
          <w:color w:val="000000"/>
          <w:sz w:val="20"/>
          <w:szCs w:val="20"/>
        </w:rPr>
        <w:t>t decisions and plan fiduciary services. Education and guidance are available online or in person from a team of plan relationship and enrollment specialists and/or the advisor that sold the product. Our clients’ retirement contributions come through payro</w:t>
      </w:r>
      <w:r>
        <w:rPr>
          <w:rFonts w:eastAsia="Times New Roman"/>
          <w:color w:val="000000"/>
          <w:sz w:val="20"/>
          <w:szCs w:val="20"/>
        </w:rPr>
        <w:t xml:space="preserve">ll deductions, which contribute significantly to stable and recurring sources of renewals. </w:t>
      </w:r>
    </w:p>
    <w:p w:rsidR="00000000" w:rsidRDefault="00E54EC0">
      <w:pPr>
        <w:ind w:hanging="360"/>
        <w:divId w:val="472796383"/>
        <w:rPr>
          <w:rFonts w:eastAsia="Times New Roman"/>
        </w:rPr>
      </w:pPr>
    </w:p>
    <w:p w:rsidR="00000000" w:rsidRDefault="00E54EC0">
      <w:pPr>
        <w:jc w:val="center"/>
        <w:divId w:val="550925160"/>
        <w:rPr>
          <w:rFonts w:eastAsia="Times New Roman"/>
        </w:rPr>
      </w:pPr>
      <w:r>
        <w:rPr>
          <w:rFonts w:eastAsia="Times New Roman"/>
          <w:color w:val="000000"/>
          <w:sz w:val="20"/>
          <w:szCs w:val="20"/>
        </w:rPr>
        <w:t>17</w:t>
      </w:r>
    </w:p>
    <w:p w:rsidR="00000000" w:rsidRDefault="00E54EC0">
      <w:pPr>
        <w:rPr>
          <w:rFonts w:eastAsia="Times New Roman"/>
        </w:rPr>
      </w:pPr>
      <w:r>
        <w:rPr>
          <w:rFonts w:eastAsia="Times New Roman"/>
        </w:rPr>
        <w:pict>
          <v:rect id="_x0000_i1046" style="width:0;height:1.5pt" o:hralign="center" o:hrstd="t" o:hr="t" fillcolor="#a0a0a0" stroked="f"/>
        </w:pict>
      </w:r>
    </w:p>
    <w:p w:rsidR="00000000" w:rsidRDefault="00E54EC0">
      <w:pPr>
        <w:divId w:val="1572423860"/>
        <w:rPr>
          <w:rFonts w:eastAsia="Times New Roman"/>
        </w:rPr>
      </w:pPr>
    </w:p>
    <w:p w:rsidR="00000000" w:rsidRDefault="00E54EC0">
      <w:pPr>
        <w:ind w:firstLine="360"/>
        <w:divId w:val="671956509"/>
        <w:rPr>
          <w:rFonts w:eastAsia="Times New Roman"/>
        </w:rPr>
      </w:pPr>
      <w:r>
        <w:rPr>
          <w:rFonts w:eastAsia="Times New Roman"/>
          <w:color w:val="000000"/>
          <w:sz w:val="20"/>
          <w:szCs w:val="20"/>
        </w:rPr>
        <w:t>The chart below illustrates our net flows for the 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42"/>
        <w:gridCol w:w="4653"/>
        <w:gridCol w:w="37"/>
        <w:gridCol w:w="120"/>
        <w:gridCol w:w="989"/>
        <w:gridCol w:w="36"/>
        <w:gridCol w:w="36"/>
        <w:gridCol w:w="36"/>
        <w:gridCol w:w="36"/>
        <w:gridCol w:w="120"/>
        <w:gridCol w:w="950"/>
        <w:gridCol w:w="36"/>
        <w:gridCol w:w="36"/>
        <w:gridCol w:w="36"/>
        <w:gridCol w:w="36"/>
        <w:gridCol w:w="120"/>
        <w:gridCol w:w="951"/>
        <w:gridCol w:w="36"/>
      </w:tblGrid>
      <w:tr w:rsidR="00000000">
        <w:trPr>
          <w:divId w:val="376701741"/>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7670174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37670174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7670174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7670174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Net Flows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7670174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Gross Premiums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7670174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(3,814)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(4,016)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(3,047)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7670174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Flows (2)</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376701741"/>
        <w:rPr>
          <w:rFonts w:eastAsia="Times New Roman"/>
        </w:rPr>
      </w:pPr>
      <w:r>
        <w:rPr>
          <w:rFonts w:eastAsia="Times New Roman"/>
          <w:color w:val="000000"/>
          <w:sz w:val="18"/>
          <w:szCs w:val="18"/>
        </w:rPr>
        <w:t>______________</w:t>
      </w:r>
    </w:p>
    <w:p w:rsidR="00000000" w:rsidRDefault="00E54EC0">
      <w:pPr>
        <w:ind w:hanging="360"/>
        <w:divId w:val="1838301793"/>
        <w:rPr>
          <w:rFonts w:eastAsia="Times New Roman"/>
        </w:rPr>
      </w:pPr>
      <w:r>
        <w:rPr>
          <w:rFonts w:eastAsia="Times New Roman"/>
          <w:color w:val="000000"/>
          <w:sz w:val="18"/>
          <w:szCs w:val="18"/>
        </w:rPr>
        <w:t>(1)</w:t>
      </w:r>
      <w:r>
        <w:rPr>
          <w:rFonts w:eastAsia="Times New Roman"/>
          <w:color w:val="000000"/>
          <w:sz w:val="18"/>
          <w:szCs w:val="18"/>
        </w:rPr>
        <w:t>Prior period amounts related to the AV and AUA roll-forward were updated to include Mutual Fund AUA. The impact of the revision to Net Flows for the year ended December 31, 2021 was $129 million.</w:t>
      </w:r>
    </w:p>
    <w:p w:rsidR="00000000" w:rsidRDefault="00E54EC0">
      <w:pPr>
        <w:ind w:hanging="360"/>
        <w:divId w:val="312485231"/>
        <w:rPr>
          <w:rFonts w:eastAsia="Times New Roman"/>
        </w:rPr>
      </w:pPr>
      <w:r>
        <w:rPr>
          <w:rFonts w:eastAsia="Times New Roman"/>
          <w:color w:val="000000"/>
          <w:sz w:val="18"/>
          <w:szCs w:val="18"/>
        </w:rPr>
        <w:t>(2)For the year ended December 31, 2022, net outflows of $17</w:t>
      </w:r>
      <w:r>
        <w:rPr>
          <w:rFonts w:eastAsia="Times New Roman"/>
          <w:color w:val="000000"/>
          <w:sz w:val="18"/>
          <w:szCs w:val="18"/>
        </w:rPr>
        <w:t>9 million are excluded as these amounts are related to ceded AV to Global Atlantic. For additional information regarding the Global Atlantic Transaction, see “Management’s Discussion and Analysis of Financial Condition and Results of Operations—Executive S</w:t>
      </w:r>
      <w:r>
        <w:rPr>
          <w:rFonts w:eastAsia="Times New Roman"/>
          <w:color w:val="000000"/>
          <w:sz w:val="18"/>
          <w:szCs w:val="18"/>
        </w:rPr>
        <w:t>ummary—Global Atlantic Transaction” and Note 1 of the Notes to the Consolidated Financial Statements.</w:t>
      </w:r>
    </w:p>
    <w:p w:rsidR="00000000" w:rsidRDefault="00E54EC0">
      <w:pPr>
        <w:ind w:firstLine="360"/>
        <w:divId w:val="715784550"/>
        <w:rPr>
          <w:rFonts w:eastAsia="Times New Roman"/>
        </w:rPr>
      </w:pPr>
      <w:r>
        <w:rPr>
          <w:rFonts w:eastAsia="Times New Roman"/>
          <w:color w:val="000000"/>
          <w:sz w:val="20"/>
          <w:szCs w:val="20"/>
        </w:rPr>
        <w:t xml:space="preserve">The following table presents the gross premiums for each of our markets for the periods specified. </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086919312"/>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8691931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08691931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08691931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8691931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Gross Premiums by Market (2)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869193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Tax-Exempt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Institutional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FYP</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1,176 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0869193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Tax-Exempt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Renewal Premiums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2,330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869193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Gross Premiums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4,448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696657503"/>
        <w:rPr>
          <w:rFonts w:eastAsia="Times New Roman"/>
        </w:rPr>
      </w:pPr>
      <w:r>
        <w:rPr>
          <w:rFonts w:eastAsia="Times New Roman"/>
          <w:color w:val="000000"/>
          <w:sz w:val="18"/>
          <w:szCs w:val="18"/>
        </w:rPr>
        <w:t>______________</w:t>
      </w:r>
    </w:p>
    <w:p w:rsidR="00000000" w:rsidRDefault="00E54EC0">
      <w:pPr>
        <w:ind w:hanging="360"/>
        <w:divId w:val="617417496"/>
        <w:rPr>
          <w:rFonts w:eastAsia="Times New Roman"/>
        </w:rPr>
      </w:pPr>
      <w:r>
        <w:rPr>
          <w:rFonts w:eastAsia="Times New Roman"/>
          <w:color w:val="000000"/>
          <w:sz w:val="18"/>
          <w:szCs w:val="18"/>
        </w:rPr>
        <w:t>(1)Prior period amounts related to the AV and AUA roll-forward were updated to include Mutual Fund AUA. The impact of the revision to Gross Premiums for the year ended D</w:t>
      </w:r>
      <w:r>
        <w:rPr>
          <w:rFonts w:eastAsia="Times New Roman"/>
          <w:color w:val="000000"/>
          <w:sz w:val="18"/>
          <w:szCs w:val="18"/>
        </w:rPr>
        <w:t xml:space="preserve">ecember 31, 2021 was $216 million, respectively. </w:t>
      </w:r>
    </w:p>
    <w:p w:rsidR="00000000" w:rsidRDefault="00E54EC0">
      <w:pPr>
        <w:ind w:hanging="360"/>
        <w:divId w:val="582496267"/>
        <w:rPr>
          <w:rFonts w:eastAsia="Times New Roman"/>
        </w:rPr>
      </w:pPr>
      <w:r>
        <w:rPr>
          <w:rFonts w:eastAsia="Times New Roman"/>
          <w:color w:val="000000"/>
          <w:sz w:val="18"/>
          <w:szCs w:val="18"/>
        </w:rPr>
        <w:t>(2)For the year ended December 31, 2022, Gross premiums are exclusive of $72 million related to ceded AV to Global Atlantic. For additional information regarding the Global Atlantic Transaction, see “Manage</w:t>
      </w:r>
      <w:r>
        <w:rPr>
          <w:rFonts w:eastAsia="Times New Roman"/>
          <w:color w:val="000000"/>
          <w:sz w:val="18"/>
          <w:szCs w:val="18"/>
        </w:rPr>
        <w:t>ment’s Discussion and Analysis of Financial Condition and Results of Operations—Executive Summary—Global Atlantic Transaction” and Note 1 of the Notes to the Consolidated Financial Statements.</w:t>
      </w:r>
    </w:p>
    <w:p w:rsidR="00000000" w:rsidRDefault="00E54EC0">
      <w:pPr>
        <w:jc w:val="both"/>
        <w:divId w:val="611325307"/>
        <w:rPr>
          <w:rFonts w:eastAsia="Times New Roman"/>
        </w:rPr>
      </w:pPr>
      <w:r>
        <w:rPr>
          <w:rFonts w:eastAsia="Times New Roman"/>
          <w:b/>
          <w:bCs/>
          <w:i/>
          <w:iCs/>
          <w:color w:val="000000"/>
          <w:sz w:val="20"/>
          <w:szCs w:val="20"/>
        </w:rPr>
        <w:t xml:space="preserve">Markets </w:t>
      </w:r>
    </w:p>
    <w:p w:rsidR="00000000" w:rsidRDefault="00E54EC0">
      <w:pPr>
        <w:ind w:firstLine="360"/>
        <w:divId w:val="258560860"/>
        <w:rPr>
          <w:rFonts w:eastAsia="Times New Roman"/>
        </w:rPr>
      </w:pPr>
      <w:r>
        <w:rPr>
          <w:rFonts w:eastAsia="Times New Roman"/>
          <w:color w:val="000000"/>
          <w:sz w:val="20"/>
          <w:szCs w:val="20"/>
        </w:rPr>
        <w:t xml:space="preserve">We primarily operate in the tax-exempt 403(b)/457(b), </w:t>
      </w:r>
      <w:r>
        <w:rPr>
          <w:rFonts w:eastAsia="Times New Roman"/>
          <w:color w:val="000000"/>
          <w:sz w:val="20"/>
          <w:szCs w:val="20"/>
        </w:rPr>
        <w:t xml:space="preserve">corporate 401(k) and other markets. </w:t>
      </w:r>
    </w:p>
    <w:p w:rsidR="00000000" w:rsidRDefault="00E54EC0">
      <w:pPr>
        <w:ind w:hanging="360"/>
        <w:divId w:val="55904409"/>
        <w:rPr>
          <w:rFonts w:eastAsia="Times New Roman"/>
        </w:rPr>
      </w:pPr>
      <w:r>
        <w:rPr>
          <w:rFonts w:eastAsia="Times New Roman"/>
          <w:color w:val="000000"/>
          <w:sz w:val="20"/>
          <w:szCs w:val="20"/>
        </w:rPr>
        <w:t>•</w:t>
      </w:r>
      <w:r>
        <w:rPr>
          <w:rFonts w:eastAsia="Times New Roman"/>
          <w:i/>
          <w:iCs/>
          <w:color w:val="000000"/>
          <w:sz w:val="20"/>
          <w:szCs w:val="20"/>
        </w:rPr>
        <w:t>Tax-exempt 403(b)/457(b)/491(a)</w:t>
      </w:r>
      <w:r>
        <w:rPr>
          <w:rFonts w:eastAsia="Times New Roman"/>
          <w:color w:val="000000"/>
          <w:sz w:val="20"/>
          <w:szCs w:val="20"/>
        </w:rPr>
        <w:t xml:space="preserve">. Our core customer base consists of governmental plans of which Public School Districts and their employees make up the majority of our portfolio. </w:t>
      </w:r>
    </w:p>
    <w:p w:rsidR="00000000" w:rsidRDefault="00E54EC0">
      <w:pPr>
        <w:divId w:val="1524251022"/>
        <w:rPr>
          <w:rFonts w:eastAsia="Times New Roman"/>
        </w:rPr>
      </w:pPr>
      <w:r>
        <w:rPr>
          <w:rFonts w:eastAsia="Times New Roman"/>
          <w:color w:val="000000"/>
          <w:sz w:val="20"/>
          <w:szCs w:val="20"/>
        </w:rPr>
        <w:t>Overall, the 403(b) and 457(b) markets</w:t>
      </w:r>
      <w:r>
        <w:rPr>
          <w:rFonts w:eastAsia="Times New Roman"/>
          <w:color w:val="000000"/>
          <w:sz w:val="20"/>
          <w:szCs w:val="20"/>
        </w:rPr>
        <w:t xml:space="preserve"> represent 47% of FYP in the Group Retirement segment for the year ended December 31, 2022. We seek to grow in these markets by increasing our presence in the school districts where we currently operate and also by potentially growing our presence in schoo</w:t>
      </w:r>
      <w:r>
        <w:rPr>
          <w:rFonts w:eastAsia="Times New Roman"/>
          <w:color w:val="000000"/>
          <w:sz w:val="20"/>
          <w:szCs w:val="20"/>
        </w:rPr>
        <w:t xml:space="preserve">l districts where we currently do not have access. </w:t>
      </w:r>
    </w:p>
    <w:p w:rsidR="00000000" w:rsidRDefault="00E54EC0">
      <w:pPr>
        <w:ind w:hanging="360"/>
        <w:divId w:val="122700302"/>
        <w:rPr>
          <w:rFonts w:eastAsia="Times New Roman"/>
        </w:rPr>
      </w:pPr>
      <w:r>
        <w:rPr>
          <w:rFonts w:eastAsia="Times New Roman"/>
          <w:color w:val="000000"/>
          <w:sz w:val="20"/>
          <w:szCs w:val="20"/>
        </w:rPr>
        <w:t>•</w:t>
      </w:r>
      <w:r>
        <w:rPr>
          <w:rFonts w:eastAsia="Times New Roman"/>
          <w:i/>
          <w:iCs/>
          <w:color w:val="000000"/>
          <w:sz w:val="20"/>
          <w:szCs w:val="20"/>
        </w:rPr>
        <w:t xml:space="preserve">Corporate 401(k). </w:t>
      </w:r>
      <w:r>
        <w:rPr>
          <w:rFonts w:eastAsia="Times New Roman"/>
          <w:color w:val="000000"/>
          <w:sz w:val="20"/>
          <w:szCs w:val="20"/>
        </w:rPr>
        <w:t>We target small and medium-sized businesses with 401(k) plans that generally have under $20 million in assets. Our product offerings accommodate start up plans and plans with accumulate</w:t>
      </w:r>
      <w:r>
        <w:rPr>
          <w:rFonts w:eastAsia="Times New Roman"/>
          <w:color w:val="000000"/>
          <w:sz w:val="20"/>
          <w:szCs w:val="20"/>
        </w:rPr>
        <w:t xml:space="preserve">d assets. Typically, our products appeal to companies with strong contribution flows and a smaller number of participants with relatively high average participant balances. The under $20 million asset plan market is well aligned with our advisor </w:t>
      </w:r>
    </w:p>
    <w:p w:rsidR="00000000" w:rsidRDefault="00E54EC0">
      <w:pPr>
        <w:ind w:hanging="360"/>
        <w:divId w:val="552157560"/>
        <w:rPr>
          <w:rFonts w:eastAsia="Times New Roman"/>
        </w:rPr>
      </w:pPr>
    </w:p>
    <w:p w:rsidR="00000000" w:rsidRDefault="00E54EC0">
      <w:pPr>
        <w:jc w:val="center"/>
        <w:divId w:val="759256590"/>
        <w:rPr>
          <w:rFonts w:eastAsia="Times New Roman"/>
        </w:rPr>
      </w:pPr>
      <w:r>
        <w:rPr>
          <w:rFonts w:eastAsia="Times New Roman"/>
          <w:color w:val="000000"/>
          <w:sz w:val="20"/>
          <w:szCs w:val="20"/>
        </w:rPr>
        <w:t>18</w:t>
      </w:r>
    </w:p>
    <w:p w:rsidR="00000000" w:rsidRDefault="00E54EC0">
      <w:pPr>
        <w:rPr>
          <w:rFonts w:eastAsia="Times New Roman"/>
        </w:rPr>
      </w:pPr>
      <w:r>
        <w:rPr>
          <w:rFonts w:eastAsia="Times New Roman"/>
        </w:rPr>
        <w:pict>
          <v:rect id="_x0000_i1047" style="width:0;height:1.5pt" o:hralign="center" o:hrstd="t" o:hr="t" fillcolor="#a0a0a0" stroked="f"/>
        </w:pict>
      </w:r>
    </w:p>
    <w:p w:rsidR="00000000" w:rsidRDefault="00E54EC0">
      <w:pPr>
        <w:divId w:val="494297624"/>
        <w:rPr>
          <w:rFonts w:eastAsia="Times New Roman"/>
        </w:rPr>
      </w:pPr>
    </w:p>
    <w:p w:rsidR="00000000" w:rsidRDefault="00E54EC0">
      <w:pPr>
        <w:divId w:val="1530604358"/>
        <w:rPr>
          <w:rFonts w:eastAsia="Times New Roman"/>
        </w:rPr>
      </w:pPr>
      <w:r>
        <w:rPr>
          <w:rFonts w:eastAsia="Times New Roman"/>
          <w:color w:val="000000"/>
          <w:sz w:val="20"/>
          <w:szCs w:val="20"/>
        </w:rPr>
        <w:t>distribution, which has a strong presence in the small and medium-sized business market, and complements our other products focused on this market (such as life insurance and employee benefits products aimed at this market</w:t>
      </w:r>
      <w:r>
        <w:rPr>
          <w:rFonts w:eastAsia="Times New Roman"/>
          <w:color w:val="000000"/>
          <w:sz w:val="20"/>
          <w:szCs w:val="20"/>
        </w:rPr>
        <w:t xml:space="preserve">). </w:t>
      </w:r>
    </w:p>
    <w:p w:rsidR="00000000" w:rsidRDefault="00E54EC0">
      <w:pPr>
        <w:ind w:hanging="360"/>
        <w:divId w:val="516192578"/>
        <w:rPr>
          <w:rFonts w:eastAsia="Times New Roman"/>
        </w:rPr>
      </w:pPr>
      <w:r>
        <w:rPr>
          <w:rFonts w:eastAsia="Times New Roman"/>
          <w:color w:val="000000"/>
          <w:sz w:val="20"/>
          <w:szCs w:val="20"/>
        </w:rPr>
        <w:t>•</w:t>
      </w:r>
      <w:r>
        <w:rPr>
          <w:rFonts w:eastAsia="Times New Roman"/>
          <w:i/>
          <w:iCs/>
          <w:color w:val="000000"/>
          <w:sz w:val="20"/>
          <w:szCs w:val="20"/>
        </w:rPr>
        <w:t xml:space="preserve">Institutional 401(k). </w:t>
      </w:r>
      <w:r>
        <w:rPr>
          <w:rFonts w:eastAsia="Times New Roman"/>
          <w:color w:val="000000"/>
          <w:sz w:val="20"/>
          <w:szCs w:val="20"/>
        </w:rPr>
        <w:t xml:space="preserve">In 2022, we expanded our presence in the institutional lifetime income market through our relationship with AllianceBernstein. Our Institutional business offers GMxB and other annuity guarantees to large institutional retirement </w:t>
      </w:r>
      <w:r>
        <w:rPr>
          <w:rFonts w:eastAsia="Times New Roman"/>
          <w:color w:val="000000"/>
          <w:sz w:val="20"/>
          <w:szCs w:val="20"/>
        </w:rPr>
        <w:t>plans (&gt;$500M in assets). The products are distributed through asset managers in the defined contribution markets. In 2022, we received a substantial portion of our premium through AllianceBernstein's Lifetime Income Solutions product. We are actively seek</w:t>
      </w:r>
      <w:r>
        <w:rPr>
          <w:rFonts w:eastAsia="Times New Roman"/>
          <w:color w:val="000000"/>
          <w:sz w:val="20"/>
          <w:szCs w:val="20"/>
        </w:rPr>
        <w:t>ing to expand the institutional business in 2023.</w:t>
      </w:r>
    </w:p>
    <w:p w:rsidR="00000000" w:rsidRDefault="00E54EC0">
      <w:pPr>
        <w:ind w:hanging="360"/>
        <w:divId w:val="191847564"/>
        <w:rPr>
          <w:rFonts w:eastAsia="Times New Roman"/>
        </w:rPr>
      </w:pPr>
      <w:r>
        <w:rPr>
          <w:rFonts w:eastAsia="Times New Roman"/>
          <w:color w:val="000000"/>
          <w:sz w:val="20"/>
          <w:szCs w:val="20"/>
        </w:rPr>
        <w:t>•</w:t>
      </w:r>
      <w:r>
        <w:rPr>
          <w:rFonts w:eastAsia="Times New Roman"/>
          <w:i/>
          <w:iCs/>
          <w:color w:val="000000"/>
          <w:sz w:val="20"/>
          <w:szCs w:val="20"/>
        </w:rPr>
        <w:t xml:space="preserve">Other. </w:t>
      </w:r>
      <w:r>
        <w:rPr>
          <w:rFonts w:eastAsia="Times New Roman"/>
          <w:color w:val="000000"/>
          <w:sz w:val="20"/>
          <w:szCs w:val="20"/>
        </w:rPr>
        <w:t>Our other business includes an affinity-based direct marketing program where we offer retirement and individual products to employers that are members of industry or trade associations and various o</w:t>
      </w:r>
      <w:r>
        <w:rPr>
          <w:rFonts w:eastAsia="Times New Roman"/>
          <w:color w:val="000000"/>
          <w:sz w:val="20"/>
          <w:szCs w:val="20"/>
        </w:rPr>
        <w:t>ther sole proprietor and small business retirement accounts.</w:t>
      </w:r>
    </w:p>
    <w:p w:rsidR="00000000" w:rsidRDefault="00E54EC0">
      <w:pPr>
        <w:ind w:firstLine="360"/>
        <w:divId w:val="354962387"/>
        <w:rPr>
          <w:rFonts w:eastAsia="Times New Roman"/>
        </w:rPr>
      </w:pPr>
      <w:r>
        <w:rPr>
          <w:rFonts w:eastAsia="Times New Roman"/>
          <w:color w:val="000000"/>
          <w:sz w:val="20"/>
          <w:szCs w:val="20"/>
        </w:rPr>
        <w:t>The following table presents the relative contribution of each of our markets to AV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0"/>
        <w:gridCol w:w="989"/>
        <w:gridCol w:w="36"/>
        <w:gridCol w:w="36"/>
        <w:gridCol w:w="36"/>
        <w:gridCol w:w="36"/>
        <w:gridCol w:w="120"/>
        <w:gridCol w:w="949"/>
        <w:gridCol w:w="36"/>
        <w:gridCol w:w="36"/>
        <w:gridCol w:w="36"/>
        <w:gridCol w:w="36"/>
        <w:gridCol w:w="120"/>
        <w:gridCol w:w="951"/>
        <w:gridCol w:w="36"/>
      </w:tblGrid>
      <w:tr w:rsidR="00000000">
        <w:trPr>
          <w:divId w:val="2099521462"/>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9952146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209952146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209952146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09952146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AV by Market</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9952146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Tax-Exempt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22,942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37,072 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32,586 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952146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5,367 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952146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Institutional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952146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952146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AV (2)</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32,005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47,810 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99521462"/>
        <w:rPr>
          <w:rFonts w:eastAsia="Times New Roman"/>
        </w:rPr>
      </w:pPr>
      <w:r>
        <w:rPr>
          <w:rFonts w:eastAsia="Times New Roman"/>
          <w:color w:val="000000"/>
          <w:sz w:val="20"/>
          <w:szCs w:val="20"/>
        </w:rPr>
        <w:t>______________</w:t>
      </w:r>
    </w:p>
    <w:p w:rsidR="00000000" w:rsidRDefault="00E54EC0">
      <w:pPr>
        <w:ind w:hanging="360"/>
        <w:divId w:val="2014800946"/>
        <w:rPr>
          <w:rFonts w:eastAsia="Times New Roman"/>
        </w:rPr>
      </w:pPr>
      <w:r>
        <w:rPr>
          <w:rFonts w:eastAsia="Times New Roman"/>
          <w:color w:val="000000"/>
          <w:sz w:val="18"/>
          <w:szCs w:val="18"/>
        </w:rPr>
        <w:t>(1)Total AV revised to include ERV/E360R AUM and AUA in Other.</w:t>
      </w:r>
    </w:p>
    <w:p w:rsidR="00000000" w:rsidRDefault="00E54EC0">
      <w:pPr>
        <w:ind w:hanging="360"/>
        <w:divId w:val="1457875589"/>
        <w:rPr>
          <w:rFonts w:eastAsia="Times New Roman"/>
        </w:rPr>
      </w:pPr>
      <w:r>
        <w:rPr>
          <w:rFonts w:eastAsia="Times New Roman"/>
          <w:color w:val="000000"/>
          <w:sz w:val="18"/>
          <w:szCs w:val="18"/>
        </w:rPr>
        <w:t>(2)</w:t>
      </w:r>
      <w:r>
        <w:rPr>
          <w:rFonts w:eastAsia="Times New Roman"/>
          <w:color w:val="000000"/>
          <w:sz w:val="18"/>
          <w:szCs w:val="18"/>
        </w:rPr>
        <w:t>For the year ended December 31, 2022, AV is exclusive of $9.6 billion related to ceded AV to Global Atlantic. For additional information regarding the Global Atlantic Transaction, see “Management’s Discussion and Analysis of Financial Condition and Results</w:t>
      </w:r>
      <w:r>
        <w:rPr>
          <w:rFonts w:eastAsia="Times New Roman"/>
          <w:color w:val="000000"/>
          <w:sz w:val="18"/>
          <w:szCs w:val="18"/>
        </w:rPr>
        <w:t xml:space="preserve"> of Operations—Executive Summary—Global Atlantic Transaction” and Note 1 of the Notes to the Consolidated Financial Statements.</w:t>
      </w:r>
    </w:p>
    <w:p w:rsidR="00000000" w:rsidRDefault="00E54EC0">
      <w:pPr>
        <w:jc w:val="both"/>
        <w:divId w:val="218590089"/>
        <w:rPr>
          <w:rFonts w:eastAsia="Times New Roman"/>
        </w:rPr>
      </w:pPr>
      <w:r>
        <w:rPr>
          <w:rFonts w:eastAsia="Times New Roman"/>
          <w:b/>
          <w:bCs/>
          <w:i/>
          <w:iCs/>
          <w:color w:val="000000"/>
          <w:sz w:val="20"/>
          <w:szCs w:val="20"/>
        </w:rPr>
        <w:t xml:space="preserve">Distribution </w:t>
      </w:r>
    </w:p>
    <w:p w:rsidR="00000000" w:rsidRDefault="00E54EC0">
      <w:pPr>
        <w:ind w:firstLine="360"/>
        <w:divId w:val="157695138"/>
        <w:rPr>
          <w:rFonts w:eastAsia="Times New Roman"/>
        </w:rPr>
      </w:pPr>
      <w:r>
        <w:rPr>
          <w:rFonts w:eastAsia="Times New Roman"/>
          <w:color w:val="000000"/>
          <w:sz w:val="20"/>
          <w:szCs w:val="20"/>
        </w:rPr>
        <w:t>We primarily distribute our products and services to this market through Equitable Advisors and third-party distri</w:t>
      </w:r>
      <w:r>
        <w:rPr>
          <w:rFonts w:eastAsia="Times New Roman"/>
          <w:color w:val="000000"/>
          <w:sz w:val="20"/>
          <w:szCs w:val="20"/>
        </w:rPr>
        <w:t>bution firms. For the year ended December 31, 2022, these channels represented approximately 56% and 44% of our sales, respectively. We also distribute through direct online sales. We employ internal and external wholesalers to exclusively market our produ</w:t>
      </w:r>
      <w:r>
        <w:rPr>
          <w:rFonts w:eastAsia="Times New Roman"/>
          <w:color w:val="000000"/>
          <w:sz w:val="20"/>
          <w:szCs w:val="20"/>
        </w:rPr>
        <w:t xml:space="preserve">cts through Equitable Advisors and third-party firms that are licensed to sell our products. </w:t>
      </w:r>
    </w:p>
    <w:p w:rsidR="00000000" w:rsidRDefault="00E54EC0">
      <w:pPr>
        <w:ind w:firstLine="360"/>
        <w:divId w:val="563176123"/>
        <w:rPr>
          <w:rFonts w:eastAsia="Times New Roman"/>
        </w:rPr>
      </w:pPr>
      <w:r>
        <w:rPr>
          <w:rFonts w:eastAsia="Times New Roman"/>
          <w:color w:val="000000"/>
          <w:sz w:val="20"/>
          <w:szCs w:val="20"/>
        </w:rPr>
        <w:t>Equitable Advisors, through RBG, is the primary distribution channel for our products. The cornerstone of the RBG model is a repeatable and scalable advisor recru</w:t>
      </w:r>
      <w:r>
        <w:rPr>
          <w:rFonts w:eastAsia="Times New Roman"/>
          <w:color w:val="000000"/>
          <w:sz w:val="20"/>
          <w:szCs w:val="20"/>
        </w:rPr>
        <w:t>iting and training model that we believe is more effective than the overall industry model. RBG advisors complete several levels of training that are specific to the education market and give them the requisite skills to assess the educators’ retirement ne</w:t>
      </w:r>
      <w:r>
        <w:rPr>
          <w:rFonts w:eastAsia="Times New Roman"/>
          <w:color w:val="000000"/>
          <w:sz w:val="20"/>
          <w:szCs w:val="20"/>
        </w:rPr>
        <w:t xml:space="preserve">eds and how our products can help to address those needs. Equitable Advisors also accounted for 95% of our 403(b) sales in 2022. </w:t>
      </w:r>
    </w:p>
    <w:p w:rsidR="00000000" w:rsidRDefault="00E54EC0">
      <w:pPr>
        <w:ind w:firstLine="360"/>
        <w:divId w:val="1447118327"/>
        <w:rPr>
          <w:rFonts w:eastAsia="Times New Roman"/>
        </w:rPr>
      </w:pPr>
      <w:r>
        <w:rPr>
          <w:rFonts w:eastAsia="Times New Roman"/>
          <w:color w:val="000000"/>
          <w:sz w:val="20"/>
          <w:szCs w:val="20"/>
        </w:rPr>
        <w:t>Group Retirement products are also distributed through third-party firms and directly to customers online. We have a digital e</w:t>
      </w:r>
      <w:r>
        <w:rPr>
          <w:rFonts w:eastAsia="Times New Roman"/>
          <w:color w:val="000000"/>
          <w:sz w:val="20"/>
          <w:szCs w:val="20"/>
        </w:rPr>
        <w:t>ngagement strategy to supplement our traditional advisor-based model. This includes engaging existing clients to increase contributions online. The program uses data analysis combined with digital media to engage educators, teach them about their retiremen</w:t>
      </w:r>
      <w:r>
        <w:rPr>
          <w:rFonts w:eastAsia="Times New Roman"/>
          <w:color w:val="000000"/>
          <w:sz w:val="20"/>
          <w:szCs w:val="20"/>
        </w:rPr>
        <w:t>t needs and increase awareness of our products and services. Due to effects of the COVID-19 pandemic, we accelerated our digital adoption programs, leading to improved outcomes for clients, advisors, and the Company. We developed digital tools and enhanced</w:t>
      </w:r>
      <w:r>
        <w:rPr>
          <w:rFonts w:eastAsia="Times New Roman"/>
          <w:color w:val="000000"/>
          <w:sz w:val="20"/>
          <w:szCs w:val="20"/>
        </w:rPr>
        <w:t xml:space="preserve"> our remote engagement with our educator clients, which is resulting in improved retention and increases in retirement plan contributions.</w:t>
      </w:r>
    </w:p>
    <w:p w:rsidR="00000000" w:rsidRDefault="00E54EC0">
      <w:pPr>
        <w:ind w:firstLine="360"/>
        <w:divId w:val="921571860"/>
        <w:rPr>
          <w:rFonts w:eastAsia="Times New Roman"/>
        </w:rPr>
      </w:pPr>
      <w:r>
        <w:rPr>
          <w:rFonts w:eastAsia="Times New Roman"/>
          <w:color w:val="000000"/>
          <w:sz w:val="20"/>
          <w:szCs w:val="20"/>
        </w:rPr>
        <w:t xml:space="preserve">The following table presents first year premium by distribution channel for the periods indicated: </w:t>
      </w:r>
    </w:p>
    <w:p w:rsidR="00000000" w:rsidRDefault="00E54EC0">
      <w:pPr>
        <w:ind w:hanging="360"/>
        <w:divId w:val="333457173"/>
        <w:rPr>
          <w:rFonts w:eastAsia="Times New Roman"/>
        </w:rPr>
      </w:pPr>
    </w:p>
    <w:p w:rsidR="00000000" w:rsidRDefault="00E54EC0">
      <w:pPr>
        <w:jc w:val="center"/>
        <w:divId w:val="1689288127"/>
        <w:rPr>
          <w:rFonts w:eastAsia="Times New Roman"/>
        </w:rPr>
      </w:pPr>
      <w:r>
        <w:rPr>
          <w:rFonts w:eastAsia="Times New Roman"/>
          <w:color w:val="000000"/>
          <w:sz w:val="20"/>
          <w:szCs w:val="20"/>
        </w:rPr>
        <w:t>19</w:t>
      </w:r>
    </w:p>
    <w:p w:rsidR="00000000" w:rsidRDefault="00E54EC0">
      <w:pPr>
        <w:rPr>
          <w:rFonts w:eastAsia="Times New Roman"/>
        </w:rPr>
      </w:pPr>
      <w:r>
        <w:rPr>
          <w:rFonts w:eastAsia="Times New Roman"/>
        </w:rPr>
        <w:pict>
          <v:rect id="_x0000_i1048" style="width:0;height:1.5pt" o:hralign="center" o:hrstd="t" o:hr="t" fillcolor="#a0a0a0" stroked="f"/>
        </w:pict>
      </w:r>
    </w:p>
    <w:p w:rsidR="00000000" w:rsidRDefault="00E54EC0">
      <w:pPr>
        <w:divId w:val="12268353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398402177"/>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9840217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39840217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9840217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98402177"/>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FYP by Distribution</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840217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328605055"/>
              <w:rPr>
                <w:rFonts w:eastAsia="Times New Roman"/>
              </w:rPr>
            </w:pPr>
            <w:r>
              <w:rPr>
                <w:rFonts w:eastAsia="Times New Roman"/>
                <w:color w:val="000000"/>
                <w:sz w:val="20"/>
                <w:szCs w:val="20"/>
              </w:rPr>
              <w:t>Equitable Advisors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840217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Third-Party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840217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833029811"/>
        <w:rPr>
          <w:rFonts w:eastAsia="Times New Roman"/>
        </w:rPr>
      </w:pPr>
      <w:r>
        <w:rPr>
          <w:rFonts w:eastAsia="Times New Roman"/>
          <w:b/>
          <w:bCs/>
          <w:i/>
          <w:iCs/>
          <w:color w:val="000000"/>
          <w:sz w:val="20"/>
          <w:szCs w:val="20"/>
        </w:rPr>
        <w:t>Competition</w:t>
      </w:r>
      <w:r>
        <w:rPr>
          <w:rFonts w:eastAsia="Times New Roman"/>
          <w:b/>
          <w:bCs/>
          <w:color w:val="000000"/>
          <w:sz w:val="20"/>
          <w:szCs w:val="20"/>
        </w:rPr>
        <w:t xml:space="preserve"> </w:t>
      </w:r>
    </w:p>
    <w:p w:rsidR="00000000" w:rsidRDefault="00E54EC0">
      <w:pPr>
        <w:ind w:firstLine="360"/>
        <w:divId w:val="2097820569"/>
        <w:rPr>
          <w:rFonts w:eastAsia="Times New Roman"/>
        </w:rPr>
      </w:pPr>
      <w:r>
        <w:rPr>
          <w:rFonts w:eastAsia="Times New Roman"/>
          <w:color w:val="000000"/>
          <w:sz w:val="20"/>
          <w:szCs w:val="20"/>
        </w:rPr>
        <w:t>We compete with select insurance companies, asset managers, record keepers and diversified financial institutions that target similar market segments. In the K–12 public education market, competitors are primarily insurance-based providers that focus on sc</w:t>
      </w:r>
      <w:r>
        <w:rPr>
          <w:rFonts w:eastAsia="Times New Roman"/>
          <w:color w:val="000000"/>
          <w:sz w:val="20"/>
          <w:szCs w:val="20"/>
        </w:rPr>
        <w:t>hool districts. In the small and medium-sized business market, the primary competitors are insurance-based providers and mutual fund companies. The main features that distinguish our offering to clients include our RBG distribution model, the product featu</w:t>
      </w:r>
      <w:r>
        <w:rPr>
          <w:rFonts w:eastAsia="Times New Roman"/>
          <w:color w:val="000000"/>
          <w:sz w:val="20"/>
          <w:szCs w:val="20"/>
        </w:rPr>
        <w:t xml:space="preserve">res we offer to clients, including guarantees, and our financial strength. </w:t>
      </w:r>
    </w:p>
    <w:p w:rsidR="00000000" w:rsidRDefault="00E54EC0">
      <w:pPr>
        <w:jc w:val="both"/>
        <w:divId w:val="2066024786"/>
        <w:rPr>
          <w:rFonts w:eastAsia="Times New Roman"/>
        </w:rPr>
      </w:pPr>
      <w:r>
        <w:rPr>
          <w:rFonts w:eastAsia="Times New Roman"/>
          <w:b/>
          <w:bCs/>
          <w:i/>
          <w:iCs/>
          <w:color w:val="000000"/>
          <w:sz w:val="20"/>
          <w:szCs w:val="20"/>
        </w:rPr>
        <w:t xml:space="preserve">Underwriting and Pricing </w:t>
      </w:r>
    </w:p>
    <w:p w:rsidR="00000000" w:rsidRDefault="00E54EC0">
      <w:pPr>
        <w:ind w:firstLine="360"/>
        <w:divId w:val="139882367"/>
        <w:rPr>
          <w:rFonts w:eastAsia="Times New Roman"/>
        </w:rPr>
      </w:pPr>
      <w:r>
        <w:rPr>
          <w:rFonts w:eastAsia="Times New Roman"/>
          <w:color w:val="000000"/>
          <w:sz w:val="20"/>
          <w:szCs w:val="20"/>
        </w:rPr>
        <w:t>We generally do not underwrite our annuity products on an individual-by-individual basis. Instead, we price our products based upon our expected investmen</w:t>
      </w:r>
      <w:r>
        <w:rPr>
          <w:rFonts w:eastAsia="Times New Roman"/>
          <w:color w:val="000000"/>
          <w:sz w:val="20"/>
          <w:szCs w:val="20"/>
        </w:rPr>
        <w:t>t returns and assumptions regarding mortality, longevity and persistency for our policyholders collectively, while taking into account historical experience, volatility of expected earnings on our AV, and the expected time to retirement. Our product pricin</w:t>
      </w:r>
      <w:r>
        <w:rPr>
          <w:rFonts w:eastAsia="Times New Roman"/>
          <w:color w:val="000000"/>
          <w:sz w:val="20"/>
          <w:szCs w:val="20"/>
        </w:rPr>
        <w:t xml:space="preserve">g models also take into account capital requirements, hedging costs and operating expenses. Investment-oriented products are priced based on various factors, which may include investment return, expenses, persistency and optionality. </w:t>
      </w:r>
    </w:p>
    <w:p w:rsidR="00000000" w:rsidRDefault="00E54EC0">
      <w:pPr>
        <w:ind w:firstLine="360"/>
        <w:divId w:val="196160726"/>
        <w:rPr>
          <w:rFonts w:eastAsia="Times New Roman"/>
        </w:rPr>
      </w:pPr>
      <w:r>
        <w:rPr>
          <w:rFonts w:eastAsia="Times New Roman"/>
          <w:color w:val="000000"/>
          <w:sz w:val="20"/>
          <w:szCs w:val="20"/>
        </w:rPr>
        <w:t xml:space="preserve">Our variable annuity </w:t>
      </w:r>
      <w:r>
        <w:rPr>
          <w:rFonts w:eastAsia="Times New Roman"/>
          <w:color w:val="000000"/>
          <w:sz w:val="20"/>
          <w:szCs w:val="20"/>
        </w:rPr>
        <w:t>products generally include penalties for early withdrawals. From time to time, we reevaluate the type and level of guarantees and other features we offer. We have previously changed the nature and pricing of the features we offer and will likely do so from</w:t>
      </w:r>
      <w:r>
        <w:rPr>
          <w:rFonts w:eastAsia="Times New Roman"/>
          <w:color w:val="000000"/>
          <w:sz w:val="20"/>
          <w:szCs w:val="20"/>
        </w:rPr>
        <w:t xml:space="preserve"> time to time in the future as the needs of our clients, the economic environment and our risk appetite evolve. </w:t>
      </w:r>
    </w:p>
    <w:p w:rsidR="00000000" w:rsidRDefault="00E54EC0">
      <w:pPr>
        <w:jc w:val="both"/>
        <w:divId w:val="489562098"/>
        <w:rPr>
          <w:rFonts w:eastAsia="Times New Roman"/>
        </w:rPr>
      </w:pPr>
      <w:r>
        <w:rPr>
          <w:rFonts w:eastAsia="Times New Roman"/>
          <w:b/>
          <w:bCs/>
          <w:i/>
          <w:iCs/>
          <w:color w:val="000000"/>
          <w:sz w:val="20"/>
          <w:szCs w:val="20"/>
        </w:rPr>
        <w:t xml:space="preserve">Fees </w:t>
      </w:r>
    </w:p>
    <w:p w:rsidR="00000000" w:rsidRDefault="00E54EC0">
      <w:pPr>
        <w:ind w:firstLine="360"/>
        <w:divId w:val="137961602"/>
        <w:rPr>
          <w:rFonts w:eastAsia="Times New Roman"/>
        </w:rPr>
      </w:pPr>
      <w:r>
        <w:rPr>
          <w:rFonts w:eastAsia="Times New Roman"/>
          <w:color w:val="000000"/>
          <w:sz w:val="20"/>
          <w:szCs w:val="20"/>
        </w:rPr>
        <w:t>We earn various types of fee revenue based on AV, fund assets and benefit base. Fees that we collect include mortality &amp; expense, adminis</w:t>
      </w:r>
      <w:r>
        <w:rPr>
          <w:rFonts w:eastAsia="Times New Roman"/>
          <w:color w:val="000000"/>
          <w:sz w:val="20"/>
          <w:szCs w:val="20"/>
        </w:rPr>
        <w:t xml:space="preserve">trative charges and distribution charges; withdrawal charges; investment management fees, 12b-1 fees, death benefit rider charges, and living benefit rider charges. </w:t>
      </w:r>
    </w:p>
    <w:p w:rsidR="00000000" w:rsidRDefault="00E54EC0">
      <w:pPr>
        <w:jc w:val="both"/>
        <w:divId w:val="1041513596"/>
        <w:rPr>
          <w:rFonts w:eastAsia="Times New Roman"/>
        </w:rPr>
      </w:pPr>
      <w:r>
        <w:rPr>
          <w:rFonts w:eastAsia="Times New Roman"/>
          <w:b/>
          <w:bCs/>
          <w:i/>
          <w:iCs/>
          <w:color w:val="000000"/>
          <w:sz w:val="20"/>
          <w:szCs w:val="20"/>
        </w:rPr>
        <w:t>Risk Management</w:t>
      </w:r>
      <w:r>
        <w:rPr>
          <w:rFonts w:eastAsia="Times New Roman"/>
          <w:b/>
          <w:bCs/>
          <w:color w:val="000000"/>
          <w:sz w:val="20"/>
          <w:szCs w:val="20"/>
        </w:rPr>
        <w:t xml:space="preserve"> </w:t>
      </w:r>
    </w:p>
    <w:p w:rsidR="00000000" w:rsidRDefault="00E54EC0">
      <w:pPr>
        <w:ind w:firstLine="360"/>
        <w:divId w:val="197013530"/>
        <w:rPr>
          <w:rFonts w:eastAsia="Times New Roman"/>
        </w:rPr>
      </w:pPr>
      <w:r>
        <w:rPr>
          <w:rFonts w:eastAsia="Times New Roman"/>
          <w:color w:val="000000"/>
          <w:sz w:val="20"/>
          <w:szCs w:val="20"/>
        </w:rPr>
        <w:t>We design our Group Retirement products with the goal of providing attrac</w:t>
      </w:r>
      <w:r>
        <w:rPr>
          <w:rFonts w:eastAsia="Times New Roman"/>
          <w:color w:val="000000"/>
          <w:sz w:val="20"/>
          <w:szCs w:val="20"/>
        </w:rPr>
        <w:t>tive features to clients that also minimize risks to us. To mitigate risks to our General Account from fluctuations in interest rates, we apply a variety of techniques that align well with a given product type. We designed our GIO to comply with the NAIC m</w:t>
      </w:r>
      <w:r>
        <w:rPr>
          <w:rFonts w:eastAsia="Times New Roman"/>
          <w:color w:val="000000"/>
          <w:sz w:val="20"/>
          <w:szCs w:val="20"/>
        </w:rPr>
        <w:t>inimum rate 1.0% for new issues), and our 403(b) products that we currently sell include a contractual provision that enables us to limit transfers into the GIO. As most defined contribution plans allow participants to borrow against their accounts, we hav</w:t>
      </w:r>
      <w:r>
        <w:rPr>
          <w:rFonts w:eastAsia="Times New Roman"/>
          <w:color w:val="000000"/>
          <w:sz w:val="20"/>
          <w:szCs w:val="20"/>
        </w:rPr>
        <w:t xml:space="preserve">e made changes to our loan repayment processes to minimize participant loan defaults and to facilitate loan repayments to the participant’s current investment allocation as opposed to requiring repayments only to the GIO. In the 401(k) and 457(b) markets, </w:t>
      </w:r>
      <w:r>
        <w:rPr>
          <w:rFonts w:eastAsia="Times New Roman"/>
          <w:color w:val="000000"/>
          <w:sz w:val="20"/>
          <w:szCs w:val="20"/>
        </w:rPr>
        <w:t>we may charge a market value adjustment on the assets of the GIO when a plan sponsor terminates its agreement with us. We also prohibit direct transfers to fixed income products that compete with the GIO, which protects the principal in the General Account</w:t>
      </w:r>
      <w:r>
        <w:rPr>
          <w:rFonts w:eastAsia="Times New Roman"/>
          <w:color w:val="000000"/>
          <w:sz w:val="20"/>
          <w:szCs w:val="20"/>
        </w:rPr>
        <w:t xml:space="preserve"> in a rising interest rate environment. </w:t>
      </w:r>
    </w:p>
    <w:p w:rsidR="00000000" w:rsidRDefault="00E54EC0">
      <w:pPr>
        <w:ind w:firstLine="360"/>
        <w:divId w:val="2093627083"/>
        <w:rPr>
          <w:rFonts w:eastAsia="Times New Roman"/>
        </w:rPr>
      </w:pPr>
      <w:r>
        <w:rPr>
          <w:rFonts w:eastAsia="Times New Roman"/>
          <w:color w:val="000000"/>
          <w:sz w:val="20"/>
          <w:szCs w:val="20"/>
        </w:rPr>
        <w:t>In the Tax-Exempt market, the benefits include a minimum guaranteed interest rate on our GIO, return of premium death benefits and limited optional GMxB features. The utilization of GMxB features is low. In the Corp</w:t>
      </w:r>
      <w:r>
        <w:rPr>
          <w:rFonts w:eastAsia="Times New Roman"/>
          <w:color w:val="000000"/>
          <w:sz w:val="20"/>
          <w:szCs w:val="20"/>
        </w:rPr>
        <w:t xml:space="preserve">orate market, the products that we sell today do not offer death benefits in excess of the AV. </w:t>
      </w:r>
    </w:p>
    <w:p w:rsidR="00000000" w:rsidRDefault="00E54EC0">
      <w:pPr>
        <w:divId w:val="575558295"/>
        <w:rPr>
          <w:rFonts w:eastAsia="Times New Roman"/>
        </w:rPr>
      </w:pPr>
      <w:r>
        <w:rPr>
          <w:rFonts w:eastAsia="Times New Roman"/>
          <w:color w:val="000000"/>
          <w:sz w:val="2"/>
          <w:szCs w:val="2"/>
        </w:rPr>
        <w:t> </w:t>
      </w:r>
    </w:p>
    <w:p w:rsidR="00000000" w:rsidRDefault="00E54EC0">
      <w:pPr>
        <w:ind w:firstLine="360"/>
        <w:divId w:val="2094739291"/>
        <w:rPr>
          <w:rFonts w:eastAsia="Times New Roman"/>
        </w:rPr>
      </w:pPr>
      <w:r>
        <w:rPr>
          <w:rFonts w:eastAsia="Times New Roman"/>
          <w:color w:val="000000"/>
          <w:sz w:val="20"/>
          <w:szCs w:val="20"/>
        </w:rPr>
        <w:t>As of December 31, 2022, approximately 44% of our General Account AV has a minimum guaranteed rate of 3-4%. Given the growth in net flows to our newer product</w:t>
      </w:r>
      <w:r>
        <w:rPr>
          <w:rFonts w:eastAsia="Times New Roman"/>
          <w:color w:val="000000"/>
          <w:sz w:val="20"/>
          <w:szCs w:val="20"/>
        </w:rPr>
        <w:t>s, the slowing in flows to older blocks due to retirement and the 2022 reinsurance transaction (see “Reinsurance” below) ceding legacy Group EQUI-VEST deferred variable annuity contracts, which predominately include Equitable Financial’s highest guaranteed</w:t>
      </w:r>
      <w:r>
        <w:rPr>
          <w:rFonts w:eastAsia="Times New Roman"/>
          <w:color w:val="000000"/>
          <w:sz w:val="20"/>
          <w:szCs w:val="20"/>
        </w:rPr>
        <w:t xml:space="preserve"> general account crediting rates of 3%, we expect that guarantees at a rate over 3% will continue to diminish as a percentage of our overall General Account AV. The table below </w:t>
      </w:r>
    </w:p>
    <w:p w:rsidR="00000000" w:rsidRDefault="00E54EC0">
      <w:pPr>
        <w:ind w:hanging="360"/>
        <w:divId w:val="1380666594"/>
        <w:rPr>
          <w:rFonts w:eastAsia="Times New Roman"/>
        </w:rPr>
      </w:pPr>
    </w:p>
    <w:p w:rsidR="00000000" w:rsidRDefault="00E54EC0">
      <w:pPr>
        <w:jc w:val="center"/>
        <w:divId w:val="496651610"/>
        <w:rPr>
          <w:rFonts w:eastAsia="Times New Roman"/>
        </w:rPr>
      </w:pPr>
      <w:r>
        <w:rPr>
          <w:rFonts w:eastAsia="Times New Roman"/>
          <w:color w:val="000000"/>
          <w:sz w:val="20"/>
          <w:szCs w:val="20"/>
        </w:rPr>
        <w:t>20</w:t>
      </w:r>
    </w:p>
    <w:p w:rsidR="00000000" w:rsidRDefault="00E54EC0">
      <w:pPr>
        <w:rPr>
          <w:rFonts w:eastAsia="Times New Roman"/>
        </w:rPr>
      </w:pPr>
      <w:r>
        <w:rPr>
          <w:rFonts w:eastAsia="Times New Roman"/>
        </w:rPr>
        <w:pict>
          <v:rect id="_x0000_i1049" style="width:0;height:1.5pt" o:hralign="center" o:hrstd="t" o:hr="t" fillcolor="#a0a0a0" stroked="f"/>
        </w:pict>
      </w:r>
    </w:p>
    <w:p w:rsidR="00000000" w:rsidRDefault="00E54EC0">
      <w:pPr>
        <w:divId w:val="44137710"/>
        <w:rPr>
          <w:rFonts w:eastAsia="Times New Roman"/>
        </w:rPr>
      </w:pPr>
    </w:p>
    <w:p w:rsidR="00000000" w:rsidRDefault="00E54EC0">
      <w:pPr>
        <w:divId w:val="1666855427"/>
        <w:rPr>
          <w:rFonts w:eastAsia="Times New Roman"/>
        </w:rPr>
      </w:pPr>
      <w:r>
        <w:rPr>
          <w:rFonts w:eastAsia="Times New Roman"/>
          <w:color w:val="000000"/>
          <w:sz w:val="20"/>
          <w:szCs w:val="20"/>
        </w:rPr>
        <w:t>illustrates the guaranteed minimum rates applicable to our General Account AV for products with the GIO, as of December 31, 2022.</w:t>
      </w:r>
    </w:p>
    <w:tbl>
      <w:tblPr>
        <w:tblW w:w="4992" w:type="pct"/>
        <w:tblCellMar>
          <w:top w:w="15" w:type="dxa"/>
          <w:left w:w="15" w:type="dxa"/>
          <w:bottom w:w="15" w:type="dxa"/>
          <w:right w:w="15" w:type="dxa"/>
        </w:tblCellMar>
        <w:tblLook w:val="04A0" w:firstRow="1" w:lastRow="0" w:firstColumn="1" w:lastColumn="0" w:noHBand="0" w:noVBand="1"/>
      </w:tblPr>
      <w:tblGrid>
        <w:gridCol w:w="51"/>
        <w:gridCol w:w="6970"/>
        <w:gridCol w:w="36"/>
        <w:gridCol w:w="121"/>
        <w:gridCol w:w="1079"/>
        <w:gridCol w:w="36"/>
      </w:tblGrid>
      <w:tr w:rsidR="00000000">
        <w:trPr>
          <w:divId w:val="1138377774"/>
        </w:trPr>
        <w:tc>
          <w:tcPr>
            <w:tcW w:w="50" w:type="pct"/>
            <w:vAlign w:val="center"/>
            <w:hideMark/>
          </w:tcPr>
          <w:p w:rsidR="00000000" w:rsidRDefault="00E54EC0">
            <w:pPr>
              <w:rPr>
                <w:rFonts w:eastAsia="Times New Roman"/>
              </w:rPr>
            </w:pPr>
          </w:p>
        </w:tc>
        <w:tc>
          <w:tcPr>
            <w:tcW w:w="42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3837777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 General</w:t>
            </w:r>
          </w:p>
        </w:tc>
      </w:tr>
      <w:tr w:rsidR="00000000">
        <w:trPr>
          <w:divId w:val="113837777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Guaranteed Minimum Interest Rate</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Account AV</w:t>
            </w:r>
          </w:p>
        </w:tc>
      </w:tr>
      <w:tr w:rsidR="00000000">
        <w:trPr>
          <w:divId w:val="1138377774"/>
        </w:trPr>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113837777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1 – &lt; 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3837777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 – &lt;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3837777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3837777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3837777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1061094909"/>
        <w:rPr>
          <w:rFonts w:eastAsia="Times New Roman"/>
        </w:rPr>
      </w:pPr>
      <w:r>
        <w:rPr>
          <w:rFonts w:eastAsia="Times New Roman"/>
          <w:color w:val="000000"/>
          <w:sz w:val="20"/>
          <w:szCs w:val="20"/>
        </w:rPr>
        <w:t>We use a committee of subject matter experts and business leaders that meet periodically to set crediting rates for our guaranteed interest options. The committee evaluates macroeconomic and business factors to determine prudent interest rates in excess of</w:t>
      </w:r>
      <w:r>
        <w:rPr>
          <w:rFonts w:eastAsia="Times New Roman"/>
          <w:color w:val="000000"/>
          <w:sz w:val="20"/>
          <w:szCs w:val="20"/>
        </w:rPr>
        <w:t xml:space="preserve"> the contract minimum when appropriate. </w:t>
      </w:r>
    </w:p>
    <w:p w:rsidR="00000000" w:rsidRDefault="00E54EC0">
      <w:pPr>
        <w:ind w:firstLine="360"/>
        <w:divId w:val="975334500"/>
        <w:rPr>
          <w:rFonts w:eastAsia="Times New Roman"/>
        </w:rPr>
      </w:pPr>
      <w:r>
        <w:rPr>
          <w:rFonts w:eastAsia="Times New Roman"/>
          <w:color w:val="000000"/>
          <w:sz w:val="20"/>
          <w:szCs w:val="20"/>
        </w:rPr>
        <w:t>We also monitor the behavior of our clients who have the ability to transfer assets between the GIO and various Separate Accounts investment options. We have not historically observed a material shift of assets movi</w:t>
      </w:r>
      <w:r>
        <w:rPr>
          <w:rFonts w:eastAsia="Times New Roman"/>
          <w:color w:val="000000"/>
          <w:sz w:val="20"/>
          <w:szCs w:val="20"/>
        </w:rPr>
        <w:t xml:space="preserve">ng into guarantees during times of higher market volatility. </w:t>
      </w:r>
    </w:p>
    <w:p w:rsidR="00000000" w:rsidRDefault="00E54EC0">
      <w:pPr>
        <w:divId w:val="1864974622"/>
        <w:rPr>
          <w:rFonts w:eastAsia="Times New Roman"/>
        </w:rPr>
      </w:pPr>
      <w:r>
        <w:rPr>
          <w:rFonts w:eastAsia="Times New Roman"/>
          <w:i/>
          <w:iCs/>
          <w:color w:val="000000"/>
          <w:sz w:val="20"/>
          <w:szCs w:val="20"/>
          <w:u w:val="single"/>
        </w:rPr>
        <w:t>Hedging</w:t>
      </w:r>
    </w:p>
    <w:p w:rsidR="00000000" w:rsidRDefault="00E54EC0">
      <w:pPr>
        <w:ind w:firstLine="360"/>
        <w:divId w:val="846214674"/>
        <w:rPr>
          <w:rFonts w:eastAsia="Times New Roman"/>
        </w:rPr>
      </w:pPr>
      <w:r>
        <w:rPr>
          <w:rFonts w:eastAsia="Times New Roman"/>
          <w:color w:val="000000"/>
          <w:sz w:val="20"/>
          <w:szCs w:val="20"/>
        </w:rPr>
        <w:t>We hedge crediting rates to mitigate certain risks associated with the SIO. In order to support the returns associated with the SIO, we enter into derivatives contracts whose payouts, in</w:t>
      </w:r>
      <w:r>
        <w:rPr>
          <w:rFonts w:eastAsia="Times New Roman"/>
          <w:color w:val="000000"/>
          <w:sz w:val="20"/>
          <w:szCs w:val="20"/>
        </w:rPr>
        <w:t xml:space="preserve"> combination with fixed income investments, emulate those of the S&amp;P 500, Russell 2000 or MSCI EAFE index, subject to caps and buffers.</w:t>
      </w:r>
    </w:p>
    <w:p w:rsidR="00000000" w:rsidRDefault="00E54EC0">
      <w:pPr>
        <w:divId w:val="2012759141"/>
        <w:rPr>
          <w:rFonts w:eastAsia="Times New Roman"/>
        </w:rPr>
      </w:pPr>
      <w:r>
        <w:rPr>
          <w:rFonts w:eastAsia="Times New Roman"/>
          <w:i/>
          <w:iCs/>
          <w:color w:val="000000"/>
          <w:sz w:val="20"/>
          <w:szCs w:val="20"/>
          <w:u w:val="single"/>
        </w:rPr>
        <w:t>Reinsurance</w:t>
      </w:r>
    </w:p>
    <w:p w:rsidR="00000000" w:rsidRDefault="00E54EC0">
      <w:pPr>
        <w:ind w:firstLine="360"/>
        <w:divId w:val="1659262330"/>
        <w:rPr>
          <w:rFonts w:eastAsia="Times New Roman"/>
        </w:rPr>
      </w:pPr>
      <w:r>
        <w:rPr>
          <w:rFonts w:eastAsia="Times New Roman"/>
          <w:color w:val="000000"/>
          <w:sz w:val="20"/>
          <w:szCs w:val="20"/>
        </w:rPr>
        <w:t>On October 3, 2022, Equitable Financial completed the transactions (the “Global Atlantic Transaction”) conte</w:t>
      </w:r>
      <w:r>
        <w:rPr>
          <w:rFonts w:eastAsia="Times New Roman"/>
          <w:color w:val="000000"/>
          <w:sz w:val="20"/>
          <w:szCs w:val="20"/>
        </w:rPr>
        <w:t xml:space="preserve">mplated by the previously announced Master Transaction Agreement, dated August 16, 2022, by and between Equitable Financial and First Allmerica Financial Life Insurance Company, a Massachusetts-domiciled insurance company (the “Reinsurer”), a wholly owned </w:t>
      </w:r>
      <w:r>
        <w:rPr>
          <w:rFonts w:eastAsia="Times New Roman"/>
          <w:color w:val="000000"/>
          <w:sz w:val="20"/>
          <w:szCs w:val="20"/>
        </w:rPr>
        <w:t>subsidiary of Global Atlantic Financial Group.</w:t>
      </w:r>
    </w:p>
    <w:p w:rsidR="00000000" w:rsidRDefault="00E54EC0">
      <w:pPr>
        <w:ind w:firstLine="360"/>
        <w:divId w:val="1183275331"/>
        <w:rPr>
          <w:rFonts w:eastAsia="Times New Roman"/>
        </w:rPr>
      </w:pPr>
      <w:r>
        <w:rPr>
          <w:rFonts w:eastAsia="Times New Roman"/>
          <w:color w:val="000000"/>
          <w:sz w:val="20"/>
          <w:szCs w:val="20"/>
        </w:rPr>
        <w:t>At the closing of the Global Atlantic Transaction, Equitable Financial and the Reinsurer entered into a Coinsurance and Modified Coinsurance Agreement (the “EQUI-VEST Reinsurance Agreement”), pursuant to which</w:t>
      </w:r>
      <w:r>
        <w:rPr>
          <w:rFonts w:eastAsia="Times New Roman"/>
          <w:color w:val="000000"/>
          <w:sz w:val="20"/>
          <w:szCs w:val="20"/>
        </w:rPr>
        <w:t xml:space="preserve"> Equitable Financial ceded to the Reinsurer, on a combined coinsurance and modified coinsurance basis, a 50% quota share of approximately 360,000 legacy Group EQUI-VEST deferred variable annuity contracts issued by Equitable Financial between 1980 and 2008</w:t>
      </w:r>
      <w:r>
        <w:rPr>
          <w:rFonts w:eastAsia="Times New Roman"/>
          <w:color w:val="000000"/>
          <w:sz w:val="20"/>
          <w:szCs w:val="20"/>
        </w:rPr>
        <w:t>, which predominately include Equitable Financial’s highest guaranteed general account crediting rates of 3%, supported by general account assets of approximately $4 billion and $5 billion of separate account value (the “Reinsured Contracts”). At the closi</w:t>
      </w:r>
      <w:r>
        <w:rPr>
          <w:rFonts w:eastAsia="Times New Roman"/>
          <w:color w:val="000000"/>
          <w:sz w:val="20"/>
          <w:szCs w:val="20"/>
        </w:rPr>
        <w:t>ng of the Global Atlantic Transaction, Reinsurer deposited assets supporting the general account liabilities relating to the Reinsured Contracts into a trust account for the benefit of Equitable Financial, which assets will secure its obligations to Equita</w:t>
      </w:r>
      <w:r>
        <w:rPr>
          <w:rFonts w:eastAsia="Times New Roman"/>
          <w:color w:val="000000"/>
          <w:sz w:val="20"/>
          <w:szCs w:val="20"/>
        </w:rPr>
        <w:t>ble Financial under the EQUI-VEST Reinsurance Agreement. Commonwealth Annuity and Life Insurance Company, an insurance company domiciled in the Commonwealth of Massachusetts and affiliate of Reinsurer (“Commonwealth”), provided a guarantee of Reinsurer’s p</w:t>
      </w:r>
      <w:r>
        <w:rPr>
          <w:rFonts w:eastAsia="Times New Roman"/>
          <w:color w:val="000000"/>
          <w:sz w:val="20"/>
          <w:szCs w:val="20"/>
        </w:rPr>
        <w:t>ayment obligation to Equitable Financial under the EQUI-VEST Reinsurance Agreement.</w:t>
      </w:r>
    </w:p>
    <w:p w:rsidR="00000000" w:rsidRDefault="00E54EC0">
      <w:pPr>
        <w:ind w:firstLine="360"/>
        <w:divId w:val="9600428"/>
        <w:rPr>
          <w:rFonts w:eastAsia="Times New Roman"/>
        </w:rPr>
      </w:pPr>
      <w:r>
        <w:rPr>
          <w:rFonts w:eastAsia="Times New Roman"/>
          <w:color w:val="000000"/>
          <w:sz w:val="20"/>
          <w:szCs w:val="20"/>
        </w:rPr>
        <w:t>For additional information regarding the Global Atlantic Transaction, see “Management’s Discussion and Analysis of Financial Condition and Results of Operations—Executive S</w:t>
      </w:r>
      <w:r>
        <w:rPr>
          <w:rFonts w:eastAsia="Times New Roman"/>
          <w:color w:val="000000"/>
          <w:sz w:val="20"/>
          <w:szCs w:val="20"/>
        </w:rPr>
        <w:t>ummary—Global Atlantic Transaction” and Note 1 of the Notes to the Consolidated Financial Statements.</w:t>
      </w:r>
    </w:p>
    <w:p w:rsidR="00000000" w:rsidRDefault="00E54EC0">
      <w:pPr>
        <w:divId w:val="1261451460"/>
        <w:rPr>
          <w:rFonts w:eastAsia="Times New Roman"/>
        </w:rPr>
      </w:pPr>
      <w:r>
        <w:rPr>
          <w:rFonts w:eastAsia="Times New Roman"/>
          <w:b/>
          <w:bCs/>
          <w:color w:val="000000"/>
          <w:sz w:val="20"/>
          <w:szCs w:val="20"/>
        </w:rPr>
        <w:t xml:space="preserve">Investment Management and Research </w:t>
      </w:r>
    </w:p>
    <w:p w:rsidR="00000000" w:rsidRDefault="00E54EC0">
      <w:pPr>
        <w:ind w:firstLine="360"/>
        <w:divId w:val="1463576747"/>
        <w:rPr>
          <w:rFonts w:eastAsia="Times New Roman"/>
        </w:rPr>
      </w:pPr>
      <w:r>
        <w:rPr>
          <w:rFonts w:eastAsia="Times New Roman"/>
          <w:color w:val="000000"/>
          <w:sz w:val="20"/>
          <w:szCs w:val="20"/>
        </w:rPr>
        <w:t>Our Investment Management and Research business provides diversified investment management, research and related services globally to a broad range of clients through AB’s three buy-side distribution channels: Institutions, Retail and Private Wealth, and A</w:t>
      </w:r>
      <w:r>
        <w:rPr>
          <w:rFonts w:eastAsia="Times New Roman"/>
          <w:color w:val="000000"/>
          <w:sz w:val="20"/>
          <w:szCs w:val="20"/>
        </w:rPr>
        <w:t>B’s sell-side business, Bernstein Research Services. AB Holding is a master limited partnership publicly listed on the NYSE. We own an approximate 61% economic interest in AB. As the general partner of AB, we have the authority to manage and control its bu</w:t>
      </w:r>
      <w:r>
        <w:rPr>
          <w:rFonts w:eastAsia="Times New Roman"/>
          <w:color w:val="000000"/>
          <w:sz w:val="20"/>
          <w:szCs w:val="20"/>
        </w:rPr>
        <w:t xml:space="preserve">siness, and accordingly, this segment reflects AB’s consolidated financial results. </w:t>
      </w:r>
    </w:p>
    <w:p w:rsidR="00000000" w:rsidRDefault="00E54EC0">
      <w:pPr>
        <w:ind w:firstLine="360"/>
        <w:divId w:val="193085100"/>
        <w:rPr>
          <w:rFonts w:eastAsia="Times New Roman"/>
        </w:rPr>
      </w:pPr>
      <w:r>
        <w:rPr>
          <w:rFonts w:eastAsia="Times New Roman"/>
          <w:color w:val="000000"/>
          <w:sz w:val="20"/>
          <w:szCs w:val="20"/>
        </w:rPr>
        <w:t>Our Investment Management and Research business had approximately $646.4 billion in AUM as of December 31, 2022, composed of 42% equities, 39% fixed income and 19% multi-a</w:t>
      </w:r>
      <w:r>
        <w:rPr>
          <w:rFonts w:eastAsia="Times New Roman"/>
          <w:color w:val="000000"/>
          <w:sz w:val="20"/>
          <w:szCs w:val="20"/>
        </w:rPr>
        <w:t xml:space="preserve">sset class solutions, alternatives and other assets. By distribution </w:t>
      </w:r>
    </w:p>
    <w:p w:rsidR="00000000" w:rsidRDefault="00E54EC0">
      <w:pPr>
        <w:ind w:hanging="360"/>
        <w:divId w:val="1641418761"/>
        <w:rPr>
          <w:rFonts w:eastAsia="Times New Roman"/>
        </w:rPr>
      </w:pPr>
    </w:p>
    <w:p w:rsidR="00000000" w:rsidRDefault="00E54EC0">
      <w:pPr>
        <w:jc w:val="center"/>
        <w:divId w:val="660040052"/>
        <w:rPr>
          <w:rFonts w:eastAsia="Times New Roman"/>
        </w:rPr>
      </w:pPr>
      <w:r>
        <w:rPr>
          <w:rFonts w:eastAsia="Times New Roman"/>
          <w:color w:val="000000"/>
          <w:sz w:val="20"/>
          <w:szCs w:val="20"/>
        </w:rPr>
        <w:t>21</w:t>
      </w:r>
    </w:p>
    <w:p w:rsidR="00000000" w:rsidRDefault="00E54EC0">
      <w:pPr>
        <w:rPr>
          <w:rFonts w:eastAsia="Times New Roman"/>
        </w:rPr>
      </w:pPr>
      <w:r>
        <w:rPr>
          <w:rFonts w:eastAsia="Times New Roman"/>
        </w:rPr>
        <w:pict>
          <v:rect id="_x0000_i1050" style="width:0;height:1.5pt" o:hralign="center" o:hrstd="t" o:hr="t" fillcolor="#a0a0a0" stroked="f"/>
        </w:pict>
      </w:r>
    </w:p>
    <w:p w:rsidR="00000000" w:rsidRDefault="00E54EC0">
      <w:pPr>
        <w:divId w:val="762382947"/>
        <w:rPr>
          <w:rFonts w:eastAsia="Times New Roman"/>
        </w:rPr>
      </w:pPr>
    </w:p>
    <w:p w:rsidR="00000000" w:rsidRDefault="00E54EC0">
      <w:pPr>
        <w:divId w:val="1976909807"/>
        <w:rPr>
          <w:rFonts w:eastAsia="Times New Roman"/>
        </w:rPr>
      </w:pPr>
      <w:r>
        <w:rPr>
          <w:rFonts w:eastAsia="Times New Roman"/>
          <w:color w:val="000000"/>
          <w:sz w:val="20"/>
          <w:szCs w:val="20"/>
        </w:rPr>
        <w:t xml:space="preserve">channel, institutional clients represented 46% of AUM, while retail and private wealth clients represented 38% and 16% respectively, as of December 31, 2022. </w:t>
      </w:r>
    </w:p>
    <w:p w:rsidR="00000000" w:rsidRDefault="00E54EC0">
      <w:pPr>
        <w:ind w:firstLine="360"/>
        <w:divId w:val="1322394023"/>
        <w:rPr>
          <w:rFonts w:eastAsia="Times New Roman"/>
        </w:rPr>
      </w:pPr>
      <w:r>
        <w:rPr>
          <w:rFonts w:eastAsia="Times New Roman"/>
          <w:color w:val="000000"/>
          <w:sz w:val="20"/>
          <w:szCs w:val="20"/>
        </w:rPr>
        <w:t>AB’s high-quality, in-depth research is the foundation of i</w:t>
      </w:r>
      <w:r>
        <w:rPr>
          <w:rFonts w:eastAsia="Times New Roman"/>
          <w:color w:val="000000"/>
          <w:sz w:val="20"/>
          <w:szCs w:val="20"/>
        </w:rPr>
        <w:t>ts asset management and private wealth management businesses. AB believes that its global team of research professionals, whose disciplines include economic, fundamental equity, fixed income and quantitative research, gives it a competitive advantage in ac</w:t>
      </w:r>
      <w:r>
        <w:rPr>
          <w:rFonts w:eastAsia="Times New Roman"/>
          <w:color w:val="000000"/>
          <w:sz w:val="20"/>
          <w:szCs w:val="20"/>
        </w:rPr>
        <w:t>hieving investment success for its clients. AB also has experts focused on multi-asset strategies, wealth management, ESG, and alternative investments.</w:t>
      </w:r>
    </w:p>
    <w:p w:rsidR="00000000" w:rsidRDefault="00E54EC0">
      <w:pPr>
        <w:ind w:firstLine="360"/>
        <w:divId w:val="350180091"/>
        <w:rPr>
          <w:rFonts w:eastAsia="Times New Roman"/>
        </w:rPr>
      </w:pPr>
      <w:r>
        <w:rPr>
          <w:rFonts w:eastAsia="Times New Roman"/>
          <w:color w:val="000000"/>
          <w:sz w:val="20"/>
          <w:szCs w:val="20"/>
        </w:rPr>
        <w:t xml:space="preserve">We are AB’s largest client. We represented </w:t>
      </w:r>
      <w:r>
        <w:rPr>
          <w:rFonts w:eastAsia="Times New Roman"/>
          <w:color w:val="000000"/>
          <w:sz w:val="20"/>
          <w:szCs w:val="20"/>
          <w:shd w:val="clear" w:color="auto" w:fill="FFFFFF"/>
        </w:rPr>
        <w:t>16%</w:t>
      </w:r>
      <w:r>
        <w:rPr>
          <w:rFonts w:eastAsia="Times New Roman"/>
          <w:color w:val="000000"/>
          <w:sz w:val="20"/>
          <w:szCs w:val="20"/>
        </w:rPr>
        <w:t xml:space="preserve"> of AB’s total AUM as of December 31, 2022 and 4% of AB’s </w:t>
      </w:r>
      <w:r>
        <w:rPr>
          <w:rFonts w:eastAsia="Times New Roman"/>
          <w:color w:val="000000"/>
          <w:sz w:val="20"/>
          <w:szCs w:val="20"/>
        </w:rPr>
        <w:t>net revenues for the year ended December 31, 2022.</w:t>
      </w:r>
    </w:p>
    <w:p w:rsidR="00000000" w:rsidRDefault="00E54EC0">
      <w:pPr>
        <w:ind w:firstLine="360"/>
        <w:divId w:val="1989167467"/>
        <w:rPr>
          <w:rFonts w:eastAsia="Times New Roman"/>
        </w:rPr>
      </w:pPr>
      <w:r>
        <w:rPr>
          <w:rFonts w:eastAsia="Times New Roman"/>
          <w:color w:val="000000"/>
          <w:sz w:val="20"/>
          <w:szCs w:val="20"/>
        </w:rPr>
        <w:t xml:space="preserve">Generally, AB is compensated for its investment services on the basis of investment advisory and services fees calculated as a percentage of AUM. </w:t>
      </w:r>
    </w:p>
    <w:p w:rsidR="00000000" w:rsidRDefault="00E54EC0">
      <w:pPr>
        <w:divId w:val="805582446"/>
        <w:rPr>
          <w:rFonts w:eastAsia="Times New Roman"/>
        </w:rPr>
      </w:pPr>
      <w:r>
        <w:rPr>
          <w:rFonts w:eastAsia="Times New Roman"/>
          <w:b/>
          <w:bCs/>
          <w:color w:val="000000"/>
          <w:sz w:val="20"/>
          <w:szCs w:val="20"/>
        </w:rPr>
        <w:t>Products and Services</w:t>
      </w:r>
      <w:r>
        <w:rPr>
          <w:rFonts w:eastAsia="Times New Roman"/>
          <w:b/>
          <w:bCs/>
          <w:i/>
          <w:iCs/>
          <w:color w:val="000000"/>
          <w:sz w:val="20"/>
          <w:szCs w:val="20"/>
        </w:rPr>
        <w:t xml:space="preserve"> </w:t>
      </w:r>
    </w:p>
    <w:p w:rsidR="00000000" w:rsidRDefault="00E54EC0">
      <w:pPr>
        <w:jc w:val="both"/>
        <w:divId w:val="824249517"/>
        <w:rPr>
          <w:rFonts w:eastAsia="Times New Roman"/>
        </w:rPr>
      </w:pPr>
      <w:r>
        <w:rPr>
          <w:rFonts w:eastAsia="Times New Roman"/>
          <w:b/>
          <w:bCs/>
          <w:i/>
          <w:iCs/>
          <w:color w:val="000000"/>
          <w:sz w:val="20"/>
          <w:szCs w:val="20"/>
        </w:rPr>
        <w:t xml:space="preserve">Investment Services </w:t>
      </w:r>
    </w:p>
    <w:p w:rsidR="00000000" w:rsidRDefault="00E54EC0">
      <w:pPr>
        <w:ind w:firstLine="360"/>
        <w:divId w:val="1176649257"/>
        <w:rPr>
          <w:rFonts w:eastAsia="Times New Roman"/>
        </w:rPr>
      </w:pPr>
      <w:r>
        <w:rPr>
          <w:rFonts w:eastAsia="Times New Roman"/>
          <w:color w:val="000000"/>
          <w:sz w:val="20"/>
          <w:szCs w:val="20"/>
        </w:rPr>
        <w:t>AB believes th</w:t>
      </w:r>
      <w:r>
        <w:rPr>
          <w:rFonts w:eastAsia="Times New Roman"/>
          <w:color w:val="000000"/>
          <w:sz w:val="20"/>
          <w:szCs w:val="20"/>
        </w:rPr>
        <w:t>at by using differentiated research insights and a disciplined process to build high-active-share portfolios, AB can achieve strong investment results for its clients over time. Key to this philosophy is developing and integrating ESG and climate research,</w:t>
      </w:r>
      <w:r>
        <w:rPr>
          <w:rFonts w:eastAsia="Times New Roman"/>
          <w:color w:val="000000"/>
          <w:sz w:val="20"/>
          <w:szCs w:val="20"/>
        </w:rPr>
        <w:t xml:space="preserve"> as well as AB’s approach to engagement. AB’s global research network, intellectual curiosity and collaborative culture allow AB to advance clients' investment objectives, whether AB’s clients are seeking responsibility generated idiosyncratic alpha, total</w:t>
      </w:r>
      <w:r>
        <w:rPr>
          <w:rFonts w:eastAsia="Times New Roman"/>
          <w:color w:val="000000"/>
          <w:sz w:val="20"/>
          <w:szCs w:val="20"/>
        </w:rPr>
        <w:t xml:space="preserve"> return, downside mitigation, or sustainability and impact-focused outcomes.</w:t>
      </w:r>
    </w:p>
    <w:p w:rsidR="00000000" w:rsidRDefault="00E54EC0">
      <w:pPr>
        <w:ind w:firstLine="450"/>
        <w:divId w:val="1433041889"/>
        <w:rPr>
          <w:rFonts w:eastAsia="Times New Roman"/>
        </w:rPr>
      </w:pPr>
      <w:r>
        <w:rPr>
          <w:rFonts w:eastAsia="Times New Roman"/>
          <w:color w:val="000000"/>
          <w:sz w:val="20"/>
          <w:szCs w:val="20"/>
        </w:rPr>
        <w:t>AB’s investment services include expertise in:</w:t>
      </w:r>
    </w:p>
    <w:p w:rsidR="00000000" w:rsidRDefault="00E54EC0">
      <w:pPr>
        <w:ind w:hanging="360"/>
        <w:jc w:val="both"/>
        <w:divId w:val="95831292"/>
        <w:rPr>
          <w:rFonts w:eastAsia="Times New Roman"/>
        </w:rPr>
      </w:pPr>
      <w:r>
        <w:rPr>
          <w:rFonts w:eastAsia="Times New Roman"/>
          <w:color w:val="000000"/>
          <w:sz w:val="20"/>
          <w:szCs w:val="20"/>
        </w:rPr>
        <w:t>•Actively-managed equity strategies across global and regional universes, as well as capitalization ranges, concentration ranges and</w:t>
      </w:r>
      <w:r>
        <w:rPr>
          <w:rFonts w:eastAsia="Times New Roman"/>
          <w:color w:val="000000"/>
          <w:sz w:val="20"/>
          <w:szCs w:val="20"/>
        </w:rPr>
        <w:t xml:space="preserve"> investment strategies, including value, growth and core equities;</w:t>
      </w:r>
    </w:p>
    <w:p w:rsidR="00000000" w:rsidRDefault="00E54EC0">
      <w:pPr>
        <w:ind w:hanging="360"/>
        <w:jc w:val="both"/>
        <w:divId w:val="548345242"/>
        <w:rPr>
          <w:rFonts w:eastAsia="Times New Roman"/>
        </w:rPr>
      </w:pPr>
      <w:r>
        <w:rPr>
          <w:rFonts w:eastAsia="Times New Roman"/>
          <w:color w:val="000000"/>
          <w:sz w:val="20"/>
          <w:szCs w:val="20"/>
        </w:rPr>
        <w:t xml:space="preserve">•Actively-managed traditional and unconstrained fixed income strategies, including taxable and tax-exempt strategies; </w:t>
      </w:r>
    </w:p>
    <w:p w:rsidR="00000000" w:rsidRDefault="00E54EC0">
      <w:pPr>
        <w:ind w:hanging="360"/>
        <w:jc w:val="both"/>
        <w:divId w:val="1223098570"/>
        <w:rPr>
          <w:rFonts w:eastAsia="Times New Roman"/>
        </w:rPr>
      </w:pPr>
      <w:r>
        <w:rPr>
          <w:rFonts w:eastAsia="Times New Roman"/>
          <w:color w:val="000000"/>
          <w:sz w:val="20"/>
          <w:szCs w:val="20"/>
        </w:rPr>
        <w:t>•Actively-managed Alternative investments, including hedge funds, fund</w:t>
      </w:r>
      <w:r>
        <w:rPr>
          <w:rFonts w:eastAsia="Times New Roman"/>
          <w:color w:val="000000"/>
          <w:sz w:val="20"/>
          <w:szCs w:val="20"/>
        </w:rPr>
        <w:t xml:space="preserve"> of funds, direct lending, real estate and private equity; </w:t>
      </w:r>
    </w:p>
    <w:p w:rsidR="00000000" w:rsidRDefault="00E54EC0">
      <w:pPr>
        <w:ind w:hanging="360"/>
        <w:jc w:val="both"/>
        <w:divId w:val="1594510437"/>
        <w:rPr>
          <w:rFonts w:eastAsia="Times New Roman"/>
        </w:rPr>
      </w:pPr>
      <w:r>
        <w:rPr>
          <w:rFonts w:eastAsia="Times New Roman"/>
          <w:color w:val="000000"/>
          <w:sz w:val="20"/>
          <w:szCs w:val="20"/>
        </w:rPr>
        <w:t>•Portfolios with Purpose, including actively managed, impact-focused and Responsible+ (climate-conscious, ESG leaders, change catalysts) equity, fixed income and multi-asset strategies that addres</w:t>
      </w:r>
      <w:r>
        <w:rPr>
          <w:rFonts w:eastAsia="Times New Roman"/>
          <w:color w:val="000000"/>
          <w:sz w:val="20"/>
          <w:szCs w:val="20"/>
        </w:rPr>
        <w:t>s AB’s clients evolving need to invest their capital with purpose while pursuing strong investment returns;</w:t>
      </w:r>
    </w:p>
    <w:p w:rsidR="00000000" w:rsidRDefault="00E54EC0">
      <w:pPr>
        <w:ind w:hanging="360"/>
        <w:jc w:val="both"/>
        <w:divId w:val="1387602541"/>
        <w:rPr>
          <w:rFonts w:eastAsia="Times New Roman"/>
        </w:rPr>
      </w:pPr>
      <w:r>
        <w:rPr>
          <w:rFonts w:eastAsia="Times New Roman"/>
          <w:color w:val="000000"/>
          <w:sz w:val="20"/>
          <w:szCs w:val="20"/>
        </w:rPr>
        <w:t>•Multi-asset services and solutions, including dynamic asset allocation, customized target-date funds and target-risk funds; and</w:t>
      </w:r>
    </w:p>
    <w:p w:rsidR="00000000" w:rsidRDefault="00E54EC0">
      <w:pPr>
        <w:ind w:hanging="360"/>
        <w:divId w:val="961375990"/>
        <w:rPr>
          <w:rFonts w:eastAsia="Times New Roman"/>
        </w:rPr>
      </w:pPr>
      <w:r>
        <w:rPr>
          <w:rFonts w:eastAsia="Times New Roman"/>
          <w:color w:val="000000"/>
          <w:sz w:val="20"/>
          <w:szCs w:val="20"/>
        </w:rPr>
        <w:t>•Some passive manag</w:t>
      </w:r>
      <w:r>
        <w:rPr>
          <w:rFonts w:eastAsia="Times New Roman"/>
          <w:color w:val="000000"/>
          <w:sz w:val="20"/>
          <w:szCs w:val="20"/>
        </w:rPr>
        <w:t xml:space="preserve">ement, including index, ESG index and enhanced index strategies. </w:t>
      </w:r>
    </w:p>
    <w:p w:rsidR="00000000" w:rsidRDefault="00E54EC0">
      <w:pPr>
        <w:divId w:val="2055814165"/>
        <w:rPr>
          <w:rFonts w:eastAsia="Times New Roman"/>
        </w:rPr>
      </w:pPr>
      <w:r>
        <w:rPr>
          <w:rFonts w:eastAsia="Times New Roman"/>
          <w:b/>
          <w:bCs/>
          <w:color w:val="000000"/>
          <w:sz w:val="20"/>
          <w:szCs w:val="20"/>
        </w:rPr>
        <w:t xml:space="preserve">Markets </w:t>
      </w:r>
    </w:p>
    <w:p w:rsidR="00000000" w:rsidRDefault="00E54EC0">
      <w:pPr>
        <w:ind w:firstLine="360"/>
        <w:divId w:val="2115323751"/>
        <w:rPr>
          <w:rFonts w:eastAsia="Times New Roman"/>
        </w:rPr>
      </w:pPr>
      <w:r>
        <w:rPr>
          <w:rFonts w:eastAsia="Times New Roman"/>
          <w:color w:val="000000"/>
          <w:sz w:val="20"/>
          <w:szCs w:val="20"/>
        </w:rPr>
        <w:t>AB operates in major markets around the world, including the United States, EMEA (Europe, the Middle East and Africa) and Asia. AB’s AUM by investment service and client domicile ar</w:t>
      </w:r>
      <w:r>
        <w:rPr>
          <w:rFonts w:eastAsia="Times New Roman"/>
          <w:color w:val="000000"/>
          <w:sz w:val="20"/>
          <w:szCs w:val="20"/>
        </w:rPr>
        <w:t xml:space="preserve">e as follows: </w:t>
      </w:r>
    </w:p>
    <w:p w:rsidR="00000000" w:rsidRDefault="00E54EC0">
      <w:pPr>
        <w:divId w:val="1430932399"/>
        <w:rPr>
          <w:rFonts w:eastAsia="Times New Roman"/>
        </w:rPr>
      </w:pPr>
      <w:r>
        <w:rPr>
          <w:rFonts w:eastAsia="Times New Roman"/>
          <w:b/>
          <w:bCs/>
          <w:color w:val="000000"/>
          <w:sz w:val="20"/>
          <w:szCs w:val="20"/>
        </w:rPr>
        <w:t>By Investment Service ($ in billions):</w:t>
      </w:r>
    </w:p>
    <w:p w:rsidR="00000000" w:rsidRDefault="00E54EC0">
      <w:pPr>
        <w:spacing w:after="180"/>
        <w:jc w:val="center"/>
        <w:divId w:val="622275619"/>
        <w:rPr>
          <w:rFonts w:eastAsia="Times New Roman"/>
        </w:rPr>
      </w:pPr>
      <w:r>
        <w:rPr>
          <w:rFonts w:eastAsia="Times New Roman"/>
          <w:noProof/>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jc w:val="center"/>
        <w:divId w:val="1040128648"/>
        <w:rPr>
          <w:rFonts w:eastAsia="Times New Roman"/>
        </w:rPr>
      </w:pPr>
      <w:r>
        <w:rPr>
          <w:rFonts w:eastAsia="Times New Roman"/>
          <w:color w:val="000000"/>
          <w:sz w:val="20"/>
          <w:szCs w:val="20"/>
        </w:rPr>
        <w:t>22</w:t>
      </w:r>
    </w:p>
    <w:p w:rsidR="00000000" w:rsidRDefault="00E54EC0">
      <w:pPr>
        <w:rPr>
          <w:rFonts w:eastAsia="Times New Roman"/>
        </w:rPr>
      </w:pPr>
      <w:r>
        <w:rPr>
          <w:rFonts w:eastAsia="Times New Roman"/>
        </w:rPr>
        <w:pict>
          <v:rect id="_x0000_i1054" style="width:0;height:1.5pt" o:hralign="center" o:hrstd="t" o:hr="t" fillcolor="#a0a0a0" stroked="f"/>
        </w:pict>
      </w:r>
    </w:p>
    <w:p w:rsidR="00000000" w:rsidRDefault="00E54EC0">
      <w:pPr>
        <w:divId w:val="774057321"/>
        <w:rPr>
          <w:rFonts w:eastAsia="Times New Roman"/>
        </w:rPr>
      </w:pPr>
    </w:p>
    <w:p w:rsidR="00000000" w:rsidRDefault="00E54EC0">
      <w:pPr>
        <w:divId w:val="181407822"/>
        <w:rPr>
          <w:rFonts w:eastAsia="Times New Roman"/>
        </w:rPr>
      </w:pPr>
      <w:r>
        <w:rPr>
          <w:rFonts w:eastAsia="Times New Roman"/>
          <w:b/>
          <w:bCs/>
          <w:color w:val="000000"/>
          <w:sz w:val="20"/>
          <w:szCs w:val="20"/>
        </w:rPr>
        <w:t>By Client Domicile ($ in billions):</w:t>
      </w:r>
    </w:p>
    <w:p w:rsidR="00000000" w:rsidRDefault="00E54EC0">
      <w:pPr>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divId w:val="427315572"/>
        <w:rPr>
          <w:rFonts w:eastAsia="Times New Roman"/>
        </w:rPr>
      </w:pPr>
      <w:r>
        <w:rPr>
          <w:rFonts w:eastAsia="Times New Roman"/>
          <w:b/>
          <w:bCs/>
          <w:color w:val="000000"/>
          <w:sz w:val="20"/>
          <w:szCs w:val="20"/>
        </w:rPr>
        <w:t>Distribution Channels</w:t>
      </w:r>
    </w:p>
    <w:p w:rsidR="00000000" w:rsidRDefault="00E54EC0">
      <w:pPr>
        <w:ind w:firstLine="360"/>
        <w:divId w:val="36664139"/>
        <w:rPr>
          <w:rFonts w:eastAsia="Times New Roman"/>
        </w:rPr>
      </w:pPr>
      <w:r>
        <w:rPr>
          <w:rFonts w:eastAsia="Times New Roman"/>
          <w:color w:val="000000"/>
          <w:sz w:val="20"/>
          <w:szCs w:val="20"/>
        </w:rPr>
        <w:t>AB distributes its products and solutions through three buy-side distribution channels: Institutions, Retail and Private Wealth and its sell-side business, Bernstein Research Services.</w:t>
      </w:r>
    </w:p>
    <w:p w:rsidR="00000000" w:rsidRDefault="00E54EC0">
      <w:pPr>
        <w:jc w:val="both"/>
        <w:divId w:val="967316436"/>
        <w:rPr>
          <w:rFonts w:eastAsia="Times New Roman"/>
        </w:rPr>
      </w:pPr>
      <w:r>
        <w:rPr>
          <w:rFonts w:eastAsia="Times New Roman"/>
          <w:b/>
          <w:bCs/>
          <w:i/>
          <w:iCs/>
          <w:color w:val="000000"/>
          <w:sz w:val="20"/>
          <w:szCs w:val="20"/>
        </w:rPr>
        <w:t>Institutions</w:t>
      </w:r>
    </w:p>
    <w:p w:rsidR="00000000" w:rsidRDefault="00E54EC0">
      <w:pPr>
        <w:ind w:firstLine="360"/>
        <w:divId w:val="814494266"/>
        <w:rPr>
          <w:rFonts w:eastAsia="Times New Roman"/>
        </w:rPr>
      </w:pPr>
      <w:r>
        <w:rPr>
          <w:rFonts w:eastAsia="Times New Roman"/>
          <w:color w:val="000000"/>
          <w:sz w:val="20"/>
          <w:szCs w:val="20"/>
        </w:rPr>
        <w:t>AB offers to its institutional clients, which include private and public pension plans, foundations and endowments, insurance companies, central banks and governments worldwide, and Holdings and its subsidiaries, separately managed accounts, sub-advisory r</w:t>
      </w:r>
      <w:r>
        <w:rPr>
          <w:rFonts w:eastAsia="Times New Roman"/>
          <w:color w:val="000000"/>
          <w:sz w:val="20"/>
          <w:szCs w:val="20"/>
        </w:rPr>
        <w:t xml:space="preserve">elationships, structured products, collective investment trusts, mutual funds, hedge funds and other investment vehicles (“Institutional Services”). </w:t>
      </w:r>
    </w:p>
    <w:p w:rsidR="00000000" w:rsidRDefault="00E54EC0">
      <w:pPr>
        <w:ind w:firstLine="360"/>
        <w:divId w:val="1728801370"/>
        <w:rPr>
          <w:rFonts w:eastAsia="Times New Roman"/>
        </w:rPr>
      </w:pPr>
      <w:r>
        <w:rPr>
          <w:rFonts w:eastAsia="Times New Roman"/>
          <w:color w:val="000000"/>
          <w:sz w:val="20"/>
          <w:szCs w:val="20"/>
        </w:rPr>
        <w:t>AB manages the assets of its institutional clients pursuant to written investment management agreements or</w:t>
      </w:r>
      <w:r>
        <w:rPr>
          <w:rFonts w:eastAsia="Times New Roman"/>
          <w:color w:val="000000"/>
          <w:sz w:val="20"/>
          <w:szCs w:val="20"/>
        </w:rPr>
        <w:t xml:space="preserve"> other arrangements, which generally are terminable at any time or upon relatively short notice by either party. In general, AB’s written investment management agreements may not be assigned without the client’s consent. </w:t>
      </w:r>
    </w:p>
    <w:p w:rsidR="00000000" w:rsidRDefault="00E54EC0">
      <w:pPr>
        <w:jc w:val="both"/>
        <w:divId w:val="770854443"/>
        <w:rPr>
          <w:rFonts w:eastAsia="Times New Roman"/>
        </w:rPr>
      </w:pPr>
      <w:r>
        <w:rPr>
          <w:rFonts w:eastAsia="Times New Roman"/>
          <w:b/>
          <w:bCs/>
          <w:i/>
          <w:iCs/>
          <w:color w:val="000000"/>
          <w:sz w:val="20"/>
          <w:szCs w:val="20"/>
        </w:rPr>
        <w:t>Retail</w:t>
      </w:r>
    </w:p>
    <w:p w:rsidR="00000000" w:rsidRDefault="00E54EC0">
      <w:pPr>
        <w:ind w:firstLine="360"/>
        <w:divId w:val="1409034922"/>
        <w:rPr>
          <w:rFonts w:eastAsia="Times New Roman"/>
        </w:rPr>
      </w:pPr>
      <w:r>
        <w:rPr>
          <w:rFonts w:eastAsia="Times New Roman"/>
          <w:color w:val="000000"/>
          <w:sz w:val="20"/>
          <w:szCs w:val="20"/>
        </w:rPr>
        <w:t>AB provides investment mana</w:t>
      </w:r>
      <w:r>
        <w:rPr>
          <w:rFonts w:eastAsia="Times New Roman"/>
          <w:color w:val="000000"/>
          <w:sz w:val="20"/>
          <w:szCs w:val="20"/>
        </w:rPr>
        <w:t>gement and related services to a wide variety of individual retail investors globally through retail mutual funds AB sponsors, mutual fund sub-advisory relationships, separately-managed account programs and other investment vehicles (“Retail Products and S</w:t>
      </w:r>
      <w:r>
        <w:rPr>
          <w:rFonts w:eastAsia="Times New Roman"/>
          <w:color w:val="000000"/>
          <w:sz w:val="20"/>
          <w:szCs w:val="20"/>
        </w:rPr>
        <w:t>ervices”).</w:t>
      </w:r>
    </w:p>
    <w:p w:rsidR="00000000" w:rsidRDefault="00E54EC0">
      <w:pPr>
        <w:ind w:firstLine="360"/>
        <w:divId w:val="1174883131"/>
        <w:rPr>
          <w:rFonts w:eastAsia="Times New Roman"/>
        </w:rPr>
      </w:pPr>
      <w:r>
        <w:rPr>
          <w:rFonts w:eastAsia="Times New Roman"/>
          <w:color w:val="000000"/>
          <w:sz w:val="20"/>
          <w:szCs w:val="20"/>
        </w:rPr>
        <w:t>AB distributes its Retail Products and Services through financial intermediaries, including broker-dealers, insurance sales representatives, banks, registered investment advisers and financial planners. These products and services include open-e</w:t>
      </w:r>
      <w:r>
        <w:rPr>
          <w:rFonts w:eastAsia="Times New Roman"/>
          <w:color w:val="000000"/>
          <w:sz w:val="20"/>
          <w:szCs w:val="20"/>
        </w:rPr>
        <w:t xml:space="preserve">nd and closed-end funds that are either (i) registered as investment companies under the Investment Company Act or (ii) not registered under the Investment Company Act and generally not offered to U.S. persons. They also include separately-managed account </w:t>
      </w:r>
      <w:r>
        <w:rPr>
          <w:rFonts w:eastAsia="Times New Roman"/>
          <w:color w:val="000000"/>
          <w:sz w:val="20"/>
          <w:szCs w:val="20"/>
        </w:rPr>
        <w:t>programs, which are sponsored by financial intermediaries and generally charge an all-inclusive fee covering investment management, trade execution, asset allocation, and custodial and administrative services. In addition, AB provides distribution, shareho</w:t>
      </w:r>
      <w:r>
        <w:rPr>
          <w:rFonts w:eastAsia="Times New Roman"/>
          <w:color w:val="000000"/>
          <w:sz w:val="20"/>
          <w:szCs w:val="20"/>
        </w:rPr>
        <w:t xml:space="preserve">lder servicing, transfer agency services and administrative services for its Retail Products and Services. </w:t>
      </w:r>
    </w:p>
    <w:p w:rsidR="00000000" w:rsidRDefault="00E54EC0">
      <w:pPr>
        <w:jc w:val="both"/>
        <w:divId w:val="637497901"/>
        <w:rPr>
          <w:rFonts w:eastAsia="Times New Roman"/>
        </w:rPr>
      </w:pPr>
      <w:r>
        <w:rPr>
          <w:rFonts w:eastAsia="Times New Roman"/>
          <w:b/>
          <w:bCs/>
          <w:i/>
          <w:iCs/>
          <w:color w:val="000000"/>
          <w:sz w:val="20"/>
          <w:szCs w:val="20"/>
        </w:rPr>
        <w:t>Private Wealth</w:t>
      </w:r>
    </w:p>
    <w:p w:rsidR="00000000" w:rsidRDefault="00E54EC0">
      <w:pPr>
        <w:ind w:firstLine="360"/>
        <w:divId w:val="1132986571"/>
        <w:rPr>
          <w:rFonts w:eastAsia="Times New Roman"/>
        </w:rPr>
      </w:pPr>
      <w:r>
        <w:rPr>
          <w:rFonts w:eastAsia="Times New Roman"/>
          <w:color w:val="000000"/>
          <w:sz w:val="20"/>
          <w:szCs w:val="20"/>
        </w:rPr>
        <w:t>AB partners with its clients, embracing innovation and research to address increasingly complex challenges. AB’s clients include high</w:t>
      </w:r>
      <w:r>
        <w:rPr>
          <w:rFonts w:eastAsia="Times New Roman"/>
          <w:color w:val="000000"/>
          <w:sz w:val="20"/>
          <w:szCs w:val="20"/>
        </w:rPr>
        <w:t xml:space="preserve"> net worth individuals and families who have created generational wealth as successful business owners, athletes, entertainers, corporate executives and private practice owners. AB also provides investment and wealth advice to foundations and endowments, f</w:t>
      </w:r>
      <w:r>
        <w:rPr>
          <w:rFonts w:eastAsia="Times New Roman"/>
          <w:color w:val="000000"/>
          <w:sz w:val="20"/>
          <w:szCs w:val="20"/>
        </w:rPr>
        <w:t xml:space="preserve">amily offices and other entities. AB’s flexible investment platform offers a range of solutions, including separately-managed accounts, hedge funds, mutual funds and other investment vehicles, tailored to meet each distinct client’s needs. AB’s investment </w:t>
      </w:r>
      <w:r>
        <w:rPr>
          <w:rFonts w:eastAsia="Times New Roman"/>
          <w:color w:val="000000"/>
          <w:sz w:val="20"/>
          <w:szCs w:val="20"/>
        </w:rPr>
        <w:t>platform is complimented with a wealth platform that includes complex tax and estate planning, pre-IPO and pre-transaction planning, multi-generational family engagement, and philanthropic advice in addition to tailored approaches to meeting the unique nee</w:t>
      </w:r>
      <w:r>
        <w:rPr>
          <w:rFonts w:eastAsia="Times New Roman"/>
          <w:color w:val="000000"/>
          <w:sz w:val="20"/>
          <w:szCs w:val="20"/>
        </w:rPr>
        <w:t>ds of emerging wealth and multi-cultural demographics.</w:t>
      </w:r>
    </w:p>
    <w:p w:rsidR="00000000" w:rsidRDefault="00E54EC0">
      <w:pPr>
        <w:ind w:firstLine="360"/>
        <w:divId w:val="1627544298"/>
        <w:rPr>
          <w:rFonts w:eastAsia="Times New Roman"/>
        </w:rPr>
      </w:pPr>
      <w:r>
        <w:rPr>
          <w:rFonts w:eastAsia="Times New Roman"/>
          <w:color w:val="000000"/>
          <w:sz w:val="20"/>
          <w:szCs w:val="20"/>
        </w:rPr>
        <w:t>AB manages these accounts pursuant to written investment advisory agreements, which generally are terminable at any time or upon relatively short notice by any authorized party, and may not be assigned</w:t>
      </w:r>
      <w:r>
        <w:rPr>
          <w:rFonts w:eastAsia="Times New Roman"/>
          <w:color w:val="000000"/>
          <w:sz w:val="20"/>
          <w:szCs w:val="20"/>
        </w:rPr>
        <w:t xml:space="preserve"> without the client’s consent. </w:t>
      </w:r>
    </w:p>
    <w:p w:rsidR="00000000" w:rsidRDefault="00E54EC0">
      <w:pPr>
        <w:jc w:val="both"/>
        <w:divId w:val="1630017475"/>
        <w:rPr>
          <w:rFonts w:eastAsia="Times New Roman"/>
        </w:rPr>
      </w:pPr>
      <w:r>
        <w:rPr>
          <w:rFonts w:eastAsia="Times New Roman"/>
          <w:b/>
          <w:bCs/>
          <w:i/>
          <w:iCs/>
          <w:color w:val="000000"/>
          <w:sz w:val="20"/>
          <w:szCs w:val="20"/>
        </w:rPr>
        <w:t>Bernstein Research Services</w:t>
      </w:r>
    </w:p>
    <w:p w:rsidR="00000000" w:rsidRDefault="00E54EC0">
      <w:pPr>
        <w:jc w:val="center"/>
        <w:divId w:val="282199349"/>
        <w:rPr>
          <w:rFonts w:eastAsia="Times New Roman"/>
        </w:rPr>
      </w:pPr>
      <w:r>
        <w:rPr>
          <w:rFonts w:eastAsia="Times New Roman"/>
          <w:color w:val="000000"/>
          <w:sz w:val="20"/>
          <w:szCs w:val="20"/>
        </w:rPr>
        <w:t>23</w:t>
      </w:r>
    </w:p>
    <w:p w:rsidR="00000000" w:rsidRDefault="00E54EC0">
      <w:pPr>
        <w:rPr>
          <w:rFonts w:eastAsia="Times New Roman"/>
        </w:rPr>
      </w:pPr>
      <w:r>
        <w:rPr>
          <w:rFonts w:eastAsia="Times New Roman"/>
        </w:rPr>
        <w:pict>
          <v:rect id="_x0000_i1058" style="width:0;height:1.5pt" o:hralign="center" o:hrstd="t" o:hr="t" fillcolor="#a0a0a0" stroked="f"/>
        </w:pict>
      </w:r>
    </w:p>
    <w:p w:rsidR="00000000" w:rsidRDefault="00E54EC0">
      <w:pPr>
        <w:divId w:val="869030456"/>
        <w:rPr>
          <w:rFonts w:eastAsia="Times New Roman"/>
        </w:rPr>
      </w:pPr>
    </w:p>
    <w:p w:rsidR="00000000" w:rsidRDefault="00E54EC0">
      <w:pPr>
        <w:divId w:val="1705640922"/>
        <w:rPr>
          <w:rFonts w:eastAsia="Times New Roman"/>
        </w:rPr>
      </w:pPr>
    </w:p>
    <w:p w:rsidR="00000000" w:rsidRDefault="00E54EC0">
      <w:pPr>
        <w:ind w:firstLine="360"/>
        <w:divId w:val="1103039451"/>
        <w:rPr>
          <w:rFonts w:eastAsia="Times New Roman"/>
        </w:rPr>
      </w:pPr>
      <w:r>
        <w:rPr>
          <w:rFonts w:eastAsia="Times New Roman"/>
          <w:color w:val="000000"/>
          <w:sz w:val="20"/>
          <w:szCs w:val="20"/>
        </w:rPr>
        <w:t>AB offers high-quality fundamental and quantitative research and trade execution services in equities and listed options to institutional investors, suc</w:t>
      </w:r>
      <w:r>
        <w:rPr>
          <w:rFonts w:eastAsia="Times New Roman"/>
          <w:color w:val="000000"/>
          <w:sz w:val="20"/>
          <w:szCs w:val="20"/>
        </w:rPr>
        <w:t>h as mutual fund and hedge fund managers, pension funds and other institutional investors (“Bernstein Research Services”). AB serves its clients, which are based in major markets around the world, through trading professionals, who are primarily based in N</w:t>
      </w:r>
      <w:r>
        <w:rPr>
          <w:rFonts w:eastAsia="Times New Roman"/>
          <w:color w:val="000000"/>
          <w:sz w:val="20"/>
          <w:szCs w:val="20"/>
        </w:rPr>
        <w:t>ew York, London and Hong Kong, and research analysts, who provide fundamental company and industry research along with quantitative research into securities valuation and factors affecting stock-price movements.</w:t>
      </w:r>
    </w:p>
    <w:p w:rsidR="00000000" w:rsidRDefault="00E54EC0">
      <w:pPr>
        <w:ind w:firstLine="360"/>
        <w:divId w:val="1410612387"/>
        <w:rPr>
          <w:rFonts w:eastAsia="Times New Roman"/>
        </w:rPr>
      </w:pPr>
      <w:r>
        <w:rPr>
          <w:rFonts w:eastAsia="Times New Roman"/>
          <w:color w:val="000000"/>
          <w:sz w:val="20"/>
          <w:szCs w:val="20"/>
        </w:rPr>
        <w:t>Additionally, AB occasionally provides equit</w:t>
      </w:r>
      <w:r>
        <w:rPr>
          <w:rFonts w:eastAsia="Times New Roman"/>
          <w:color w:val="000000"/>
          <w:sz w:val="20"/>
          <w:szCs w:val="20"/>
        </w:rPr>
        <w:t>y capital markets services to issuers of publicly-traded securities, such as initial public offerings and follow-on offerings, generally acting as co-manager in such offerings.</w:t>
      </w:r>
    </w:p>
    <w:p w:rsidR="00000000" w:rsidRDefault="00E54EC0">
      <w:pPr>
        <w:ind w:firstLine="360"/>
        <w:divId w:val="1104499715"/>
        <w:rPr>
          <w:rFonts w:eastAsia="Times New Roman"/>
        </w:rPr>
      </w:pPr>
      <w:r>
        <w:rPr>
          <w:rFonts w:eastAsia="Times New Roman"/>
          <w:color w:val="000000"/>
          <w:sz w:val="20"/>
          <w:szCs w:val="20"/>
        </w:rPr>
        <w:t>In the fourth quarter of 2022, AB and Société Générale, a leading European bank</w:t>
      </w:r>
      <w:r>
        <w:rPr>
          <w:rFonts w:eastAsia="Times New Roman"/>
          <w:color w:val="000000"/>
          <w:sz w:val="20"/>
          <w:szCs w:val="20"/>
        </w:rPr>
        <w:t xml:space="preserve">, announced plans to form a joint venture combining their respective cash equities and research businesses. As a result, the Bernstein Research Services business has been classified as held for sale. For further discussion, see Note 23 of the Notes to the </w:t>
      </w:r>
      <w:r>
        <w:rPr>
          <w:rFonts w:eastAsia="Times New Roman"/>
          <w:color w:val="000000"/>
          <w:sz w:val="20"/>
          <w:szCs w:val="20"/>
        </w:rPr>
        <w:t>Consolidated Financial Statements.</w:t>
      </w:r>
    </w:p>
    <w:p w:rsidR="00000000" w:rsidRDefault="00E54EC0">
      <w:pPr>
        <w:jc w:val="both"/>
        <w:divId w:val="319777888"/>
        <w:rPr>
          <w:rFonts w:eastAsia="Times New Roman"/>
        </w:rPr>
      </w:pPr>
      <w:r>
        <w:rPr>
          <w:rFonts w:eastAsia="Times New Roman"/>
          <w:b/>
          <w:bCs/>
          <w:i/>
          <w:iCs/>
          <w:color w:val="000000"/>
          <w:sz w:val="20"/>
          <w:szCs w:val="20"/>
        </w:rPr>
        <w:t>Custody</w:t>
      </w:r>
    </w:p>
    <w:p w:rsidR="00000000" w:rsidRDefault="00E54EC0">
      <w:pPr>
        <w:ind w:firstLine="360"/>
        <w:divId w:val="1261372484"/>
        <w:rPr>
          <w:rFonts w:eastAsia="Times New Roman"/>
        </w:rPr>
      </w:pPr>
      <w:r>
        <w:rPr>
          <w:rFonts w:eastAsia="Times New Roman"/>
          <w:color w:val="000000"/>
          <w:sz w:val="20"/>
          <w:szCs w:val="20"/>
        </w:rPr>
        <w:t>AB’s U.S.-based broker-dealer subsidiary acts as custodian for the majority of AB’s Private Wealth AUM and some of its Institutional AUM. Other custodian arrangements, directed by clients, include banks, trust com</w:t>
      </w:r>
      <w:r>
        <w:rPr>
          <w:rFonts w:eastAsia="Times New Roman"/>
          <w:color w:val="000000"/>
          <w:sz w:val="20"/>
          <w:szCs w:val="20"/>
        </w:rPr>
        <w:t>panies, brokerage firms and other financial institutions</w:t>
      </w:r>
    </w:p>
    <w:p w:rsidR="00000000" w:rsidRDefault="00E54EC0">
      <w:pPr>
        <w:ind w:firstLine="360"/>
        <w:divId w:val="998850207"/>
        <w:rPr>
          <w:rFonts w:eastAsia="Times New Roman"/>
        </w:rPr>
      </w:pPr>
      <w:r>
        <w:rPr>
          <w:rFonts w:eastAsia="Times New Roman"/>
          <w:color w:val="000000"/>
          <w:sz w:val="20"/>
          <w:szCs w:val="20"/>
        </w:rPr>
        <w:t>For additional information about AB’s investment advisory fees, including performance-based fees, see “Risk Factors—Risks Relating to Our Investment Management and Research Business” and “Management’</w:t>
      </w:r>
      <w:r>
        <w:rPr>
          <w:rFonts w:eastAsia="Times New Roman"/>
          <w:color w:val="000000"/>
          <w:sz w:val="20"/>
          <w:szCs w:val="20"/>
        </w:rPr>
        <w:t>s Discussion and Analysis of Financial Condition and Results of Operations—Results of Operations by Segment—Investment Management and Research.”</w:t>
      </w:r>
    </w:p>
    <w:p w:rsidR="00000000" w:rsidRDefault="00E54EC0">
      <w:pPr>
        <w:divId w:val="3555939"/>
        <w:rPr>
          <w:rFonts w:eastAsia="Times New Roman"/>
        </w:rPr>
      </w:pPr>
      <w:r>
        <w:rPr>
          <w:rFonts w:eastAsia="Times New Roman"/>
          <w:b/>
          <w:bCs/>
          <w:color w:val="000000"/>
          <w:sz w:val="20"/>
          <w:szCs w:val="20"/>
        </w:rPr>
        <w:t xml:space="preserve">Competition </w:t>
      </w:r>
    </w:p>
    <w:p w:rsidR="00000000" w:rsidRDefault="00E54EC0">
      <w:pPr>
        <w:ind w:firstLine="360"/>
        <w:divId w:val="1683624549"/>
        <w:rPr>
          <w:rFonts w:eastAsia="Times New Roman"/>
        </w:rPr>
      </w:pPr>
      <w:r>
        <w:rPr>
          <w:rFonts w:eastAsia="Times New Roman"/>
          <w:color w:val="000000"/>
          <w:sz w:val="20"/>
          <w:szCs w:val="20"/>
        </w:rPr>
        <w:t xml:space="preserve">AB competes in all aspects of its business with numerous investment management firms, mutual fund </w:t>
      </w:r>
      <w:r>
        <w:rPr>
          <w:rFonts w:eastAsia="Times New Roman"/>
          <w:color w:val="000000"/>
          <w:sz w:val="20"/>
          <w:szCs w:val="20"/>
        </w:rPr>
        <w:t>sponsors, brokerage and investment banking firms, insurance companies, banks, savings and loan associations and other financial institutions that often provide investment products with similar features and objectives as those AB offers. AB’s competitors of</w:t>
      </w:r>
      <w:r>
        <w:rPr>
          <w:rFonts w:eastAsia="Times New Roman"/>
          <w:color w:val="000000"/>
          <w:sz w:val="20"/>
          <w:szCs w:val="20"/>
        </w:rPr>
        <w:t xml:space="preserve">fer a wide range of financial services to the same customers that AB seeks to serve. </w:t>
      </w:r>
    </w:p>
    <w:p w:rsidR="00000000" w:rsidRDefault="00E54EC0">
      <w:pPr>
        <w:ind w:firstLine="360"/>
        <w:divId w:val="948313299"/>
        <w:rPr>
          <w:rFonts w:eastAsia="Times New Roman"/>
        </w:rPr>
      </w:pPr>
      <w:r>
        <w:rPr>
          <w:rFonts w:eastAsia="Times New Roman"/>
          <w:color w:val="000000"/>
          <w:sz w:val="20"/>
          <w:szCs w:val="20"/>
        </w:rPr>
        <w:t xml:space="preserve">To grow its business, AB believes it must be able to compete effectively for AUM. Key competitive factors include: (i) AB’s investment performance for clients; (ii) AB’s </w:t>
      </w:r>
      <w:r>
        <w:rPr>
          <w:rFonts w:eastAsia="Times New Roman"/>
          <w:color w:val="000000"/>
          <w:sz w:val="20"/>
          <w:szCs w:val="20"/>
        </w:rPr>
        <w:t xml:space="preserve">commitment to place the interests of its clients first; (iii) the quality of AB’s research; (iv) AB’s ability to attract, motivate and retain highly skilled, and often highly specialized, personnel; (v) the array of investment products AB offers; (vi) the </w:t>
      </w:r>
      <w:r>
        <w:rPr>
          <w:rFonts w:eastAsia="Times New Roman"/>
          <w:color w:val="000000"/>
          <w:sz w:val="20"/>
          <w:szCs w:val="20"/>
        </w:rPr>
        <w:t xml:space="preserve">fees AB charges; (vii) Morningstar/Lipper rankings for the AB Funds; (viii) AB’s ability to sell its actively-managed investment services despite the fact that many investors favor passive services; (ix) AB’s operational effectiveness; (x) AB’s ability to </w:t>
      </w:r>
      <w:r>
        <w:rPr>
          <w:rFonts w:eastAsia="Times New Roman"/>
          <w:color w:val="000000"/>
          <w:sz w:val="20"/>
          <w:szCs w:val="20"/>
        </w:rPr>
        <w:t xml:space="preserve">further develop and market its brand; and (xi) AB’s global presence. </w:t>
      </w:r>
    </w:p>
    <w:p w:rsidR="00000000" w:rsidRDefault="00E54EC0">
      <w:pPr>
        <w:divId w:val="1716927154"/>
        <w:rPr>
          <w:rFonts w:eastAsia="Times New Roman"/>
        </w:rPr>
      </w:pPr>
      <w:r>
        <w:rPr>
          <w:rFonts w:eastAsia="Times New Roman"/>
          <w:b/>
          <w:bCs/>
          <w:color w:val="000000"/>
          <w:sz w:val="20"/>
          <w:szCs w:val="20"/>
        </w:rPr>
        <w:t>AUM</w:t>
      </w:r>
    </w:p>
    <w:p w:rsidR="00000000" w:rsidRDefault="00E54EC0">
      <w:pPr>
        <w:ind w:firstLine="360"/>
        <w:divId w:val="1208449091"/>
        <w:rPr>
          <w:rFonts w:eastAsia="Times New Roman"/>
        </w:rPr>
      </w:pPr>
      <w:r>
        <w:rPr>
          <w:rFonts w:eastAsia="Times New Roman"/>
          <w:color w:val="000000"/>
          <w:sz w:val="20"/>
          <w:szCs w:val="20"/>
        </w:rPr>
        <w:t xml:space="preserve">AUM by distribution channel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836582065"/>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3658206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83658206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83658206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8365820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3658206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319.9 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365820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Private Wealth</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3658206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1094520810"/>
        <w:rPr>
          <w:rFonts w:eastAsia="Times New Roman"/>
        </w:rPr>
      </w:pPr>
      <w:r>
        <w:rPr>
          <w:rFonts w:eastAsia="Times New Roman"/>
          <w:color w:val="000000"/>
          <w:sz w:val="20"/>
          <w:szCs w:val="20"/>
        </w:rPr>
        <w:t>24</w:t>
      </w:r>
    </w:p>
    <w:p w:rsidR="00000000" w:rsidRDefault="00E54EC0">
      <w:pPr>
        <w:rPr>
          <w:rFonts w:eastAsia="Times New Roman"/>
        </w:rPr>
      </w:pPr>
      <w:r>
        <w:rPr>
          <w:rFonts w:eastAsia="Times New Roman"/>
        </w:rPr>
        <w:pict>
          <v:rect id="_x0000_i1059" style="width:0;height:1.5pt" o:hralign="center" o:hrstd="t" o:hr="t" fillcolor="#a0a0a0" stroked="f"/>
        </w:pict>
      </w:r>
    </w:p>
    <w:p w:rsidR="00000000" w:rsidRDefault="00E54EC0">
      <w:pPr>
        <w:divId w:val="1687632112"/>
        <w:rPr>
          <w:rFonts w:eastAsia="Times New Roman"/>
        </w:rPr>
      </w:pPr>
    </w:p>
    <w:p w:rsidR="00000000" w:rsidRDefault="00E54EC0">
      <w:pPr>
        <w:divId w:val="1491170610"/>
        <w:rPr>
          <w:rFonts w:eastAsia="Times New Roman"/>
        </w:rPr>
      </w:pPr>
    </w:p>
    <w:p w:rsidR="00000000" w:rsidRDefault="00E54EC0">
      <w:pPr>
        <w:ind w:firstLine="360"/>
        <w:divId w:val="439839481"/>
        <w:rPr>
          <w:rFonts w:eastAsia="Times New Roman"/>
        </w:rPr>
      </w:pPr>
      <w:r>
        <w:rPr>
          <w:rFonts w:eastAsia="Times New Roman"/>
          <w:color w:val="000000"/>
          <w:sz w:val="20"/>
          <w:szCs w:val="20"/>
        </w:rPr>
        <w:t>AUM by investment service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654"/>
        <w:gridCol w:w="39"/>
        <w:gridCol w:w="120"/>
        <w:gridCol w:w="989"/>
        <w:gridCol w:w="36"/>
        <w:gridCol w:w="36"/>
        <w:gridCol w:w="36"/>
        <w:gridCol w:w="36"/>
        <w:gridCol w:w="120"/>
        <w:gridCol w:w="948"/>
        <w:gridCol w:w="36"/>
        <w:gridCol w:w="36"/>
        <w:gridCol w:w="36"/>
        <w:gridCol w:w="36"/>
        <w:gridCol w:w="120"/>
        <w:gridCol w:w="951"/>
        <w:gridCol w:w="36"/>
      </w:tblGrid>
      <w:tr w:rsidR="00000000">
        <w:trPr>
          <w:divId w:val="391392951"/>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39139295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9139295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ind w:hanging="360"/>
              <w:jc w:val="center"/>
              <w:rPr>
                <w:rFonts w:eastAsia="Times New Roman"/>
              </w:rPr>
            </w:pPr>
            <w:r>
              <w:rPr>
                <w:rFonts w:eastAsia="Times New Roman"/>
                <w:b/>
                <w:bCs/>
                <w:color w:val="000000"/>
                <w:sz w:val="18"/>
                <w:szCs w:val="18"/>
              </w:rPr>
              <w:t>(in billions)</w:t>
            </w:r>
          </w:p>
        </w:tc>
      </w:tr>
      <w:tr w:rsidR="00000000">
        <w:trPr>
          <w:divId w:val="39139295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Equity</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Actively Managed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Passively Managed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Fixed Income</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Actively Managed</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Taxable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Tax-exempt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Actively Managed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Passively Managed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Fixed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Alternatives/Multi-Asset Solutions (2)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913929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Actively Managed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Passively Managed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Other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9139295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054423583"/>
        <w:rPr>
          <w:rFonts w:eastAsia="Times New Roman"/>
        </w:rPr>
      </w:pPr>
      <w:r>
        <w:rPr>
          <w:rFonts w:eastAsia="Times New Roman"/>
          <w:color w:val="000000"/>
          <w:sz w:val="18"/>
          <w:szCs w:val="18"/>
        </w:rPr>
        <w:t>_____________</w:t>
      </w:r>
    </w:p>
    <w:p w:rsidR="00000000" w:rsidRDefault="00E54EC0">
      <w:pPr>
        <w:ind w:hanging="360"/>
        <w:divId w:val="1247033496"/>
        <w:rPr>
          <w:rFonts w:eastAsia="Times New Roman"/>
        </w:rPr>
      </w:pPr>
      <w:r>
        <w:rPr>
          <w:rFonts w:eastAsia="Times New Roman"/>
          <w:color w:val="000000"/>
          <w:sz w:val="18"/>
          <w:szCs w:val="18"/>
        </w:rPr>
        <w:t xml:space="preserve">(1)Includes index and enhanced index services. </w:t>
      </w:r>
    </w:p>
    <w:p w:rsidR="00000000" w:rsidRDefault="00E54EC0">
      <w:pPr>
        <w:ind w:hanging="360"/>
        <w:divId w:val="1222985933"/>
        <w:rPr>
          <w:rFonts w:eastAsia="Times New Roman"/>
        </w:rPr>
      </w:pPr>
      <w:r>
        <w:rPr>
          <w:rFonts w:eastAsia="Times New Roman"/>
          <w:color w:val="000000"/>
          <w:sz w:val="18"/>
          <w:szCs w:val="18"/>
        </w:rPr>
        <w:t xml:space="preserve">(2)Includes certain multi-asset solutions and services not included in equity or fixed income services. </w:t>
      </w:r>
    </w:p>
    <w:p w:rsidR="00000000" w:rsidRDefault="00E54EC0">
      <w:pPr>
        <w:ind w:firstLine="360"/>
        <w:divId w:val="1018971988"/>
        <w:rPr>
          <w:rFonts w:eastAsia="Times New Roman"/>
        </w:rPr>
      </w:pPr>
      <w:r>
        <w:rPr>
          <w:rFonts w:eastAsia="Times New Roman"/>
          <w:color w:val="000000"/>
          <w:sz w:val="20"/>
          <w:szCs w:val="20"/>
        </w:rPr>
        <w:t>Changes in AUM fo</w:t>
      </w:r>
      <w:r>
        <w:rPr>
          <w:rFonts w:eastAsia="Times New Roman"/>
          <w:color w:val="000000"/>
          <w:sz w:val="20"/>
          <w:szCs w:val="20"/>
        </w:rPr>
        <w:t xml:space="preserve">r the years ended December 31, 2022 and 2021 are as follows: </w:t>
      </w:r>
    </w:p>
    <w:tbl>
      <w:tblPr>
        <w:tblW w:w="5000" w:type="pct"/>
        <w:tblCellMar>
          <w:top w:w="15" w:type="dxa"/>
          <w:left w:w="15" w:type="dxa"/>
          <w:bottom w:w="15" w:type="dxa"/>
          <w:right w:w="15" w:type="dxa"/>
        </w:tblCellMar>
        <w:tblLook w:val="04A0" w:firstRow="1" w:lastRow="0" w:firstColumn="1" w:lastColumn="0" w:noHBand="0" w:noVBand="1"/>
      </w:tblPr>
      <w:tblGrid>
        <w:gridCol w:w="44"/>
        <w:gridCol w:w="4429"/>
        <w:gridCol w:w="37"/>
        <w:gridCol w:w="121"/>
        <w:gridCol w:w="744"/>
        <w:gridCol w:w="36"/>
        <w:gridCol w:w="36"/>
        <w:gridCol w:w="36"/>
        <w:gridCol w:w="36"/>
        <w:gridCol w:w="120"/>
        <w:gridCol w:w="701"/>
        <w:gridCol w:w="36"/>
        <w:gridCol w:w="36"/>
        <w:gridCol w:w="36"/>
        <w:gridCol w:w="36"/>
        <w:gridCol w:w="120"/>
        <w:gridCol w:w="701"/>
        <w:gridCol w:w="36"/>
        <w:gridCol w:w="36"/>
        <w:gridCol w:w="36"/>
        <w:gridCol w:w="36"/>
        <w:gridCol w:w="120"/>
        <w:gridCol w:w="701"/>
        <w:gridCol w:w="36"/>
      </w:tblGrid>
      <w:tr w:rsidR="00000000">
        <w:trPr>
          <w:divId w:val="1018971988"/>
        </w:trPr>
        <w:tc>
          <w:tcPr>
            <w:tcW w:w="50" w:type="pct"/>
            <w:vAlign w:val="center"/>
            <w:hideMark/>
          </w:tcPr>
          <w:p w:rsidR="00000000" w:rsidRDefault="00E54EC0">
            <w:pPr>
              <w:ind w:firstLine="360"/>
              <w:rPr>
                <w:rFonts w:eastAsia="Times New Roman"/>
              </w:rPr>
            </w:pPr>
          </w:p>
        </w:tc>
        <w:tc>
          <w:tcPr>
            <w:tcW w:w="27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1897198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Distribution Channel</w:t>
            </w:r>
          </w:p>
        </w:tc>
      </w:tr>
      <w:tr w:rsidR="00000000">
        <w:trPr>
          <w:divId w:val="101897198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Institutions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Retail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Private Wealth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101897198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101897198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1897198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long-term inflows (outflows)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Acquisitions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897198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2056201023"/>
        <w:rPr>
          <w:rFonts w:eastAsia="Times New Roman"/>
        </w:rPr>
      </w:pPr>
      <w:r>
        <w:rPr>
          <w:rFonts w:eastAsia="Times New Roman"/>
          <w:color w:val="000000"/>
          <w:sz w:val="20"/>
          <w:szCs w:val="20"/>
        </w:rPr>
        <w:t>25</w:t>
      </w:r>
    </w:p>
    <w:p w:rsidR="00000000" w:rsidRDefault="00E54EC0">
      <w:pPr>
        <w:rPr>
          <w:rFonts w:eastAsia="Times New Roman"/>
        </w:rPr>
      </w:pPr>
      <w:r>
        <w:rPr>
          <w:rFonts w:eastAsia="Times New Roman"/>
        </w:rPr>
        <w:pict>
          <v:rect id="_x0000_i1060" style="width:0;height:1.5pt" o:hralign="center" o:hrstd="t" o:hr="t" fillcolor="#a0a0a0" stroked="f"/>
        </w:pict>
      </w:r>
    </w:p>
    <w:p w:rsidR="00000000" w:rsidRDefault="00E54EC0">
      <w:pPr>
        <w:divId w:val="12322349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4429"/>
        <w:gridCol w:w="37"/>
        <w:gridCol w:w="121"/>
        <w:gridCol w:w="744"/>
        <w:gridCol w:w="36"/>
        <w:gridCol w:w="36"/>
        <w:gridCol w:w="36"/>
        <w:gridCol w:w="36"/>
        <w:gridCol w:w="120"/>
        <w:gridCol w:w="701"/>
        <w:gridCol w:w="36"/>
        <w:gridCol w:w="36"/>
        <w:gridCol w:w="36"/>
        <w:gridCol w:w="36"/>
        <w:gridCol w:w="120"/>
        <w:gridCol w:w="701"/>
        <w:gridCol w:w="36"/>
        <w:gridCol w:w="36"/>
        <w:gridCol w:w="36"/>
        <w:gridCol w:w="36"/>
        <w:gridCol w:w="120"/>
        <w:gridCol w:w="701"/>
        <w:gridCol w:w="36"/>
      </w:tblGrid>
      <w:tr w:rsidR="00000000">
        <w:trPr>
          <w:divId w:val="2079401938"/>
        </w:trPr>
        <w:tc>
          <w:tcPr>
            <w:tcW w:w="50" w:type="pct"/>
            <w:vAlign w:val="center"/>
            <w:hideMark/>
          </w:tcPr>
          <w:p w:rsidR="00000000" w:rsidRDefault="00E54EC0">
            <w:pPr>
              <w:rPr>
                <w:rFonts w:eastAsia="Times New Roman"/>
              </w:rPr>
            </w:pPr>
          </w:p>
        </w:tc>
        <w:tc>
          <w:tcPr>
            <w:tcW w:w="27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7940193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Distribution Channel</w:t>
            </w:r>
          </w:p>
        </w:tc>
      </w:tr>
      <w:tr w:rsidR="00000000">
        <w:trPr>
          <w:divId w:val="207940193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Institutions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Retail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Private Wealth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207940193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207940193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2020</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7940193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long-term inflows (outflows)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Acquisition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Market appreciation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940193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847449661"/>
        <w:rPr>
          <w:rFonts w:eastAsia="Times New Roman"/>
        </w:rPr>
      </w:pPr>
      <w:r>
        <w:rPr>
          <w:rFonts w:eastAsia="Times New Roman"/>
          <w:color w:val="000000"/>
          <w:sz w:val="18"/>
          <w:szCs w:val="18"/>
        </w:rPr>
        <w:t>______________</w:t>
      </w:r>
    </w:p>
    <w:p w:rsidR="00000000" w:rsidRDefault="00E54EC0">
      <w:pPr>
        <w:ind w:hanging="360"/>
        <w:divId w:val="1362122348"/>
        <w:rPr>
          <w:rFonts w:eastAsia="Times New Roman"/>
        </w:rPr>
      </w:pPr>
      <w:r>
        <w:rPr>
          <w:rFonts w:eastAsia="Times New Roman"/>
          <w:color w:val="000000"/>
          <w:sz w:val="18"/>
          <w:szCs w:val="18"/>
        </w:rPr>
        <w:t>(1) Net flows include $4.5 billion and $1.3 billion of AXA redemptions for 2022 and 2021, respectively.</w:t>
      </w:r>
    </w:p>
    <w:p w:rsidR="00000000" w:rsidRDefault="00E54EC0">
      <w:pPr>
        <w:ind w:hanging="360"/>
        <w:divId w:val="516306861"/>
        <w:rPr>
          <w:rFonts w:eastAsia="Times New Roman"/>
        </w:rPr>
      </w:pPr>
      <w:r>
        <w:rPr>
          <w:rFonts w:eastAsia="Times New Roman"/>
          <w:color w:val="000000"/>
          <w:sz w:val="18"/>
          <w:szCs w:val="18"/>
        </w:rPr>
        <w:t>(2) Approximately $400 million of Institutional AUM was removed from our total assets under management dur</w:t>
      </w:r>
      <w:r>
        <w:rPr>
          <w:rFonts w:eastAsia="Times New Roman"/>
          <w:color w:val="000000"/>
          <w:sz w:val="18"/>
          <w:szCs w:val="18"/>
        </w:rPr>
        <w:t>ing the second quarter of 2022 due to a change in the fee structure.</w:t>
      </w:r>
    </w:p>
    <w:p w:rsidR="00000000" w:rsidRDefault="00E54EC0">
      <w:pPr>
        <w:ind w:hanging="360"/>
        <w:divId w:val="2084519617"/>
        <w:rPr>
          <w:rFonts w:eastAsia="Times New Roman"/>
        </w:rPr>
      </w:pPr>
      <w:r>
        <w:rPr>
          <w:rFonts w:eastAsia="Times New Roman"/>
          <w:color w:val="000000"/>
          <w:sz w:val="18"/>
          <w:szCs w:val="18"/>
        </w:rPr>
        <w:t>(3) The CarVal acquisition added approximately $12.2 billion of Institutional AUM in the third quarter of 2022.</w:t>
      </w:r>
    </w:p>
    <w:p w:rsidR="00000000" w:rsidRDefault="00E54EC0">
      <w:pPr>
        <w:divId w:val="37304279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284"/>
        <w:gridCol w:w="37"/>
        <w:gridCol w:w="121"/>
        <w:gridCol w:w="596"/>
        <w:gridCol w:w="36"/>
        <w:gridCol w:w="36"/>
        <w:gridCol w:w="36"/>
        <w:gridCol w:w="36"/>
        <w:gridCol w:w="121"/>
        <w:gridCol w:w="600"/>
        <w:gridCol w:w="36"/>
        <w:gridCol w:w="36"/>
        <w:gridCol w:w="36"/>
        <w:gridCol w:w="36"/>
        <w:gridCol w:w="121"/>
        <w:gridCol w:w="753"/>
        <w:gridCol w:w="36"/>
        <w:gridCol w:w="36"/>
        <w:gridCol w:w="36"/>
        <w:gridCol w:w="36"/>
        <w:gridCol w:w="121"/>
        <w:gridCol w:w="753"/>
        <w:gridCol w:w="36"/>
        <w:gridCol w:w="36"/>
        <w:gridCol w:w="36"/>
        <w:gridCol w:w="36"/>
        <w:gridCol w:w="121"/>
        <w:gridCol w:w="600"/>
        <w:gridCol w:w="36"/>
        <w:gridCol w:w="36"/>
        <w:gridCol w:w="36"/>
        <w:gridCol w:w="36"/>
        <w:gridCol w:w="121"/>
        <w:gridCol w:w="778"/>
        <w:gridCol w:w="36"/>
        <w:gridCol w:w="36"/>
        <w:gridCol w:w="36"/>
        <w:gridCol w:w="36"/>
        <w:gridCol w:w="120"/>
        <w:gridCol w:w="500"/>
        <w:gridCol w:w="36"/>
      </w:tblGrid>
      <w:tr w:rsidR="00000000">
        <w:trPr>
          <w:divId w:val="1865096431"/>
        </w:trPr>
        <w:tc>
          <w:tcPr>
            <w:tcW w:w="50" w:type="pct"/>
            <w:vAlign w:val="center"/>
            <w:hideMark/>
          </w:tcPr>
          <w:p w:rsidR="00000000" w:rsidRDefault="00E54EC0">
            <w:pPr>
              <w:rPr>
                <w:rFonts w:eastAsia="Times New Roman"/>
              </w:rPr>
            </w:pPr>
          </w:p>
        </w:tc>
        <w:tc>
          <w:tcPr>
            <w:tcW w:w="137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86509643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Investment Services</w:t>
            </w:r>
          </w:p>
        </w:tc>
      </w:tr>
      <w:tr w:rsidR="00000000">
        <w:trPr>
          <w:divId w:val="186509643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Equity Actively Managed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Equity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Income Actively Managed—Taxable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Income Actively Managed—Tax Exempt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Income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Alternatives</w:t>
            </w:r>
          </w:p>
          <w:p w:rsidR="00000000" w:rsidRDefault="00E54EC0">
            <w:pPr>
              <w:spacing w:after="100"/>
              <w:jc w:val="center"/>
              <w:rPr>
                <w:rFonts w:eastAsia="Times New Roman"/>
              </w:rPr>
            </w:pPr>
            <w:r>
              <w:rPr>
                <w:rFonts w:eastAsia="Times New Roman"/>
                <w:b/>
                <w:bCs/>
                <w:color w:val="000000"/>
                <w:sz w:val="16"/>
                <w:szCs w:val="16"/>
              </w:rPr>
              <w:t>/Multi-Asset</w:t>
            </w:r>
          </w:p>
          <w:p w:rsidR="00000000" w:rsidRDefault="00E54EC0">
            <w:pPr>
              <w:spacing w:after="100"/>
              <w:jc w:val="center"/>
              <w:rPr>
                <w:rFonts w:eastAsia="Times New Roman"/>
              </w:rPr>
            </w:pPr>
            <w:r>
              <w:rPr>
                <w:rFonts w:eastAsia="Times New Roman"/>
                <w:b/>
                <w:bCs/>
                <w:color w:val="000000"/>
                <w:sz w:val="16"/>
                <w:szCs w:val="16"/>
              </w:rPr>
              <w:t>Solutions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186509643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E54EC0">
        <w:trPr>
          <w:divId w:val="186509643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86509643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long-term inflows (outflows) (3)</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(4)</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Acquisitions (5)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509643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86509643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525295536"/>
        <w:rPr>
          <w:rFonts w:eastAsia="Times New Roman"/>
        </w:rPr>
      </w:pPr>
      <w:r>
        <w:rPr>
          <w:rFonts w:eastAsia="Times New Roman"/>
          <w:color w:val="000000"/>
          <w:sz w:val="20"/>
          <w:szCs w:val="20"/>
        </w:rPr>
        <w:t>26</w:t>
      </w:r>
    </w:p>
    <w:p w:rsidR="00000000" w:rsidRDefault="00E54EC0">
      <w:pPr>
        <w:rPr>
          <w:rFonts w:eastAsia="Times New Roman"/>
        </w:rPr>
      </w:pPr>
      <w:r>
        <w:rPr>
          <w:rFonts w:eastAsia="Times New Roman"/>
        </w:rPr>
        <w:pict>
          <v:rect id="_x0000_i1061" style="width:0;height:1.5pt" o:hralign="center" o:hrstd="t" o:hr="t" fillcolor="#a0a0a0" stroked="f"/>
        </w:pict>
      </w:r>
    </w:p>
    <w:p w:rsidR="00000000" w:rsidRDefault="00E54EC0">
      <w:pPr>
        <w:divId w:val="16354797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2"/>
        <w:gridCol w:w="2286"/>
        <w:gridCol w:w="37"/>
        <w:gridCol w:w="121"/>
        <w:gridCol w:w="596"/>
        <w:gridCol w:w="36"/>
        <w:gridCol w:w="36"/>
        <w:gridCol w:w="36"/>
        <w:gridCol w:w="36"/>
        <w:gridCol w:w="121"/>
        <w:gridCol w:w="600"/>
        <w:gridCol w:w="36"/>
        <w:gridCol w:w="36"/>
        <w:gridCol w:w="36"/>
        <w:gridCol w:w="36"/>
        <w:gridCol w:w="121"/>
        <w:gridCol w:w="751"/>
        <w:gridCol w:w="36"/>
        <w:gridCol w:w="36"/>
        <w:gridCol w:w="36"/>
        <w:gridCol w:w="36"/>
        <w:gridCol w:w="121"/>
        <w:gridCol w:w="753"/>
        <w:gridCol w:w="36"/>
        <w:gridCol w:w="36"/>
        <w:gridCol w:w="36"/>
        <w:gridCol w:w="36"/>
        <w:gridCol w:w="121"/>
        <w:gridCol w:w="600"/>
        <w:gridCol w:w="36"/>
        <w:gridCol w:w="36"/>
        <w:gridCol w:w="36"/>
        <w:gridCol w:w="36"/>
        <w:gridCol w:w="121"/>
        <w:gridCol w:w="776"/>
        <w:gridCol w:w="36"/>
        <w:gridCol w:w="36"/>
        <w:gridCol w:w="36"/>
        <w:gridCol w:w="36"/>
        <w:gridCol w:w="120"/>
        <w:gridCol w:w="500"/>
        <w:gridCol w:w="36"/>
      </w:tblGrid>
      <w:tr w:rsidR="00000000">
        <w:trPr>
          <w:divId w:val="343553303"/>
        </w:trPr>
        <w:tc>
          <w:tcPr>
            <w:tcW w:w="50" w:type="pct"/>
            <w:vAlign w:val="center"/>
            <w:hideMark/>
          </w:tcPr>
          <w:p w:rsidR="00000000" w:rsidRDefault="00E54EC0">
            <w:pPr>
              <w:rPr>
                <w:rFonts w:eastAsia="Times New Roman"/>
              </w:rPr>
            </w:pPr>
          </w:p>
        </w:tc>
        <w:tc>
          <w:tcPr>
            <w:tcW w:w="140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4355330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Investment Services</w:t>
            </w:r>
          </w:p>
        </w:tc>
      </w:tr>
      <w:tr w:rsidR="00000000">
        <w:trPr>
          <w:divId w:val="34355330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Equity Actively Managed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Equity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Income Actively Managed—Taxable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Income Actively Managed—Tax Exempt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Income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Alternatives</w:t>
            </w:r>
          </w:p>
          <w:p w:rsidR="00000000" w:rsidRDefault="00E54EC0">
            <w:pPr>
              <w:spacing w:after="100"/>
              <w:jc w:val="center"/>
              <w:rPr>
                <w:rFonts w:eastAsia="Times New Roman"/>
              </w:rPr>
            </w:pPr>
            <w:r>
              <w:rPr>
                <w:rFonts w:eastAsia="Times New Roman"/>
                <w:b/>
                <w:bCs/>
                <w:color w:val="000000"/>
                <w:sz w:val="16"/>
                <w:szCs w:val="16"/>
              </w:rPr>
              <w:t>/Multi-Asset</w:t>
            </w:r>
          </w:p>
          <w:p w:rsidR="00000000" w:rsidRDefault="00E54EC0">
            <w:pPr>
              <w:spacing w:after="100"/>
              <w:jc w:val="center"/>
              <w:rPr>
                <w:rFonts w:eastAsia="Times New Roman"/>
              </w:rPr>
            </w:pPr>
            <w:r>
              <w:rPr>
                <w:rFonts w:eastAsia="Times New Roman"/>
                <w:b/>
                <w:bCs/>
                <w:color w:val="000000"/>
                <w:sz w:val="16"/>
                <w:szCs w:val="16"/>
              </w:rPr>
              <w:t>Solutions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34355330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E54EC0">
        <w:trPr>
          <w:divId w:val="3435533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2020</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35533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4355330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355330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355330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35533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long-term inflows (outflows) (3)</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355330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35533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Market appreciation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35533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3435533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255356521"/>
        <w:rPr>
          <w:rFonts w:eastAsia="Times New Roman"/>
        </w:rPr>
      </w:pPr>
      <w:r>
        <w:rPr>
          <w:rFonts w:eastAsia="Times New Roman"/>
          <w:color w:val="000000"/>
          <w:sz w:val="20"/>
          <w:szCs w:val="20"/>
        </w:rPr>
        <w:t>______________</w:t>
      </w:r>
    </w:p>
    <w:p w:rsidR="00000000" w:rsidRDefault="00E54EC0">
      <w:pPr>
        <w:ind w:hanging="360"/>
        <w:divId w:val="869992148"/>
        <w:rPr>
          <w:rFonts w:eastAsia="Times New Roman"/>
        </w:rPr>
      </w:pPr>
      <w:r>
        <w:rPr>
          <w:rFonts w:eastAsia="Times New Roman"/>
          <w:color w:val="000000"/>
          <w:sz w:val="18"/>
          <w:szCs w:val="18"/>
        </w:rPr>
        <w:t>(1)Includes in</w:t>
      </w:r>
      <w:r>
        <w:rPr>
          <w:rFonts w:eastAsia="Times New Roman"/>
          <w:color w:val="000000"/>
          <w:sz w:val="18"/>
          <w:szCs w:val="18"/>
        </w:rPr>
        <w:t>dex and enhanced index services.</w:t>
      </w:r>
    </w:p>
    <w:p w:rsidR="00000000" w:rsidRDefault="00E54EC0">
      <w:pPr>
        <w:ind w:hanging="360"/>
        <w:divId w:val="2068605315"/>
        <w:rPr>
          <w:rFonts w:eastAsia="Times New Roman"/>
        </w:rPr>
      </w:pPr>
      <w:r>
        <w:rPr>
          <w:rFonts w:eastAsia="Times New Roman"/>
          <w:color w:val="000000"/>
          <w:sz w:val="18"/>
          <w:szCs w:val="18"/>
        </w:rPr>
        <w:t xml:space="preserve">(2)Includes certain multi-asset solutions and services not included in equity or fixed income services. </w:t>
      </w:r>
    </w:p>
    <w:p w:rsidR="00000000" w:rsidRDefault="00E54EC0">
      <w:pPr>
        <w:ind w:hanging="360"/>
        <w:divId w:val="1607545577"/>
        <w:rPr>
          <w:rFonts w:eastAsia="Times New Roman"/>
        </w:rPr>
      </w:pPr>
      <w:r>
        <w:rPr>
          <w:rFonts w:eastAsia="Times New Roman"/>
          <w:color w:val="000000"/>
          <w:sz w:val="18"/>
          <w:szCs w:val="18"/>
        </w:rPr>
        <w:t>(3)Net flows include $4.5 billion and $1.3 billion of AXA redemptions for 2022 and 2021, respectively.</w:t>
      </w:r>
    </w:p>
    <w:p w:rsidR="00000000" w:rsidRDefault="00E54EC0">
      <w:pPr>
        <w:ind w:hanging="360"/>
        <w:divId w:val="730229590"/>
        <w:rPr>
          <w:rFonts w:eastAsia="Times New Roman"/>
        </w:rPr>
      </w:pPr>
      <w:r>
        <w:rPr>
          <w:rFonts w:eastAsia="Times New Roman"/>
          <w:color w:val="000000"/>
          <w:sz w:val="18"/>
          <w:szCs w:val="18"/>
        </w:rPr>
        <w:t>(4)Approximatel</w:t>
      </w:r>
      <w:r>
        <w:rPr>
          <w:rFonts w:eastAsia="Times New Roman"/>
          <w:color w:val="000000"/>
          <w:sz w:val="18"/>
          <w:szCs w:val="18"/>
        </w:rPr>
        <w:t>y $400 million of Institutional AUM was removed from our total assets under management during the second quarter of 2022 due to a change in the fee structure.</w:t>
      </w:r>
    </w:p>
    <w:p w:rsidR="00000000" w:rsidRDefault="00E54EC0">
      <w:pPr>
        <w:ind w:hanging="360"/>
        <w:divId w:val="2008439037"/>
        <w:rPr>
          <w:rFonts w:eastAsia="Times New Roman"/>
        </w:rPr>
      </w:pPr>
      <w:r>
        <w:rPr>
          <w:rFonts w:eastAsia="Times New Roman"/>
          <w:color w:val="000000"/>
          <w:sz w:val="18"/>
          <w:szCs w:val="18"/>
        </w:rPr>
        <w:t>(5) The CarVal acquisition added approximately $12.2 billion of Institutional AUM in the third qu</w:t>
      </w:r>
      <w:r>
        <w:rPr>
          <w:rFonts w:eastAsia="Times New Roman"/>
          <w:color w:val="000000"/>
          <w:sz w:val="18"/>
          <w:szCs w:val="18"/>
        </w:rPr>
        <w:t>arter of 2022.</w:t>
      </w:r>
    </w:p>
    <w:p w:rsidR="00000000" w:rsidRDefault="00E54EC0">
      <w:pPr>
        <w:divId w:val="1916551211"/>
        <w:rPr>
          <w:rFonts w:eastAsia="Times New Roman"/>
        </w:rPr>
      </w:pPr>
    </w:p>
    <w:p w:rsidR="00000000" w:rsidRDefault="00E54EC0">
      <w:pPr>
        <w:ind w:firstLine="360"/>
        <w:divId w:val="1406758112"/>
        <w:rPr>
          <w:rFonts w:eastAsia="Times New Roman"/>
        </w:rPr>
      </w:pPr>
      <w:r>
        <w:rPr>
          <w:rFonts w:eastAsia="Times New Roman"/>
          <w:color w:val="000000"/>
          <w:sz w:val="20"/>
          <w:szCs w:val="20"/>
        </w:rPr>
        <w:t>Net long-term inflows (outflows) for actively managed investment services as compared to passively managed investment services for the years ended December 31, 2022, 2021 and 2020, respectively,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065297011"/>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6529701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06529701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06529701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106529701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Actively Managed</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529701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Alternatives/Multi-Asset Solutions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Passively Managed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529701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Income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Alternatives/Multi-Asset Solutions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529701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net long-term inflows (outflows)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961719758"/>
        <w:rPr>
          <w:rFonts w:eastAsia="Times New Roman"/>
        </w:rPr>
      </w:pPr>
    </w:p>
    <w:p w:rsidR="00000000" w:rsidRDefault="00E54EC0">
      <w:pPr>
        <w:ind w:firstLine="360"/>
        <w:divId w:val="1318997985"/>
        <w:rPr>
          <w:rFonts w:eastAsia="Times New Roman"/>
        </w:rPr>
      </w:pPr>
      <w:r>
        <w:rPr>
          <w:rFonts w:eastAsia="Times New Roman"/>
          <w:color w:val="000000"/>
          <w:sz w:val="20"/>
          <w:szCs w:val="20"/>
        </w:rPr>
        <w:t>Average AUM by distribution channel and investment service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682734048"/>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82734048"/>
        </w:trPr>
        <w:tc>
          <w:tcPr>
            <w:tcW w:w="0" w:type="auto"/>
            <w:gridSpan w:val="3"/>
            <w:tcMar>
              <w:top w:w="30" w:type="dxa"/>
              <w:left w:w="20" w:type="dxa"/>
              <w:bottom w:w="30" w:type="dxa"/>
              <w:right w:w="20" w:type="dxa"/>
            </w:tcMar>
            <w:vAlign w:val="bottom"/>
            <w:hideMark/>
          </w:tcPr>
          <w:p w:rsidR="00000000" w:rsidRDefault="00E54EC0">
            <w:pPr>
              <w:spacing w:after="100"/>
              <w:divId w:val="102380157"/>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682734048"/>
        </w:trPr>
        <w:tc>
          <w:tcPr>
            <w:tcW w:w="0" w:type="auto"/>
            <w:gridSpan w:val="3"/>
            <w:tcMar>
              <w:top w:w="30" w:type="dxa"/>
              <w:left w:w="20" w:type="dxa"/>
              <w:bottom w:w="30" w:type="dxa"/>
              <w:right w:w="20" w:type="dxa"/>
            </w:tcMar>
            <w:vAlign w:val="bottom"/>
            <w:hideMark/>
          </w:tcPr>
          <w:p w:rsidR="00000000" w:rsidRDefault="00E54EC0">
            <w:pPr>
              <w:spacing w:after="100"/>
              <w:divId w:val="154878238"/>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68273404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1682734048"/>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827340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308.4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27340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236.5 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27340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Private Wealth</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27340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273404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jc w:val="center"/>
        <w:divId w:val="1940406476"/>
        <w:rPr>
          <w:rFonts w:eastAsia="Times New Roman"/>
        </w:rPr>
      </w:pPr>
      <w:r>
        <w:rPr>
          <w:rFonts w:eastAsia="Times New Roman"/>
          <w:color w:val="000000"/>
          <w:sz w:val="20"/>
          <w:szCs w:val="20"/>
        </w:rPr>
        <w:t>27</w:t>
      </w:r>
    </w:p>
    <w:p w:rsidR="00000000" w:rsidRDefault="00E54EC0">
      <w:pPr>
        <w:rPr>
          <w:rFonts w:eastAsia="Times New Roman"/>
        </w:rPr>
      </w:pPr>
      <w:r>
        <w:rPr>
          <w:rFonts w:eastAsia="Times New Roman"/>
        </w:rPr>
        <w:pict>
          <v:rect id="_x0000_i1062" style="width:0;height:1.5pt" o:hralign="center" o:hrstd="t" o:hr="t" fillcolor="#a0a0a0" stroked="f"/>
        </w:pict>
      </w:r>
    </w:p>
    <w:p w:rsidR="00000000" w:rsidRDefault="00E54EC0">
      <w:pPr>
        <w:divId w:val="126376102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693387582"/>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693387582"/>
        </w:trPr>
        <w:tc>
          <w:tcPr>
            <w:tcW w:w="0" w:type="auto"/>
            <w:gridSpan w:val="3"/>
            <w:tcMar>
              <w:top w:w="30" w:type="dxa"/>
              <w:left w:w="20" w:type="dxa"/>
              <w:bottom w:w="30" w:type="dxa"/>
              <w:right w:w="20" w:type="dxa"/>
            </w:tcMar>
            <w:vAlign w:val="bottom"/>
            <w:hideMark/>
          </w:tcPr>
          <w:p w:rsidR="00000000" w:rsidRDefault="00E54EC0">
            <w:pPr>
              <w:spacing w:after="100"/>
              <w:divId w:val="983850020"/>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693387582"/>
        </w:trPr>
        <w:tc>
          <w:tcPr>
            <w:tcW w:w="0" w:type="auto"/>
            <w:gridSpan w:val="3"/>
            <w:tcMar>
              <w:top w:w="30" w:type="dxa"/>
              <w:left w:w="20" w:type="dxa"/>
              <w:bottom w:w="30" w:type="dxa"/>
              <w:right w:w="20" w:type="dxa"/>
            </w:tcMar>
            <w:vAlign w:val="bottom"/>
            <w:hideMark/>
          </w:tcPr>
          <w:p w:rsidR="00000000" w:rsidRDefault="00E54EC0">
            <w:pPr>
              <w:spacing w:after="100"/>
              <w:divId w:val="2130968796"/>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69338758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6933875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i/>
                <w:iCs/>
                <w:color w:val="000000"/>
                <w:sz w:val="20"/>
                <w:szCs w:val="20"/>
              </w:rPr>
              <w:t>Investment Service: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69338758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Actively Managed</w:t>
            </w: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239.7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252.2 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179.8 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9338758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 Passively Managed (1)</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9338758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Income Actively Managed – Taxable</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253.1 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933875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Income Actively Managed – Tax-exempt</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9338758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Income Passively Managed (1)</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9338758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Alternatives/Multi-Asset Solutions (2)</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9338758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2128230556"/>
        <w:rPr>
          <w:rFonts w:eastAsia="Times New Roman"/>
        </w:rPr>
      </w:pPr>
      <w:r>
        <w:rPr>
          <w:rFonts w:eastAsia="Times New Roman"/>
          <w:color w:val="000000"/>
          <w:sz w:val="18"/>
          <w:szCs w:val="18"/>
        </w:rPr>
        <w:t>___________</w:t>
      </w:r>
    </w:p>
    <w:p w:rsidR="00000000" w:rsidRDefault="00E54EC0">
      <w:pPr>
        <w:ind w:hanging="360"/>
        <w:divId w:val="1076707158"/>
        <w:rPr>
          <w:rFonts w:eastAsia="Times New Roman"/>
        </w:rPr>
      </w:pPr>
      <w:r>
        <w:rPr>
          <w:rFonts w:eastAsia="Times New Roman"/>
          <w:color w:val="000000"/>
          <w:sz w:val="18"/>
          <w:szCs w:val="18"/>
        </w:rPr>
        <w:t>(1)Includes index and enhanced index services.</w:t>
      </w:r>
    </w:p>
    <w:p w:rsidR="00000000" w:rsidRDefault="00E54EC0">
      <w:pPr>
        <w:ind w:hanging="360"/>
        <w:divId w:val="1816679942"/>
        <w:rPr>
          <w:rFonts w:eastAsia="Times New Roman"/>
        </w:rPr>
      </w:pPr>
      <w:r>
        <w:rPr>
          <w:rFonts w:eastAsia="Times New Roman"/>
          <w:color w:val="000000"/>
          <w:sz w:val="18"/>
          <w:szCs w:val="18"/>
        </w:rPr>
        <w:t>(2)</w:t>
      </w:r>
      <w:r>
        <w:rPr>
          <w:rFonts w:eastAsia="Times New Roman"/>
          <w:color w:val="000000"/>
          <w:sz w:val="18"/>
          <w:szCs w:val="18"/>
        </w:rPr>
        <w:t xml:space="preserve">Includes certain multi-asset solutions and services not included in equity or fixed income services. </w:t>
      </w:r>
    </w:p>
    <w:p w:rsidR="00000000" w:rsidRDefault="00E54EC0">
      <w:pPr>
        <w:jc w:val="both"/>
        <w:divId w:val="1229264860"/>
        <w:rPr>
          <w:rFonts w:eastAsia="Times New Roman"/>
        </w:rPr>
      </w:pPr>
      <w:r>
        <w:rPr>
          <w:rFonts w:eastAsia="Times New Roman"/>
          <w:b/>
          <w:bCs/>
          <w:i/>
          <w:iCs/>
          <w:color w:val="000000"/>
          <w:sz w:val="20"/>
          <w:szCs w:val="20"/>
        </w:rPr>
        <w:t>Fees</w:t>
      </w:r>
    </w:p>
    <w:p w:rsidR="00000000" w:rsidRDefault="00E54EC0">
      <w:pPr>
        <w:ind w:firstLine="360"/>
        <w:divId w:val="1415008969"/>
        <w:rPr>
          <w:rFonts w:eastAsia="Times New Roman"/>
        </w:rPr>
      </w:pPr>
      <w:r>
        <w:rPr>
          <w:rFonts w:eastAsia="Times New Roman"/>
          <w:color w:val="000000"/>
          <w:sz w:val="20"/>
          <w:szCs w:val="20"/>
        </w:rPr>
        <w:t>Generally, AB is compensated for its investment services on the basis of investment advisory and services fees calculated as a percentage of AUM. Ber</w:t>
      </w:r>
      <w:r>
        <w:rPr>
          <w:rFonts w:eastAsia="Times New Roman"/>
          <w:color w:val="000000"/>
          <w:sz w:val="20"/>
          <w:szCs w:val="20"/>
        </w:rPr>
        <w:t>nstein Research Services revenue consists principally of commissions received for providing equity research and brokerage-related services to institutional investors. The components of net revenues are as follows and are prior to intercompany eliminations: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0"/>
        <w:gridCol w:w="989"/>
        <w:gridCol w:w="36"/>
        <w:gridCol w:w="36"/>
        <w:gridCol w:w="36"/>
        <w:gridCol w:w="36"/>
        <w:gridCol w:w="120"/>
        <w:gridCol w:w="949"/>
        <w:gridCol w:w="36"/>
        <w:gridCol w:w="36"/>
        <w:gridCol w:w="36"/>
        <w:gridCol w:w="36"/>
        <w:gridCol w:w="120"/>
        <w:gridCol w:w="951"/>
        <w:gridCol w:w="36"/>
      </w:tblGrid>
      <w:tr w:rsidR="00000000">
        <w:trPr>
          <w:divId w:val="546725318"/>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4672531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54672531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54672531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4672531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advisory and services fees: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46725318"/>
        </w:trPr>
        <w:tc>
          <w:tcPr>
            <w:tcW w:w="0" w:type="auto"/>
            <w:gridSpan w:val="3"/>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Institutions: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4672531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Base fees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Retail: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4672531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51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24</w:t>
            </w:r>
          </w:p>
        </w:tc>
      </w:tr>
      <w:tr w:rsidR="00000000">
        <w:trPr>
          <w:divId w:val="546725318"/>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Private Wealth:</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4672531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divId w:val="357045194"/>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4672531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2,949 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Bernstein Research Services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Distribution revenues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Dividend and interest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(losses) gains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revenues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Interest expense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467253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Net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373890765"/>
        <w:rPr>
          <w:rFonts w:eastAsia="Times New Roman"/>
        </w:rPr>
      </w:pPr>
      <w:r>
        <w:rPr>
          <w:rFonts w:eastAsia="Times New Roman"/>
          <w:color w:val="000000"/>
          <w:sz w:val="20"/>
          <w:szCs w:val="20"/>
        </w:rPr>
        <w:t>28</w:t>
      </w:r>
    </w:p>
    <w:p w:rsidR="00000000" w:rsidRDefault="00E54EC0">
      <w:pPr>
        <w:rPr>
          <w:rFonts w:eastAsia="Times New Roman"/>
        </w:rPr>
      </w:pPr>
      <w:r>
        <w:rPr>
          <w:rFonts w:eastAsia="Times New Roman"/>
        </w:rPr>
        <w:pict>
          <v:rect id="_x0000_i1063" style="width:0;height:1.5pt" o:hralign="center" o:hrstd="t" o:hr="t" fillcolor="#a0a0a0" stroked="f"/>
        </w:pict>
      </w:r>
    </w:p>
    <w:p w:rsidR="00000000" w:rsidRDefault="00E54EC0">
      <w:pPr>
        <w:divId w:val="1265721617"/>
        <w:rPr>
          <w:rFonts w:eastAsia="Times New Roman"/>
        </w:rPr>
      </w:pPr>
    </w:p>
    <w:p w:rsidR="00000000" w:rsidRDefault="00E54EC0">
      <w:pPr>
        <w:divId w:val="1428038941"/>
        <w:rPr>
          <w:rFonts w:eastAsia="Times New Roman"/>
        </w:rPr>
      </w:pPr>
      <w:r>
        <w:rPr>
          <w:rFonts w:eastAsia="Times New Roman"/>
          <w:b/>
          <w:bCs/>
          <w:color w:val="000000"/>
          <w:sz w:val="20"/>
          <w:szCs w:val="20"/>
        </w:rPr>
        <w:t>Protection Solutions</w:t>
      </w:r>
    </w:p>
    <w:p w:rsidR="00000000" w:rsidRDefault="00E54EC0">
      <w:pPr>
        <w:ind w:firstLine="360"/>
        <w:divId w:val="1515800335"/>
        <w:rPr>
          <w:rFonts w:eastAsia="Times New Roman"/>
        </w:rPr>
      </w:pPr>
      <w:r>
        <w:rPr>
          <w:rFonts w:eastAsia="Times New Roman"/>
          <w:color w:val="000000"/>
          <w:sz w:val="20"/>
          <w:szCs w:val="20"/>
        </w:rPr>
        <w:t>Our Protection Solutions segment includes our life insurance and employee benefits businesses. We have a long history of providing life insurance products to help affluent and high net worth indivi</w:t>
      </w:r>
      <w:r>
        <w:rPr>
          <w:rFonts w:eastAsia="Times New Roman"/>
          <w:color w:val="000000"/>
          <w:sz w:val="20"/>
          <w:szCs w:val="20"/>
        </w:rPr>
        <w:t xml:space="preserve">duals and small and medium-sized business owners protect and transfer their wealth. We are currently focused on the relatively less capital-intensive asset accumulation segments of the market, with leading offerings in the VUL market. </w:t>
      </w:r>
    </w:p>
    <w:p w:rsidR="00000000" w:rsidRDefault="00E54EC0">
      <w:pPr>
        <w:ind w:firstLine="360"/>
        <w:divId w:val="446700977"/>
        <w:rPr>
          <w:rFonts w:eastAsia="Times New Roman"/>
        </w:rPr>
      </w:pPr>
      <w:r>
        <w:rPr>
          <w:rFonts w:eastAsia="Times New Roman"/>
          <w:color w:val="000000"/>
          <w:sz w:val="20"/>
          <w:szCs w:val="20"/>
        </w:rPr>
        <w:t xml:space="preserve">We offer a targeted </w:t>
      </w:r>
      <w:r>
        <w:rPr>
          <w:rFonts w:eastAsia="Times New Roman"/>
          <w:color w:val="000000"/>
          <w:sz w:val="20"/>
          <w:szCs w:val="20"/>
        </w:rPr>
        <w:t>range of life insurance products aimed at serving the financial needs of our clients throughout their lives. Our product offerings include VUL, IUL and term life products, which represented 87%, 7% and 6% of our total life insurance annualized premium, res</w:t>
      </w:r>
      <w:r>
        <w:rPr>
          <w:rFonts w:eastAsia="Times New Roman"/>
          <w:color w:val="000000"/>
          <w:sz w:val="20"/>
          <w:szCs w:val="20"/>
        </w:rPr>
        <w:t>pectively, for the year ended December 31, 2022. Our products are distributed through Equitable Advisors and select third-party firms. We benefit from a long-term, stable distribution relationship with Equitable Advisors, with Equitable Advisors representi</w:t>
      </w:r>
      <w:r>
        <w:rPr>
          <w:rFonts w:eastAsia="Times New Roman"/>
          <w:color w:val="000000"/>
          <w:sz w:val="20"/>
          <w:szCs w:val="20"/>
        </w:rPr>
        <w:t>ng approximately 73% of our total life insurance sales for the year ended December 31, 2022.</w:t>
      </w:r>
    </w:p>
    <w:p w:rsidR="00000000" w:rsidRDefault="00E54EC0">
      <w:pPr>
        <w:ind w:firstLine="360"/>
        <w:divId w:val="321740257"/>
        <w:rPr>
          <w:rFonts w:eastAsia="Times New Roman"/>
        </w:rPr>
      </w:pPr>
      <w:r>
        <w:rPr>
          <w:rFonts w:eastAsia="Times New Roman"/>
          <w:color w:val="000000"/>
          <w:sz w:val="20"/>
          <w:szCs w:val="20"/>
        </w:rPr>
        <w:t xml:space="preserve">In 2015, we entered the employee benefits market focusing on small and medium-sized businesses, a target market for our life insurance and Group Retirement 401(k) </w:t>
      </w:r>
      <w:r>
        <w:rPr>
          <w:rFonts w:eastAsia="Times New Roman"/>
          <w:color w:val="000000"/>
          <w:sz w:val="20"/>
          <w:szCs w:val="20"/>
        </w:rPr>
        <w:t>businesses. Our core products consist of Group Life Insurance (including Accidental Death &amp; Dismemberment), Supplemental Life, Dental, Vision, Short-Term Disability and Long-Term Disability. In addition, we offer a full suite of Supplemental Health product</w:t>
      </w:r>
      <w:r>
        <w:rPr>
          <w:rFonts w:eastAsia="Times New Roman"/>
          <w:color w:val="000000"/>
          <w:sz w:val="20"/>
          <w:szCs w:val="20"/>
        </w:rPr>
        <w:t xml:space="preserve">s including Accident, Critical Illness and Hospital Indemnity. Our Employee Benefits’ solutions are distributed through the traditional broker channel, strategic partnerships (medical partners, professional employer associations (PEOs), and associations), </w:t>
      </w:r>
      <w:r>
        <w:rPr>
          <w:rFonts w:eastAsia="Times New Roman"/>
          <w:color w:val="000000"/>
          <w:sz w:val="20"/>
          <w:szCs w:val="20"/>
        </w:rPr>
        <w:t>General Agencies, TPAs and Retail Equitable Advisors. We believe our EB360 technology platform is a differentiator and will further augment our solutions for small and medium-sized businesses.</w:t>
      </w:r>
    </w:p>
    <w:p w:rsidR="00000000" w:rsidRDefault="00E54EC0">
      <w:pPr>
        <w:divId w:val="460852624"/>
        <w:rPr>
          <w:rFonts w:eastAsia="Times New Roman"/>
        </w:rPr>
      </w:pPr>
    </w:p>
    <w:p w:rsidR="00000000" w:rsidRDefault="00E54EC0">
      <w:pPr>
        <w:ind w:firstLine="360"/>
        <w:divId w:val="1412116565"/>
        <w:rPr>
          <w:rFonts w:eastAsia="Times New Roman"/>
        </w:rPr>
      </w:pPr>
      <w:r>
        <w:rPr>
          <w:rFonts w:eastAsia="Times New Roman"/>
          <w:color w:val="000000"/>
          <w:sz w:val="20"/>
          <w:szCs w:val="20"/>
        </w:rPr>
        <w:t>Our Protection Solutions segment provides strong cash flows g</w:t>
      </w:r>
      <w:r>
        <w:rPr>
          <w:rFonts w:eastAsia="Times New Roman"/>
          <w:color w:val="000000"/>
          <w:sz w:val="20"/>
          <w:szCs w:val="20"/>
        </w:rPr>
        <w:t xml:space="preserve">enerated by our in-force book and capital diversification benefits. The primary sources of revenue are premiums, investment income, asset-based fees (investment management and 12b-1 fees), and policy charges (expense loads, surrender charges and mortality </w:t>
      </w:r>
      <w:r>
        <w:rPr>
          <w:rFonts w:eastAsia="Times New Roman"/>
          <w:color w:val="000000"/>
          <w:sz w:val="20"/>
          <w:szCs w:val="20"/>
        </w:rPr>
        <w:t>charges), as well as fees collected from Equitable Advisors non-proprietary sales through Equitable Network.</w:t>
      </w:r>
    </w:p>
    <w:p w:rsidR="00000000" w:rsidRDefault="00E54EC0">
      <w:pPr>
        <w:jc w:val="both"/>
        <w:divId w:val="858743057"/>
        <w:rPr>
          <w:rFonts w:eastAsia="Times New Roman"/>
        </w:rPr>
      </w:pPr>
      <w:r>
        <w:rPr>
          <w:rFonts w:eastAsia="Times New Roman"/>
          <w:b/>
          <w:bCs/>
          <w:i/>
          <w:iCs/>
          <w:color w:val="000000"/>
          <w:sz w:val="20"/>
          <w:szCs w:val="20"/>
        </w:rPr>
        <w:t>Life Insurance</w:t>
      </w:r>
    </w:p>
    <w:p w:rsidR="00000000" w:rsidRDefault="00E54EC0">
      <w:pPr>
        <w:ind w:firstLine="360"/>
        <w:divId w:val="2107535655"/>
        <w:rPr>
          <w:rFonts w:eastAsia="Times New Roman"/>
        </w:rPr>
      </w:pPr>
      <w:r>
        <w:rPr>
          <w:rFonts w:eastAsia="Times New Roman"/>
          <w:color w:val="000000"/>
          <w:sz w:val="20"/>
          <w:szCs w:val="20"/>
        </w:rPr>
        <w:t xml:space="preserve">We have been serving the financial needs of our clients and their families since 1859. We have an established reputation in product </w:t>
      </w:r>
      <w:r>
        <w:rPr>
          <w:rFonts w:eastAsia="Times New Roman"/>
          <w:color w:val="000000"/>
          <w:sz w:val="20"/>
          <w:szCs w:val="20"/>
        </w:rPr>
        <w:t>innovation by pioneering the VUL market in 1976 and continuing today with our range of innovative product offerings.</w:t>
      </w:r>
    </w:p>
    <w:p w:rsidR="00000000" w:rsidRDefault="00E54EC0">
      <w:pPr>
        <w:divId w:val="101651643"/>
        <w:rPr>
          <w:rFonts w:eastAsia="Times New Roman"/>
        </w:rPr>
      </w:pPr>
      <w:r>
        <w:rPr>
          <w:rFonts w:eastAsia="Times New Roman"/>
          <w:i/>
          <w:iCs/>
          <w:color w:val="000000"/>
          <w:sz w:val="20"/>
          <w:szCs w:val="20"/>
          <w:u w:val="single"/>
        </w:rPr>
        <w:t>Products</w:t>
      </w:r>
    </w:p>
    <w:p w:rsidR="00000000" w:rsidRDefault="00E54EC0">
      <w:pPr>
        <w:divId w:val="1501046452"/>
        <w:rPr>
          <w:rFonts w:eastAsia="Times New Roman"/>
        </w:rPr>
      </w:pPr>
      <w:r>
        <w:rPr>
          <w:rFonts w:eastAsia="Times New Roman"/>
          <w:color w:val="000000"/>
          <w:sz w:val="20"/>
          <w:szCs w:val="20"/>
        </w:rPr>
        <w:t>Our life insurance products are primarily designed to help individuals and small and medium-sized businesses with protection, weal</w:t>
      </w:r>
      <w:r>
        <w:rPr>
          <w:rFonts w:eastAsia="Times New Roman"/>
          <w:color w:val="000000"/>
          <w:sz w:val="20"/>
          <w:szCs w:val="20"/>
        </w:rPr>
        <w:t>th accumulation and transfer of wealth at death, as well as corporate planning solutions including non-qualified deferred compensation, succession planning and key person insurance. We target select segments of the life insurance market: permanent life ins</w:t>
      </w:r>
      <w:r>
        <w:rPr>
          <w:rFonts w:eastAsia="Times New Roman"/>
          <w:color w:val="000000"/>
          <w:sz w:val="20"/>
          <w:szCs w:val="20"/>
        </w:rPr>
        <w:t>urance, including IUL and VUL products and term insurance. In recent years, we have refocused our product offering and distribution towards less capital intensive, higher return accumulation and protection products. For example, in January 2021, we discont</w:t>
      </w:r>
      <w:r>
        <w:rPr>
          <w:rFonts w:eastAsia="Times New Roman"/>
          <w:color w:val="000000"/>
          <w:sz w:val="20"/>
          <w:szCs w:val="20"/>
        </w:rPr>
        <w:t>inued offering our most interest rate sensitive IUL product (“IUL Protect”). We plan to grow our operating earnings over time through earnings generated from sales of our repositioned product portfolio and by proactively managing and optimizing our in-forc</w:t>
      </w:r>
      <w:r>
        <w:rPr>
          <w:rFonts w:eastAsia="Times New Roman"/>
          <w:color w:val="000000"/>
          <w:sz w:val="20"/>
          <w:szCs w:val="20"/>
        </w:rPr>
        <w:t>e book.</w:t>
      </w:r>
    </w:p>
    <w:p w:rsidR="00000000" w:rsidRDefault="00E54EC0">
      <w:pPr>
        <w:divId w:val="1210722816"/>
        <w:rPr>
          <w:rFonts w:eastAsia="Times New Roman"/>
        </w:rPr>
      </w:pPr>
    </w:p>
    <w:p w:rsidR="00000000" w:rsidRDefault="00E54EC0">
      <w:pPr>
        <w:ind w:firstLine="360"/>
        <w:divId w:val="1569146332"/>
        <w:rPr>
          <w:rFonts w:eastAsia="Times New Roman"/>
        </w:rPr>
      </w:pPr>
      <w:r>
        <w:rPr>
          <w:rFonts w:eastAsia="Times New Roman"/>
          <w:i/>
          <w:iCs/>
          <w:color w:val="000000"/>
          <w:sz w:val="20"/>
          <w:szCs w:val="20"/>
        </w:rPr>
        <w:t>Permanent Life Insurance.</w:t>
      </w:r>
      <w:r>
        <w:rPr>
          <w:rFonts w:eastAsia="Times New Roman"/>
          <w:color w:val="000000"/>
          <w:sz w:val="20"/>
          <w:szCs w:val="20"/>
        </w:rPr>
        <w:t xml:space="preserve"> Our permanent life insurance offerings are built on the premise that all clients expect to receive a benefit from the policy. The benefit may take the form of a life insurance death benefit paid at time of death or acces</w:t>
      </w:r>
      <w:r>
        <w:rPr>
          <w:rFonts w:eastAsia="Times New Roman"/>
          <w:color w:val="000000"/>
          <w:sz w:val="20"/>
          <w:szCs w:val="20"/>
        </w:rPr>
        <w:t>s while living to cash that has accumulated in the policy on a tax-favored basis. In each case, the value to the client comes from access to a broad spectrum of equity or fixed interest investments that accumulate the policy value at rates of return consis</w:t>
      </w:r>
      <w:r>
        <w:rPr>
          <w:rFonts w:eastAsia="Times New Roman"/>
          <w:color w:val="000000"/>
          <w:sz w:val="20"/>
          <w:szCs w:val="20"/>
        </w:rPr>
        <w:t>tent with the market.</w:t>
      </w:r>
    </w:p>
    <w:p w:rsidR="00000000" w:rsidRDefault="00E54EC0">
      <w:pPr>
        <w:ind w:firstLine="360"/>
        <w:divId w:val="553543403"/>
        <w:rPr>
          <w:rFonts w:eastAsia="Times New Roman"/>
        </w:rPr>
      </w:pPr>
      <w:r>
        <w:rPr>
          <w:rFonts w:eastAsia="Times New Roman"/>
          <w:color w:val="000000"/>
          <w:sz w:val="20"/>
          <w:szCs w:val="20"/>
        </w:rPr>
        <w:t>We have three permanent life insurance offerings built upon a UL insurance framework: IUL, VUL and COLI targeting the small and medium-sized business market. UL policies offer flexible premiums, and generally offer the policyholder th</w:t>
      </w:r>
      <w:r>
        <w:rPr>
          <w:rFonts w:eastAsia="Times New Roman"/>
          <w:color w:val="000000"/>
          <w:sz w:val="20"/>
          <w:szCs w:val="20"/>
        </w:rPr>
        <w:t>e ability to choose one of two death benefit options: a level benefit equal to the policy’s original face amount or a variable benefit equal to the original face amount plus any existing policy AV. Our insurance products include single-life and second-to-d</w:t>
      </w:r>
      <w:r>
        <w:rPr>
          <w:rFonts w:eastAsia="Times New Roman"/>
          <w:color w:val="000000"/>
          <w:sz w:val="20"/>
          <w:szCs w:val="20"/>
        </w:rPr>
        <w:t>ie (i.e., survivorship) products.</w:t>
      </w:r>
    </w:p>
    <w:p w:rsidR="00000000" w:rsidRDefault="00E54EC0">
      <w:pPr>
        <w:ind w:firstLine="360"/>
        <w:divId w:val="2055735366"/>
        <w:rPr>
          <w:rFonts w:eastAsia="Times New Roman"/>
        </w:rPr>
      </w:pPr>
      <w:r>
        <w:rPr>
          <w:rFonts w:eastAsia="Times New Roman"/>
          <w:i/>
          <w:iCs/>
          <w:color w:val="000000"/>
          <w:sz w:val="20"/>
          <w:szCs w:val="20"/>
        </w:rPr>
        <w:t>IUL.</w:t>
      </w:r>
      <w:r>
        <w:rPr>
          <w:rFonts w:eastAsia="Times New Roman"/>
          <w:color w:val="000000"/>
          <w:sz w:val="20"/>
          <w:szCs w:val="20"/>
        </w:rPr>
        <w:t xml:space="preserve"> IUL uses an equity-linked approach for generating policy investment returns. The equity linked options provide upside return based on an external equity-based index (e.g., S&amp;P 500) subject to a cap. In exchange for th</w:t>
      </w:r>
      <w:r>
        <w:rPr>
          <w:rFonts w:eastAsia="Times New Roman"/>
          <w:color w:val="000000"/>
          <w:sz w:val="20"/>
          <w:szCs w:val="20"/>
        </w:rPr>
        <w:t xml:space="preserve">is cap on investment returns, the policy provides downside protection in that annual investment returns are floored at zero, protecting the </w:t>
      </w:r>
    </w:p>
    <w:p w:rsidR="00000000" w:rsidRDefault="00E54EC0">
      <w:pPr>
        <w:jc w:val="center"/>
        <w:divId w:val="1887790209"/>
        <w:rPr>
          <w:rFonts w:eastAsia="Times New Roman"/>
        </w:rPr>
      </w:pPr>
      <w:r>
        <w:rPr>
          <w:rFonts w:eastAsia="Times New Roman"/>
          <w:color w:val="000000"/>
          <w:sz w:val="20"/>
          <w:szCs w:val="20"/>
        </w:rPr>
        <w:t>29</w:t>
      </w:r>
    </w:p>
    <w:p w:rsidR="00000000" w:rsidRDefault="00E54EC0">
      <w:pPr>
        <w:rPr>
          <w:rFonts w:eastAsia="Times New Roman"/>
        </w:rPr>
      </w:pPr>
      <w:r>
        <w:rPr>
          <w:rFonts w:eastAsia="Times New Roman"/>
        </w:rPr>
        <w:pict>
          <v:rect id="_x0000_i1064" style="width:0;height:1.5pt" o:hralign="center" o:hrstd="t" o:hr="t" fillcolor="#a0a0a0" stroked="f"/>
        </w:pict>
      </w:r>
    </w:p>
    <w:p w:rsidR="00000000" w:rsidRDefault="00E54EC0">
      <w:pPr>
        <w:divId w:val="1042052441"/>
        <w:rPr>
          <w:rFonts w:eastAsia="Times New Roman"/>
        </w:rPr>
      </w:pPr>
    </w:p>
    <w:p w:rsidR="00000000" w:rsidRDefault="00E54EC0">
      <w:pPr>
        <w:divId w:val="248388536"/>
        <w:rPr>
          <w:rFonts w:eastAsia="Times New Roman"/>
        </w:rPr>
      </w:pPr>
      <w:r>
        <w:rPr>
          <w:rFonts w:eastAsia="Times New Roman"/>
          <w:color w:val="000000"/>
          <w:sz w:val="20"/>
          <w:szCs w:val="20"/>
        </w:rPr>
        <w:t>policyholder in the event of a market movement down. As noted above, the p</w:t>
      </w:r>
      <w:r>
        <w:rPr>
          <w:rFonts w:eastAsia="Times New Roman"/>
          <w:color w:val="000000"/>
          <w:sz w:val="20"/>
          <w:szCs w:val="20"/>
        </w:rPr>
        <w:t>erformance of any UL insurance policy also depends on the level of policy charges. For further discussion, see “—Pricing and Fees.”</w:t>
      </w:r>
    </w:p>
    <w:p w:rsidR="00000000" w:rsidRDefault="00E54EC0">
      <w:pPr>
        <w:ind w:firstLine="360"/>
        <w:divId w:val="1637952101"/>
        <w:rPr>
          <w:rFonts w:eastAsia="Times New Roman"/>
        </w:rPr>
      </w:pPr>
      <w:r>
        <w:rPr>
          <w:rFonts w:eastAsia="Times New Roman"/>
          <w:i/>
          <w:iCs/>
          <w:color w:val="000000"/>
          <w:sz w:val="20"/>
          <w:szCs w:val="20"/>
        </w:rPr>
        <w:t>VUL</w:t>
      </w:r>
      <w:r>
        <w:rPr>
          <w:rFonts w:eastAsia="Times New Roman"/>
          <w:color w:val="000000"/>
          <w:sz w:val="20"/>
          <w:szCs w:val="20"/>
        </w:rPr>
        <w:t>. VUL uses a series of investment options to generate the investment return allocated to the cash value. The sub-accounts</w:t>
      </w:r>
      <w:r>
        <w:rPr>
          <w:rFonts w:eastAsia="Times New Roman"/>
          <w:color w:val="000000"/>
          <w:sz w:val="20"/>
          <w:szCs w:val="20"/>
        </w:rPr>
        <w:t xml:space="preserve"> are similar to retail mutual funds: a policyholder can invest policy values in one or more underlying investment options offering varying levels of risk and growth potential. These provide long-term growth opportunities, tax-deferred earnings and the abil</w:t>
      </w:r>
      <w:r>
        <w:rPr>
          <w:rFonts w:eastAsia="Times New Roman"/>
          <w:color w:val="000000"/>
          <w:sz w:val="20"/>
          <w:szCs w:val="20"/>
        </w:rPr>
        <w:t>ity to make tax-free transfers among the various sub-accounts. In addition, the policyholder can invest premiums in a guaranteed interest option, as well as an investment option we call the MSO, which provides downside protection from losses in the index u</w:t>
      </w:r>
      <w:r>
        <w:rPr>
          <w:rFonts w:eastAsia="Times New Roman"/>
          <w:color w:val="000000"/>
          <w:sz w:val="20"/>
          <w:szCs w:val="20"/>
        </w:rPr>
        <w:t>p to a specified percentage. Our COLI product is a VUL insurance product tailored specifically to support executive benefits in the small business market.</w:t>
      </w:r>
    </w:p>
    <w:p w:rsidR="00000000" w:rsidRDefault="00E54EC0">
      <w:pPr>
        <w:ind w:firstLine="360"/>
        <w:divId w:val="2105875449"/>
        <w:rPr>
          <w:rFonts w:eastAsia="Times New Roman"/>
        </w:rPr>
      </w:pPr>
      <w:r>
        <w:rPr>
          <w:rFonts w:eastAsia="Times New Roman"/>
          <w:color w:val="000000"/>
          <w:sz w:val="20"/>
          <w:szCs w:val="20"/>
        </w:rPr>
        <w:t>We work with employees of EIMG to identify and include appropriate underlying investment options in our variable life products, as well as to control the costs of these options.</w:t>
      </w:r>
    </w:p>
    <w:p w:rsidR="00000000" w:rsidRDefault="00E54EC0">
      <w:pPr>
        <w:ind w:firstLine="360"/>
        <w:divId w:val="793251073"/>
        <w:rPr>
          <w:rFonts w:eastAsia="Times New Roman"/>
        </w:rPr>
      </w:pPr>
      <w:r>
        <w:rPr>
          <w:rFonts w:eastAsia="Times New Roman"/>
          <w:i/>
          <w:iCs/>
          <w:color w:val="000000"/>
          <w:sz w:val="20"/>
          <w:szCs w:val="20"/>
        </w:rPr>
        <w:t>Term Life.</w:t>
      </w:r>
      <w:r>
        <w:rPr>
          <w:rFonts w:eastAsia="Times New Roman"/>
          <w:color w:val="000000"/>
          <w:sz w:val="20"/>
          <w:szCs w:val="20"/>
        </w:rPr>
        <w:t xml:space="preserve"> Term life provides basic life insurance protection for a specified </w:t>
      </w:r>
      <w:r>
        <w:rPr>
          <w:rFonts w:eastAsia="Times New Roman"/>
          <w:color w:val="000000"/>
          <w:sz w:val="20"/>
          <w:szCs w:val="20"/>
        </w:rPr>
        <w:t>period of time and is typically a client’s first life insurance purchase due to its simple design providing basic income protection. Life insurance benefits are paid if death occurs during the term period, as long as required premiums have been paid. The r</w:t>
      </w:r>
      <w:r>
        <w:rPr>
          <w:rFonts w:eastAsia="Times New Roman"/>
          <w:color w:val="000000"/>
          <w:sz w:val="20"/>
          <w:szCs w:val="20"/>
        </w:rPr>
        <w:t>equired premiums are guaranteed not to increase during the term period, otherwise known as a level pay or fixed premium. Our term products include conversion features that allow the policyholder to convert their term life insurance policy to permanent life</w:t>
      </w:r>
      <w:r>
        <w:rPr>
          <w:rFonts w:eastAsia="Times New Roman"/>
          <w:color w:val="000000"/>
          <w:sz w:val="20"/>
          <w:szCs w:val="20"/>
        </w:rPr>
        <w:t xml:space="preserve"> insurance within policy limits. </w:t>
      </w:r>
    </w:p>
    <w:p w:rsidR="00000000" w:rsidRDefault="00E54EC0">
      <w:pPr>
        <w:ind w:firstLine="360"/>
        <w:divId w:val="1852791991"/>
        <w:rPr>
          <w:rFonts w:eastAsia="Times New Roman"/>
        </w:rPr>
      </w:pPr>
      <w:r>
        <w:rPr>
          <w:rFonts w:eastAsia="Times New Roman"/>
          <w:i/>
          <w:iCs/>
          <w:color w:val="000000"/>
          <w:sz w:val="20"/>
          <w:szCs w:val="20"/>
        </w:rPr>
        <w:t>Other Benefits.</w:t>
      </w:r>
      <w:r>
        <w:rPr>
          <w:rFonts w:eastAsia="Times New Roman"/>
          <w:color w:val="000000"/>
          <w:sz w:val="20"/>
          <w:szCs w:val="20"/>
        </w:rPr>
        <w:t xml:space="preserve"> We offer a portfolio of riders to provide clients with additional flexibility to protect the value of their investments and overcome challenges. Our Long-Term Care Services Rider provides an acceleration of</w:t>
      </w:r>
      <w:r>
        <w:rPr>
          <w:rFonts w:eastAsia="Times New Roman"/>
          <w:color w:val="000000"/>
          <w:sz w:val="20"/>
          <w:szCs w:val="20"/>
        </w:rPr>
        <w:t xml:space="preserve"> the policy death benefit in the event of a chronic illness and has been elected on 29% of all eligible policies and elected on 25% of all new policies sold during the year ended December 31, 2022. The MSO, referred to above and offered via a policy rider </w:t>
      </w:r>
      <w:r>
        <w:rPr>
          <w:rFonts w:eastAsia="Times New Roman"/>
          <w:color w:val="000000"/>
          <w:sz w:val="20"/>
          <w:szCs w:val="20"/>
        </w:rPr>
        <w:t xml:space="preserve">on our variable life products, provides policyholders with the opportunity to manage volatility. </w:t>
      </w:r>
    </w:p>
    <w:p w:rsidR="00000000" w:rsidRDefault="00E54EC0">
      <w:pPr>
        <w:ind w:firstLine="360"/>
        <w:divId w:val="196621371"/>
        <w:rPr>
          <w:rFonts w:eastAsia="Times New Roman"/>
        </w:rPr>
      </w:pPr>
      <w:r>
        <w:rPr>
          <w:rFonts w:eastAsia="Times New Roman"/>
          <w:color w:val="000000"/>
          <w:sz w:val="20"/>
          <w:szCs w:val="20"/>
        </w:rPr>
        <w:t>The following table presents individual life insurance annualized premiums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772431499"/>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7243149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77243149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7243149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77243149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Annualized Premium</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24314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Indexed Universal Life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243149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Universal Life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24314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Term</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2431499"/>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77243149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603076573"/>
        <w:rPr>
          <w:rFonts w:eastAsia="Times New Roman"/>
        </w:rPr>
      </w:pPr>
    </w:p>
    <w:p w:rsidR="00000000" w:rsidRDefault="00E54EC0">
      <w:pPr>
        <w:ind w:firstLine="360"/>
        <w:divId w:val="520244410"/>
        <w:rPr>
          <w:rFonts w:eastAsia="Times New Roman"/>
        </w:rPr>
      </w:pPr>
      <w:r>
        <w:rPr>
          <w:rFonts w:eastAsia="Times New Roman"/>
          <w:color w:val="000000"/>
          <w:sz w:val="20"/>
          <w:szCs w:val="20"/>
        </w:rPr>
        <w:t>The following table presents individual life insurance FYP and renewals by product and total gross premiums for the periods indicated:</w:t>
      </w:r>
    </w:p>
    <w:p w:rsidR="00000000" w:rsidRDefault="00E54EC0">
      <w:pPr>
        <w:jc w:val="center"/>
        <w:divId w:val="472722249"/>
        <w:rPr>
          <w:rFonts w:eastAsia="Times New Roman"/>
        </w:rPr>
      </w:pPr>
      <w:r>
        <w:rPr>
          <w:rFonts w:eastAsia="Times New Roman"/>
          <w:color w:val="000000"/>
          <w:sz w:val="20"/>
          <w:szCs w:val="20"/>
        </w:rPr>
        <w:t>30</w:t>
      </w:r>
    </w:p>
    <w:p w:rsidR="00000000" w:rsidRDefault="00E54EC0">
      <w:pPr>
        <w:rPr>
          <w:rFonts w:eastAsia="Times New Roman"/>
        </w:rPr>
      </w:pPr>
      <w:r>
        <w:rPr>
          <w:rFonts w:eastAsia="Times New Roman"/>
        </w:rPr>
        <w:pict>
          <v:rect id="_x0000_i1065" style="width:0;height:1.5pt" o:hralign="center" o:hrstd="t" o:hr="t" fillcolor="#a0a0a0" stroked="f"/>
        </w:pict>
      </w:r>
    </w:p>
    <w:p w:rsidR="00000000" w:rsidRDefault="00E54EC0">
      <w:pPr>
        <w:divId w:val="19370106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060245942"/>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6024594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06024594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06024594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6024594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FYP by Product Line</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024594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Indexed Universal Life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Universal Life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Term</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Renewals by Product Line</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024594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Universal Life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Indexed Universal Life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Universal Life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Term</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0245942"/>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024594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Gross Premiums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2,789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2,849 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2,769 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39346122"/>
        <w:rPr>
          <w:rFonts w:eastAsia="Times New Roman"/>
        </w:rPr>
      </w:pPr>
      <w:r>
        <w:rPr>
          <w:rFonts w:eastAsia="Times New Roman"/>
          <w:color w:val="000000"/>
          <w:sz w:val="18"/>
          <w:szCs w:val="18"/>
        </w:rPr>
        <w:t>______________</w:t>
      </w:r>
    </w:p>
    <w:p w:rsidR="00000000" w:rsidRDefault="00E54EC0">
      <w:pPr>
        <w:ind w:hanging="360"/>
        <w:divId w:val="852232177"/>
        <w:rPr>
          <w:rFonts w:eastAsia="Times New Roman"/>
        </w:rPr>
      </w:pPr>
      <w:r>
        <w:rPr>
          <w:rFonts w:eastAsia="Times New Roman"/>
          <w:color w:val="000000"/>
          <w:sz w:val="18"/>
          <w:szCs w:val="18"/>
        </w:rPr>
        <w:t xml:space="preserve">(1)For the individual life insurance in-force, other includes current assumption universal life insurance, whole life insurance and other products available for sale but </w:t>
      </w:r>
      <w:r>
        <w:rPr>
          <w:rFonts w:eastAsia="Times New Roman"/>
          <w:color w:val="000000"/>
          <w:sz w:val="18"/>
          <w:szCs w:val="18"/>
        </w:rPr>
        <w:t>not actively marketed.</w:t>
      </w:r>
    </w:p>
    <w:p w:rsidR="00000000" w:rsidRDefault="00E54EC0">
      <w:pPr>
        <w:ind w:firstLine="360"/>
        <w:divId w:val="1143237902"/>
        <w:rPr>
          <w:rFonts w:eastAsia="Times New Roman"/>
        </w:rPr>
      </w:pPr>
      <w:r>
        <w:rPr>
          <w:rFonts w:eastAsia="Times New Roman"/>
          <w:color w:val="000000"/>
          <w:sz w:val="20"/>
          <w:szCs w:val="20"/>
        </w:rPr>
        <w:t>Our in-force book spans three insurance companies, Equitable Financial, Equitable America and Equitable L&amp;A. Equitable L&amp;A is closed for new business. Certain term products and permanent products riders from Equitable America and Equ</w:t>
      </w:r>
      <w:r>
        <w:rPr>
          <w:rFonts w:eastAsia="Times New Roman"/>
          <w:color w:val="000000"/>
          <w:sz w:val="20"/>
          <w:szCs w:val="20"/>
        </w:rPr>
        <w:t>itable Financial have been reinsured to our captive reinsurer EQ AZ Life Re. Our in-force portfolio is made up of core product offerings as described above, as well as past generation product offerings that include current assumption universal life insuran</w:t>
      </w:r>
      <w:r>
        <w:rPr>
          <w:rFonts w:eastAsia="Times New Roman"/>
          <w:color w:val="000000"/>
          <w:sz w:val="20"/>
          <w:szCs w:val="20"/>
        </w:rPr>
        <w:t>ce, whole life insurance and other products.</w:t>
      </w:r>
    </w:p>
    <w:p w:rsidR="00000000" w:rsidRDefault="00E54EC0">
      <w:pPr>
        <w:ind w:firstLine="360"/>
        <w:divId w:val="1367681682"/>
        <w:rPr>
          <w:rFonts w:eastAsia="Times New Roman"/>
        </w:rPr>
      </w:pPr>
      <w:r>
        <w:rPr>
          <w:rFonts w:eastAsia="Times New Roman"/>
          <w:color w:val="000000"/>
          <w:sz w:val="20"/>
          <w:szCs w:val="20"/>
        </w:rPr>
        <w:t>The following table presents our in-force </w:t>
      </w:r>
      <w:r>
        <w:rPr>
          <w:rFonts w:eastAsia="Times New Roman"/>
          <w:color w:val="000000"/>
          <w:sz w:val="20"/>
          <w:szCs w:val="20"/>
        </w:rPr>
        <w:t>face amount and Protection Solutions Reserves as of the dates indicated, respectively, for the individual life insurance products we offer:</w:t>
      </w:r>
    </w:p>
    <w:tbl>
      <w:tblPr>
        <w:tblW w:w="5000" w:type="pct"/>
        <w:tblCellMar>
          <w:top w:w="15" w:type="dxa"/>
          <w:left w:w="15" w:type="dxa"/>
          <w:bottom w:w="15" w:type="dxa"/>
          <w:right w:w="15" w:type="dxa"/>
        </w:tblCellMar>
        <w:tblLook w:val="04A0" w:firstRow="1" w:lastRow="0" w:firstColumn="1" w:lastColumn="0" w:noHBand="0" w:noVBand="1"/>
      </w:tblPr>
      <w:tblGrid>
        <w:gridCol w:w="37"/>
        <w:gridCol w:w="4778"/>
        <w:gridCol w:w="36"/>
        <w:gridCol w:w="120"/>
        <w:gridCol w:w="951"/>
        <w:gridCol w:w="36"/>
        <w:gridCol w:w="36"/>
        <w:gridCol w:w="36"/>
        <w:gridCol w:w="36"/>
        <w:gridCol w:w="120"/>
        <w:gridCol w:w="910"/>
        <w:gridCol w:w="36"/>
        <w:gridCol w:w="36"/>
        <w:gridCol w:w="36"/>
        <w:gridCol w:w="36"/>
        <w:gridCol w:w="120"/>
        <w:gridCol w:w="910"/>
        <w:gridCol w:w="36"/>
      </w:tblGrid>
      <w:tr w:rsidR="00000000">
        <w:trPr>
          <w:divId w:val="2110734257"/>
        </w:trPr>
        <w:tc>
          <w:tcPr>
            <w:tcW w:w="50" w:type="pct"/>
            <w:vAlign w:val="center"/>
            <w:hideMark/>
          </w:tcPr>
          <w:p w:rsidR="00000000" w:rsidRDefault="00E54EC0">
            <w:pPr>
              <w:ind w:firstLine="360"/>
              <w:rPr>
                <w:rFonts w:eastAsia="Times New Roman"/>
              </w:rPr>
            </w:pPr>
          </w:p>
        </w:tc>
        <w:tc>
          <w:tcPr>
            <w:tcW w:w="29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11073425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211073425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211073425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2110734257"/>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07342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073425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07342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073425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Term</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07342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0734257"/>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417.0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4"/>
        <w:gridCol w:w="144"/>
        <w:gridCol w:w="144"/>
        <w:gridCol w:w="998"/>
        <w:gridCol w:w="144"/>
        <w:gridCol w:w="144"/>
        <w:gridCol w:w="144"/>
        <w:gridCol w:w="144"/>
        <w:gridCol w:w="144"/>
        <w:gridCol w:w="998"/>
        <w:gridCol w:w="144"/>
        <w:gridCol w:w="144"/>
        <w:gridCol w:w="144"/>
        <w:gridCol w:w="144"/>
        <w:gridCol w:w="144"/>
        <w:gridCol w:w="998"/>
        <w:gridCol w:w="144"/>
      </w:tblGrid>
      <w:tr w:rsidR="00000000">
        <w:tc>
          <w:tcPr>
            <w:tcW w:w="50" w:type="pct"/>
            <w:vAlign w:val="center"/>
            <w:hideMark/>
          </w:tcPr>
          <w:p w:rsidR="00000000" w:rsidRDefault="00E54EC0">
            <w:pPr>
              <w:rPr>
                <w:rFonts w:eastAsia="Times New Roman"/>
              </w:rPr>
            </w:pPr>
          </w:p>
        </w:tc>
        <w:tc>
          <w:tcPr>
            <w:tcW w:w="29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Protection Solutions Reserves (4)</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18,625 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18,905 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13,634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17,012 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14,771 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31,871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35,637 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33,676 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684021046"/>
        <w:rPr>
          <w:rFonts w:eastAsia="Times New Roman"/>
        </w:rPr>
      </w:pPr>
      <w:r>
        <w:rPr>
          <w:rFonts w:eastAsia="Times New Roman"/>
          <w:color w:val="000000"/>
          <w:sz w:val="18"/>
          <w:szCs w:val="18"/>
        </w:rPr>
        <w:t>______________</w:t>
      </w:r>
    </w:p>
    <w:p w:rsidR="00000000" w:rsidRDefault="00E54EC0">
      <w:pPr>
        <w:ind w:hanging="360"/>
        <w:divId w:val="371613573"/>
        <w:rPr>
          <w:rFonts w:eastAsia="Times New Roman"/>
        </w:rPr>
      </w:pPr>
      <w:r>
        <w:rPr>
          <w:rFonts w:eastAsia="Times New Roman"/>
          <w:color w:val="000000"/>
          <w:sz w:val="18"/>
          <w:szCs w:val="18"/>
        </w:rPr>
        <w:t>(1)Does not include life insurance sold as part of our employee benefits business.</w:t>
      </w:r>
    </w:p>
    <w:p w:rsidR="00000000" w:rsidRDefault="00E54EC0">
      <w:pPr>
        <w:ind w:hanging="360"/>
        <w:divId w:val="401291777"/>
        <w:rPr>
          <w:rFonts w:eastAsia="Times New Roman"/>
        </w:rPr>
      </w:pPr>
      <w:r>
        <w:rPr>
          <w:rFonts w:eastAsia="Times New Roman"/>
          <w:color w:val="000000"/>
          <w:sz w:val="18"/>
          <w:szCs w:val="18"/>
        </w:rPr>
        <w:t>(2)</w:t>
      </w:r>
      <w:r>
        <w:rPr>
          <w:rFonts w:eastAsia="Times New Roman"/>
          <w:color w:val="000000"/>
          <w:sz w:val="18"/>
          <w:szCs w:val="18"/>
        </w:rPr>
        <w:t>UL includes guaranteed universal life insurance products.</w:t>
      </w:r>
    </w:p>
    <w:p w:rsidR="00000000" w:rsidRDefault="00E54EC0">
      <w:pPr>
        <w:jc w:val="center"/>
        <w:divId w:val="1176503749"/>
        <w:rPr>
          <w:rFonts w:eastAsia="Times New Roman"/>
        </w:rPr>
      </w:pPr>
      <w:r>
        <w:rPr>
          <w:rFonts w:eastAsia="Times New Roman"/>
          <w:color w:val="000000"/>
          <w:sz w:val="20"/>
          <w:szCs w:val="20"/>
        </w:rPr>
        <w:t>31</w:t>
      </w:r>
    </w:p>
    <w:p w:rsidR="00000000" w:rsidRDefault="00E54EC0">
      <w:pPr>
        <w:rPr>
          <w:rFonts w:eastAsia="Times New Roman"/>
        </w:rPr>
      </w:pPr>
      <w:r>
        <w:rPr>
          <w:rFonts w:eastAsia="Times New Roman"/>
        </w:rPr>
        <w:pict>
          <v:rect id="_x0000_i1066" style="width:0;height:1.5pt" o:hralign="center" o:hrstd="t" o:hr="t" fillcolor="#a0a0a0" stroked="f"/>
        </w:pict>
      </w:r>
    </w:p>
    <w:p w:rsidR="00000000" w:rsidRDefault="00E54EC0">
      <w:pPr>
        <w:divId w:val="737560743"/>
        <w:rPr>
          <w:rFonts w:eastAsia="Times New Roman"/>
        </w:rPr>
      </w:pPr>
    </w:p>
    <w:p w:rsidR="00000000" w:rsidRDefault="00E54EC0">
      <w:pPr>
        <w:ind w:hanging="360"/>
        <w:divId w:val="2097362320"/>
        <w:rPr>
          <w:rFonts w:eastAsia="Times New Roman"/>
        </w:rPr>
      </w:pPr>
      <w:r>
        <w:rPr>
          <w:rFonts w:eastAsia="Times New Roman"/>
          <w:color w:val="000000"/>
          <w:sz w:val="18"/>
          <w:szCs w:val="18"/>
        </w:rPr>
        <w:t>(3)VUL includes variable life insurance and COLI.</w:t>
      </w:r>
    </w:p>
    <w:p w:rsidR="00000000" w:rsidRDefault="00E54EC0">
      <w:pPr>
        <w:ind w:hanging="360"/>
        <w:divId w:val="2038651335"/>
        <w:rPr>
          <w:rFonts w:eastAsia="Times New Roman"/>
        </w:rPr>
      </w:pPr>
      <w:r>
        <w:rPr>
          <w:rFonts w:eastAsia="Times New Roman"/>
          <w:color w:val="000000"/>
          <w:sz w:val="18"/>
          <w:szCs w:val="18"/>
        </w:rPr>
        <w:t>(4)Does not include Protection Solutions Reserves for our employee benefits business.</w:t>
      </w:r>
    </w:p>
    <w:p w:rsidR="00000000" w:rsidRDefault="00E54EC0">
      <w:pPr>
        <w:ind w:firstLine="360"/>
        <w:divId w:val="1290667113"/>
        <w:rPr>
          <w:rFonts w:eastAsia="Times New Roman"/>
        </w:rPr>
      </w:pPr>
      <w:r>
        <w:rPr>
          <w:rFonts w:eastAsia="Times New Roman"/>
          <w:color w:val="000000"/>
          <w:sz w:val="20"/>
          <w:szCs w:val="20"/>
        </w:rPr>
        <w:t>In order to optimize</w:t>
      </w:r>
      <w:r>
        <w:rPr>
          <w:rFonts w:eastAsia="Times New Roman"/>
          <w:color w:val="000000"/>
          <w:sz w:val="20"/>
          <w:szCs w:val="20"/>
        </w:rPr>
        <w:t xml:space="preserve"> our capital efficiency and improve the profitability of new business, in 2009, we made a strategic decision to exit the GUL insurance and 30-year term life insurance markets. In recent years, we have refocused our product offering and distribution towards</w:t>
      </w:r>
      <w:r>
        <w:rPr>
          <w:rFonts w:eastAsia="Times New Roman"/>
          <w:color w:val="000000"/>
          <w:sz w:val="20"/>
          <w:szCs w:val="20"/>
        </w:rPr>
        <w:t xml:space="preserve"> less capital intensive, higher return accumulation and protection products. For example, in January 2021, we discontinued offering our most interest sensitive IUL product (IUL Protect). The following chart shows this shift in our product sales (annualized</w:t>
      </w:r>
      <w:r>
        <w:rPr>
          <w:rFonts w:eastAsia="Times New Roman"/>
          <w:color w:val="000000"/>
          <w:sz w:val="20"/>
          <w:szCs w:val="20"/>
        </w:rPr>
        <w:t xml:space="preserve"> premiums) from 2008 to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16013671"/>
          <w:jc w:val="center"/>
        </w:trPr>
        <w:tc>
          <w:tcPr>
            <w:tcW w:w="50" w:type="pct"/>
            <w:vAlign w:val="center"/>
            <w:hideMark/>
          </w:tcPr>
          <w:p w:rsidR="00000000" w:rsidRDefault="00E54EC0">
            <w:pPr>
              <w:ind w:firstLine="360"/>
              <w:rPr>
                <w:rFonts w:eastAsia="Times New Roman"/>
              </w:rPr>
            </w:pPr>
          </w:p>
        </w:tc>
        <w:tc>
          <w:tcPr>
            <w:tcW w:w="4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16013671"/>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Shift in Product Sales (Annualized Premiums)</w:t>
            </w:r>
          </w:p>
        </w:tc>
      </w:tr>
    </w:tbl>
    <w:p w:rsidR="00000000" w:rsidRDefault="00E54EC0">
      <w:pPr>
        <w:spacing w:after="240"/>
        <w:ind w:firstLine="360"/>
        <w:jc w:val="center"/>
        <w:divId w:val="1222211299"/>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54EC0">
      <w:pPr>
        <w:ind w:hanging="360"/>
        <w:divId w:val="2094930759"/>
        <w:rPr>
          <w:rFonts w:eastAsia="Times New Roman"/>
        </w:rPr>
      </w:pPr>
      <w:r>
        <w:rPr>
          <w:rFonts w:eastAsia="Times New Roman"/>
          <w:color w:val="000000"/>
          <w:sz w:val="18"/>
          <w:szCs w:val="18"/>
        </w:rPr>
        <w:t>(1) UL includes GUL insurance products.</w:t>
      </w:r>
    </w:p>
    <w:p w:rsidR="00000000" w:rsidRDefault="00E54EC0">
      <w:pPr>
        <w:ind w:firstLine="360"/>
        <w:divId w:val="305014851"/>
        <w:rPr>
          <w:rFonts w:eastAsia="Times New Roman"/>
        </w:rPr>
      </w:pPr>
      <w:r>
        <w:rPr>
          <w:rFonts w:eastAsia="Times New Roman"/>
          <w:color w:val="000000"/>
          <w:sz w:val="20"/>
          <w:szCs w:val="20"/>
        </w:rPr>
        <w:t xml:space="preserve">As part of our in-force management function, we monitor the performance </w:t>
      </w:r>
      <w:r>
        <w:rPr>
          <w:rFonts w:eastAsia="Times New Roman"/>
          <w:color w:val="000000"/>
          <w:sz w:val="20"/>
          <w:szCs w:val="20"/>
        </w:rPr>
        <w:t>of our life insurance portfolio against our expectations at the time of pricing of the products. It is our objective to align the performance of our portfolio to pricing expectations and take in-force actions where appropriate, in accordance with our contr</w:t>
      </w:r>
      <w:r>
        <w:rPr>
          <w:rFonts w:eastAsia="Times New Roman"/>
          <w:color w:val="000000"/>
          <w:sz w:val="20"/>
          <w:szCs w:val="20"/>
        </w:rPr>
        <w:t xml:space="preserve">acts, applicable law and our governance processes. </w:t>
      </w:r>
    </w:p>
    <w:p w:rsidR="00000000" w:rsidRDefault="00E54EC0">
      <w:pPr>
        <w:divId w:val="688062742"/>
        <w:rPr>
          <w:rFonts w:eastAsia="Times New Roman"/>
        </w:rPr>
      </w:pPr>
      <w:r>
        <w:rPr>
          <w:rFonts w:eastAsia="Times New Roman"/>
          <w:i/>
          <w:iCs/>
          <w:color w:val="000000"/>
          <w:sz w:val="20"/>
          <w:szCs w:val="20"/>
          <w:u w:val="single"/>
        </w:rPr>
        <w:t>Markets</w:t>
      </w:r>
    </w:p>
    <w:p w:rsidR="00000000" w:rsidRDefault="00E54EC0">
      <w:pPr>
        <w:ind w:firstLine="360"/>
        <w:divId w:val="547104363"/>
        <w:rPr>
          <w:rFonts w:eastAsia="Times New Roman"/>
        </w:rPr>
      </w:pPr>
      <w:r>
        <w:rPr>
          <w:rFonts w:eastAsia="Times New Roman"/>
          <w:color w:val="000000"/>
          <w:sz w:val="20"/>
          <w:szCs w:val="20"/>
        </w:rPr>
        <w:t>While we serve all Equitable client segments, we specialize in Small to Medium Enterprises and high-income/high-net worth clients and their advisers. We also complement our permanent product suite</w:t>
      </w:r>
      <w:r>
        <w:rPr>
          <w:rFonts w:eastAsia="Times New Roman"/>
          <w:color w:val="000000"/>
          <w:sz w:val="20"/>
          <w:szCs w:val="20"/>
        </w:rPr>
        <w:t xml:space="preserve"> with term products for clients with simpler needs. We focus on creating value for our customers through the differentiated features and benefits we offer on our products. We distribute these products through retail advisors and third-party firms who demon</w:t>
      </w:r>
      <w:r>
        <w:rPr>
          <w:rFonts w:eastAsia="Times New Roman"/>
          <w:color w:val="000000"/>
          <w:sz w:val="20"/>
          <w:szCs w:val="20"/>
        </w:rPr>
        <w:t>strate the value of life insurance in helping clients to accumulate wealth and protect their assets.</w:t>
      </w:r>
    </w:p>
    <w:p w:rsidR="00000000" w:rsidRDefault="00E54EC0">
      <w:pPr>
        <w:divId w:val="1676493254"/>
        <w:rPr>
          <w:rFonts w:eastAsia="Times New Roman"/>
        </w:rPr>
      </w:pPr>
      <w:r>
        <w:rPr>
          <w:rFonts w:eastAsia="Times New Roman"/>
          <w:i/>
          <w:iCs/>
          <w:color w:val="000000"/>
          <w:sz w:val="20"/>
          <w:szCs w:val="20"/>
          <w:u w:val="single"/>
        </w:rPr>
        <w:t>Distribution</w:t>
      </w:r>
    </w:p>
    <w:p w:rsidR="00000000" w:rsidRDefault="00E54EC0">
      <w:pPr>
        <w:ind w:firstLine="360"/>
        <w:divId w:val="1647662306"/>
        <w:rPr>
          <w:rFonts w:eastAsia="Times New Roman"/>
        </w:rPr>
      </w:pPr>
      <w:r>
        <w:rPr>
          <w:rFonts w:eastAsia="Times New Roman"/>
          <w:color w:val="000000"/>
          <w:sz w:val="20"/>
          <w:szCs w:val="20"/>
        </w:rPr>
        <w:t>We primarily distribute life insurance through two channels: Equitable Advisors and third-party firms. We shifted our third-party distribution</w:t>
      </w:r>
      <w:r>
        <w:rPr>
          <w:rFonts w:eastAsia="Times New Roman"/>
          <w:color w:val="000000"/>
          <w:sz w:val="20"/>
          <w:szCs w:val="20"/>
        </w:rPr>
        <w:t xml:space="preserve"> focus in 2021 to bypass intermediaries by working directly with broker dealers and registered investment advisors that assist clients. This shift will allow us to build stronger distribution by aligning directly with experienced life producers and by prov</w:t>
      </w:r>
      <w:r>
        <w:rPr>
          <w:rFonts w:eastAsia="Times New Roman"/>
          <w:color w:val="000000"/>
          <w:sz w:val="20"/>
          <w:szCs w:val="20"/>
        </w:rPr>
        <w:t xml:space="preserve">iding digital, transactional capabilities to non-life experts, such as investment advisors. </w:t>
      </w:r>
    </w:p>
    <w:p w:rsidR="00000000" w:rsidRDefault="00E54EC0">
      <w:pPr>
        <w:ind w:firstLine="360"/>
        <w:divId w:val="2095860721"/>
        <w:rPr>
          <w:rFonts w:eastAsia="Times New Roman"/>
        </w:rPr>
      </w:pPr>
      <w:r>
        <w:rPr>
          <w:rFonts w:eastAsia="Times New Roman"/>
          <w:color w:val="000000"/>
          <w:sz w:val="20"/>
          <w:szCs w:val="20"/>
        </w:rPr>
        <w:t>The following table presents individual life insurance annualized premium by distribution channel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068067394"/>
        </w:trPr>
        <w:tc>
          <w:tcPr>
            <w:tcW w:w="50" w:type="pct"/>
            <w:vAlign w:val="center"/>
            <w:hideMark/>
          </w:tcPr>
          <w:p w:rsidR="00000000" w:rsidRDefault="00E54EC0">
            <w:pPr>
              <w:ind w:firstLine="36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6806739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06806739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06806739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6806739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Annualized Premium by Distribution</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80673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922988459"/>
              <w:rPr>
                <w:rFonts w:eastAsia="Times New Roman"/>
              </w:rPr>
            </w:pPr>
            <w:r>
              <w:rPr>
                <w:rFonts w:eastAsia="Times New Roman"/>
                <w:color w:val="000000"/>
                <w:sz w:val="20"/>
                <w:szCs w:val="20"/>
              </w:rPr>
              <w:t>Equitable Advisors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806739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Third-Party Firms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80673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529807991"/>
        <w:rPr>
          <w:rFonts w:eastAsia="Times New Roman"/>
        </w:rPr>
      </w:pPr>
      <w:r>
        <w:rPr>
          <w:rFonts w:eastAsia="Times New Roman"/>
          <w:color w:val="000000"/>
          <w:sz w:val="20"/>
          <w:szCs w:val="20"/>
        </w:rPr>
        <w:t>32</w:t>
      </w:r>
    </w:p>
    <w:p w:rsidR="00000000" w:rsidRDefault="00E54EC0">
      <w:pPr>
        <w:rPr>
          <w:rFonts w:eastAsia="Times New Roman"/>
        </w:rPr>
      </w:pPr>
      <w:r>
        <w:rPr>
          <w:rFonts w:eastAsia="Times New Roman"/>
        </w:rPr>
        <w:pict>
          <v:rect id="_x0000_i1069" style="width:0;height:1.5pt" o:hralign="center" o:hrstd="t" o:hr="t" fillcolor="#a0a0a0" stroked="f"/>
        </w:pict>
      </w:r>
    </w:p>
    <w:p w:rsidR="00000000" w:rsidRDefault="00E54EC0">
      <w:pPr>
        <w:divId w:val="164832097"/>
        <w:rPr>
          <w:rFonts w:eastAsia="Times New Roman"/>
        </w:rPr>
      </w:pPr>
    </w:p>
    <w:p w:rsidR="00000000" w:rsidRDefault="00E54EC0">
      <w:pPr>
        <w:divId w:val="1773278140"/>
        <w:rPr>
          <w:rFonts w:eastAsia="Times New Roman"/>
        </w:rPr>
      </w:pPr>
      <w:r>
        <w:rPr>
          <w:rFonts w:eastAsia="Times New Roman"/>
          <w:i/>
          <w:iCs/>
          <w:color w:val="000000"/>
          <w:sz w:val="20"/>
          <w:szCs w:val="20"/>
          <w:u w:val="single"/>
        </w:rPr>
        <w:t>Competition</w:t>
      </w:r>
    </w:p>
    <w:p w:rsidR="00000000" w:rsidRDefault="00E54EC0">
      <w:pPr>
        <w:ind w:firstLine="360"/>
        <w:divId w:val="846988651"/>
        <w:rPr>
          <w:rFonts w:eastAsia="Times New Roman"/>
        </w:rPr>
      </w:pPr>
      <w:r>
        <w:rPr>
          <w:rFonts w:eastAsia="Times New Roman"/>
          <w:color w:val="000000"/>
          <w:sz w:val="20"/>
          <w:szCs w:val="20"/>
        </w:rPr>
        <w:t>The life insurance industry consists of many companies with no single company dominating the market for all products. We selectively compete with large, well-established life insurance companies in a mature</w:t>
      </w:r>
      <w:r>
        <w:rPr>
          <w:rFonts w:eastAsia="Times New Roman"/>
          <w:color w:val="000000"/>
          <w:sz w:val="20"/>
          <w:szCs w:val="20"/>
        </w:rPr>
        <w:t xml:space="preserve"> market, where product features, price and service are key drivers. We primarily compete with others based on these drivers as well as distribution channel relationships, brand recognition, financial strength ratings of our insurance subsidiaries and finan</w:t>
      </w:r>
      <w:r>
        <w:rPr>
          <w:rFonts w:eastAsia="Times New Roman"/>
          <w:color w:val="000000"/>
          <w:sz w:val="20"/>
          <w:szCs w:val="20"/>
        </w:rPr>
        <w:t>cial stability. We are selective in our markets of interest and will continue to focus deeply in those areas that align to our offering.</w:t>
      </w:r>
    </w:p>
    <w:p w:rsidR="00000000" w:rsidRDefault="00E54EC0">
      <w:pPr>
        <w:divId w:val="1613973046"/>
        <w:rPr>
          <w:rFonts w:eastAsia="Times New Roman"/>
        </w:rPr>
      </w:pPr>
      <w:r>
        <w:rPr>
          <w:rFonts w:eastAsia="Times New Roman"/>
          <w:i/>
          <w:iCs/>
          <w:color w:val="000000"/>
          <w:sz w:val="20"/>
          <w:szCs w:val="20"/>
          <w:u w:val="single"/>
        </w:rPr>
        <w:t>Underwriting</w:t>
      </w:r>
    </w:p>
    <w:p w:rsidR="00000000" w:rsidRDefault="00E54EC0">
      <w:pPr>
        <w:ind w:firstLine="360"/>
        <w:divId w:val="325981592"/>
        <w:rPr>
          <w:rFonts w:eastAsia="Times New Roman"/>
        </w:rPr>
      </w:pPr>
      <w:r>
        <w:rPr>
          <w:rFonts w:eastAsia="Times New Roman"/>
          <w:color w:val="000000"/>
          <w:sz w:val="20"/>
          <w:szCs w:val="20"/>
        </w:rPr>
        <w:t>Our underwriting process, built around extensive underwriting guidelines, is designed to assign prospectiv</w:t>
      </w:r>
      <w:r>
        <w:rPr>
          <w:rFonts w:eastAsia="Times New Roman"/>
          <w:color w:val="000000"/>
          <w:sz w:val="20"/>
          <w:szCs w:val="20"/>
        </w:rPr>
        <w:t>e insureds to risk classes in a manner that is consistent with our business and financial objectives, including our risk appetite and pricing expectations.</w:t>
      </w:r>
    </w:p>
    <w:p w:rsidR="00000000" w:rsidRDefault="00E54EC0">
      <w:pPr>
        <w:ind w:firstLine="360"/>
        <w:divId w:val="103118593"/>
        <w:rPr>
          <w:rFonts w:eastAsia="Times New Roman"/>
        </w:rPr>
      </w:pPr>
      <w:r>
        <w:rPr>
          <w:rFonts w:eastAsia="Times New Roman"/>
          <w:color w:val="000000"/>
          <w:sz w:val="20"/>
          <w:szCs w:val="20"/>
        </w:rPr>
        <w:t xml:space="preserve">As part of making an underwriting decision, our underwriters evaluate information disclosed as part </w:t>
      </w:r>
      <w:r>
        <w:rPr>
          <w:rFonts w:eastAsia="Times New Roman"/>
          <w:color w:val="000000"/>
          <w:sz w:val="20"/>
          <w:szCs w:val="20"/>
        </w:rPr>
        <w:t>of the application process as well as information obtained from other sources after the application. This information includes, but is not limited to, the insured’s age and sex, results from medical exams and financial information.</w:t>
      </w:r>
    </w:p>
    <w:p w:rsidR="00000000" w:rsidRDefault="00E54EC0">
      <w:pPr>
        <w:ind w:firstLine="360"/>
        <w:divId w:val="327634075"/>
        <w:rPr>
          <w:rFonts w:eastAsia="Times New Roman"/>
        </w:rPr>
      </w:pPr>
      <w:r>
        <w:rPr>
          <w:rFonts w:eastAsia="Times New Roman"/>
          <w:color w:val="000000"/>
          <w:sz w:val="20"/>
          <w:szCs w:val="20"/>
        </w:rPr>
        <w:t xml:space="preserve">We continue to research </w:t>
      </w:r>
      <w:r>
        <w:rPr>
          <w:rFonts w:eastAsia="Times New Roman"/>
          <w:color w:val="000000"/>
          <w:sz w:val="20"/>
          <w:szCs w:val="20"/>
        </w:rPr>
        <w:t>and develop guideline changes to increase the efficiency of our underwriting process (e.g., through the use of predictive models), both from an internal cost perspective and our customer experience perspective. For example due to effects of the COVID-19 pa</w:t>
      </w:r>
      <w:r>
        <w:rPr>
          <w:rFonts w:eastAsia="Times New Roman"/>
          <w:color w:val="000000"/>
          <w:sz w:val="20"/>
          <w:szCs w:val="20"/>
        </w:rPr>
        <w:t>ndemic, we modified our underwriting policies to offer a fluid-less, touchless process to help more clients access the protection they need.</w:t>
      </w:r>
    </w:p>
    <w:p w:rsidR="00000000" w:rsidRDefault="00E54EC0">
      <w:pPr>
        <w:ind w:firstLine="360"/>
        <w:divId w:val="1790008404"/>
        <w:rPr>
          <w:rFonts w:eastAsia="Times New Roman"/>
        </w:rPr>
      </w:pPr>
      <w:r>
        <w:rPr>
          <w:rFonts w:eastAsia="Times New Roman"/>
          <w:color w:val="000000"/>
          <w:sz w:val="20"/>
          <w:szCs w:val="20"/>
        </w:rPr>
        <w:t>We manage changes to our underwriting guidelines though a robust governance process that ensures that our underwrit</w:t>
      </w:r>
      <w:r>
        <w:rPr>
          <w:rFonts w:eastAsia="Times New Roman"/>
          <w:color w:val="000000"/>
          <w:sz w:val="20"/>
          <w:szCs w:val="20"/>
        </w:rPr>
        <w:t>ing decisions continue to align with our business and financial objectives, including risk appetite and pricing expectations.</w:t>
      </w:r>
    </w:p>
    <w:p w:rsidR="00000000" w:rsidRDefault="00E54EC0">
      <w:pPr>
        <w:ind w:firstLine="360"/>
        <w:divId w:val="784616429"/>
        <w:rPr>
          <w:rFonts w:eastAsia="Times New Roman"/>
        </w:rPr>
      </w:pPr>
      <w:r>
        <w:rPr>
          <w:rFonts w:eastAsia="Times New Roman"/>
          <w:color w:val="000000"/>
          <w:sz w:val="20"/>
          <w:szCs w:val="20"/>
        </w:rPr>
        <w:t>Our team of underwriters and medical directors is dedicated to making accurate, timely and competitive underwriting decisions. Our</w:t>
      </w:r>
      <w:r>
        <w:rPr>
          <w:rFonts w:eastAsia="Times New Roman"/>
          <w:color w:val="000000"/>
          <w:sz w:val="20"/>
          <w:szCs w:val="20"/>
        </w:rPr>
        <w:t xml:space="preserve"> line underwriters are empowered to make decisions and receive support of underwriting managers and medical directors when needed.</w:t>
      </w:r>
    </w:p>
    <w:p w:rsidR="00000000" w:rsidRDefault="00E54EC0">
      <w:pPr>
        <w:ind w:firstLine="360"/>
        <w:divId w:val="1377122534"/>
        <w:rPr>
          <w:rFonts w:eastAsia="Times New Roman"/>
        </w:rPr>
      </w:pPr>
      <w:r>
        <w:rPr>
          <w:rFonts w:eastAsia="Times New Roman"/>
          <w:color w:val="000000"/>
          <w:sz w:val="20"/>
          <w:szCs w:val="20"/>
        </w:rPr>
        <w:t xml:space="preserve">Our financial due diligence team combines legal, financial and investigative expertise to support the financial underwriting </w:t>
      </w:r>
      <w:r>
        <w:rPr>
          <w:rFonts w:eastAsia="Times New Roman"/>
          <w:color w:val="000000"/>
          <w:sz w:val="20"/>
          <w:szCs w:val="20"/>
        </w:rPr>
        <w:t>of complex cases, assist in case design and plays an important role in fraud prevention. We continuously monitor our underwriting decisions through internal audits and other quality control processes, to ensure accurate and consistent application of our un</w:t>
      </w:r>
      <w:r>
        <w:rPr>
          <w:rFonts w:eastAsia="Times New Roman"/>
          <w:color w:val="000000"/>
          <w:sz w:val="20"/>
          <w:szCs w:val="20"/>
        </w:rPr>
        <w:t>derwriting guidelines.</w:t>
      </w:r>
    </w:p>
    <w:p w:rsidR="00000000" w:rsidRDefault="00E54EC0">
      <w:pPr>
        <w:ind w:firstLine="360"/>
        <w:divId w:val="1632780462"/>
        <w:rPr>
          <w:rFonts w:eastAsia="Times New Roman"/>
        </w:rPr>
      </w:pPr>
      <w:r>
        <w:rPr>
          <w:rFonts w:eastAsia="Times New Roman"/>
          <w:color w:val="000000"/>
          <w:sz w:val="20"/>
          <w:szCs w:val="20"/>
        </w:rPr>
        <w:t>We use reinsurance to manage our mortality risk and volatility. Our reinsurer partners regularly review our underwriting practices and mortality and lapse experience through audits and experience studies, the outcome of which have co</w:t>
      </w:r>
      <w:r>
        <w:rPr>
          <w:rFonts w:eastAsia="Times New Roman"/>
          <w:color w:val="000000"/>
          <w:sz w:val="20"/>
          <w:szCs w:val="20"/>
        </w:rPr>
        <w:t>nsistently validated the high-quality underwriting process and decisions.</w:t>
      </w:r>
    </w:p>
    <w:p w:rsidR="00000000" w:rsidRDefault="00E54EC0">
      <w:pPr>
        <w:divId w:val="2037198251"/>
        <w:rPr>
          <w:rFonts w:eastAsia="Times New Roman"/>
        </w:rPr>
      </w:pPr>
      <w:r>
        <w:rPr>
          <w:rFonts w:eastAsia="Times New Roman"/>
          <w:i/>
          <w:iCs/>
          <w:color w:val="000000"/>
          <w:sz w:val="20"/>
          <w:szCs w:val="20"/>
          <w:u w:val="single"/>
        </w:rPr>
        <w:t>Pricing and Fees</w:t>
      </w:r>
    </w:p>
    <w:p w:rsidR="00000000" w:rsidRDefault="00E54EC0">
      <w:pPr>
        <w:ind w:firstLine="360"/>
        <w:divId w:val="82993473"/>
        <w:rPr>
          <w:rFonts w:eastAsia="Times New Roman"/>
        </w:rPr>
      </w:pPr>
      <w:r>
        <w:rPr>
          <w:rFonts w:eastAsia="Times New Roman"/>
          <w:color w:val="000000"/>
          <w:sz w:val="20"/>
          <w:szCs w:val="20"/>
        </w:rPr>
        <w:t>Life insurance products are priced based upon assumptions including, but not limited to, expected future premium payments, surrender rates, mortality and morbidity rates, investment returns, hedging costs, equity returns, expenses and inflation and capital</w:t>
      </w:r>
      <w:r>
        <w:rPr>
          <w:rFonts w:eastAsia="Times New Roman"/>
          <w:color w:val="000000"/>
          <w:sz w:val="20"/>
          <w:szCs w:val="20"/>
        </w:rPr>
        <w:t xml:space="preserve"> requirements. The primary source of revenue from our life insurance business is premiums, investment income, asset-based fees (including investment management and 12b-1 fees) and policy charges (expense loads, surrender charges, mortality charges and othe</w:t>
      </w:r>
      <w:r>
        <w:rPr>
          <w:rFonts w:eastAsia="Times New Roman"/>
          <w:color w:val="000000"/>
          <w:sz w:val="20"/>
          <w:szCs w:val="20"/>
        </w:rPr>
        <w:t>r policy charges).</w:t>
      </w:r>
    </w:p>
    <w:p w:rsidR="00000000" w:rsidRDefault="00E54EC0">
      <w:pPr>
        <w:divId w:val="781537865"/>
        <w:rPr>
          <w:rFonts w:eastAsia="Times New Roman"/>
        </w:rPr>
      </w:pPr>
      <w:r>
        <w:rPr>
          <w:rFonts w:eastAsia="Times New Roman"/>
          <w:i/>
          <w:iCs/>
          <w:color w:val="000000"/>
          <w:sz w:val="20"/>
          <w:szCs w:val="20"/>
          <w:u w:val="single"/>
        </w:rPr>
        <w:t>Risk Management</w:t>
      </w:r>
    </w:p>
    <w:p w:rsidR="00000000" w:rsidRDefault="00E54EC0">
      <w:pPr>
        <w:divId w:val="1409494663"/>
        <w:rPr>
          <w:rFonts w:eastAsia="Times New Roman"/>
        </w:rPr>
      </w:pPr>
      <w:r>
        <w:rPr>
          <w:rFonts w:eastAsia="Times New Roman"/>
          <w:b/>
          <w:bCs/>
          <w:color w:val="000000"/>
          <w:sz w:val="20"/>
          <w:szCs w:val="20"/>
        </w:rPr>
        <w:t>Reinsurance</w:t>
      </w:r>
    </w:p>
    <w:p w:rsidR="00000000" w:rsidRDefault="00E54EC0">
      <w:pPr>
        <w:ind w:firstLine="360"/>
        <w:divId w:val="368838812"/>
        <w:rPr>
          <w:rFonts w:eastAsia="Times New Roman"/>
        </w:rPr>
      </w:pPr>
      <w:r>
        <w:rPr>
          <w:rFonts w:eastAsia="Times New Roman"/>
          <w:color w:val="000000"/>
          <w:sz w:val="20"/>
          <w:szCs w:val="20"/>
        </w:rPr>
        <w:t xml:space="preserve">We use reinsurance to mitigate a portion of our risk and optimize the capital efficiency and operating returns of our life insurance portfolio. As part of our risk management function, we continuously monitor </w:t>
      </w:r>
      <w:r>
        <w:rPr>
          <w:rFonts w:eastAsia="Times New Roman"/>
          <w:color w:val="000000"/>
          <w:sz w:val="20"/>
          <w:szCs w:val="20"/>
        </w:rPr>
        <w:t xml:space="preserve">the financial condition of our reinsurers in an effort to minimize our exposure to significant losses from reinsurer insolvencies. In addition, effective April 1, 2020, we reinsured a portion of our in-force term block. In most cases, amounts in excess of </w:t>
      </w:r>
      <w:r>
        <w:rPr>
          <w:rFonts w:eastAsia="Times New Roman"/>
          <w:color w:val="000000"/>
          <w:sz w:val="20"/>
          <w:szCs w:val="20"/>
        </w:rPr>
        <w:t>$2 million are reinsured.</w:t>
      </w:r>
    </w:p>
    <w:p w:rsidR="00000000" w:rsidRDefault="00E54EC0">
      <w:pPr>
        <w:ind w:firstLine="360"/>
        <w:divId w:val="1664818882"/>
        <w:rPr>
          <w:rFonts w:eastAsia="Times New Roman"/>
        </w:rPr>
      </w:pPr>
      <w:r>
        <w:rPr>
          <w:rFonts w:eastAsia="Times New Roman"/>
          <w:i/>
          <w:iCs/>
          <w:color w:val="000000"/>
          <w:sz w:val="20"/>
          <w:szCs w:val="20"/>
        </w:rPr>
        <w:t>Non-affiliate Reinsurance.</w:t>
      </w:r>
      <w:r>
        <w:rPr>
          <w:rFonts w:eastAsia="Times New Roman"/>
          <w:color w:val="000000"/>
          <w:sz w:val="20"/>
          <w:szCs w:val="20"/>
        </w:rPr>
        <w:t xml:space="preserve"> We generally obtain reinsurance for the portion of a life insurance policy that exceeds $10 million. We have set up reinsurance pools with highly rated unaffiliated reinsurers that obligate the pool part</w:t>
      </w:r>
      <w:r>
        <w:rPr>
          <w:rFonts w:eastAsia="Times New Roman"/>
          <w:color w:val="000000"/>
          <w:sz w:val="20"/>
          <w:szCs w:val="20"/>
        </w:rPr>
        <w:t>icipants to pay death claim amounts in excess of our retention limits for an agreed-upon premium.</w:t>
      </w:r>
    </w:p>
    <w:p w:rsidR="00000000" w:rsidRDefault="00E54EC0">
      <w:pPr>
        <w:jc w:val="center"/>
        <w:divId w:val="2115593790"/>
        <w:rPr>
          <w:rFonts w:eastAsia="Times New Roman"/>
        </w:rPr>
      </w:pPr>
      <w:r>
        <w:rPr>
          <w:rFonts w:eastAsia="Times New Roman"/>
          <w:color w:val="000000"/>
          <w:sz w:val="20"/>
          <w:szCs w:val="20"/>
        </w:rPr>
        <w:t>33</w:t>
      </w:r>
    </w:p>
    <w:p w:rsidR="00000000" w:rsidRDefault="00E54EC0">
      <w:pPr>
        <w:rPr>
          <w:rFonts w:eastAsia="Times New Roman"/>
        </w:rPr>
      </w:pPr>
      <w:r>
        <w:rPr>
          <w:rFonts w:eastAsia="Times New Roman"/>
        </w:rPr>
        <w:pict>
          <v:rect id="_x0000_i1070" style="width:0;height:1.5pt" o:hralign="center" o:hrstd="t" o:hr="t" fillcolor="#a0a0a0" stroked="f"/>
        </w:pict>
      </w:r>
    </w:p>
    <w:p w:rsidR="00000000" w:rsidRDefault="00E54EC0">
      <w:pPr>
        <w:divId w:val="1083526170"/>
        <w:rPr>
          <w:rFonts w:eastAsia="Times New Roman"/>
        </w:rPr>
      </w:pPr>
    </w:p>
    <w:p w:rsidR="00000000" w:rsidRDefault="00E54EC0">
      <w:pPr>
        <w:ind w:firstLine="360"/>
        <w:divId w:val="841169015"/>
        <w:rPr>
          <w:rFonts w:eastAsia="Times New Roman"/>
        </w:rPr>
      </w:pPr>
      <w:r>
        <w:rPr>
          <w:rFonts w:eastAsia="Times New Roman"/>
          <w:i/>
          <w:iCs/>
          <w:color w:val="000000"/>
          <w:sz w:val="20"/>
          <w:szCs w:val="20"/>
        </w:rPr>
        <w:t xml:space="preserve">Captive Reinsurance. </w:t>
      </w:r>
      <w:r>
        <w:rPr>
          <w:rFonts w:eastAsia="Times New Roman"/>
          <w:color w:val="000000"/>
          <w:sz w:val="20"/>
          <w:szCs w:val="20"/>
        </w:rPr>
        <w:t>EQ AZ Life Re Company reinsures a 90% quota share of level premium term insurance issued by Equ</w:t>
      </w:r>
      <w:r>
        <w:rPr>
          <w:rFonts w:eastAsia="Times New Roman"/>
          <w:color w:val="000000"/>
          <w:sz w:val="20"/>
          <w:szCs w:val="20"/>
        </w:rPr>
        <w:t>itable Financial on or after March 1, 2003 through December 31, 2008 and 90% of the risk of the lapse protection riders under UL insurance policies issued by Equitable Financial on or after June 1, 2003 through June 30, 2007 and those issued by Equitable A</w:t>
      </w:r>
      <w:r>
        <w:rPr>
          <w:rFonts w:eastAsia="Times New Roman"/>
          <w:color w:val="000000"/>
          <w:sz w:val="20"/>
          <w:szCs w:val="20"/>
        </w:rPr>
        <w:t>merica on or after June 1, 2003 through June 30, 2007 on a 90% quota share basis as well as excess claims relating to certain variable annuities with GMIB riders issued by Equitable Financial. We use captive reinsurance as part of our capital management st</w:t>
      </w:r>
      <w:r>
        <w:rPr>
          <w:rFonts w:eastAsia="Times New Roman"/>
          <w:color w:val="000000"/>
          <w:sz w:val="20"/>
          <w:szCs w:val="20"/>
        </w:rPr>
        <w:t>rategy. For additional information regarding our use of captives, see “—Regulation—Insurance Regulation—Captive Reinsurance Regulation and Variable Annuity Capital Standards”, “Risk Factors—Risks Relating to Our Retirement and Protection Businesses—Risks R</w:t>
      </w:r>
      <w:r>
        <w:rPr>
          <w:rFonts w:eastAsia="Times New Roman"/>
          <w:color w:val="000000"/>
          <w:sz w:val="20"/>
          <w:szCs w:val="20"/>
        </w:rPr>
        <w:t>elating to Reinsurance and Hedging—Our reinsurance arrangement with an affiliated captive” and “Management’s Discussion and Analysis of Financial Condition and Results of Operations—Liquidity and Capital Resources—Captive Reinsurance Company.”</w:t>
      </w:r>
    </w:p>
    <w:p w:rsidR="00000000" w:rsidRDefault="00E54EC0">
      <w:pPr>
        <w:divId w:val="1025861113"/>
        <w:rPr>
          <w:rFonts w:eastAsia="Times New Roman"/>
        </w:rPr>
      </w:pPr>
      <w:r>
        <w:rPr>
          <w:rFonts w:eastAsia="Times New Roman"/>
          <w:b/>
          <w:bCs/>
          <w:color w:val="000000"/>
          <w:sz w:val="20"/>
          <w:szCs w:val="20"/>
        </w:rPr>
        <w:t>Hedging</w:t>
      </w:r>
    </w:p>
    <w:p w:rsidR="00000000" w:rsidRDefault="00E54EC0">
      <w:pPr>
        <w:ind w:firstLine="360"/>
        <w:divId w:val="744760192"/>
        <w:rPr>
          <w:rFonts w:eastAsia="Times New Roman"/>
        </w:rPr>
      </w:pPr>
      <w:r>
        <w:rPr>
          <w:rFonts w:eastAsia="Times New Roman"/>
          <w:color w:val="000000"/>
          <w:sz w:val="20"/>
          <w:szCs w:val="20"/>
        </w:rPr>
        <w:t>We h</w:t>
      </w:r>
      <w:r>
        <w:rPr>
          <w:rFonts w:eastAsia="Times New Roman"/>
          <w:color w:val="000000"/>
          <w:sz w:val="20"/>
          <w:szCs w:val="20"/>
        </w:rPr>
        <w:t>edge the exposure contained in our IUL products and the MSO rider we offer on our VUL products. These products and riders allow the policyholder to participate in the performance of an index price movement up to certain caps and/or protect the policyholder</w:t>
      </w:r>
      <w:r>
        <w:rPr>
          <w:rFonts w:eastAsia="Times New Roman"/>
          <w:color w:val="000000"/>
          <w:sz w:val="20"/>
          <w:szCs w:val="20"/>
        </w:rPr>
        <w:t xml:space="preserve"> in a movement down for a set period of time. In order to support our obligations under these investment options, we enter into derivatives contracts whose payouts, in combination with returns from the underlying fixed income investments, seek to replicate</w:t>
      </w:r>
      <w:r>
        <w:rPr>
          <w:rFonts w:eastAsia="Times New Roman"/>
          <w:color w:val="000000"/>
          <w:sz w:val="20"/>
          <w:szCs w:val="20"/>
        </w:rPr>
        <w:t xml:space="preserve"> those of the index price, subject to prescribed caps and buffers. Our hedging exposes us to counterparty risk as well as fellow customer default risk, in respect to certain types of cleared contracts.</w:t>
      </w:r>
    </w:p>
    <w:p w:rsidR="00000000" w:rsidRDefault="00E54EC0">
      <w:pPr>
        <w:jc w:val="both"/>
        <w:divId w:val="1989744306"/>
        <w:rPr>
          <w:rFonts w:eastAsia="Times New Roman"/>
        </w:rPr>
      </w:pPr>
      <w:r>
        <w:rPr>
          <w:rFonts w:eastAsia="Times New Roman"/>
          <w:b/>
          <w:bCs/>
          <w:i/>
          <w:iCs/>
          <w:color w:val="000000"/>
          <w:sz w:val="20"/>
          <w:szCs w:val="20"/>
        </w:rPr>
        <w:t>Employee Benefits</w:t>
      </w:r>
    </w:p>
    <w:p w:rsidR="00000000" w:rsidRDefault="00E54EC0">
      <w:pPr>
        <w:ind w:firstLine="360"/>
        <w:divId w:val="1032196290"/>
        <w:rPr>
          <w:rFonts w:eastAsia="Times New Roman"/>
        </w:rPr>
      </w:pPr>
      <w:r>
        <w:rPr>
          <w:rFonts w:eastAsia="Times New Roman"/>
          <w:color w:val="000000"/>
          <w:sz w:val="20"/>
          <w:szCs w:val="20"/>
        </w:rPr>
        <w:t>Our employee benefits business focus</w:t>
      </w:r>
      <w:r>
        <w:rPr>
          <w:rFonts w:eastAsia="Times New Roman"/>
          <w:color w:val="000000"/>
          <w:sz w:val="20"/>
          <w:szCs w:val="20"/>
        </w:rPr>
        <w:t>es on serving small and medium-sized businesses, a priority segment for us, offering these businesses a differentiated technology platform and competitive suite of group insurance products. Leveraging our innovative technology platform, we have formed stra</w:t>
      </w:r>
      <w:r>
        <w:rPr>
          <w:rFonts w:eastAsia="Times New Roman"/>
          <w:color w:val="000000"/>
          <w:sz w:val="20"/>
          <w:szCs w:val="20"/>
        </w:rPr>
        <w:t xml:space="preserve">tegic partnerships with large insurance and health carriers as their primary group benefits provider. As a new entrant in the employee benefits market, we were able to build a platform from the ground up, without reliance on legacy systems. This helps put </w:t>
      </w:r>
      <w:r>
        <w:rPr>
          <w:rFonts w:eastAsia="Times New Roman"/>
          <w:color w:val="000000"/>
          <w:sz w:val="20"/>
          <w:szCs w:val="20"/>
        </w:rPr>
        <w:t>us in a position to embrace industry shifts quickly and provides us with an advantage over many competitors.</w:t>
      </w:r>
    </w:p>
    <w:p w:rsidR="00000000" w:rsidRDefault="00E54EC0">
      <w:pPr>
        <w:divId w:val="1786997367"/>
        <w:rPr>
          <w:rFonts w:eastAsia="Times New Roman"/>
        </w:rPr>
      </w:pPr>
      <w:r>
        <w:rPr>
          <w:rFonts w:eastAsia="Times New Roman"/>
          <w:i/>
          <w:iCs/>
          <w:color w:val="000000"/>
          <w:sz w:val="20"/>
          <w:szCs w:val="20"/>
          <w:u w:val="single"/>
        </w:rPr>
        <w:t>Products</w:t>
      </w:r>
    </w:p>
    <w:p w:rsidR="00000000" w:rsidRDefault="00E54EC0">
      <w:pPr>
        <w:ind w:firstLine="360"/>
        <w:divId w:val="115023678"/>
        <w:rPr>
          <w:rFonts w:eastAsia="Times New Roman"/>
        </w:rPr>
      </w:pPr>
      <w:r>
        <w:rPr>
          <w:rFonts w:eastAsia="Times New Roman"/>
          <w:color w:val="000000"/>
          <w:sz w:val="20"/>
          <w:szCs w:val="20"/>
        </w:rPr>
        <w:t>Our products are designed to provide valuable protection for employees as well as help employers attract employees and control costs. We currently offer a suite of Group Life Insurance (including Accidental Death &amp; Dismemberment), Supplemental Life, Dental</w:t>
      </w:r>
      <w:r>
        <w:rPr>
          <w:rFonts w:eastAsia="Times New Roman"/>
          <w:color w:val="000000"/>
          <w:sz w:val="20"/>
          <w:szCs w:val="20"/>
        </w:rPr>
        <w:t>, Vision, Short-Term Disability, Long-Term Disability, Critical Illness, Accident and Hospital Indemnity insurance products.</w:t>
      </w:r>
    </w:p>
    <w:p w:rsidR="00000000" w:rsidRDefault="00E54EC0">
      <w:pPr>
        <w:divId w:val="736780398"/>
        <w:rPr>
          <w:rFonts w:eastAsia="Times New Roman"/>
        </w:rPr>
      </w:pPr>
    </w:p>
    <w:p w:rsidR="00000000" w:rsidRDefault="00E54EC0">
      <w:pPr>
        <w:ind w:hanging="450"/>
        <w:divId w:val="2109497567"/>
        <w:rPr>
          <w:rFonts w:eastAsia="Times New Roman"/>
        </w:rPr>
      </w:pPr>
      <w:r>
        <w:rPr>
          <w:rFonts w:eastAsia="Times New Roman"/>
          <w:color w:val="000000"/>
          <w:sz w:val="20"/>
          <w:szCs w:val="20"/>
        </w:rPr>
        <w:t>The following table presents employee benefits gross premiums and annualized premium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2061316433"/>
        </w:trPr>
        <w:tc>
          <w:tcPr>
            <w:tcW w:w="50" w:type="pct"/>
            <w:vAlign w:val="center"/>
            <w:hideMark/>
          </w:tcPr>
          <w:p w:rsidR="00000000" w:rsidRDefault="00E54EC0">
            <w:pPr>
              <w:ind w:hanging="450"/>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6131643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206131643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206131643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06131643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Employee Benefits Gross Premiums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6131643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Group life insurance sales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disability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disability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Dental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Vision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1316433"/>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6131643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Annualized premium</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04702704"/>
        <w:rPr>
          <w:rFonts w:eastAsia="Times New Roman"/>
        </w:rPr>
      </w:pPr>
      <w:r>
        <w:rPr>
          <w:rFonts w:eastAsia="Times New Roman"/>
          <w:color w:val="000000"/>
          <w:sz w:val="20"/>
          <w:szCs w:val="20"/>
        </w:rPr>
        <w:t>_______________</w:t>
      </w:r>
    </w:p>
    <w:p w:rsidR="00000000" w:rsidRDefault="00E54EC0">
      <w:pPr>
        <w:ind w:hanging="360"/>
        <w:divId w:val="75520730"/>
        <w:rPr>
          <w:rFonts w:eastAsia="Times New Roman"/>
        </w:rPr>
      </w:pPr>
      <w:r>
        <w:rPr>
          <w:rFonts w:eastAsia="Times New Roman"/>
          <w:color w:val="000000"/>
          <w:sz w:val="18"/>
          <w:szCs w:val="18"/>
        </w:rPr>
        <w:t>(1) Other includes Critical Illness and Accident insurance products.</w:t>
      </w:r>
    </w:p>
    <w:p w:rsidR="00000000" w:rsidRDefault="00E54EC0">
      <w:pPr>
        <w:divId w:val="269707609"/>
        <w:rPr>
          <w:rFonts w:eastAsia="Times New Roman"/>
        </w:rPr>
      </w:pPr>
      <w:r>
        <w:rPr>
          <w:rFonts w:eastAsia="Times New Roman"/>
          <w:i/>
          <w:iCs/>
          <w:color w:val="000000"/>
          <w:sz w:val="20"/>
          <w:szCs w:val="20"/>
          <w:u w:val="single"/>
        </w:rPr>
        <w:t>Markets</w:t>
      </w:r>
    </w:p>
    <w:p w:rsidR="00000000" w:rsidRDefault="00E54EC0">
      <w:pPr>
        <w:ind w:firstLine="360"/>
        <w:divId w:val="767459233"/>
        <w:rPr>
          <w:rFonts w:eastAsia="Times New Roman"/>
        </w:rPr>
      </w:pPr>
      <w:r>
        <w:rPr>
          <w:rFonts w:eastAsia="Times New Roman"/>
          <w:color w:val="000000"/>
          <w:sz w:val="20"/>
          <w:szCs w:val="20"/>
        </w:rPr>
        <w:t>Our employee benefit product suite is focused on small and medium-sized businesses seeking simple, technology-driven employee benefits</w:t>
      </w:r>
      <w:r>
        <w:rPr>
          <w:rFonts w:eastAsia="Times New Roman"/>
          <w:color w:val="000000"/>
          <w:sz w:val="20"/>
          <w:szCs w:val="20"/>
        </w:rPr>
        <w:t xml:space="preserve"> management. We built the employee benefits business based on feedback from brokers and employers, </w:t>
      </w:r>
    </w:p>
    <w:p w:rsidR="00000000" w:rsidRDefault="00E54EC0">
      <w:pPr>
        <w:jc w:val="center"/>
        <w:divId w:val="1795902971"/>
        <w:rPr>
          <w:rFonts w:eastAsia="Times New Roman"/>
        </w:rPr>
      </w:pPr>
      <w:r>
        <w:rPr>
          <w:rFonts w:eastAsia="Times New Roman"/>
          <w:color w:val="000000"/>
          <w:sz w:val="20"/>
          <w:szCs w:val="20"/>
        </w:rPr>
        <w:t>34</w:t>
      </w:r>
    </w:p>
    <w:p w:rsidR="00000000" w:rsidRDefault="00E54EC0">
      <w:pPr>
        <w:rPr>
          <w:rFonts w:eastAsia="Times New Roman"/>
        </w:rPr>
      </w:pPr>
      <w:r>
        <w:rPr>
          <w:rFonts w:eastAsia="Times New Roman"/>
        </w:rPr>
        <w:pict>
          <v:rect id="_x0000_i1071" style="width:0;height:1.5pt" o:hralign="center" o:hrstd="t" o:hr="t" fillcolor="#a0a0a0" stroked="f"/>
        </w:pict>
      </w:r>
    </w:p>
    <w:p w:rsidR="00000000" w:rsidRDefault="00E54EC0">
      <w:pPr>
        <w:divId w:val="675234206"/>
        <w:rPr>
          <w:rFonts w:eastAsia="Times New Roman"/>
        </w:rPr>
      </w:pPr>
    </w:p>
    <w:p w:rsidR="00000000" w:rsidRDefault="00E54EC0">
      <w:pPr>
        <w:divId w:val="223181106"/>
        <w:rPr>
          <w:rFonts w:eastAsia="Times New Roman"/>
        </w:rPr>
      </w:pPr>
      <w:r>
        <w:rPr>
          <w:rFonts w:eastAsia="Times New Roman"/>
          <w:color w:val="000000"/>
          <w:sz w:val="20"/>
          <w:szCs w:val="20"/>
        </w:rPr>
        <w:t>ensuring the business’ relevance to the market we address. We are committed to continuously evolving our product s</w:t>
      </w:r>
      <w:r>
        <w:rPr>
          <w:rFonts w:eastAsia="Times New Roman"/>
          <w:color w:val="000000"/>
          <w:sz w:val="20"/>
          <w:szCs w:val="20"/>
        </w:rPr>
        <w:t>uite and technology platform to meet market needs.</w:t>
      </w:r>
    </w:p>
    <w:p w:rsidR="00000000" w:rsidRDefault="00E54EC0">
      <w:pPr>
        <w:divId w:val="723259213"/>
        <w:rPr>
          <w:rFonts w:eastAsia="Times New Roman"/>
        </w:rPr>
      </w:pPr>
      <w:r>
        <w:rPr>
          <w:rFonts w:eastAsia="Times New Roman"/>
          <w:i/>
          <w:iCs/>
          <w:color w:val="000000"/>
          <w:sz w:val="20"/>
          <w:szCs w:val="20"/>
          <w:u w:val="single"/>
        </w:rPr>
        <w:t>Distribution</w:t>
      </w:r>
    </w:p>
    <w:p w:rsidR="00000000" w:rsidRDefault="00E54EC0">
      <w:pPr>
        <w:ind w:firstLine="360"/>
        <w:divId w:val="144124028"/>
        <w:rPr>
          <w:rFonts w:eastAsia="Times New Roman"/>
        </w:rPr>
      </w:pPr>
      <w:r>
        <w:rPr>
          <w:rFonts w:eastAsia="Times New Roman"/>
          <w:color w:val="000000"/>
          <w:sz w:val="20"/>
          <w:szCs w:val="20"/>
        </w:rPr>
        <w:t>Our Employee Benefits’ solutions are distributed through the traditional broker channel, strategic partnerships (medical partners, PEOs, and associations), General Agencies, TPAs and Equitable</w:t>
      </w:r>
      <w:r>
        <w:rPr>
          <w:rFonts w:eastAsia="Times New Roman"/>
          <w:color w:val="000000"/>
          <w:sz w:val="20"/>
          <w:szCs w:val="20"/>
        </w:rPr>
        <w:t xml:space="preserve"> Advisors.</w:t>
      </w:r>
    </w:p>
    <w:p w:rsidR="00000000" w:rsidRDefault="00E54EC0">
      <w:pPr>
        <w:divId w:val="741223669"/>
        <w:rPr>
          <w:rFonts w:eastAsia="Times New Roman"/>
        </w:rPr>
      </w:pPr>
      <w:r>
        <w:rPr>
          <w:rFonts w:eastAsia="Times New Roman"/>
          <w:i/>
          <w:iCs/>
          <w:color w:val="000000"/>
          <w:sz w:val="20"/>
          <w:szCs w:val="20"/>
          <w:u w:val="single"/>
        </w:rPr>
        <w:t>Competition</w:t>
      </w:r>
    </w:p>
    <w:p w:rsidR="00000000" w:rsidRDefault="00E54EC0">
      <w:pPr>
        <w:ind w:firstLine="360"/>
        <w:divId w:val="1332832227"/>
        <w:rPr>
          <w:rFonts w:eastAsia="Times New Roman"/>
        </w:rPr>
      </w:pPr>
      <w:r>
        <w:rPr>
          <w:rFonts w:eastAsia="Times New Roman"/>
          <w:color w:val="000000"/>
          <w:sz w:val="20"/>
          <w:szCs w:val="20"/>
        </w:rPr>
        <w:t xml:space="preserve">The employee benefits space is a competitive environment. The main factors of competition include price, quality of customer service and claims management, technological capabilities, quality of distribution and financial strength ratings. In this market, </w:t>
      </w:r>
      <w:r>
        <w:rPr>
          <w:rFonts w:eastAsia="Times New Roman"/>
          <w:color w:val="000000"/>
          <w:sz w:val="20"/>
          <w:szCs w:val="20"/>
        </w:rPr>
        <w:t xml:space="preserve">we compete with several companies offering similar products. In addition, there is competition in attracting brokers to actively market our products. Key competitive factors in attracting brokers include product offerings and features, financial strength, </w:t>
      </w:r>
      <w:r>
        <w:rPr>
          <w:rFonts w:eastAsia="Times New Roman"/>
          <w:color w:val="000000"/>
          <w:sz w:val="20"/>
          <w:szCs w:val="20"/>
        </w:rPr>
        <w:t>support services and compensation.</w:t>
      </w:r>
    </w:p>
    <w:p w:rsidR="00000000" w:rsidRDefault="00E54EC0">
      <w:pPr>
        <w:divId w:val="391735186"/>
        <w:rPr>
          <w:rFonts w:eastAsia="Times New Roman"/>
        </w:rPr>
      </w:pPr>
      <w:r>
        <w:rPr>
          <w:rFonts w:eastAsia="Times New Roman"/>
          <w:i/>
          <w:iCs/>
          <w:color w:val="000000"/>
          <w:sz w:val="20"/>
          <w:szCs w:val="20"/>
          <w:u w:val="single"/>
        </w:rPr>
        <w:t>Underwriting</w:t>
      </w:r>
    </w:p>
    <w:p w:rsidR="00000000" w:rsidRDefault="00E54EC0">
      <w:pPr>
        <w:ind w:firstLine="360"/>
        <w:divId w:val="2128506179"/>
        <w:rPr>
          <w:rFonts w:eastAsia="Times New Roman"/>
        </w:rPr>
      </w:pPr>
      <w:r>
        <w:rPr>
          <w:rFonts w:eastAsia="Times New Roman"/>
          <w:color w:val="000000"/>
          <w:sz w:val="20"/>
          <w:szCs w:val="20"/>
        </w:rPr>
        <w:t>We manage the underwriting process to facilitate quality sales and serve the needs of our customers, while supporting our financial strength and business objectives. The application of our underwriting guidel</w:t>
      </w:r>
      <w:r>
        <w:rPr>
          <w:rFonts w:eastAsia="Times New Roman"/>
          <w:color w:val="000000"/>
          <w:sz w:val="20"/>
          <w:szCs w:val="20"/>
        </w:rPr>
        <w:t>ines is continuously monitored through internal underwriting controls and audits to achieve high standards of underwriting and consistency.</w:t>
      </w:r>
    </w:p>
    <w:p w:rsidR="00000000" w:rsidRDefault="00E54EC0">
      <w:pPr>
        <w:divId w:val="1133405598"/>
        <w:rPr>
          <w:rFonts w:eastAsia="Times New Roman"/>
        </w:rPr>
      </w:pPr>
      <w:r>
        <w:rPr>
          <w:rFonts w:eastAsia="Times New Roman"/>
          <w:i/>
          <w:iCs/>
          <w:color w:val="000000"/>
          <w:sz w:val="20"/>
          <w:szCs w:val="20"/>
          <w:u w:val="single"/>
        </w:rPr>
        <w:t>Pricing and Fees</w:t>
      </w:r>
    </w:p>
    <w:p w:rsidR="00000000" w:rsidRDefault="00E54EC0">
      <w:pPr>
        <w:ind w:firstLine="360"/>
        <w:divId w:val="127289019"/>
        <w:rPr>
          <w:rFonts w:eastAsia="Times New Roman"/>
        </w:rPr>
      </w:pPr>
      <w:r>
        <w:rPr>
          <w:rFonts w:eastAsia="Times New Roman"/>
          <w:color w:val="000000"/>
          <w:sz w:val="20"/>
          <w:szCs w:val="20"/>
        </w:rPr>
        <w:t>Employee benefits pricing reflects the claims experience and the risk characteristics of each group</w:t>
      </w:r>
      <w:r>
        <w:rPr>
          <w:rFonts w:eastAsia="Times New Roman"/>
          <w:color w:val="000000"/>
          <w:sz w:val="20"/>
          <w:szCs w:val="20"/>
        </w:rPr>
        <w:t>. We set appropriate plans for the group based on demographic information and, for larger groups, also evaluate the experience of the group. The claims experience is reviewed at the time of policy issuance and during the renewal timeframes, resulting in pe</w:t>
      </w:r>
      <w:r>
        <w:rPr>
          <w:rFonts w:eastAsia="Times New Roman"/>
          <w:color w:val="000000"/>
          <w:sz w:val="20"/>
          <w:szCs w:val="20"/>
        </w:rPr>
        <w:t>riodic pricing adjustments at the group level.</w:t>
      </w:r>
    </w:p>
    <w:p w:rsidR="00000000" w:rsidRDefault="00E54EC0">
      <w:pPr>
        <w:divId w:val="343213497"/>
        <w:rPr>
          <w:rFonts w:eastAsia="Times New Roman"/>
        </w:rPr>
      </w:pPr>
      <w:r>
        <w:rPr>
          <w:rFonts w:eastAsia="Times New Roman"/>
          <w:i/>
          <w:iCs/>
          <w:color w:val="000000"/>
          <w:sz w:val="20"/>
          <w:szCs w:val="20"/>
          <w:u w:val="single"/>
        </w:rPr>
        <w:t>Reinsurance</w:t>
      </w:r>
    </w:p>
    <w:p w:rsidR="00000000" w:rsidRDefault="00E54EC0">
      <w:pPr>
        <w:ind w:firstLine="360"/>
        <w:divId w:val="310453225"/>
        <w:rPr>
          <w:rFonts w:eastAsia="Times New Roman"/>
        </w:rPr>
      </w:pPr>
      <w:r>
        <w:rPr>
          <w:rFonts w:eastAsia="Times New Roman"/>
          <w:color w:val="000000"/>
          <w:sz w:val="20"/>
          <w:szCs w:val="20"/>
        </w:rPr>
        <w:t>We reinsure our group life, disability, critical illness, and accident products. These treaties include both quota share reinsurance and excess of loss. Specifics of each treaty vary by product and</w:t>
      </w:r>
      <w:r>
        <w:rPr>
          <w:rFonts w:eastAsia="Times New Roman"/>
          <w:color w:val="000000"/>
          <w:sz w:val="20"/>
          <w:szCs w:val="20"/>
        </w:rPr>
        <w:t xml:space="preserve"> support our risk management objectives.</w:t>
      </w:r>
    </w:p>
    <w:p w:rsidR="00000000" w:rsidRDefault="00E54EC0">
      <w:pPr>
        <w:divId w:val="601227955"/>
        <w:rPr>
          <w:rFonts w:eastAsia="Times New Roman"/>
        </w:rPr>
      </w:pPr>
      <w:r>
        <w:rPr>
          <w:rFonts w:eastAsia="Times New Roman"/>
          <w:b/>
          <w:bCs/>
          <w:color w:val="000000"/>
          <w:sz w:val="20"/>
          <w:szCs w:val="20"/>
        </w:rPr>
        <w:t>Corporate and Other</w:t>
      </w:r>
    </w:p>
    <w:p w:rsidR="00000000" w:rsidRDefault="00E54EC0">
      <w:pPr>
        <w:ind w:firstLine="360"/>
        <w:divId w:val="242226244"/>
        <w:rPr>
          <w:rFonts w:eastAsia="Times New Roman"/>
        </w:rPr>
      </w:pPr>
      <w:r>
        <w:rPr>
          <w:rFonts w:eastAsia="Times New Roman"/>
          <w:color w:val="000000"/>
          <w:sz w:val="20"/>
          <w:szCs w:val="20"/>
        </w:rPr>
        <w:t>Corporate and Other includes certain of our financing and investment expenses. It also includes: the Equitable Advisors broker-dealer business, Closed Block, run-off group pension business, run-o</w:t>
      </w:r>
      <w:r>
        <w:rPr>
          <w:rFonts w:eastAsia="Times New Roman"/>
          <w:color w:val="000000"/>
          <w:sz w:val="20"/>
          <w:szCs w:val="20"/>
        </w:rPr>
        <w:t>ff health business, benefit plans for our employees and certain unallocated items, including capital and related investments, interest expense and corporate expense. AB’s results of operations are reflected in the Investment Management and Research segment</w:t>
      </w:r>
      <w:r>
        <w:rPr>
          <w:rFonts w:eastAsia="Times New Roman"/>
          <w:color w:val="000000"/>
          <w:sz w:val="20"/>
          <w:szCs w:val="20"/>
        </w:rPr>
        <w:t xml:space="preserve">. Accordingly, Corporate and Other does not include any items applicable to AB. </w:t>
      </w:r>
    </w:p>
    <w:p w:rsidR="00000000" w:rsidRDefault="00E54EC0">
      <w:pPr>
        <w:jc w:val="both"/>
        <w:divId w:val="2075615615"/>
        <w:rPr>
          <w:rFonts w:eastAsia="Times New Roman"/>
        </w:rPr>
      </w:pPr>
      <w:r>
        <w:rPr>
          <w:rFonts w:eastAsia="Times New Roman"/>
          <w:b/>
          <w:bCs/>
          <w:i/>
          <w:iCs/>
          <w:color w:val="000000"/>
          <w:sz w:val="20"/>
          <w:szCs w:val="20"/>
        </w:rPr>
        <w:t>Equitable Advisors Broker-Dealer Business</w:t>
      </w:r>
    </w:p>
    <w:p w:rsidR="00000000" w:rsidRDefault="00E54EC0">
      <w:pPr>
        <w:ind w:firstLine="360"/>
        <w:divId w:val="1636788890"/>
        <w:rPr>
          <w:rFonts w:eastAsia="Times New Roman"/>
        </w:rPr>
      </w:pPr>
      <w:r>
        <w:rPr>
          <w:rFonts w:eastAsia="Times New Roman"/>
          <w:color w:val="000000"/>
          <w:sz w:val="20"/>
          <w:szCs w:val="20"/>
        </w:rPr>
        <w:t>Equitable Advisors provides financial planning and advice, insurance and savings solutions, as well as full-service brokerage services through our financial advisors who have access to a broad selection of both affiliated and non-affiliated products to hel</w:t>
      </w:r>
      <w:r>
        <w:rPr>
          <w:rFonts w:eastAsia="Times New Roman"/>
          <w:color w:val="000000"/>
          <w:sz w:val="20"/>
          <w:szCs w:val="20"/>
        </w:rPr>
        <w:t>p clients meet their financial needs. While the revenue from retirement and protection products sold through Equitable Advisors is recognized within the Individual Retirement, Group Retirement and Protection Solutions segments, Corporate and Other includes</w:t>
      </w:r>
      <w:r>
        <w:rPr>
          <w:rFonts w:eastAsia="Times New Roman"/>
          <w:color w:val="000000"/>
          <w:sz w:val="20"/>
          <w:szCs w:val="20"/>
        </w:rPr>
        <w:t xml:space="preserve"> revenue from the AUA of the Equitable Advisors broker-dealer business. As of December 31, 2022, the Equitable Advisors broker-dealer business included $72.8 billion in AUA.</w:t>
      </w:r>
    </w:p>
    <w:p w:rsidR="00000000" w:rsidRDefault="00E54EC0">
      <w:pPr>
        <w:jc w:val="both"/>
        <w:divId w:val="1234970923"/>
        <w:rPr>
          <w:rFonts w:eastAsia="Times New Roman"/>
        </w:rPr>
      </w:pPr>
      <w:r>
        <w:rPr>
          <w:rFonts w:eastAsia="Times New Roman"/>
          <w:b/>
          <w:bCs/>
          <w:i/>
          <w:iCs/>
          <w:color w:val="000000"/>
          <w:sz w:val="20"/>
          <w:szCs w:val="20"/>
        </w:rPr>
        <w:t>Closed Block</w:t>
      </w:r>
    </w:p>
    <w:p w:rsidR="00000000" w:rsidRDefault="00E54EC0">
      <w:pPr>
        <w:ind w:firstLine="360"/>
        <w:divId w:val="1615361955"/>
        <w:rPr>
          <w:rFonts w:eastAsia="Times New Roman"/>
        </w:rPr>
      </w:pPr>
      <w:r>
        <w:rPr>
          <w:rFonts w:eastAsia="Times New Roman"/>
          <w:color w:val="000000"/>
          <w:sz w:val="20"/>
          <w:szCs w:val="20"/>
        </w:rPr>
        <w:t>In connection with the demutualization of Equitable Financial in 1992</w:t>
      </w:r>
      <w:r>
        <w:rPr>
          <w:rFonts w:eastAsia="Times New Roman"/>
          <w:color w:val="000000"/>
          <w:sz w:val="20"/>
          <w:szCs w:val="20"/>
        </w:rPr>
        <w:t>, the Closed Block was established for the benefit of certain classes of individual participating policies for which Equitable Financial had a dividend scale payable in 1991 and which were in force on that date. Assets were allocated to the Closed Block in</w:t>
      </w:r>
      <w:r>
        <w:rPr>
          <w:rFonts w:eastAsia="Times New Roman"/>
          <w:color w:val="000000"/>
          <w:sz w:val="20"/>
          <w:szCs w:val="20"/>
        </w:rPr>
        <w:t xml:space="preserve"> an amount which, together with anticipated revenues from policies included in the Closed Block, was reasonably expected to be sufficient to support such business, including provisions for the payment of claims, certain expenses and taxes, and for the cont</w:t>
      </w:r>
      <w:r>
        <w:rPr>
          <w:rFonts w:eastAsia="Times New Roman"/>
          <w:color w:val="000000"/>
          <w:sz w:val="20"/>
          <w:szCs w:val="20"/>
        </w:rPr>
        <w:t>inuation of dividend scales payable in 1991, assuming the experience underlying such scales continues.</w:t>
      </w:r>
    </w:p>
    <w:p w:rsidR="00000000" w:rsidRDefault="00E54EC0">
      <w:pPr>
        <w:jc w:val="center"/>
        <w:divId w:val="1434277595"/>
        <w:rPr>
          <w:rFonts w:eastAsia="Times New Roman"/>
        </w:rPr>
      </w:pPr>
      <w:r>
        <w:rPr>
          <w:rFonts w:eastAsia="Times New Roman"/>
          <w:color w:val="000000"/>
          <w:sz w:val="20"/>
          <w:szCs w:val="20"/>
        </w:rPr>
        <w:t>35</w:t>
      </w:r>
    </w:p>
    <w:p w:rsidR="00000000" w:rsidRDefault="00E54EC0">
      <w:pPr>
        <w:rPr>
          <w:rFonts w:eastAsia="Times New Roman"/>
        </w:rPr>
      </w:pPr>
      <w:r>
        <w:rPr>
          <w:rFonts w:eastAsia="Times New Roman"/>
        </w:rPr>
        <w:pict>
          <v:rect id="_x0000_i1072" style="width:0;height:1.5pt" o:hralign="center" o:hrstd="t" o:hr="t" fillcolor="#a0a0a0" stroked="f"/>
        </w:pict>
      </w:r>
    </w:p>
    <w:p w:rsidR="00000000" w:rsidRDefault="00E54EC0">
      <w:pPr>
        <w:divId w:val="1093432689"/>
        <w:rPr>
          <w:rFonts w:eastAsia="Times New Roman"/>
        </w:rPr>
      </w:pPr>
    </w:p>
    <w:p w:rsidR="00000000" w:rsidRDefault="00E54EC0">
      <w:pPr>
        <w:ind w:firstLine="360"/>
        <w:divId w:val="1057163000"/>
        <w:rPr>
          <w:rFonts w:eastAsia="Times New Roman"/>
        </w:rPr>
      </w:pPr>
      <w:r>
        <w:rPr>
          <w:rFonts w:eastAsia="Times New Roman"/>
          <w:color w:val="000000"/>
          <w:sz w:val="20"/>
          <w:szCs w:val="20"/>
        </w:rPr>
        <w:t>Assets allocated to the Closed Block inure solely to the benefit of the holders of policies included in the Clos</w:t>
      </w:r>
      <w:r>
        <w:rPr>
          <w:rFonts w:eastAsia="Times New Roman"/>
          <w:color w:val="000000"/>
          <w:sz w:val="20"/>
          <w:szCs w:val="20"/>
        </w:rPr>
        <w:t>ed Block and will not revert to the benefit of the Company. The plan of demutualization prohibits the reallocation, transfer, borrowing or lending of assets between the Closed Block and other portions of the General Account, any of our Separate Accounts or</w:t>
      </w:r>
      <w:r>
        <w:rPr>
          <w:rFonts w:eastAsia="Times New Roman"/>
          <w:color w:val="000000"/>
          <w:sz w:val="20"/>
          <w:szCs w:val="20"/>
        </w:rPr>
        <w:t xml:space="preserve"> to any affiliate of ours without the approval of the NYDFS. Closed Block assets and liabilities are carried on the same basis as similar assets and liabilities held in the General Account. The excess of Closed Block liabilities over Closed Block assets re</w:t>
      </w:r>
      <w:r>
        <w:rPr>
          <w:rFonts w:eastAsia="Times New Roman"/>
          <w:color w:val="000000"/>
          <w:sz w:val="20"/>
          <w:szCs w:val="20"/>
        </w:rPr>
        <w:t>presents the expected future post-tax contribution from the Closed Block which would be recognized in income over the period the policies and contracts in the Closed Block remain in force.</w:t>
      </w:r>
    </w:p>
    <w:p w:rsidR="00000000" w:rsidRDefault="00E54EC0">
      <w:pPr>
        <w:ind w:firstLine="360"/>
        <w:divId w:val="1331526559"/>
        <w:rPr>
          <w:rFonts w:eastAsia="Times New Roman"/>
        </w:rPr>
      </w:pPr>
      <w:r>
        <w:rPr>
          <w:rFonts w:eastAsia="Times New Roman"/>
          <w:color w:val="000000"/>
          <w:sz w:val="20"/>
          <w:szCs w:val="20"/>
        </w:rPr>
        <w:t>For additional information on the Closed Block, see Note 6 of the N</w:t>
      </w:r>
      <w:r>
        <w:rPr>
          <w:rFonts w:eastAsia="Times New Roman"/>
          <w:color w:val="000000"/>
          <w:sz w:val="20"/>
          <w:szCs w:val="20"/>
        </w:rPr>
        <w:t>otes to the Consolidated Financial Statements.</w:t>
      </w:r>
    </w:p>
    <w:p w:rsidR="00000000" w:rsidRDefault="00E54EC0">
      <w:pPr>
        <w:divId w:val="1031151084"/>
        <w:rPr>
          <w:rFonts w:eastAsia="Times New Roman"/>
        </w:rPr>
      </w:pPr>
      <w:r>
        <w:rPr>
          <w:rFonts w:eastAsia="Times New Roman"/>
          <w:b/>
          <w:bCs/>
          <w:color w:val="000000"/>
          <w:sz w:val="20"/>
          <w:szCs w:val="20"/>
        </w:rPr>
        <w:t>Equitable Investment Management</w:t>
      </w:r>
    </w:p>
    <w:p w:rsidR="00000000" w:rsidRDefault="00E54EC0">
      <w:pPr>
        <w:ind w:firstLine="360"/>
        <w:divId w:val="1720275372"/>
        <w:rPr>
          <w:rFonts w:eastAsia="Times New Roman"/>
        </w:rPr>
      </w:pPr>
      <w:r>
        <w:rPr>
          <w:rFonts w:eastAsia="Times New Roman"/>
          <w:color w:val="000000"/>
          <w:sz w:val="20"/>
          <w:szCs w:val="20"/>
        </w:rPr>
        <w:t>EIMG is the investment manager and formerly the administrator for our proprietary variable funds. On June 22, 2021, Equitable Holdings completed the formation of Equitable Inves</w:t>
      </w:r>
      <w:r>
        <w:rPr>
          <w:rFonts w:eastAsia="Times New Roman"/>
          <w:color w:val="000000"/>
          <w:sz w:val="20"/>
          <w:szCs w:val="20"/>
        </w:rPr>
        <w:t xml:space="preserve">tment Management, LLC, (“EIM”), a wholly owned indirect subsidiary of Holdings. Effective August 1, 2021, EIM replaced EIMG as the administrator of EQAT, EQ Premier VIP Trust and 1290 Funds (each, a “Trust” and collectively, the “Trusts”). In addition, on </w:t>
      </w:r>
      <w:r>
        <w:rPr>
          <w:rFonts w:eastAsia="Times New Roman"/>
          <w:color w:val="000000"/>
          <w:sz w:val="20"/>
          <w:szCs w:val="20"/>
        </w:rPr>
        <w:t>October 1, 2021, Equitable Financial entered into an investment advisory and management agreement by which EIM became the investment manager for the Equitable Financial’s general account portfolio. Effective December 30, 2022, the name of EIM changed to Eq</w:t>
      </w:r>
      <w:r>
        <w:rPr>
          <w:rFonts w:eastAsia="Times New Roman"/>
          <w:color w:val="000000"/>
          <w:sz w:val="20"/>
          <w:szCs w:val="20"/>
        </w:rPr>
        <w:t xml:space="preserve">uitable Financial Investment Management, LLC. On June 10, 2022, Equitable Holdings completed the formation of Equitable Investment Management II, LLC, a wholly owned indirect subsidiary of Holdings (“EIM II”, and collectively with EIMG and EIM, “Equitable </w:t>
      </w:r>
      <w:r>
        <w:rPr>
          <w:rFonts w:eastAsia="Times New Roman"/>
          <w:color w:val="000000"/>
          <w:sz w:val="20"/>
          <w:szCs w:val="20"/>
        </w:rPr>
        <w:t>Investment Management”). Effective January 1, 2023, EIM II replaced EIM as the administrator of each Trust.</w:t>
      </w:r>
    </w:p>
    <w:p w:rsidR="00000000" w:rsidRDefault="00E54EC0">
      <w:pPr>
        <w:ind w:firstLine="360"/>
        <w:divId w:val="1190945516"/>
        <w:rPr>
          <w:rFonts w:eastAsia="Times New Roman"/>
        </w:rPr>
      </w:pPr>
      <w:r>
        <w:rPr>
          <w:rFonts w:eastAsia="Times New Roman"/>
          <w:color w:val="000000"/>
          <w:sz w:val="20"/>
          <w:szCs w:val="20"/>
        </w:rPr>
        <w:t xml:space="preserve">Equitable Investment Management supports each of our retirement and protection businesses. Accordingly, Equitable Investment Management results are </w:t>
      </w:r>
      <w:r>
        <w:rPr>
          <w:rFonts w:eastAsia="Times New Roman"/>
          <w:color w:val="000000"/>
          <w:sz w:val="20"/>
          <w:szCs w:val="20"/>
        </w:rPr>
        <w:t xml:space="preserve">embedded in the Individual Retirement, Group Retirement and Protection Solutions segments. EIMG helps add value and marketing appeal to our retirement and protection solutions products by bringing investment management expertise and specialized strategies </w:t>
      </w:r>
      <w:r>
        <w:rPr>
          <w:rFonts w:eastAsia="Times New Roman"/>
          <w:color w:val="000000"/>
          <w:sz w:val="20"/>
          <w:szCs w:val="20"/>
        </w:rPr>
        <w:t>to the underlying investment lineup of each product. In addition, by advising on an attractive array of proprietary investment portfolios (each, a “Portfolio,” and together, the “Portfolios”), EIMG brings investment acumen, financial controls and economies</w:t>
      </w:r>
      <w:r>
        <w:rPr>
          <w:rFonts w:eastAsia="Times New Roman"/>
          <w:color w:val="000000"/>
          <w:sz w:val="20"/>
          <w:szCs w:val="20"/>
        </w:rPr>
        <w:t xml:space="preserve"> of scale to the construction of underlying investment options for our products.</w:t>
      </w:r>
    </w:p>
    <w:p w:rsidR="00000000" w:rsidRDefault="00E54EC0">
      <w:pPr>
        <w:ind w:firstLine="360"/>
        <w:divId w:val="207305290"/>
        <w:rPr>
          <w:rFonts w:eastAsia="Times New Roman"/>
        </w:rPr>
      </w:pPr>
      <w:r>
        <w:rPr>
          <w:rFonts w:eastAsia="Times New Roman"/>
          <w:color w:val="000000"/>
          <w:sz w:val="20"/>
          <w:szCs w:val="20"/>
        </w:rPr>
        <w:t>EIMG provides investment management services to proprietary investment vehicles sponsored by the Company, including investment companies that are underlying investment options</w:t>
      </w:r>
      <w:r>
        <w:rPr>
          <w:rFonts w:eastAsia="Times New Roman"/>
          <w:color w:val="000000"/>
          <w:sz w:val="20"/>
          <w:szCs w:val="20"/>
        </w:rPr>
        <w:t xml:space="preserve"> for our variable insurance and annuity products. EIMG is registered as an investment adviser under the Investment Advisers Act. EIMG serves as the investment adviser to EQAT and EQ Premier VIP Trust and to two private investment trusts established in the </w:t>
      </w:r>
      <w:r>
        <w:rPr>
          <w:rFonts w:eastAsia="Times New Roman"/>
          <w:color w:val="000000"/>
          <w:sz w:val="20"/>
          <w:szCs w:val="20"/>
        </w:rPr>
        <w:t>Cayman Islands. Each Trust and private investment trusts is a “series” type of trust with multiple Portfolios. EIMG provides discretionary investment management services to the Portfolios, including, among other things, (1) portfolio management services fo</w:t>
      </w:r>
      <w:r>
        <w:rPr>
          <w:rFonts w:eastAsia="Times New Roman"/>
          <w:color w:val="000000"/>
          <w:sz w:val="20"/>
          <w:szCs w:val="20"/>
        </w:rPr>
        <w:t>r the Portfolios; (2) selecting, monitoring and overseeing investment sub-advisers; and (3) developing and executing asset allocation strategies for multi-advised Portfolios and Portfolios structured as funds-of-funds. EIMG is further charged with ensuring</w:t>
      </w:r>
      <w:r>
        <w:rPr>
          <w:rFonts w:eastAsia="Times New Roman"/>
          <w:color w:val="000000"/>
          <w:sz w:val="20"/>
          <w:szCs w:val="20"/>
        </w:rPr>
        <w:t xml:space="preserve"> that the other parts of the Company that interact with the Trusts, such as product management, the distribution system and the financial organization, have a specific point of contact.</w:t>
      </w:r>
    </w:p>
    <w:p w:rsidR="00000000" w:rsidRDefault="00E54EC0">
      <w:pPr>
        <w:ind w:firstLine="360"/>
        <w:divId w:val="997076024"/>
        <w:rPr>
          <w:rFonts w:eastAsia="Times New Roman"/>
        </w:rPr>
      </w:pPr>
      <w:r>
        <w:rPr>
          <w:rFonts w:eastAsia="Times New Roman"/>
          <w:color w:val="000000"/>
          <w:sz w:val="20"/>
          <w:szCs w:val="20"/>
        </w:rPr>
        <w:t>EIMG has a variety of responsibilities for the management of its inves</w:t>
      </w:r>
      <w:r>
        <w:rPr>
          <w:rFonts w:eastAsia="Times New Roman"/>
          <w:color w:val="000000"/>
          <w:sz w:val="20"/>
          <w:szCs w:val="20"/>
        </w:rPr>
        <w:t>tment company clients. One of EIMG’s primary responsibilities is to provide clients with portfolio management and investment advisory services, principally by reviewing whether to appoint, dismiss or replace sub-advisers to each Portfolio, and thereafter m</w:t>
      </w:r>
      <w:r>
        <w:rPr>
          <w:rFonts w:eastAsia="Times New Roman"/>
          <w:color w:val="000000"/>
          <w:sz w:val="20"/>
          <w:szCs w:val="20"/>
        </w:rPr>
        <w:t>onitoring and reviewing each sub-adviser’s performance through qualitative and quantitative analysis, as well as periodic in-person, telephonic and written consultations with the sub-advisers. Currently, EIMG has entered into sub-advisory agreements with m</w:t>
      </w:r>
      <w:r>
        <w:rPr>
          <w:rFonts w:eastAsia="Times New Roman"/>
          <w:color w:val="000000"/>
          <w:sz w:val="20"/>
          <w:szCs w:val="20"/>
        </w:rPr>
        <w:t>ore than 45 different sub-advisers, including AB. Another primary responsibility of EIMG is to develop and monitor the investment program of each Portfolio, including Portfolio investment objectives, policies and asset allocations for the Portfolios, selec</w:t>
      </w:r>
      <w:r>
        <w:rPr>
          <w:rFonts w:eastAsia="Times New Roman"/>
          <w:color w:val="000000"/>
          <w:sz w:val="20"/>
          <w:szCs w:val="20"/>
        </w:rPr>
        <w:t xml:space="preserve">t investments for Portfolios (or portions thereof) for which it provides direct investment selection services, and ensure that investments and asset allocations are consistent with the guidelines that have been approved by clients. </w:t>
      </w:r>
    </w:p>
    <w:p w:rsidR="00000000" w:rsidRDefault="00E54EC0">
      <w:pPr>
        <w:ind w:firstLine="360"/>
        <w:divId w:val="1916164283"/>
        <w:rPr>
          <w:rFonts w:eastAsia="Times New Roman"/>
        </w:rPr>
      </w:pPr>
      <w:r>
        <w:rPr>
          <w:rFonts w:eastAsia="Times New Roman"/>
          <w:color w:val="000000"/>
          <w:sz w:val="20"/>
          <w:szCs w:val="20"/>
        </w:rPr>
        <w:t>EIM provided administra</w:t>
      </w:r>
      <w:r>
        <w:rPr>
          <w:rFonts w:eastAsia="Times New Roman"/>
          <w:color w:val="000000"/>
          <w:sz w:val="20"/>
          <w:szCs w:val="20"/>
        </w:rPr>
        <w:t>tive services to the Portfolios from August 1, 2021 to December 31, 2022. Effective January 1, 2023, EIM II provides administrative services to the Portfolios. The administrative services that EIM II provides to the Portfolios include, among others, coordi</w:t>
      </w:r>
      <w:r>
        <w:rPr>
          <w:rFonts w:eastAsia="Times New Roman"/>
          <w:color w:val="000000"/>
          <w:sz w:val="20"/>
          <w:szCs w:val="20"/>
        </w:rPr>
        <w:t>nation of each Portfolio’s audit, financial statements and tax returns; expense management and budgeting; legal administrative services and compliance monitoring; portfolio accounting services, including daily net asset value accounting; risk management; o</w:t>
      </w:r>
      <w:r>
        <w:rPr>
          <w:rFonts w:eastAsia="Times New Roman"/>
          <w:color w:val="000000"/>
          <w:sz w:val="20"/>
          <w:szCs w:val="20"/>
        </w:rPr>
        <w:t xml:space="preserve">versight of proxy voting procedures and an anti-money laundering program. </w:t>
      </w:r>
    </w:p>
    <w:p w:rsidR="00000000" w:rsidRDefault="00E54EC0">
      <w:pPr>
        <w:jc w:val="center"/>
        <w:divId w:val="323045373"/>
        <w:rPr>
          <w:rFonts w:eastAsia="Times New Roman"/>
        </w:rPr>
      </w:pPr>
      <w:r>
        <w:rPr>
          <w:rFonts w:eastAsia="Times New Roman"/>
          <w:color w:val="000000"/>
          <w:sz w:val="20"/>
          <w:szCs w:val="20"/>
        </w:rPr>
        <w:t>36</w:t>
      </w:r>
    </w:p>
    <w:p w:rsidR="00000000" w:rsidRDefault="00E54EC0">
      <w:pPr>
        <w:rPr>
          <w:rFonts w:eastAsia="Times New Roman"/>
        </w:rPr>
      </w:pPr>
      <w:r>
        <w:rPr>
          <w:rFonts w:eastAsia="Times New Roman"/>
        </w:rPr>
        <w:pict>
          <v:rect id="_x0000_i1073" style="width:0;height:1.5pt" o:hralign="center" o:hrstd="t" o:hr="t" fillcolor="#a0a0a0" stroked="f"/>
        </w:pict>
      </w:r>
    </w:p>
    <w:p w:rsidR="00000000" w:rsidRDefault="00E54EC0">
      <w:pPr>
        <w:divId w:val="738753196"/>
        <w:rPr>
          <w:rFonts w:eastAsia="Times New Roman"/>
        </w:rPr>
      </w:pPr>
    </w:p>
    <w:p w:rsidR="00000000" w:rsidRDefault="00E54EC0">
      <w:pPr>
        <w:ind w:firstLine="360"/>
        <w:divId w:val="1571574496"/>
        <w:rPr>
          <w:rFonts w:eastAsia="Times New Roman"/>
        </w:rPr>
      </w:pPr>
      <w:r>
        <w:rPr>
          <w:rFonts w:eastAsia="Times New Roman"/>
          <w:color w:val="000000"/>
          <w:sz w:val="20"/>
          <w:szCs w:val="20"/>
        </w:rPr>
        <w:t>EIM provides investment management services to the Equitable Financial’</w:t>
      </w:r>
      <w:r>
        <w:rPr>
          <w:rFonts w:eastAsia="Times New Roman"/>
          <w:color w:val="000000"/>
          <w:sz w:val="20"/>
          <w:szCs w:val="20"/>
        </w:rPr>
        <w:t xml:space="preserve">s General Account portfolio. EIM provides non-discretionary investment advisory and asset management services including, but not limited to, providing investment advice on strategic investment management activities, asset strategies through affiliated and </w:t>
      </w:r>
      <w:r>
        <w:rPr>
          <w:rFonts w:eastAsia="Times New Roman"/>
          <w:color w:val="000000"/>
          <w:sz w:val="20"/>
          <w:szCs w:val="20"/>
        </w:rPr>
        <w:t>unaffiliated asset managers, strategic oversight of the General Account portfolio, portfolio management, yield/duration optimization, asset liability management, asset allocation, liquidity and close alignment to business strategies, as well as advising on</w:t>
      </w:r>
      <w:r>
        <w:rPr>
          <w:rFonts w:eastAsia="Times New Roman"/>
          <w:color w:val="000000"/>
          <w:sz w:val="20"/>
          <w:szCs w:val="20"/>
        </w:rPr>
        <w:t xml:space="preserve"> other services in accordance with the investment advisory and management agreement. Subject to oversight and supervision by EIM, EIM may delegate any of its duties with respect to some or all of the assets of the General Account to a sub-adviser. </w:t>
      </w:r>
    </w:p>
    <w:p w:rsidR="00000000" w:rsidRDefault="00E54EC0">
      <w:pPr>
        <w:divId w:val="244920015"/>
        <w:rPr>
          <w:rFonts w:eastAsia="Times New Roman"/>
        </w:rPr>
      </w:pPr>
      <w:r>
        <w:rPr>
          <w:rFonts w:eastAsia="Times New Roman"/>
          <w:b/>
          <w:bCs/>
          <w:color w:val="000000"/>
          <w:sz w:val="20"/>
          <w:szCs w:val="20"/>
        </w:rPr>
        <w:t>Regulat</w:t>
      </w:r>
      <w:r>
        <w:rPr>
          <w:rFonts w:eastAsia="Times New Roman"/>
          <w:b/>
          <w:bCs/>
          <w:color w:val="000000"/>
          <w:sz w:val="20"/>
          <w:szCs w:val="20"/>
        </w:rPr>
        <w:t xml:space="preserve">ion </w:t>
      </w:r>
    </w:p>
    <w:p w:rsidR="00000000" w:rsidRDefault="00E54EC0">
      <w:pPr>
        <w:jc w:val="both"/>
        <w:divId w:val="1640695502"/>
        <w:rPr>
          <w:rFonts w:eastAsia="Times New Roman"/>
        </w:rPr>
      </w:pPr>
      <w:r>
        <w:rPr>
          <w:rFonts w:eastAsia="Times New Roman"/>
          <w:b/>
          <w:bCs/>
          <w:i/>
          <w:iCs/>
          <w:color w:val="000000"/>
          <w:sz w:val="20"/>
          <w:szCs w:val="20"/>
        </w:rPr>
        <w:t>Insurance Regulation</w:t>
      </w:r>
    </w:p>
    <w:p w:rsidR="00000000" w:rsidRDefault="00E54EC0">
      <w:pPr>
        <w:ind w:firstLine="360"/>
        <w:divId w:val="609317160"/>
        <w:rPr>
          <w:rFonts w:eastAsia="Times New Roman"/>
        </w:rPr>
      </w:pPr>
      <w:r>
        <w:rPr>
          <w:rFonts w:eastAsia="Times New Roman"/>
          <w:color w:val="000000"/>
          <w:sz w:val="20"/>
          <w:szCs w:val="20"/>
        </w:rPr>
        <w:t xml:space="preserve">Our insurance subsidiaries are licensed to transact insurance business and are subject to extensive regulation and supervision by insurance regulators, in all 50 states of the United States, the District of Columbia, Puerto Rico, </w:t>
      </w:r>
      <w:r>
        <w:rPr>
          <w:rFonts w:eastAsia="Times New Roman"/>
          <w:color w:val="000000"/>
          <w:sz w:val="20"/>
          <w:szCs w:val="20"/>
        </w:rPr>
        <w:t>and the U.S. Virgin Islands. The primary regulator of an insurance company, however, is located in its state of domicile. Equitable Financial is domiciled in New York and is primarily regulated by the Superintendent of the NYDFS. Equitable America and EQ A</w:t>
      </w:r>
      <w:r>
        <w:rPr>
          <w:rFonts w:eastAsia="Times New Roman"/>
          <w:color w:val="000000"/>
          <w:sz w:val="20"/>
          <w:szCs w:val="20"/>
        </w:rPr>
        <w:t>Z Life Re are domiciled in Arizona and are primarily regulated by the Director of Insurance of the Arizona Department of Insurance and Financial Institutions. Equitable L&amp;A is domiciled in Colorado and is primarily regulated by the Commissioner of Insuranc</w:t>
      </w:r>
      <w:r>
        <w:rPr>
          <w:rFonts w:eastAsia="Times New Roman"/>
          <w:color w:val="000000"/>
          <w:sz w:val="20"/>
          <w:szCs w:val="20"/>
        </w:rPr>
        <w:t>e of the Colorado Division of Insurance. The extent of regulation by jurisdiction varies, but most jurisdictions have laws and regulations governing the financial aspects and business conduct of insurers. State laws in the United States grant insurance reg</w:t>
      </w:r>
      <w:r>
        <w:rPr>
          <w:rFonts w:eastAsia="Times New Roman"/>
          <w:color w:val="000000"/>
          <w:sz w:val="20"/>
          <w:szCs w:val="20"/>
        </w:rPr>
        <w:t>ulatory authorities broad administrative powers with respect to, among other things, licensing companies to transact business, sales practices, establishing statutory capital and reserve requirements and solvency standards, reinsurance and hedging, protect</w:t>
      </w:r>
      <w:r>
        <w:rPr>
          <w:rFonts w:eastAsia="Times New Roman"/>
          <w:color w:val="000000"/>
          <w:sz w:val="20"/>
          <w:szCs w:val="20"/>
        </w:rPr>
        <w:t>ing privacy, regulating advertising, restricting the payment of dividends and other transactions between affiliates, permitted types and concentrations of investments and business conduct to be maintained by insurance companies as well as agent and insuran</w:t>
      </w:r>
      <w:r>
        <w:rPr>
          <w:rFonts w:eastAsia="Times New Roman"/>
          <w:color w:val="000000"/>
          <w:sz w:val="20"/>
          <w:szCs w:val="20"/>
        </w:rPr>
        <w:t>ce producer licensing, and, to the extent applicable to the particular type of insurance, approval or filing of policy forms and rates. Insurance regulators have the discretionary authority to limit or prohibit new issuances of business to policyholders wi</w:t>
      </w:r>
      <w:r>
        <w:rPr>
          <w:rFonts w:eastAsia="Times New Roman"/>
          <w:color w:val="000000"/>
          <w:sz w:val="20"/>
          <w:szCs w:val="20"/>
        </w:rPr>
        <w:t>thin their jurisdictions when, in their judgment, such regulators determine that the issuing company is not maintaining adequate statutory surplus or capital. Additionally, New York’s insurance laws limit sales commissions and certain other marketing expen</w:t>
      </w:r>
      <w:r>
        <w:rPr>
          <w:rFonts w:eastAsia="Times New Roman"/>
          <w:color w:val="000000"/>
          <w:sz w:val="20"/>
          <w:szCs w:val="20"/>
        </w:rPr>
        <w:t>ses that Equitable Financial may incur.</w:t>
      </w:r>
    </w:p>
    <w:p w:rsidR="00000000" w:rsidRDefault="00E54EC0">
      <w:pPr>
        <w:ind w:firstLine="360"/>
        <w:divId w:val="754937488"/>
        <w:rPr>
          <w:rFonts w:eastAsia="Times New Roman"/>
        </w:rPr>
      </w:pPr>
      <w:r>
        <w:rPr>
          <w:rFonts w:eastAsia="Times New Roman"/>
          <w:color w:val="000000"/>
          <w:sz w:val="20"/>
          <w:szCs w:val="20"/>
        </w:rPr>
        <w:t>Supervisory agencies in each of the jurisdictions in which we do business may conduct regular or targeted examinations of our operations and accounts and make requests for particular information from us. For example,</w:t>
      </w:r>
      <w:r>
        <w:rPr>
          <w:rFonts w:eastAsia="Times New Roman"/>
          <w:color w:val="000000"/>
          <w:sz w:val="20"/>
          <w:szCs w:val="20"/>
        </w:rPr>
        <w:t xml:space="preserve"> periodic financial examinations of the books, records, accounts and business practices of insurers domiciled in their states are generally conducted by such supervisory agencies every three to five years. From time to time, regulators raise issues during </w:t>
      </w:r>
      <w:r>
        <w:rPr>
          <w:rFonts w:eastAsia="Times New Roman"/>
          <w:color w:val="000000"/>
          <w:sz w:val="20"/>
          <w:szCs w:val="20"/>
        </w:rPr>
        <w:t>examinations or audits of us that could, if determined adversely, have a material adverse effect on us. In addition, the interpretations of regulations by regulators may change and statutes may be enacted with retroactive impact, particularly in areas such</w:t>
      </w:r>
      <w:r>
        <w:rPr>
          <w:rFonts w:eastAsia="Times New Roman"/>
          <w:color w:val="000000"/>
          <w:sz w:val="20"/>
          <w:szCs w:val="20"/>
        </w:rPr>
        <w:t xml:space="preserve"> as accounting or statutory reserve requirements. In addition to oversight by state insurance regulators in recent years, the insurance industry has seen an increase in inquiries from state attorneys general and other state officials regarding compliance w</w:t>
      </w:r>
      <w:r>
        <w:rPr>
          <w:rFonts w:eastAsia="Times New Roman"/>
          <w:color w:val="000000"/>
          <w:sz w:val="20"/>
          <w:szCs w:val="20"/>
        </w:rPr>
        <w:t>ith certain state insurance, securities and other applicable laws. We have received and responded to such inquiries from time to time. For additional information on legal and regulatory risks, see “Risk Factors—Legal and Regulatory Risks.”</w:t>
      </w:r>
    </w:p>
    <w:p w:rsidR="00000000" w:rsidRDefault="00E54EC0">
      <w:pPr>
        <w:ind w:firstLine="360"/>
        <w:divId w:val="739451683"/>
        <w:rPr>
          <w:rFonts w:eastAsia="Times New Roman"/>
        </w:rPr>
      </w:pPr>
      <w:r>
        <w:rPr>
          <w:rFonts w:eastAsia="Times New Roman"/>
          <w:color w:val="000000"/>
          <w:sz w:val="20"/>
          <w:szCs w:val="20"/>
        </w:rPr>
        <w:t>Each of our insu</w:t>
      </w:r>
      <w:r>
        <w:rPr>
          <w:rFonts w:eastAsia="Times New Roman"/>
          <w:color w:val="000000"/>
          <w:sz w:val="20"/>
          <w:szCs w:val="20"/>
        </w:rPr>
        <w:t>rance subsidiaries is required to file detailed annual and, with the exception of EQ AZ Life Re, quarterly financial statements, prepared on a statutory accounting basis or in accordance with other accounting practices prescribed or permitted by the applic</w:t>
      </w:r>
      <w:r>
        <w:rPr>
          <w:rFonts w:eastAsia="Times New Roman"/>
          <w:color w:val="000000"/>
          <w:sz w:val="20"/>
          <w:szCs w:val="20"/>
        </w:rPr>
        <w:t xml:space="preserve">able regulator, with supervisory agencies in each of the jurisdictions in which such subsidiary does business. The NAIC has approved a series of uniform SAP that has been adopted by all state insurance regulators, in some cases with certain modifications. </w:t>
      </w:r>
      <w:r>
        <w:rPr>
          <w:rFonts w:eastAsia="Times New Roman"/>
          <w:color w:val="000000"/>
          <w:sz w:val="20"/>
          <w:szCs w:val="20"/>
        </w:rPr>
        <w:t>As a basis of accounting, SAP was developed to monitor and regulate the solvency of insurance companies. In developing SAP, insurance regulators were primarily concerned with ensuring an insurer’s ability to pay all its current and future obligations to po</w:t>
      </w:r>
      <w:r>
        <w:rPr>
          <w:rFonts w:eastAsia="Times New Roman"/>
          <w:color w:val="000000"/>
          <w:sz w:val="20"/>
          <w:szCs w:val="20"/>
        </w:rPr>
        <w:t>licyholders. As a result, statutory accounting focuses on conservatively valuing the assets and liabilities of insurers, generally in accordance with standards specified by the insurer’s domiciliary state. The values for assets, liabilities and equity refl</w:t>
      </w:r>
      <w:r>
        <w:rPr>
          <w:rFonts w:eastAsia="Times New Roman"/>
          <w:color w:val="000000"/>
          <w:sz w:val="20"/>
          <w:szCs w:val="20"/>
        </w:rPr>
        <w:t>ected in financial statements prepared in accordance with U.S. GAAP are usually different from those reflected in financial statements prepared under SAP. See Note 18 of the Notes to the Consolidated Financial Statements.</w:t>
      </w:r>
    </w:p>
    <w:p w:rsidR="00000000" w:rsidRDefault="00E54EC0">
      <w:pPr>
        <w:divId w:val="72557536"/>
        <w:rPr>
          <w:rFonts w:eastAsia="Times New Roman"/>
        </w:rPr>
      </w:pPr>
      <w:r>
        <w:rPr>
          <w:rFonts w:eastAsia="Times New Roman"/>
          <w:i/>
          <w:iCs/>
          <w:color w:val="000000"/>
          <w:sz w:val="20"/>
          <w:szCs w:val="20"/>
          <w:u w:val="single"/>
        </w:rPr>
        <w:t>Holding Company and Shareholder Di</w:t>
      </w:r>
      <w:r>
        <w:rPr>
          <w:rFonts w:eastAsia="Times New Roman"/>
          <w:i/>
          <w:iCs/>
          <w:color w:val="000000"/>
          <w:sz w:val="20"/>
          <w:szCs w:val="20"/>
          <w:u w:val="single"/>
        </w:rPr>
        <w:t>vidend Regulation</w:t>
      </w:r>
    </w:p>
    <w:p w:rsidR="00000000" w:rsidRDefault="00E54EC0">
      <w:pPr>
        <w:ind w:firstLine="360"/>
        <w:divId w:val="1271012804"/>
        <w:rPr>
          <w:rFonts w:eastAsia="Times New Roman"/>
        </w:rPr>
      </w:pPr>
      <w:r>
        <w:rPr>
          <w:rFonts w:eastAsia="Times New Roman"/>
          <w:color w:val="000000"/>
          <w:sz w:val="20"/>
          <w:szCs w:val="20"/>
        </w:rPr>
        <w:t>All states regulate transactions between an insurer and its affiliates under their insurance holding company laws. The insurance holding company laws and regulations vary from jurisdiction to jurisdiction, but generally require that all t</w:t>
      </w:r>
      <w:r>
        <w:rPr>
          <w:rFonts w:eastAsia="Times New Roman"/>
          <w:color w:val="000000"/>
          <w:sz w:val="20"/>
          <w:szCs w:val="20"/>
        </w:rPr>
        <w:t>ransactions affecting insurers within a holding company system be fair and reasonable and, in many cases, require prior notice and approval or non-disapproval by the insurer’s domiciliary insurance regulator.</w:t>
      </w:r>
    </w:p>
    <w:p w:rsidR="00000000" w:rsidRDefault="00E54EC0">
      <w:pPr>
        <w:jc w:val="center"/>
        <w:divId w:val="104927856"/>
        <w:rPr>
          <w:rFonts w:eastAsia="Times New Roman"/>
        </w:rPr>
      </w:pPr>
      <w:r>
        <w:rPr>
          <w:rFonts w:eastAsia="Times New Roman"/>
          <w:color w:val="000000"/>
          <w:sz w:val="20"/>
          <w:szCs w:val="20"/>
        </w:rPr>
        <w:t>37</w:t>
      </w:r>
    </w:p>
    <w:p w:rsidR="00000000" w:rsidRDefault="00E54EC0">
      <w:pPr>
        <w:rPr>
          <w:rFonts w:eastAsia="Times New Roman"/>
        </w:rPr>
      </w:pPr>
      <w:r>
        <w:rPr>
          <w:rFonts w:eastAsia="Times New Roman"/>
        </w:rPr>
        <w:pict>
          <v:rect id="_x0000_i1074" style="width:0;height:1.5pt" o:hralign="center" o:hrstd="t" o:hr="t" fillcolor="#a0a0a0" stroked="f"/>
        </w:pict>
      </w:r>
    </w:p>
    <w:p w:rsidR="00000000" w:rsidRDefault="00E54EC0">
      <w:pPr>
        <w:divId w:val="575360095"/>
        <w:rPr>
          <w:rFonts w:eastAsia="Times New Roman"/>
        </w:rPr>
      </w:pPr>
    </w:p>
    <w:p w:rsidR="00000000" w:rsidRDefault="00E54EC0">
      <w:pPr>
        <w:ind w:firstLine="360"/>
        <w:divId w:val="1891650281"/>
        <w:rPr>
          <w:rFonts w:eastAsia="Times New Roman"/>
        </w:rPr>
      </w:pPr>
      <w:r>
        <w:rPr>
          <w:rFonts w:eastAsia="Times New Roman"/>
          <w:color w:val="000000"/>
          <w:sz w:val="20"/>
          <w:szCs w:val="20"/>
        </w:rPr>
        <w:t>The in</w:t>
      </w:r>
      <w:r>
        <w:rPr>
          <w:rFonts w:eastAsia="Times New Roman"/>
          <w:color w:val="000000"/>
          <w:sz w:val="20"/>
          <w:szCs w:val="20"/>
        </w:rPr>
        <w:t>surance holding company laws and regulations generally also require a controlled insurance company (</w:t>
      </w:r>
      <w:r>
        <w:rPr>
          <w:rFonts w:eastAsia="Times New Roman"/>
          <w:i/>
          <w:iCs/>
          <w:color w:val="000000"/>
          <w:sz w:val="20"/>
          <w:szCs w:val="20"/>
        </w:rPr>
        <w:t>i.e.</w:t>
      </w:r>
      <w:r>
        <w:rPr>
          <w:rFonts w:eastAsia="Times New Roman"/>
          <w:color w:val="000000"/>
          <w:sz w:val="20"/>
          <w:szCs w:val="20"/>
        </w:rPr>
        <w:t>, an insurer that is a subsidiary of an insurance holding company) to register and file with state insurance regulatory authorities certain reports, inc</w:t>
      </w:r>
      <w:r>
        <w:rPr>
          <w:rFonts w:eastAsia="Times New Roman"/>
          <w:color w:val="000000"/>
          <w:sz w:val="20"/>
          <w:szCs w:val="20"/>
        </w:rPr>
        <w:t>luding information concerning its capital structure, ownership, financial condition, certain intercompany transactions and general business operations. In addition, states require the ultimate controlling person of a U.S. insurer to file an annual enterpri</w:t>
      </w:r>
      <w:r>
        <w:rPr>
          <w:rFonts w:eastAsia="Times New Roman"/>
          <w:color w:val="000000"/>
          <w:sz w:val="20"/>
          <w:szCs w:val="20"/>
        </w:rPr>
        <w:t>se risk report with the lead state regulator of the insurance holding company system identifying risks likely to have a material adverse effect upon the financial condition or liquidity of the insurer or its insurance holding company system as a whole.</w:t>
      </w:r>
    </w:p>
    <w:p w:rsidR="00000000" w:rsidRDefault="00E54EC0">
      <w:pPr>
        <w:ind w:firstLine="360"/>
        <w:divId w:val="1908415980"/>
        <w:rPr>
          <w:rFonts w:eastAsia="Times New Roman"/>
        </w:rPr>
      </w:pPr>
      <w:r>
        <w:rPr>
          <w:rFonts w:eastAsia="Times New Roman"/>
          <w:color w:val="000000"/>
          <w:sz w:val="20"/>
          <w:szCs w:val="20"/>
        </w:rPr>
        <w:t>Sta</w:t>
      </w:r>
      <w:r>
        <w:rPr>
          <w:rFonts w:eastAsia="Times New Roman"/>
          <w:color w:val="000000"/>
          <w:sz w:val="20"/>
          <w:szCs w:val="20"/>
        </w:rPr>
        <w:t>te insurance laws also place restrictions and limitations on the amount of dividends or other distributions payable by insurance company subsidiaries to their parent companies, as well as on transactions between an insurer and its affiliates. Under New Yor</w:t>
      </w:r>
      <w:r>
        <w:rPr>
          <w:rFonts w:eastAsia="Times New Roman"/>
          <w:color w:val="000000"/>
          <w:sz w:val="20"/>
          <w:szCs w:val="20"/>
        </w:rPr>
        <w:t>k’s insurance laws, which are applicable to Equitable Financial, a domestic stock life insurer may pay an ordinary dividend to its stockholders without regulatory approval provided that the amount does not exceed the statutory formula (“Ordinary Dividend”)</w:t>
      </w:r>
      <w:r>
        <w:rPr>
          <w:rFonts w:eastAsia="Times New Roman"/>
          <w:color w:val="000000"/>
          <w:sz w:val="20"/>
          <w:szCs w:val="20"/>
        </w:rPr>
        <w:t>. Dividends in excess of this amount require a New York domestic life insurer to file a notice of its intent to declare the dividend with the NYDFS and obtain prior approval or non-disapproval from the NYDFS with respect to such dividend (“Extraordinary Di</w:t>
      </w:r>
      <w:r>
        <w:rPr>
          <w:rFonts w:eastAsia="Times New Roman"/>
          <w:color w:val="000000"/>
          <w:sz w:val="20"/>
          <w:szCs w:val="20"/>
        </w:rPr>
        <w:t xml:space="preserve">vidend”). Due to a permitted statutory accounting practice agreed to with the NYDFS, Equitable Financial needs the prior approval of the NYDFS to pay the portion, if any, of any Ordinary Dividend that exceeds the Ordinary Dividend that Equitable Financial </w:t>
      </w:r>
      <w:r>
        <w:rPr>
          <w:rFonts w:eastAsia="Times New Roman"/>
          <w:color w:val="000000"/>
          <w:sz w:val="20"/>
          <w:szCs w:val="20"/>
        </w:rPr>
        <w:t>would be permitted to pay under New York’s insurance laws absent the application of such permitted practice (such excess, the “Permitted Practice Ordinary Dividend”).</w:t>
      </w:r>
    </w:p>
    <w:p w:rsidR="00000000" w:rsidRDefault="00E54EC0">
      <w:pPr>
        <w:ind w:firstLine="360"/>
        <w:divId w:val="1685670745"/>
        <w:rPr>
          <w:rFonts w:eastAsia="Times New Roman"/>
        </w:rPr>
      </w:pPr>
      <w:r>
        <w:rPr>
          <w:rFonts w:eastAsia="Times New Roman"/>
          <w:color w:val="000000"/>
          <w:sz w:val="20"/>
          <w:szCs w:val="20"/>
        </w:rPr>
        <w:t>Other states’ insurance laws have limitations on dividends similar to New York’s, providi</w:t>
      </w:r>
      <w:r>
        <w:rPr>
          <w:rFonts w:eastAsia="Times New Roman"/>
          <w:color w:val="000000"/>
          <w:sz w:val="20"/>
          <w:szCs w:val="20"/>
        </w:rPr>
        <w:t>ng that dividends in excess of prescribed limits, based on an insurance company’s earnings and surplus for the prior year, are considered to be extraordinary dividends and require explicit approval from the insurer’s domiciliary insurance regulator. In add</w:t>
      </w:r>
      <w:r>
        <w:rPr>
          <w:rFonts w:eastAsia="Times New Roman"/>
          <w:color w:val="000000"/>
          <w:sz w:val="20"/>
          <w:szCs w:val="20"/>
        </w:rPr>
        <w:t>ition, the insurance laws of some states require that any dividend to a domestic insurance company’s stockholders be paid from the insurer’s earned surplus or that prior approval or non-disapproval be obtained from its domiciliary insurance regulator for a</w:t>
      </w:r>
      <w:r>
        <w:rPr>
          <w:rFonts w:eastAsia="Times New Roman"/>
          <w:color w:val="000000"/>
          <w:sz w:val="20"/>
          <w:szCs w:val="20"/>
        </w:rPr>
        <w:t>ny dividend payable from other than earned surplus. As a holding company, we depend on dividends from our subsidiaries to meet our obligations. For additional information on shareholder dividends, see “Management’s Discussion and Analysis of Financial Cond</w:t>
      </w:r>
      <w:r>
        <w:rPr>
          <w:rFonts w:eastAsia="Times New Roman"/>
          <w:color w:val="000000"/>
          <w:sz w:val="20"/>
          <w:szCs w:val="20"/>
        </w:rPr>
        <w:t>ition and Results of Operations—Liquidity and Capital Resources.”</w:t>
      </w:r>
    </w:p>
    <w:p w:rsidR="00000000" w:rsidRDefault="00E54EC0">
      <w:pPr>
        <w:ind w:firstLine="360"/>
        <w:divId w:val="719669967"/>
        <w:rPr>
          <w:rFonts w:eastAsia="Times New Roman"/>
        </w:rPr>
      </w:pPr>
      <w:r>
        <w:rPr>
          <w:rFonts w:eastAsia="Times New Roman"/>
          <w:color w:val="000000"/>
          <w:sz w:val="20"/>
          <w:szCs w:val="20"/>
        </w:rPr>
        <w:t>State insurance holding company laws and regulations also regulate changes in control. State laws provide that no person, corporation or other entity may acquire control of a domestic insura</w:t>
      </w:r>
      <w:r>
        <w:rPr>
          <w:rFonts w:eastAsia="Times New Roman"/>
          <w:color w:val="000000"/>
          <w:sz w:val="20"/>
          <w:szCs w:val="20"/>
        </w:rPr>
        <w:t>nce company, or any parent company of such insurance company, without the prior approval of the insurance company’s domiciliary state insurance regulator. Generally, any person acquiring, directly or indirectly, 10% or more of the voting securities of an i</w:t>
      </w:r>
      <w:r>
        <w:rPr>
          <w:rFonts w:eastAsia="Times New Roman"/>
          <w:color w:val="000000"/>
          <w:sz w:val="20"/>
          <w:szCs w:val="20"/>
        </w:rPr>
        <w:t>nsurance company is presumed to have acquired “control” of the company. This statutory presumption may be rebutted by a showing that control does not exist in fact. State insurance regulators, however, may find that “control” exists in circumstances in whi</w:t>
      </w:r>
      <w:r>
        <w:rPr>
          <w:rFonts w:eastAsia="Times New Roman"/>
          <w:color w:val="000000"/>
          <w:sz w:val="20"/>
          <w:szCs w:val="20"/>
        </w:rPr>
        <w:t>ch a person owns or controls, directly or indirectly, less than 10% of the voting securities.</w:t>
      </w:r>
    </w:p>
    <w:p w:rsidR="00000000" w:rsidRDefault="00E54EC0">
      <w:pPr>
        <w:ind w:firstLine="360"/>
        <w:divId w:val="102771729"/>
        <w:rPr>
          <w:rFonts w:eastAsia="Times New Roman"/>
        </w:rPr>
      </w:pPr>
      <w:r>
        <w:rPr>
          <w:rFonts w:eastAsia="Times New Roman"/>
          <w:color w:val="000000"/>
          <w:sz w:val="20"/>
          <w:szCs w:val="20"/>
        </w:rPr>
        <w:t>The laws and regulations regarding acquisition of control transactions may discourage potential acquisition proposals and may delay or prevent a change of control</w:t>
      </w:r>
      <w:r>
        <w:rPr>
          <w:rFonts w:eastAsia="Times New Roman"/>
          <w:color w:val="000000"/>
          <w:sz w:val="20"/>
          <w:szCs w:val="20"/>
        </w:rPr>
        <w:t xml:space="preserve"> involving us, including through unsolicited transactions that some of our shareholders might consider desirable.</w:t>
      </w:r>
    </w:p>
    <w:p w:rsidR="00000000" w:rsidRDefault="00E54EC0">
      <w:pPr>
        <w:divId w:val="509371700"/>
        <w:rPr>
          <w:rFonts w:eastAsia="Times New Roman"/>
        </w:rPr>
      </w:pPr>
      <w:r>
        <w:rPr>
          <w:rFonts w:eastAsia="Times New Roman"/>
          <w:i/>
          <w:iCs/>
          <w:color w:val="000000"/>
          <w:sz w:val="20"/>
          <w:szCs w:val="20"/>
          <w:u w:val="single"/>
        </w:rPr>
        <w:t>NAIC</w:t>
      </w:r>
    </w:p>
    <w:p w:rsidR="00000000" w:rsidRDefault="00E54EC0">
      <w:pPr>
        <w:ind w:firstLine="360"/>
        <w:divId w:val="545994902"/>
        <w:rPr>
          <w:rFonts w:eastAsia="Times New Roman"/>
        </w:rPr>
      </w:pPr>
      <w:r>
        <w:rPr>
          <w:rFonts w:eastAsia="Times New Roman"/>
          <w:color w:val="000000"/>
          <w:sz w:val="20"/>
          <w:szCs w:val="20"/>
        </w:rPr>
        <w:t>The mandate of the NAIC is to benefit state insurance regulatory authorities and consumers by promulgating model insurance laws and regulations for adoption by the states. The NAIC has established statutory accounting principles set forth in the Manual. Ho</w:t>
      </w:r>
      <w:r>
        <w:rPr>
          <w:rFonts w:eastAsia="Times New Roman"/>
          <w:color w:val="000000"/>
          <w:sz w:val="20"/>
          <w:szCs w:val="20"/>
        </w:rPr>
        <w:t>wever, a state may have adopted or in the future may adopt statutory accounting principles that differ from the Manual. Changes to the Manual or states’ adoption of prescribed differences to the Manual may impact the statutory capital and surplus of our U.</w:t>
      </w:r>
      <w:r>
        <w:rPr>
          <w:rFonts w:eastAsia="Times New Roman"/>
          <w:color w:val="000000"/>
          <w:sz w:val="20"/>
          <w:szCs w:val="20"/>
        </w:rPr>
        <w:t>S. insurance companies.</w:t>
      </w:r>
    </w:p>
    <w:p w:rsidR="00000000" w:rsidRDefault="00E54EC0">
      <w:pPr>
        <w:ind w:firstLine="360"/>
        <w:divId w:val="2011520883"/>
        <w:rPr>
          <w:rFonts w:eastAsia="Times New Roman"/>
        </w:rPr>
      </w:pPr>
      <w:r>
        <w:rPr>
          <w:rFonts w:eastAsia="Times New Roman"/>
          <w:color w:val="000000"/>
          <w:sz w:val="20"/>
          <w:szCs w:val="20"/>
        </w:rPr>
        <w:t xml:space="preserve">The NAIC’s Risk Management and Own Risk and Solvency Assessment Model Act (“ORSA”), which has been enacted by our insurance subsidiaries’ domiciliary states - requires insurers to maintain a risk management framework and conduct an </w:t>
      </w:r>
      <w:r>
        <w:rPr>
          <w:rFonts w:eastAsia="Times New Roman"/>
          <w:color w:val="000000"/>
          <w:sz w:val="20"/>
          <w:szCs w:val="20"/>
        </w:rPr>
        <w:t>internal risk and solvency assessment of their material risks in normal and stressed environments. The assessment is documented in a confidential annual ORSA summary report, a copy of which must be made available to regulators as required or upon request.</w:t>
      </w:r>
    </w:p>
    <w:p w:rsidR="00000000" w:rsidRDefault="00E54EC0">
      <w:pPr>
        <w:ind w:firstLine="360"/>
        <w:divId w:val="1472626207"/>
        <w:rPr>
          <w:rFonts w:eastAsia="Times New Roman"/>
        </w:rPr>
      </w:pPr>
      <w:r>
        <w:rPr>
          <w:rFonts w:eastAsia="Times New Roman"/>
          <w:color w:val="000000"/>
          <w:sz w:val="20"/>
          <w:szCs w:val="20"/>
        </w:rPr>
        <w:t xml:space="preserve">The NAIC’s Corporate Governance Annual Disclosure Model Act has been adopted by our insurance subsidiaries’ domiciliary states. It requires insurers to annually file detailed information regarding their corporate governance policies. </w:t>
      </w:r>
    </w:p>
    <w:p w:rsidR="00000000" w:rsidRDefault="00E54EC0">
      <w:pPr>
        <w:jc w:val="center"/>
        <w:divId w:val="569460195"/>
        <w:rPr>
          <w:rFonts w:eastAsia="Times New Roman"/>
        </w:rPr>
      </w:pPr>
      <w:r>
        <w:rPr>
          <w:rFonts w:eastAsia="Times New Roman"/>
          <w:color w:val="000000"/>
          <w:sz w:val="20"/>
          <w:szCs w:val="20"/>
        </w:rPr>
        <w:t>38</w:t>
      </w:r>
    </w:p>
    <w:p w:rsidR="00000000" w:rsidRDefault="00E54EC0">
      <w:pPr>
        <w:rPr>
          <w:rFonts w:eastAsia="Times New Roman"/>
        </w:rPr>
      </w:pPr>
      <w:r>
        <w:rPr>
          <w:rFonts w:eastAsia="Times New Roman"/>
        </w:rPr>
        <w:pict>
          <v:rect id="_x0000_i1075" style="width:0;height:1.5pt" o:hralign="center" o:hrstd="t" o:hr="t" fillcolor="#a0a0a0" stroked="f"/>
        </w:pict>
      </w:r>
    </w:p>
    <w:p w:rsidR="00000000" w:rsidRDefault="00E54EC0">
      <w:pPr>
        <w:divId w:val="1489202108"/>
        <w:rPr>
          <w:rFonts w:eastAsia="Times New Roman"/>
        </w:rPr>
      </w:pPr>
    </w:p>
    <w:p w:rsidR="00000000" w:rsidRDefault="00E54EC0">
      <w:pPr>
        <w:ind w:firstLine="360"/>
        <w:divId w:val="299309976"/>
        <w:rPr>
          <w:rFonts w:eastAsia="Times New Roman"/>
        </w:rPr>
      </w:pPr>
      <w:r>
        <w:rPr>
          <w:rFonts w:eastAsia="Times New Roman"/>
          <w:color w:val="000000"/>
          <w:sz w:val="20"/>
          <w:szCs w:val="20"/>
        </w:rPr>
        <w:t>The NAIC amended the Standard Valuation Law to require a principle-based approach to reserving for life insurance and annuity contracts, which resulted in corresponding amendments to the NAIC’s Valuation Manual (the “Valuation Manual”).</w:t>
      </w:r>
      <w:r>
        <w:rPr>
          <w:rFonts w:eastAsia="Times New Roman"/>
          <w:color w:val="000000"/>
          <w:sz w:val="20"/>
          <w:szCs w:val="20"/>
        </w:rPr>
        <w:t xml:space="preserve"> Principle-based reserving is designed to better address reserving for life insurance and annuity products. It has been adopted in all states, although in New York, principle-based reserving became effective with the adoption of Regulation 213, which diffe</w:t>
      </w:r>
      <w:r>
        <w:rPr>
          <w:rFonts w:eastAsia="Times New Roman"/>
          <w:color w:val="000000"/>
          <w:sz w:val="20"/>
          <w:szCs w:val="20"/>
        </w:rPr>
        <w:t>rs from the NAIC Standard Valuation Law, as discussed further below.</w:t>
      </w:r>
    </w:p>
    <w:p w:rsidR="00000000" w:rsidRDefault="00E54EC0">
      <w:pPr>
        <w:ind w:firstLine="360"/>
        <w:divId w:val="640422683"/>
        <w:rPr>
          <w:rFonts w:eastAsia="Times New Roman"/>
        </w:rPr>
      </w:pPr>
      <w:r>
        <w:rPr>
          <w:rFonts w:eastAsia="Times New Roman"/>
          <w:color w:val="000000"/>
          <w:sz w:val="20"/>
          <w:szCs w:val="20"/>
        </w:rPr>
        <w:t>The NAIC has been focused on a macro-prudential initiative since 2017, that is intended to enhance risk identification efforts through proposed enhancements to supervisory practices relat</w:t>
      </w:r>
      <w:r>
        <w:rPr>
          <w:rFonts w:eastAsia="Times New Roman"/>
          <w:color w:val="000000"/>
          <w:sz w:val="20"/>
          <w:szCs w:val="20"/>
        </w:rPr>
        <w:t>ed to liquidity, recovery and resolution, capital stress testing and counterparty exposure concentrations for life insurers. In 2020, the NAIC adopted amendments to the Model Holding Company Act and Regulation that implement an annual filing requirement re</w:t>
      </w:r>
      <w:r>
        <w:rPr>
          <w:rFonts w:eastAsia="Times New Roman"/>
          <w:color w:val="000000"/>
          <w:sz w:val="20"/>
          <w:szCs w:val="20"/>
        </w:rPr>
        <w:t>lated to a liquidity stress-testing framework (the “Liquidity Stress Test”) for certain large U.S. life insurers and insurance groups (based on amounts of certain types of business written or material exposure to certain investment transactions, such as de</w:t>
      </w:r>
      <w:r>
        <w:rPr>
          <w:rFonts w:eastAsia="Times New Roman"/>
          <w:color w:val="000000"/>
          <w:sz w:val="20"/>
          <w:szCs w:val="20"/>
        </w:rPr>
        <w:t>rivatives and securities lending). The Liquidity Stress Test is used as a regulatory tool in jurisdictions which have adopted the holding company amendments. Our insurance subsidiaries’ domiciliary states have not yet adopted the amendments, although a bil</w:t>
      </w:r>
      <w:r>
        <w:rPr>
          <w:rFonts w:eastAsia="Times New Roman"/>
          <w:color w:val="000000"/>
          <w:sz w:val="20"/>
          <w:szCs w:val="20"/>
        </w:rPr>
        <w:t>l is pending in the New York State legislature and the amendments are expected to be widely adopted. We cannot predict what impact this tool may have on the Company.</w:t>
      </w:r>
    </w:p>
    <w:p w:rsidR="00000000" w:rsidRDefault="00E54EC0">
      <w:pPr>
        <w:ind w:firstLine="360"/>
        <w:divId w:val="57242401"/>
        <w:rPr>
          <w:rFonts w:eastAsia="Times New Roman"/>
        </w:rPr>
      </w:pPr>
      <w:r>
        <w:rPr>
          <w:rFonts w:eastAsia="Times New Roman"/>
          <w:color w:val="000000"/>
          <w:sz w:val="20"/>
          <w:szCs w:val="20"/>
        </w:rPr>
        <w:t xml:space="preserve">The NAIC also developed a group capital calculation tool (“GCC”) using an RBC aggregation </w:t>
      </w:r>
      <w:r>
        <w:rPr>
          <w:rFonts w:eastAsia="Times New Roman"/>
          <w:color w:val="000000"/>
          <w:sz w:val="20"/>
          <w:szCs w:val="20"/>
        </w:rPr>
        <w:t>methodology for all entities within the insurance holding company system, including non-U.S. entities. The GCC provides U.S. solvency regulators with an additional analytical tool for conducting group-wide supervision. The NAIC’s amendments to the Model Ho</w:t>
      </w:r>
      <w:r>
        <w:rPr>
          <w:rFonts w:eastAsia="Times New Roman"/>
          <w:color w:val="000000"/>
          <w:sz w:val="20"/>
          <w:szCs w:val="20"/>
        </w:rPr>
        <w:t>lding Company Act and Regulation in 2020 also adopted the GCC Template and Instructions and implemented the annual filing requirement with an insurance group’s lead state regulator. The GCC filing requirement becomes effective when the holding company amen</w:t>
      </w:r>
      <w:r>
        <w:rPr>
          <w:rFonts w:eastAsia="Times New Roman"/>
          <w:color w:val="000000"/>
          <w:sz w:val="20"/>
          <w:szCs w:val="20"/>
        </w:rPr>
        <w:t>dments have been adopted by the state where an insurance group’s lead state regulator is located.</w:t>
      </w:r>
    </w:p>
    <w:p w:rsidR="00000000" w:rsidRDefault="00E54EC0">
      <w:pPr>
        <w:divId w:val="1766027219"/>
        <w:rPr>
          <w:rFonts w:eastAsia="Times New Roman"/>
        </w:rPr>
      </w:pPr>
      <w:r>
        <w:rPr>
          <w:rFonts w:eastAsia="Times New Roman"/>
          <w:i/>
          <w:iCs/>
          <w:color w:val="000000"/>
          <w:sz w:val="20"/>
          <w:szCs w:val="20"/>
          <w:u w:val="single"/>
        </w:rPr>
        <w:t>Captive Reinsurance Regulation and Variable Annuity Capital Standards</w:t>
      </w:r>
    </w:p>
    <w:p w:rsidR="00000000" w:rsidRDefault="00E54EC0">
      <w:pPr>
        <w:ind w:firstLine="360"/>
        <w:divId w:val="516309885"/>
        <w:rPr>
          <w:rFonts w:eastAsia="Times New Roman"/>
        </w:rPr>
      </w:pPr>
      <w:r>
        <w:rPr>
          <w:rFonts w:eastAsia="Times New Roman"/>
          <w:color w:val="000000"/>
          <w:sz w:val="20"/>
          <w:szCs w:val="20"/>
        </w:rPr>
        <w:t>We use an affiliated captive reinsurer as part of our capital management strategy. During the last few years, the NAIC and certain state regulators, including the NYDFS, have been focused on insurance companies’ use of affiliated captive reinsurers or offs</w:t>
      </w:r>
      <w:r>
        <w:rPr>
          <w:rFonts w:eastAsia="Times New Roman"/>
          <w:color w:val="000000"/>
          <w:sz w:val="20"/>
          <w:szCs w:val="20"/>
        </w:rPr>
        <w:t>hore entities.</w:t>
      </w:r>
    </w:p>
    <w:p w:rsidR="00000000" w:rsidRDefault="00E54EC0">
      <w:pPr>
        <w:ind w:firstLine="360"/>
        <w:divId w:val="615671827"/>
        <w:rPr>
          <w:rFonts w:eastAsia="Times New Roman"/>
        </w:rPr>
      </w:pPr>
      <w:r>
        <w:rPr>
          <w:rFonts w:eastAsia="Times New Roman"/>
          <w:color w:val="000000"/>
          <w:sz w:val="20"/>
          <w:szCs w:val="20"/>
        </w:rPr>
        <w:t>The NAIC adopted a revised preamble to the NAIC accreditation standards (the “Standard”) which applies the Standard to captive insurers that assume level premium term life insurance (“XXX”) business and universal life with secondary guarante</w:t>
      </w:r>
      <w:r>
        <w:rPr>
          <w:rFonts w:eastAsia="Times New Roman"/>
          <w:color w:val="000000"/>
          <w:sz w:val="20"/>
          <w:szCs w:val="20"/>
        </w:rPr>
        <w:t>es (“AXXX”) business. The NAIC also developed a regulatory framework, the XXX/AXXX Reinsurance Framework, for XXX/AXXX transactions. The framework requires more disclosure of an insurer’s use of captives in its statutory financial statements and narrows th</w:t>
      </w:r>
      <w:r>
        <w:rPr>
          <w:rFonts w:eastAsia="Times New Roman"/>
          <w:color w:val="000000"/>
          <w:sz w:val="20"/>
          <w:szCs w:val="20"/>
        </w:rPr>
        <w:t xml:space="preserve">e types of assets permitted to back statutory reserves that are required to support the insurer’s future obligations. The XXX/AXXX Reinsurance Framework was implemented through an actuarial guideline (“AG 48”), which requires a ceding insurer’s actuary to </w:t>
      </w:r>
      <w:r>
        <w:rPr>
          <w:rFonts w:eastAsia="Times New Roman"/>
          <w:color w:val="000000"/>
          <w:sz w:val="20"/>
          <w:szCs w:val="20"/>
        </w:rPr>
        <w:t>opine on the insurer’s reserves and issue a qualified opinion if the framework is not followed. AG 48 applies prospectively, so that XXX/AXXX captives are not subject to AG 48 if reinsured policies were issued prior to January 1, 2015 and ceded so that the</w:t>
      </w:r>
      <w:r>
        <w:rPr>
          <w:rFonts w:eastAsia="Times New Roman"/>
          <w:color w:val="000000"/>
          <w:sz w:val="20"/>
          <w:szCs w:val="20"/>
        </w:rPr>
        <w:t>y were part of a reinsurance arrangement as of December 31, 2014, as is the case for the XXX business and AXXX business reinsured by our Arizona captive. The Standard is satisfied if the applicable reinsurance transaction satisfies the XXX/AXXX Reinsurance</w:t>
      </w:r>
      <w:r>
        <w:rPr>
          <w:rFonts w:eastAsia="Times New Roman"/>
          <w:color w:val="000000"/>
          <w:sz w:val="20"/>
          <w:szCs w:val="20"/>
        </w:rPr>
        <w:t xml:space="preserve"> Framework requirements. The NAIC also adopted the Term and Universal Life Insurance Reserving Financing Model Regulation which contains the same substantive requirements as AG 48, as amended by the NAIC, and it establishes uniform, national standards gove</w:t>
      </w:r>
      <w:r>
        <w:rPr>
          <w:rFonts w:eastAsia="Times New Roman"/>
          <w:color w:val="000000"/>
          <w:sz w:val="20"/>
          <w:szCs w:val="20"/>
        </w:rPr>
        <w:t xml:space="preserve">rning reserve financing arrangements pertaining to the term life and universal life insurance policies with secondary guarantees. The model regulation has been adopted by our insurance subsidiaries’ domiciliary states. </w:t>
      </w:r>
    </w:p>
    <w:p w:rsidR="00000000" w:rsidRDefault="00E54EC0">
      <w:pPr>
        <w:ind w:firstLine="360"/>
        <w:divId w:val="1208687041"/>
        <w:rPr>
          <w:rFonts w:eastAsia="Times New Roman"/>
        </w:rPr>
      </w:pPr>
      <w:r>
        <w:rPr>
          <w:rFonts w:eastAsia="Times New Roman"/>
          <w:color w:val="000000"/>
          <w:sz w:val="20"/>
          <w:szCs w:val="20"/>
        </w:rPr>
        <w:t>The NAIC adopted a new framework for</w:t>
      </w:r>
      <w:r>
        <w:rPr>
          <w:rFonts w:eastAsia="Times New Roman"/>
          <w:color w:val="000000"/>
          <w:sz w:val="20"/>
          <w:szCs w:val="20"/>
        </w:rPr>
        <w:t xml:space="preserve"> variable annuity captive reinsurance transactions that became operational in 2020, which includes reforms that improve the statutory reserve and RBC framework for insurance companies that sell variable annuity products. Among other changes, the framework </w:t>
      </w:r>
      <w:r>
        <w:rPr>
          <w:rFonts w:eastAsia="Times New Roman"/>
          <w:color w:val="000000"/>
          <w:sz w:val="20"/>
          <w:szCs w:val="20"/>
        </w:rPr>
        <w:t>includes new prescriptions for reflecting hedge effectiveness, investment returns, interest rates, mortality and policyholder behavior in calculating statutory reserves and RBC. Overall, we believe the NAIC reform has moved variable annuity capital standar</w:t>
      </w:r>
      <w:r>
        <w:rPr>
          <w:rFonts w:eastAsia="Times New Roman"/>
          <w:color w:val="000000"/>
          <w:sz w:val="20"/>
          <w:szCs w:val="20"/>
        </w:rPr>
        <w:t xml:space="preserve">ds towards an economic framework which is consistent with how we manage our business. The Company adopted the NAIC reserve and capital framework for the year ended December 31, 2019. </w:t>
      </w:r>
    </w:p>
    <w:p w:rsidR="00000000" w:rsidRDefault="00E54EC0">
      <w:pPr>
        <w:ind w:firstLine="360"/>
        <w:divId w:val="48457108"/>
        <w:rPr>
          <w:rFonts w:eastAsia="Times New Roman"/>
        </w:rPr>
      </w:pPr>
      <w:r>
        <w:rPr>
          <w:rFonts w:eastAsia="Times New Roman"/>
          <w:color w:val="000000"/>
          <w:sz w:val="20"/>
          <w:szCs w:val="20"/>
        </w:rPr>
        <w:t>As noted above, New York’s Regulation 213, which is applicable to Equita</w:t>
      </w:r>
      <w:r>
        <w:rPr>
          <w:rFonts w:eastAsia="Times New Roman"/>
          <w:color w:val="000000"/>
          <w:sz w:val="20"/>
          <w:szCs w:val="20"/>
        </w:rPr>
        <w:t>ble Financial, differs from the NAIC’s variable annuity reserve and capital framework described above. Regulation 213 requires New York licensed insurers, to carry statutory basis reserves for variable annuity contract obligations equal to the greater of t</w:t>
      </w:r>
      <w:r>
        <w:rPr>
          <w:rFonts w:eastAsia="Times New Roman"/>
          <w:color w:val="000000"/>
          <w:sz w:val="20"/>
          <w:szCs w:val="20"/>
        </w:rPr>
        <w:t xml:space="preserve">hose required under (i) the NAIC standard or (ii) a revised version of the NYDFS requirement in effect prior to the adoption of the regulation’s first amendment for contracts </w:t>
      </w:r>
    </w:p>
    <w:p w:rsidR="00000000" w:rsidRDefault="00E54EC0">
      <w:pPr>
        <w:jc w:val="center"/>
        <w:divId w:val="289360290"/>
        <w:rPr>
          <w:rFonts w:eastAsia="Times New Roman"/>
        </w:rPr>
      </w:pPr>
      <w:r>
        <w:rPr>
          <w:rFonts w:eastAsia="Times New Roman"/>
          <w:color w:val="000000"/>
          <w:sz w:val="20"/>
          <w:szCs w:val="20"/>
        </w:rPr>
        <w:t>39</w:t>
      </w:r>
    </w:p>
    <w:p w:rsidR="00000000" w:rsidRDefault="00E54EC0">
      <w:pPr>
        <w:rPr>
          <w:rFonts w:eastAsia="Times New Roman"/>
        </w:rPr>
      </w:pPr>
      <w:r>
        <w:rPr>
          <w:rFonts w:eastAsia="Times New Roman"/>
        </w:rPr>
        <w:pict>
          <v:rect id="_x0000_i1076" style="width:0;height:1.5pt" o:hralign="center" o:hrstd="t" o:hr="t" fillcolor="#a0a0a0" stroked="f"/>
        </w:pict>
      </w:r>
    </w:p>
    <w:p w:rsidR="00000000" w:rsidRDefault="00E54EC0">
      <w:pPr>
        <w:divId w:val="265583607"/>
        <w:rPr>
          <w:rFonts w:eastAsia="Times New Roman"/>
        </w:rPr>
      </w:pPr>
    </w:p>
    <w:p w:rsidR="00000000" w:rsidRDefault="00E54EC0">
      <w:pPr>
        <w:divId w:val="881013567"/>
        <w:rPr>
          <w:rFonts w:eastAsia="Times New Roman"/>
        </w:rPr>
      </w:pPr>
      <w:r>
        <w:rPr>
          <w:rFonts w:eastAsia="Times New Roman"/>
          <w:color w:val="000000"/>
          <w:sz w:val="20"/>
          <w:szCs w:val="20"/>
        </w:rPr>
        <w:t>issued prior to January 1, 2020, and f</w:t>
      </w:r>
      <w:r>
        <w:rPr>
          <w:rFonts w:eastAsia="Times New Roman"/>
          <w:color w:val="000000"/>
          <w:sz w:val="20"/>
          <w:szCs w:val="20"/>
        </w:rPr>
        <w:t>or policies issued after that date a new standard that is more conservative than the NAIC standard. As a result, Regulation 213 materially increases the statutory basis reserves that New York licensed insurers are required to carry which could adversely af</w:t>
      </w:r>
      <w:r>
        <w:rPr>
          <w:rFonts w:eastAsia="Times New Roman"/>
          <w:color w:val="000000"/>
          <w:sz w:val="20"/>
          <w:szCs w:val="20"/>
        </w:rPr>
        <w:t xml:space="preserve">fect their capacity to distribute dividends. As a holding company, Holdings relies on dividends and other payments from its subsidiaries and, accordingly, any material limitation on Equitable Financial’s dividend capacity could materially affect Holdings’ </w:t>
      </w:r>
      <w:r>
        <w:rPr>
          <w:rFonts w:eastAsia="Times New Roman"/>
          <w:color w:val="000000"/>
          <w:sz w:val="20"/>
          <w:szCs w:val="20"/>
        </w:rPr>
        <w:t xml:space="preserve">ability to return capital to stockholders through dividends and stock repurchases. </w:t>
      </w:r>
    </w:p>
    <w:p w:rsidR="00000000" w:rsidRDefault="00E54EC0">
      <w:pPr>
        <w:ind w:firstLine="360"/>
        <w:divId w:val="534001139"/>
        <w:rPr>
          <w:rFonts w:eastAsia="Times New Roman"/>
        </w:rPr>
      </w:pPr>
      <w:r>
        <w:rPr>
          <w:rFonts w:eastAsia="Times New Roman"/>
          <w:color w:val="000000"/>
          <w:sz w:val="20"/>
          <w:szCs w:val="20"/>
        </w:rPr>
        <w:t>In order to mitigate the impacts of Regulation 213 discussed above, the Company completed a series of management actions prior to year-end 2022. Equitable Financial entered</w:t>
      </w:r>
      <w:r>
        <w:rPr>
          <w:rFonts w:eastAsia="Times New Roman"/>
          <w:color w:val="000000"/>
          <w:sz w:val="20"/>
          <w:szCs w:val="20"/>
        </w:rPr>
        <w:t xml:space="preserve"> into a reinsurance agreement with Swiss Re Life &amp; Health America Inc., we completed the Global Atlantic Reinsurance Transaction, we completed certain internal restructurings that increase cash flows to Holdings from non-life insurance entities, and we cha</w:t>
      </w:r>
      <w:r>
        <w:rPr>
          <w:rFonts w:eastAsia="Times New Roman"/>
          <w:color w:val="000000"/>
          <w:sz w:val="20"/>
          <w:szCs w:val="20"/>
        </w:rPr>
        <w:t>nged our underwriting practices to emphasize issuing products out of our non-New York domiciled insurance subsidiary. Equitable Financial was also granted a permitted practice by the NYDFS which partially mitigates Regulation 213’s impact from the Venerabl</w:t>
      </w:r>
      <w:r>
        <w:rPr>
          <w:rFonts w:eastAsia="Times New Roman"/>
          <w:color w:val="000000"/>
          <w:sz w:val="20"/>
          <w:szCs w:val="20"/>
        </w:rPr>
        <w:t>e Transaction to make the regulation’s application to Equitable Financial more consistent with the NAIC reserve and capital framework. We are considering further management actions intended to reduce any future potential impacts of Regulation 213 which cou</w:t>
      </w:r>
      <w:r>
        <w:rPr>
          <w:rFonts w:eastAsia="Times New Roman"/>
          <w:color w:val="000000"/>
          <w:sz w:val="20"/>
          <w:szCs w:val="20"/>
        </w:rPr>
        <w:t xml:space="preserve">ld include seeking further amendment of Regulation 213 or exemptive relief therefrom, increasing the use of reinsurance and pursuing other corporate transactions. There can be no assurance that any management action individually or collectively will fully </w:t>
      </w:r>
      <w:r>
        <w:rPr>
          <w:rFonts w:eastAsia="Times New Roman"/>
          <w:color w:val="000000"/>
          <w:sz w:val="20"/>
          <w:szCs w:val="20"/>
        </w:rPr>
        <w:t>mitigate the impact of Regulation 213. Other state insurance regulators may also propose and adopt standards that differ from the NAIC framework. See Note 18 of the Notes to the Consolidated Financial Statements for additional detail on the permitted pract</w:t>
      </w:r>
      <w:r>
        <w:rPr>
          <w:rFonts w:eastAsia="Times New Roman"/>
          <w:color w:val="000000"/>
          <w:sz w:val="20"/>
          <w:szCs w:val="20"/>
        </w:rPr>
        <w:t>ice granted by the NYDFS.</w:t>
      </w:r>
    </w:p>
    <w:p w:rsidR="00000000" w:rsidRDefault="00E54EC0">
      <w:pPr>
        <w:ind w:firstLine="360"/>
        <w:divId w:val="844443403"/>
        <w:rPr>
          <w:rFonts w:eastAsia="Times New Roman"/>
        </w:rPr>
      </w:pPr>
      <w:r>
        <w:rPr>
          <w:rFonts w:eastAsia="Times New Roman"/>
          <w:color w:val="000000"/>
          <w:sz w:val="20"/>
          <w:szCs w:val="20"/>
        </w:rPr>
        <w:t>We cannot predict what revisions, if any, will be made to the model laws and regulations relating to the use of captives. Any regulatory action that limits our ability to achieve desired benefits from the use of or materially incr</w:t>
      </w:r>
      <w:r>
        <w:rPr>
          <w:rFonts w:eastAsia="Times New Roman"/>
          <w:color w:val="000000"/>
          <w:sz w:val="20"/>
          <w:szCs w:val="20"/>
        </w:rPr>
        <w:t>eases our cost of using captive reinsurance and applies retroactively, without grandfathering provisions for existing captive variable annuity reinsurance entities, could have a material adverse effect on our financial condition or results of operations. F</w:t>
      </w:r>
      <w:r>
        <w:rPr>
          <w:rFonts w:eastAsia="Times New Roman"/>
          <w:color w:val="000000"/>
          <w:sz w:val="20"/>
          <w:szCs w:val="20"/>
        </w:rPr>
        <w:t>or additional information on our use of a captive reinsurance company, see “Risk Factors—Legal and Regulatory Risks.”</w:t>
      </w:r>
    </w:p>
    <w:p w:rsidR="00000000" w:rsidRDefault="00E54EC0">
      <w:pPr>
        <w:divId w:val="1540782550"/>
        <w:rPr>
          <w:rFonts w:eastAsia="Times New Roman"/>
        </w:rPr>
      </w:pPr>
      <w:r>
        <w:rPr>
          <w:rFonts w:eastAsia="Times New Roman"/>
          <w:i/>
          <w:iCs/>
          <w:color w:val="000000"/>
          <w:sz w:val="20"/>
          <w:szCs w:val="20"/>
          <w:u w:val="single"/>
        </w:rPr>
        <w:t>Surplus and Capital; Risk Based Capital</w:t>
      </w:r>
    </w:p>
    <w:p w:rsidR="00000000" w:rsidRDefault="00E54EC0">
      <w:pPr>
        <w:ind w:firstLine="360"/>
        <w:divId w:val="687177165"/>
        <w:rPr>
          <w:rFonts w:eastAsia="Times New Roman"/>
        </w:rPr>
      </w:pPr>
      <w:r>
        <w:rPr>
          <w:rFonts w:eastAsia="Times New Roman"/>
          <w:color w:val="000000"/>
          <w:sz w:val="20"/>
          <w:szCs w:val="20"/>
        </w:rPr>
        <w:t>Insurers are required to maintain their capital and surplus at or above minimum levels. Regulators</w:t>
      </w:r>
      <w:r>
        <w:rPr>
          <w:rFonts w:eastAsia="Times New Roman"/>
          <w:color w:val="000000"/>
          <w:sz w:val="20"/>
          <w:szCs w:val="20"/>
        </w:rPr>
        <w:t xml:space="preserve"> have discretionary authority, in connection with the continued licensing of insurance companies, to limit or prohibit an insurer’s sales to policyholders if, in their judgment, the regulators determine that such insurer has not maintained the minimum surp</w:t>
      </w:r>
      <w:r>
        <w:rPr>
          <w:rFonts w:eastAsia="Times New Roman"/>
          <w:color w:val="000000"/>
          <w:sz w:val="20"/>
          <w:szCs w:val="20"/>
        </w:rPr>
        <w:t>lus or capital or that the further transaction of business will be hazardous to policyholders. We report our RBC based on a formula calculated by applying factors to various asset, premium and statutory reserve items, as well as taking into account the ris</w:t>
      </w:r>
      <w:r>
        <w:rPr>
          <w:rFonts w:eastAsia="Times New Roman"/>
          <w:color w:val="000000"/>
          <w:sz w:val="20"/>
          <w:szCs w:val="20"/>
        </w:rPr>
        <w:t>k characteristics of the insurer. The major categories of risk involved are asset risk, insurance risk, interest rate risk, market risk and business risk. The formula is used as a regulatory tool to identify possible inadequately capitalized insurers for p</w:t>
      </w:r>
      <w:r>
        <w:rPr>
          <w:rFonts w:eastAsia="Times New Roman"/>
          <w:color w:val="000000"/>
          <w:sz w:val="20"/>
          <w:szCs w:val="20"/>
        </w:rPr>
        <w:t>urposes of initiating regulatory action, and not as a means to rank insurers generally. State insurance laws provide insurance regulators the authority to require various actions by, or take various actions against, insurers whose RBC ratio does not meet o</w:t>
      </w:r>
      <w:r>
        <w:rPr>
          <w:rFonts w:eastAsia="Times New Roman"/>
          <w:color w:val="000000"/>
          <w:sz w:val="20"/>
          <w:szCs w:val="20"/>
        </w:rPr>
        <w:t>r exceed certain RBC levels. The NAIC approved RBC revisions for corporate bonds, real estate equity and longevity risk that took effect at year-end 2021 and had a minimal RBC impact on Equitable Financial. The NAIC also approved an RBC update for mortalit</w:t>
      </w:r>
      <w:r>
        <w:rPr>
          <w:rFonts w:eastAsia="Times New Roman"/>
          <w:color w:val="000000"/>
          <w:sz w:val="20"/>
          <w:szCs w:val="20"/>
        </w:rPr>
        <w:t>y risk that took effect at year-end 2022, which had a minimal impact on Equitable Financial. As of the date of the most recent annual statutory financial statements filed with insurance regulators, the RBC of each of our insurance subsidiaries was in exces</w:t>
      </w:r>
      <w:r>
        <w:rPr>
          <w:rFonts w:eastAsia="Times New Roman"/>
          <w:color w:val="000000"/>
          <w:sz w:val="20"/>
          <w:szCs w:val="20"/>
        </w:rPr>
        <w:t>s of each of those RBC levels.</w:t>
      </w:r>
    </w:p>
    <w:p w:rsidR="00000000" w:rsidRDefault="00E54EC0">
      <w:pPr>
        <w:divId w:val="1195265834"/>
        <w:rPr>
          <w:rFonts w:eastAsia="Times New Roman"/>
        </w:rPr>
      </w:pPr>
      <w:r>
        <w:rPr>
          <w:rFonts w:eastAsia="Times New Roman"/>
          <w:i/>
          <w:iCs/>
          <w:color w:val="000000"/>
          <w:sz w:val="20"/>
          <w:szCs w:val="20"/>
          <w:u w:val="single"/>
        </w:rPr>
        <w:t>Regulation of Investments</w:t>
      </w:r>
    </w:p>
    <w:p w:rsidR="00000000" w:rsidRDefault="00E54EC0">
      <w:pPr>
        <w:ind w:firstLine="360"/>
        <w:divId w:val="412045177"/>
        <w:rPr>
          <w:rFonts w:eastAsia="Times New Roman"/>
        </w:rPr>
      </w:pPr>
      <w:r>
        <w:rPr>
          <w:rFonts w:eastAsia="Times New Roman"/>
          <w:color w:val="000000"/>
          <w:sz w:val="20"/>
          <w:szCs w:val="20"/>
        </w:rPr>
        <w:t>State insurance laws and regulations limit the amount of investments that our insurance subsidiaries may have in certain asset categories, such as below investment grade fixed income securities, real</w:t>
      </w:r>
      <w:r>
        <w:rPr>
          <w:rFonts w:eastAsia="Times New Roman"/>
          <w:color w:val="000000"/>
          <w:sz w:val="20"/>
          <w:szCs w:val="20"/>
        </w:rPr>
        <w:t xml:space="preserve"> estate equity, other equity investments, and derivatives, and require diversification of investment portfolios. Investments exceeding regulatory limitations are not admitted for purposes of measuring surplus. In some instances, laws require us to divest a</w:t>
      </w:r>
      <w:r>
        <w:rPr>
          <w:rFonts w:eastAsia="Times New Roman"/>
          <w:color w:val="000000"/>
          <w:sz w:val="20"/>
          <w:szCs w:val="20"/>
        </w:rPr>
        <w:t>ny non-qualifying investments.</w:t>
      </w:r>
    </w:p>
    <w:p w:rsidR="00000000" w:rsidRDefault="00E54EC0">
      <w:pPr>
        <w:ind w:firstLine="360"/>
        <w:divId w:val="1864827689"/>
        <w:rPr>
          <w:rFonts w:eastAsia="Times New Roman"/>
        </w:rPr>
      </w:pPr>
      <w:r>
        <w:rPr>
          <w:rFonts w:eastAsia="Times New Roman"/>
          <w:color w:val="000000"/>
          <w:sz w:val="20"/>
          <w:szCs w:val="20"/>
        </w:rPr>
        <w:t>The NAIC has been evaluating the risks associated with insurers’ investments in certain categories of structured securities, including CLOs. The NAIC is considering a proposal to assign NAIC designations to CLOs based on mode</w:t>
      </w:r>
      <w:r>
        <w:rPr>
          <w:rFonts w:eastAsia="Times New Roman"/>
          <w:color w:val="000000"/>
          <w:sz w:val="20"/>
          <w:szCs w:val="20"/>
        </w:rPr>
        <w:t>ling by the Securities Valuation Office as opposed to NRSRO credit ratings. Under this proposal, the NAIC Structured Securities Group (SSG) would model CLO securities and evaluate tranche level losses across all debt and equity tranches under a series of c</w:t>
      </w:r>
      <w:r>
        <w:rPr>
          <w:rFonts w:eastAsia="Times New Roman"/>
          <w:color w:val="000000"/>
          <w:sz w:val="20"/>
          <w:szCs w:val="20"/>
        </w:rPr>
        <w:t>alibrated and weighted collateral stress scenarios to assign NAIC designations. The NAIC’s goal is to ensure that the aggregate RBC factor for owning all tranches of a CLO more closely aligns with what is required for owning all of the underlying loan coll</w:t>
      </w:r>
      <w:r>
        <w:rPr>
          <w:rFonts w:eastAsia="Times New Roman"/>
          <w:color w:val="000000"/>
          <w:sz w:val="20"/>
          <w:szCs w:val="20"/>
        </w:rPr>
        <w:t>ateral, in order to address RBC arbitrage. The NAIC is also considering an interim solution for residual/equity tranches. These changes would be implemented at year-end 2023 at the earliest. It is possible that the NAIC may propose new regulations or chang</w:t>
      </w:r>
      <w:r>
        <w:rPr>
          <w:rFonts w:eastAsia="Times New Roman"/>
          <w:color w:val="000000"/>
          <w:sz w:val="20"/>
          <w:szCs w:val="20"/>
        </w:rPr>
        <w:t>es to statutory accounting principles regarding CLOs.</w:t>
      </w:r>
    </w:p>
    <w:p w:rsidR="00000000" w:rsidRDefault="00E54EC0">
      <w:pPr>
        <w:divId w:val="968976686"/>
        <w:rPr>
          <w:rFonts w:eastAsia="Times New Roman"/>
        </w:rPr>
      </w:pPr>
      <w:r>
        <w:rPr>
          <w:rFonts w:eastAsia="Times New Roman"/>
          <w:i/>
          <w:iCs/>
          <w:color w:val="000000"/>
          <w:sz w:val="20"/>
          <w:szCs w:val="20"/>
          <w:u w:val="single"/>
        </w:rPr>
        <w:t>Guaranty Associations and Similar Arrangements</w:t>
      </w:r>
    </w:p>
    <w:p w:rsidR="00000000" w:rsidRDefault="00E54EC0">
      <w:pPr>
        <w:jc w:val="center"/>
        <w:divId w:val="584923993"/>
        <w:rPr>
          <w:rFonts w:eastAsia="Times New Roman"/>
        </w:rPr>
      </w:pPr>
      <w:r>
        <w:rPr>
          <w:rFonts w:eastAsia="Times New Roman"/>
          <w:color w:val="000000"/>
          <w:sz w:val="20"/>
          <w:szCs w:val="20"/>
        </w:rPr>
        <w:t>40</w:t>
      </w:r>
    </w:p>
    <w:p w:rsidR="00000000" w:rsidRDefault="00E54EC0">
      <w:pPr>
        <w:rPr>
          <w:rFonts w:eastAsia="Times New Roman"/>
        </w:rPr>
      </w:pPr>
      <w:r>
        <w:rPr>
          <w:rFonts w:eastAsia="Times New Roman"/>
        </w:rPr>
        <w:pict>
          <v:rect id="_x0000_i1077" style="width:0;height:1.5pt" o:hralign="center" o:hrstd="t" o:hr="t" fillcolor="#a0a0a0" stroked="f"/>
        </w:pict>
      </w:r>
    </w:p>
    <w:p w:rsidR="00000000" w:rsidRDefault="00E54EC0">
      <w:pPr>
        <w:divId w:val="1664118769"/>
        <w:rPr>
          <w:rFonts w:eastAsia="Times New Roman"/>
        </w:rPr>
      </w:pPr>
    </w:p>
    <w:p w:rsidR="00000000" w:rsidRDefault="00E54EC0">
      <w:pPr>
        <w:ind w:firstLine="360"/>
        <w:divId w:val="1042823283"/>
        <w:rPr>
          <w:rFonts w:eastAsia="Times New Roman"/>
        </w:rPr>
      </w:pPr>
      <w:r>
        <w:rPr>
          <w:rFonts w:eastAsia="Times New Roman"/>
          <w:color w:val="000000"/>
          <w:sz w:val="20"/>
          <w:szCs w:val="20"/>
        </w:rPr>
        <w:t>Each of the states in which we are admitted to transact business require life insurers doing business within the j</w:t>
      </w:r>
      <w:r>
        <w:rPr>
          <w:rFonts w:eastAsia="Times New Roman"/>
          <w:color w:val="000000"/>
          <w:sz w:val="20"/>
          <w:szCs w:val="20"/>
        </w:rPr>
        <w:t>urisdiction to participate in guaranty associations, which are organized to pay certain contractual insurance benefits owed pursuant to insurance policies issued by impaired, insolvent or failed insurers. The laws are designed to protect policyholders from</w:t>
      </w:r>
      <w:r>
        <w:rPr>
          <w:rFonts w:eastAsia="Times New Roman"/>
          <w:color w:val="000000"/>
          <w:sz w:val="20"/>
          <w:szCs w:val="20"/>
        </w:rPr>
        <w:t xml:space="preserve"> losses under insurance policies issued by insurance companies that become impaired or insolvent. These associations levy assessments, up to prescribed limits, on all member insurers in a particular state based on their proportionate share of premiums writ</w:t>
      </w:r>
      <w:r>
        <w:rPr>
          <w:rFonts w:eastAsia="Times New Roman"/>
          <w:color w:val="000000"/>
          <w:sz w:val="20"/>
          <w:szCs w:val="20"/>
        </w:rPr>
        <w:t>ten in the lines of business in which the impaired, insolvent or failed insurer is engaged. Some states permit member insurers to recover assessments paid through full or partial premium tax offsets.</w:t>
      </w:r>
    </w:p>
    <w:p w:rsidR="00000000" w:rsidRDefault="00E54EC0">
      <w:pPr>
        <w:ind w:firstLine="360"/>
        <w:divId w:val="1024281437"/>
        <w:rPr>
          <w:rFonts w:eastAsia="Times New Roman"/>
        </w:rPr>
      </w:pPr>
      <w:r>
        <w:rPr>
          <w:rFonts w:eastAsia="Times New Roman"/>
          <w:color w:val="000000"/>
          <w:sz w:val="20"/>
          <w:szCs w:val="20"/>
        </w:rPr>
        <w:t>During each of the past five years, the assessments levi</w:t>
      </w:r>
      <w:r>
        <w:rPr>
          <w:rFonts w:eastAsia="Times New Roman"/>
          <w:color w:val="000000"/>
          <w:sz w:val="20"/>
          <w:szCs w:val="20"/>
        </w:rPr>
        <w:t>ed against us have not been material.</w:t>
      </w:r>
    </w:p>
    <w:p w:rsidR="00000000" w:rsidRDefault="00E54EC0">
      <w:pPr>
        <w:divId w:val="1375471128"/>
        <w:rPr>
          <w:rFonts w:eastAsia="Times New Roman"/>
        </w:rPr>
      </w:pPr>
      <w:r>
        <w:rPr>
          <w:rFonts w:eastAsia="Times New Roman"/>
          <w:i/>
          <w:iCs/>
          <w:color w:val="000000"/>
          <w:sz w:val="20"/>
          <w:szCs w:val="20"/>
          <w:u w:val="single"/>
        </w:rPr>
        <w:t>New York Insurance Regulation 210</w:t>
      </w:r>
    </w:p>
    <w:p w:rsidR="00000000" w:rsidRDefault="00E54EC0">
      <w:pPr>
        <w:ind w:firstLine="360"/>
        <w:divId w:val="1112478221"/>
        <w:rPr>
          <w:rFonts w:eastAsia="Times New Roman"/>
        </w:rPr>
      </w:pPr>
      <w:r>
        <w:rPr>
          <w:rFonts w:eastAsia="Times New Roman"/>
          <w:color w:val="000000"/>
          <w:sz w:val="20"/>
          <w:szCs w:val="20"/>
        </w:rPr>
        <w:t>In recent years, state regulators have considered whether to apply regulatory standards to the determination and/or readjustment of non-guaranteed elements (“NGEs”) within life insuran</w:t>
      </w:r>
      <w:r>
        <w:rPr>
          <w:rFonts w:eastAsia="Times New Roman"/>
          <w:color w:val="000000"/>
          <w:sz w:val="20"/>
          <w:szCs w:val="20"/>
        </w:rPr>
        <w:t xml:space="preserve">ce policies and annuity contracts that may be adjusted at the insurer’s discretion, such as the cost of insurance for universal life insurance policies and interest crediting rates for life insurance policies and annuity contracts. For example, New York’s </w:t>
      </w:r>
      <w:r>
        <w:rPr>
          <w:rFonts w:eastAsia="Times New Roman"/>
          <w:color w:val="000000"/>
          <w:sz w:val="20"/>
          <w:szCs w:val="20"/>
        </w:rPr>
        <w:t>Insurance Regulation 210 establishes standards for the determination and any readjustment of NGEs, including a prohibition on increasing profit margins on existing business or recouping past losses on such business, and requires advance notice of any adver</w:t>
      </w:r>
      <w:r>
        <w:rPr>
          <w:rFonts w:eastAsia="Times New Roman"/>
          <w:color w:val="000000"/>
          <w:sz w:val="20"/>
          <w:szCs w:val="20"/>
        </w:rPr>
        <w:t>se change in a NGE to both the NYDFS and affected policyholders. We have developed policies and procedures designed to comply with Regulation 210 and to date, have not seen adverse effects on our business. It is possible, however, that Regulation 210 could</w:t>
      </w:r>
      <w:r>
        <w:rPr>
          <w:rFonts w:eastAsia="Times New Roman"/>
          <w:color w:val="000000"/>
          <w:sz w:val="20"/>
          <w:szCs w:val="20"/>
        </w:rPr>
        <w:t xml:space="preserve"> adversely impact management’s ability to determine and/or readjust NGEs in the future. Beyond the New York regulation and similar rules enacted in California (effective on July 1, 2019) and Texas (effective on January 1, 2021), the likelihood of enacting </w:t>
      </w:r>
      <w:r>
        <w:rPr>
          <w:rFonts w:eastAsia="Times New Roman"/>
          <w:color w:val="000000"/>
          <w:sz w:val="20"/>
          <w:szCs w:val="20"/>
        </w:rPr>
        <w:t>of any additional state-based regulation is uncertain at this time, but if implemented, these regulations could have an adverse effect on our business and consolidated results of operations.</w:t>
      </w:r>
    </w:p>
    <w:p w:rsidR="00000000" w:rsidRDefault="00E54EC0">
      <w:pPr>
        <w:jc w:val="both"/>
        <w:divId w:val="32659259"/>
        <w:rPr>
          <w:rFonts w:eastAsia="Times New Roman"/>
        </w:rPr>
      </w:pPr>
      <w:r>
        <w:rPr>
          <w:rFonts w:eastAsia="Times New Roman"/>
          <w:b/>
          <w:bCs/>
          <w:i/>
          <w:iCs/>
          <w:color w:val="000000"/>
          <w:sz w:val="20"/>
          <w:szCs w:val="20"/>
        </w:rPr>
        <w:t>Broker-Dealer and Securities Regulation and Commodities Regulatio</w:t>
      </w:r>
      <w:r>
        <w:rPr>
          <w:rFonts w:eastAsia="Times New Roman"/>
          <w:b/>
          <w:bCs/>
          <w:i/>
          <w:iCs/>
          <w:color w:val="000000"/>
          <w:sz w:val="20"/>
          <w:szCs w:val="20"/>
        </w:rPr>
        <w:t>n</w:t>
      </w:r>
    </w:p>
    <w:p w:rsidR="00000000" w:rsidRDefault="00E54EC0">
      <w:pPr>
        <w:ind w:firstLine="360"/>
        <w:divId w:val="466242828"/>
        <w:rPr>
          <w:rFonts w:eastAsia="Times New Roman"/>
        </w:rPr>
      </w:pPr>
      <w:r>
        <w:rPr>
          <w:rFonts w:eastAsia="Times New Roman"/>
          <w:color w:val="000000"/>
          <w:sz w:val="20"/>
          <w:szCs w:val="20"/>
        </w:rPr>
        <w:t>We and certain policies and contracts offered by us are subject to regulation under the Federal securities laws administered by the SEC, self-regulatory organizations and under certain state securities laws. These regulators may conduct examinations of o</w:t>
      </w:r>
      <w:r>
        <w:rPr>
          <w:rFonts w:eastAsia="Times New Roman"/>
          <w:color w:val="000000"/>
          <w:sz w:val="20"/>
          <w:szCs w:val="20"/>
        </w:rPr>
        <w:t>ur operations, and from time to time make requests for particular information from us.</w:t>
      </w:r>
    </w:p>
    <w:p w:rsidR="00000000" w:rsidRDefault="00E54EC0">
      <w:pPr>
        <w:ind w:firstLine="360"/>
        <w:divId w:val="1392578938"/>
        <w:rPr>
          <w:rFonts w:eastAsia="Times New Roman"/>
        </w:rPr>
      </w:pPr>
      <w:r>
        <w:rPr>
          <w:rFonts w:eastAsia="Times New Roman"/>
          <w:color w:val="000000"/>
          <w:sz w:val="20"/>
          <w:szCs w:val="20"/>
        </w:rPr>
        <w:t>Certain of our subsidiaries, including Equitable Advisors, Equitable Distributors, SCB LLC and AllianceBernstein Investments, Inc., are registered as broker-dealers (col</w:t>
      </w:r>
      <w:r>
        <w:rPr>
          <w:rFonts w:eastAsia="Times New Roman"/>
          <w:color w:val="000000"/>
          <w:sz w:val="20"/>
          <w:szCs w:val="20"/>
        </w:rPr>
        <w:t>lectively, the “Broker-Dealers”) under the Exchange Act. The Broker-Dealers are subject to extensive regulation by the SEC and are members of, and subject to regulation by, FINRA, a self-regulatory organization subject to SEC oversight. Among other regulat</w:t>
      </w:r>
      <w:r>
        <w:rPr>
          <w:rFonts w:eastAsia="Times New Roman"/>
          <w:color w:val="000000"/>
          <w:sz w:val="20"/>
          <w:szCs w:val="20"/>
        </w:rPr>
        <w:t>ion, the Broker-Dealers are subject to the capital requirements of the SEC and FINRA, which specify minimum levels of capital (“net capital”) that the Broker-Dealers are required to maintain and also limit the amount of leverage that the Broker-Dealers are</w:t>
      </w:r>
      <w:r>
        <w:rPr>
          <w:rFonts w:eastAsia="Times New Roman"/>
          <w:color w:val="000000"/>
          <w:sz w:val="20"/>
          <w:szCs w:val="20"/>
        </w:rPr>
        <w:t xml:space="preserve"> able to employ in their businesses. The SEC and FINRA also regulate the sales practices of the Broker-Dealers. In June 2020, Regulation Best Interest (“Regulation BI”) went into effect with respect to recommendation of securities and accounts to “retail c</w:t>
      </w:r>
      <w:r>
        <w:rPr>
          <w:rFonts w:eastAsia="Times New Roman"/>
          <w:color w:val="000000"/>
          <w:sz w:val="20"/>
          <w:szCs w:val="20"/>
        </w:rPr>
        <w:t>ustomers,” defined generally as natural persons and their investment vehicles. Regulation BI requires the Broker-Dealers, when making a recommendation of any securities transaction or investment strategy involving securities (including account recommendati</w:t>
      </w:r>
      <w:r>
        <w:rPr>
          <w:rFonts w:eastAsia="Times New Roman"/>
          <w:color w:val="000000"/>
          <w:sz w:val="20"/>
          <w:szCs w:val="20"/>
        </w:rPr>
        <w:t xml:space="preserve">ons) to a retail customer to provide specified disclosures and act solely in the retail customer’s best interest. Moreover, in recent years, the SEC and FINRA have intensified their scrutiny of sales practices relating to variable annuities, variable life </w:t>
      </w:r>
      <w:r>
        <w:rPr>
          <w:rFonts w:eastAsia="Times New Roman"/>
          <w:color w:val="000000"/>
          <w:sz w:val="20"/>
          <w:szCs w:val="20"/>
        </w:rPr>
        <w:t>insurance and alternative investments, among other products. In addition, the Broker-Dealers are also subject to regulation by state securities administrators in those states in which they conduct business, who may also conduct examinations, direct inquiri</w:t>
      </w:r>
      <w:r>
        <w:rPr>
          <w:rFonts w:eastAsia="Times New Roman"/>
          <w:color w:val="000000"/>
          <w:sz w:val="20"/>
          <w:szCs w:val="20"/>
        </w:rPr>
        <w:t>es to the Broker-Dealers and bring enforcement actions against the Broker-Dealers. Broker-Dealers are required to obtain approval from FINRA for material changes in their businesses as well as certain restructuring and mergers and acquisition events. The B</w:t>
      </w:r>
      <w:r>
        <w:rPr>
          <w:rFonts w:eastAsia="Times New Roman"/>
          <w:color w:val="000000"/>
          <w:sz w:val="20"/>
          <w:szCs w:val="20"/>
        </w:rPr>
        <w:t>roker-Dealers are also subject to registration and regulation by regulatory authorities in the foreign jurisdictions in which they do business.</w:t>
      </w:r>
    </w:p>
    <w:p w:rsidR="00000000" w:rsidRDefault="00E54EC0">
      <w:pPr>
        <w:divId w:val="359169016"/>
        <w:rPr>
          <w:rFonts w:eastAsia="Times New Roman"/>
        </w:rPr>
      </w:pPr>
    </w:p>
    <w:p w:rsidR="00000000" w:rsidRDefault="00E54EC0">
      <w:pPr>
        <w:ind w:firstLine="360"/>
        <w:divId w:val="64380781"/>
        <w:rPr>
          <w:rFonts w:eastAsia="Times New Roman"/>
        </w:rPr>
      </w:pPr>
      <w:r>
        <w:rPr>
          <w:rFonts w:eastAsia="Times New Roman"/>
          <w:color w:val="000000"/>
          <w:sz w:val="20"/>
          <w:szCs w:val="20"/>
        </w:rPr>
        <w:t>Certain of our Separate Accounts are registered as investment companies under the Investment Company Act. Separate Accounts interests under certain annuity contracts and insurance policies issued by us are also registered under the Securities Act. EQAT, EQ</w:t>
      </w:r>
      <w:r>
        <w:rPr>
          <w:rFonts w:eastAsia="Times New Roman"/>
          <w:color w:val="000000"/>
          <w:sz w:val="20"/>
          <w:szCs w:val="20"/>
        </w:rPr>
        <w:t xml:space="preserve"> Premier VIP Trust and 1290 Funds are registered as investment companies under the Investment Company Act and shares offered by these investment companies are also registered under the Securities Act. Many of the investment companies managed by AB, includi</w:t>
      </w:r>
      <w:r>
        <w:rPr>
          <w:rFonts w:eastAsia="Times New Roman"/>
          <w:color w:val="000000"/>
          <w:sz w:val="20"/>
          <w:szCs w:val="20"/>
        </w:rPr>
        <w:t>ng a variety of mutual funds and other pooled investment vehicles, are registered with the SEC under the Investment Company Act, and, if appropriate, shares of these entities are registered under the Securities Act.</w:t>
      </w:r>
    </w:p>
    <w:p w:rsidR="00000000" w:rsidRDefault="00E54EC0">
      <w:pPr>
        <w:ind w:firstLine="360"/>
        <w:divId w:val="2131195671"/>
        <w:rPr>
          <w:rFonts w:eastAsia="Times New Roman"/>
        </w:rPr>
      </w:pPr>
      <w:r>
        <w:rPr>
          <w:rFonts w:eastAsia="Times New Roman"/>
          <w:color w:val="000000"/>
          <w:sz w:val="20"/>
          <w:szCs w:val="20"/>
        </w:rPr>
        <w:t>Certain subsidiaries, including EIMG, Eq</w:t>
      </w:r>
      <w:r>
        <w:rPr>
          <w:rFonts w:eastAsia="Times New Roman"/>
          <w:color w:val="000000"/>
          <w:sz w:val="20"/>
          <w:szCs w:val="20"/>
        </w:rPr>
        <w:t>uitable Advisors and AB, and certain of its subsidiaries are registered as investment advisers under the Investment Advisers Act. The investment advisory activities of such registered investment advisers are subject to various federal and state laws and re</w:t>
      </w:r>
      <w:r>
        <w:rPr>
          <w:rFonts w:eastAsia="Times New Roman"/>
          <w:color w:val="000000"/>
          <w:sz w:val="20"/>
          <w:szCs w:val="20"/>
        </w:rPr>
        <w:t xml:space="preserve">gulations and to the laws in those foreign countries in which they </w:t>
      </w:r>
    </w:p>
    <w:p w:rsidR="00000000" w:rsidRDefault="00E54EC0">
      <w:pPr>
        <w:jc w:val="center"/>
        <w:divId w:val="1318726705"/>
        <w:rPr>
          <w:rFonts w:eastAsia="Times New Roman"/>
        </w:rPr>
      </w:pPr>
      <w:r>
        <w:rPr>
          <w:rFonts w:eastAsia="Times New Roman"/>
          <w:color w:val="000000"/>
          <w:sz w:val="20"/>
          <w:szCs w:val="20"/>
        </w:rPr>
        <w:t>41</w:t>
      </w:r>
    </w:p>
    <w:p w:rsidR="00000000" w:rsidRDefault="00E54EC0">
      <w:pPr>
        <w:rPr>
          <w:rFonts w:eastAsia="Times New Roman"/>
        </w:rPr>
      </w:pPr>
      <w:r>
        <w:rPr>
          <w:rFonts w:eastAsia="Times New Roman"/>
        </w:rPr>
        <w:pict>
          <v:rect id="_x0000_i1078" style="width:0;height:1.5pt" o:hralign="center" o:hrstd="t" o:hr="t" fillcolor="#a0a0a0" stroked="f"/>
        </w:pict>
      </w:r>
    </w:p>
    <w:p w:rsidR="00000000" w:rsidRDefault="00E54EC0">
      <w:pPr>
        <w:divId w:val="955982221"/>
        <w:rPr>
          <w:rFonts w:eastAsia="Times New Roman"/>
        </w:rPr>
      </w:pPr>
    </w:p>
    <w:p w:rsidR="00000000" w:rsidRDefault="00E54EC0">
      <w:pPr>
        <w:divId w:val="642389128"/>
        <w:rPr>
          <w:rFonts w:eastAsia="Times New Roman"/>
        </w:rPr>
      </w:pPr>
      <w:r>
        <w:rPr>
          <w:rFonts w:eastAsia="Times New Roman"/>
          <w:color w:val="000000"/>
          <w:sz w:val="20"/>
          <w:szCs w:val="20"/>
        </w:rPr>
        <w:t>conduct business. These U.S. and foreign laws and regulations generally grant supervisory agencies broad administrative powers, including the power to limit or restrict the carrying on of business for failure to comply</w:t>
      </w:r>
      <w:r>
        <w:rPr>
          <w:rFonts w:eastAsia="Times New Roman"/>
          <w:color w:val="000000"/>
          <w:sz w:val="20"/>
          <w:szCs w:val="20"/>
        </w:rPr>
        <w:t xml:space="preserve"> with such laws and regulations.</w:t>
      </w:r>
    </w:p>
    <w:p w:rsidR="00000000" w:rsidRDefault="00E54EC0">
      <w:pPr>
        <w:ind w:firstLine="360"/>
        <w:divId w:val="1096632912"/>
        <w:rPr>
          <w:rFonts w:eastAsia="Times New Roman"/>
        </w:rPr>
      </w:pPr>
      <w:r>
        <w:rPr>
          <w:rFonts w:eastAsia="Times New Roman"/>
          <w:color w:val="000000"/>
          <w:sz w:val="20"/>
          <w:szCs w:val="20"/>
        </w:rPr>
        <w:t xml:space="preserve">EIMG is registered with the CFTC as a commodity pool operator with respect to certain portfolios and is also a member of the NFA. AB and certain of its subsidiaries are also separately registered with the CFTC as commodity </w:t>
      </w:r>
      <w:r>
        <w:rPr>
          <w:rFonts w:eastAsia="Times New Roman"/>
          <w:color w:val="000000"/>
          <w:sz w:val="20"/>
          <w:szCs w:val="20"/>
        </w:rPr>
        <w:t>pool operators and commodity trading advisers; SCB LLC is also registered with the CFTC as a commodity introducing broker. The CFTC is a federal independent agency that is responsible for, among other things, the regulation of commodity interests and enfor</w:t>
      </w:r>
      <w:r>
        <w:rPr>
          <w:rFonts w:eastAsia="Times New Roman"/>
          <w:color w:val="000000"/>
          <w:sz w:val="20"/>
          <w:szCs w:val="20"/>
        </w:rPr>
        <w:t>cement of the CEA. The NFA is a self-regulatory organization to which the CFTC has delegated, among other things, the administration and enforcement of commodity regulatory registration requirements and the regulation of its members. As such, EIMG is subje</w:t>
      </w:r>
      <w:r>
        <w:rPr>
          <w:rFonts w:eastAsia="Times New Roman"/>
          <w:color w:val="000000"/>
          <w:sz w:val="20"/>
          <w:szCs w:val="20"/>
        </w:rPr>
        <w:t>ct to regulation by the NFA and CFTC and is subject to certain legal requirements and restrictions in the CEA and in the rules and regulations of the CFTC and the rules and by-laws of the NFA on behalf of itself and any commodity pools that it operates, in</w:t>
      </w:r>
      <w:r>
        <w:rPr>
          <w:rFonts w:eastAsia="Times New Roman"/>
          <w:color w:val="000000"/>
          <w:sz w:val="20"/>
          <w:szCs w:val="20"/>
        </w:rPr>
        <w:t>cluding investor protection requirements and anti-fraud prohibitions, and is subject to periodic inspections and audits by the CFTC and NFA. EIMG is also subject to certain CFTC-mandated disclosure, reporting and record-keeping obligations.</w:t>
      </w:r>
    </w:p>
    <w:p w:rsidR="00000000" w:rsidRDefault="00E54EC0">
      <w:pPr>
        <w:ind w:firstLine="360"/>
        <w:divId w:val="1891500892"/>
        <w:rPr>
          <w:rFonts w:eastAsia="Times New Roman"/>
        </w:rPr>
      </w:pPr>
      <w:r>
        <w:rPr>
          <w:rFonts w:eastAsia="Times New Roman"/>
          <w:color w:val="000000"/>
          <w:sz w:val="20"/>
          <w:szCs w:val="20"/>
        </w:rPr>
        <w:t>Regulators, inc</w:t>
      </w:r>
      <w:r>
        <w:rPr>
          <w:rFonts w:eastAsia="Times New Roman"/>
          <w:color w:val="000000"/>
          <w:sz w:val="20"/>
          <w:szCs w:val="20"/>
        </w:rPr>
        <w:t>luding the SEC, FINRA, and state securities regulators and attorneys general, continue to focus attention on various practices in or affecting the investment management and/or mutual fund industries, including portfolio management, valuation, fee break poi</w:t>
      </w:r>
      <w:r>
        <w:rPr>
          <w:rFonts w:eastAsia="Times New Roman"/>
          <w:color w:val="000000"/>
          <w:sz w:val="20"/>
          <w:szCs w:val="20"/>
        </w:rPr>
        <w:t>nts, and the use of fund assets for distribution.</w:t>
      </w:r>
    </w:p>
    <w:p w:rsidR="00000000" w:rsidRDefault="00E54EC0">
      <w:pPr>
        <w:ind w:firstLine="360"/>
        <w:divId w:val="1623221716"/>
        <w:rPr>
          <w:rFonts w:eastAsia="Times New Roman"/>
        </w:rPr>
      </w:pPr>
      <w:r>
        <w:rPr>
          <w:rFonts w:eastAsia="Times New Roman"/>
          <w:color w:val="000000"/>
          <w:sz w:val="20"/>
          <w:szCs w:val="20"/>
        </w:rPr>
        <w:t>We and certain of our subsidiaries provide regular financial reporting, as well as, and in certain cases, additional information and documents to the SEC, FINRA, the CFTC, NFA, state securities regulators a</w:t>
      </w:r>
      <w:r>
        <w:rPr>
          <w:rFonts w:eastAsia="Times New Roman"/>
          <w:color w:val="000000"/>
          <w:sz w:val="20"/>
          <w:szCs w:val="20"/>
        </w:rPr>
        <w:t xml:space="preserve">nd attorneys general, the NYDFS and other state insurance regulators, and other regulators regarding our compliance with insurance, securities and other laws and regulations regarding the conduct of our businesses. For additional information on regulatory </w:t>
      </w:r>
      <w:r>
        <w:rPr>
          <w:rFonts w:eastAsia="Times New Roman"/>
          <w:color w:val="000000"/>
          <w:sz w:val="20"/>
          <w:szCs w:val="20"/>
        </w:rPr>
        <w:t>matters, see Note 18 of the Notes to the Consolidated Financial Statements.</w:t>
      </w:r>
    </w:p>
    <w:p w:rsidR="00000000" w:rsidRDefault="00E54EC0">
      <w:pPr>
        <w:ind w:firstLine="360"/>
        <w:divId w:val="274026659"/>
        <w:rPr>
          <w:rFonts w:eastAsia="Times New Roman"/>
        </w:rPr>
      </w:pPr>
      <w:r>
        <w:rPr>
          <w:rFonts w:eastAsia="Times New Roman"/>
          <w:color w:val="000000"/>
          <w:sz w:val="20"/>
          <w:szCs w:val="20"/>
        </w:rPr>
        <w:t>The SEC, FINRA, the CFTC and other governmental regulatory authorities may institute administrative or judicial proceedings against our subsidiaries or their personnel that may res</w:t>
      </w:r>
      <w:r>
        <w:rPr>
          <w:rFonts w:eastAsia="Times New Roman"/>
          <w:color w:val="000000"/>
          <w:sz w:val="20"/>
          <w:szCs w:val="20"/>
        </w:rPr>
        <w:t>ult in censure, fines, the issuance of cease-and-desist orders, trading prohibitions, the suspension or expulsion of a broker-dealer, investment adviser, commodity pool operator, or other type of regulated entity, or member, its officers, registered repres</w:t>
      </w:r>
      <w:r>
        <w:rPr>
          <w:rFonts w:eastAsia="Times New Roman"/>
          <w:color w:val="000000"/>
          <w:sz w:val="20"/>
          <w:szCs w:val="20"/>
        </w:rPr>
        <w:t>entatives or employees or other similar sanctions.</w:t>
      </w:r>
    </w:p>
    <w:p w:rsidR="00000000" w:rsidRDefault="00E54EC0">
      <w:pPr>
        <w:jc w:val="both"/>
        <w:divId w:val="740758892"/>
        <w:rPr>
          <w:rFonts w:eastAsia="Times New Roman"/>
        </w:rPr>
      </w:pPr>
      <w:r>
        <w:rPr>
          <w:rFonts w:eastAsia="Times New Roman"/>
          <w:b/>
          <w:bCs/>
          <w:i/>
          <w:iCs/>
          <w:color w:val="000000"/>
          <w:sz w:val="20"/>
          <w:szCs w:val="20"/>
        </w:rPr>
        <w:t>Dodd-Frank Wall Street Reform and Consumer Protection Act</w:t>
      </w:r>
    </w:p>
    <w:p w:rsidR="00000000" w:rsidRDefault="00E54EC0">
      <w:pPr>
        <w:ind w:firstLine="360"/>
        <w:divId w:val="1704595534"/>
        <w:rPr>
          <w:rFonts w:eastAsia="Times New Roman"/>
        </w:rPr>
      </w:pPr>
      <w:r>
        <w:rPr>
          <w:rFonts w:eastAsia="Times New Roman"/>
          <w:color w:val="000000"/>
          <w:sz w:val="20"/>
          <w:szCs w:val="20"/>
        </w:rPr>
        <w:t>Currently, the U.S. federal government does not directly regulate the business of insurance. While the Dodd-Frank Act does not remove primary respo</w:t>
      </w:r>
      <w:r>
        <w:rPr>
          <w:rFonts w:eastAsia="Times New Roman"/>
          <w:color w:val="000000"/>
          <w:sz w:val="20"/>
          <w:szCs w:val="20"/>
        </w:rPr>
        <w:t xml:space="preserve">nsibility for the supervision and regulation of insurance from the states, Title V of the Dodd-Frank Act established the FIO within the U.S. Treasury Department and reformed the regulation of the non-admitted property and casualty insurance market and the </w:t>
      </w:r>
      <w:r>
        <w:rPr>
          <w:rFonts w:eastAsia="Times New Roman"/>
          <w:color w:val="000000"/>
          <w:sz w:val="20"/>
          <w:szCs w:val="20"/>
        </w:rPr>
        <w:t>reinsurance market. The Dodd-Frank Act also established the FSOC, which is authorized to subject non-bank financial companies, including insurers, to supervision by the Federal Reserve and enhanced prudential standards if the FSOC determines that a non-ban</w:t>
      </w:r>
      <w:r>
        <w:rPr>
          <w:rFonts w:eastAsia="Times New Roman"/>
          <w:color w:val="000000"/>
          <w:sz w:val="20"/>
          <w:szCs w:val="20"/>
        </w:rPr>
        <w:t>k financial institution could pose a threat to U.S. financial stability. The FSOC modified the designation process by adopting an activities-based approach for identifying and addressing potential risks to financial stability.</w:t>
      </w:r>
    </w:p>
    <w:p w:rsidR="00000000" w:rsidRDefault="00E54EC0">
      <w:pPr>
        <w:ind w:firstLine="360"/>
        <w:divId w:val="145824363"/>
        <w:rPr>
          <w:rFonts w:eastAsia="Times New Roman"/>
        </w:rPr>
      </w:pPr>
      <w:r>
        <w:rPr>
          <w:rFonts w:eastAsia="Times New Roman"/>
          <w:color w:val="000000"/>
          <w:sz w:val="20"/>
          <w:szCs w:val="20"/>
        </w:rPr>
        <w:t>The FIO’s authority extends t</w:t>
      </w:r>
      <w:r>
        <w:rPr>
          <w:rFonts w:eastAsia="Times New Roman"/>
          <w:color w:val="000000"/>
          <w:sz w:val="20"/>
          <w:szCs w:val="20"/>
        </w:rPr>
        <w:t>o all lines of insurance except health insurance, crop insurance and (unless included with life or annuity components) long-term care insurance. Under the Dodd-Frank Act, the FIO is charged with monitoring all aspects of the insurance industry (including i</w:t>
      </w:r>
      <w:r>
        <w:rPr>
          <w:rFonts w:eastAsia="Times New Roman"/>
          <w:color w:val="000000"/>
          <w:sz w:val="20"/>
          <w:szCs w:val="20"/>
        </w:rPr>
        <w:t>dentifying gaps in regulation that could contribute to a systemic crisis), recommending to the FSOC the designation of any insurer and its affiliates as a non-bank financial company subject to oversight by the Board of Governors of the Federal Reserve Syst</w:t>
      </w:r>
      <w:r>
        <w:rPr>
          <w:rFonts w:eastAsia="Times New Roman"/>
          <w:color w:val="000000"/>
          <w:sz w:val="20"/>
          <w:szCs w:val="20"/>
        </w:rPr>
        <w:t xml:space="preserve">em (including the administration of stress testing on capital), assisting the Treasury Secretary in negotiating “covered agreements” with non-U.S. governments or regulatory authorities, and, with respect to state insurance laws and regulation, determining </w:t>
      </w:r>
      <w:r>
        <w:rPr>
          <w:rFonts w:eastAsia="Times New Roman"/>
          <w:color w:val="000000"/>
          <w:sz w:val="20"/>
          <w:szCs w:val="20"/>
        </w:rPr>
        <w:t xml:space="preserve">whether state insurance measures are pre-empted by such covered agreements. </w:t>
      </w:r>
    </w:p>
    <w:p w:rsidR="00000000" w:rsidRDefault="00E54EC0">
      <w:pPr>
        <w:ind w:firstLine="360"/>
        <w:divId w:val="341131220"/>
        <w:rPr>
          <w:rFonts w:eastAsia="Times New Roman"/>
        </w:rPr>
      </w:pPr>
      <w:r>
        <w:rPr>
          <w:rFonts w:eastAsia="Times New Roman"/>
          <w:color w:val="000000"/>
          <w:sz w:val="20"/>
          <w:szCs w:val="20"/>
        </w:rPr>
        <w:t>In addition, the FIO is empowered to request and collect data (including financial data) on and from the insurance industry and insurers (including reinsurers) and their affiliate</w:t>
      </w:r>
      <w:r>
        <w:rPr>
          <w:rFonts w:eastAsia="Times New Roman"/>
          <w:color w:val="000000"/>
          <w:sz w:val="20"/>
          <w:szCs w:val="20"/>
        </w:rPr>
        <w:t>s. In such capacity, the FIO may require an insurer or an affiliate of an insurer to submit such data or information as the FIO may reasonably require. In addition, the FIO’s approval is required to subject a financial company whose largest U.S. subsidiary</w:t>
      </w:r>
      <w:r>
        <w:rPr>
          <w:rFonts w:eastAsia="Times New Roman"/>
          <w:color w:val="000000"/>
          <w:sz w:val="20"/>
          <w:szCs w:val="20"/>
        </w:rPr>
        <w:t xml:space="preserve"> is an insurer to the special orderly liquidation process outside the federal bankruptcy code, administered by the FDIC pursuant to the Dodd-Frank Act. U.S. insurance subsidiaries of any such financial company, however, would be subject to rehabilitation a</w:t>
      </w:r>
      <w:r>
        <w:rPr>
          <w:rFonts w:eastAsia="Times New Roman"/>
          <w:color w:val="000000"/>
          <w:sz w:val="20"/>
          <w:szCs w:val="20"/>
        </w:rPr>
        <w:t>nd liquidation proceedings under state insurance law. The Dodd-Frank Act also reforms the regulation of the non-admitted property/casualty insurance market (commonly referred to as excess and surplus lines) and the reinsurance markets, including prohibitin</w:t>
      </w:r>
      <w:r>
        <w:rPr>
          <w:rFonts w:eastAsia="Times New Roman"/>
          <w:color w:val="000000"/>
          <w:sz w:val="20"/>
          <w:szCs w:val="20"/>
        </w:rPr>
        <w:t>g the ability of non-domiciliary state insurance regulators to deny credit for reinsurance when recognized by the ceding insurer’s domiciliary state regulator.</w:t>
      </w:r>
    </w:p>
    <w:p w:rsidR="00000000" w:rsidRDefault="00E54EC0">
      <w:pPr>
        <w:jc w:val="center"/>
        <w:divId w:val="950015453"/>
        <w:rPr>
          <w:rFonts w:eastAsia="Times New Roman"/>
        </w:rPr>
      </w:pPr>
      <w:r>
        <w:rPr>
          <w:rFonts w:eastAsia="Times New Roman"/>
          <w:color w:val="000000"/>
          <w:sz w:val="20"/>
          <w:szCs w:val="20"/>
        </w:rPr>
        <w:t>42</w:t>
      </w:r>
    </w:p>
    <w:p w:rsidR="00000000" w:rsidRDefault="00E54EC0">
      <w:pPr>
        <w:rPr>
          <w:rFonts w:eastAsia="Times New Roman"/>
        </w:rPr>
      </w:pPr>
      <w:r>
        <w:rPr>
          <w:rFonts w:eastAsia="Times New Roman"/>
        </w:rPr>
        <w:pict>
          <v:rect id="_x0000_i1079" style="width:0;height:1.5pt" o:hralign="center" o:hrstd="t" o:hr="t" fillcolor="#a0a0a0" stroked="f"/>
        </w:pict>
      </w:r>
    </w:p>
    <w:p w:rsidR="00000000" w:rsidRDefault="00E54EC0">
      <w:pPr>
        <w:divId w:val="1033263854"/>
        <w:rPr>
          <w:rFonts w:eastAsia="Times New Roman"/>
        </w:rPr>
      </w:pPr>
    </w:p>
    <w:p w:rsidR="00000000" w:rsidRDefault="00E54EC0">
      <w:pPr>
        <w:ind w:firstLine="360"/>
        <w:divId w:val="1041244544"/>
        <w:rPr>
          <w:rFonts w:eastAsia="Times New Roman"/>
        </w:rPr>
      </w:pPr>
      <w:r>
        <w:rPr>
          <w:rFonts w:eastAsia="Times New Roman"/>
          <w:color w:val="000000"/>
          <w:sz w:val="20"/>
          <w:szCs w:val="20"/>
        </w:rPr>
        <w:t>In October 2022, the SEC adopted final rules requiring</w:t>
      </w:r>
      <w:r>
        <w:rPr>
          <w:rFonts w:eastAsia="Times New Roman"/>
          <w:color w:val="000000"/>
          <w:sz w:val="20"/>
          <w:szCs w:val="20"/>
        </w:rPr>
        <w:t xml:space="preserve"> the recovery of erroneously awarded compensation as mandated by the Dodd-Frank Act. The rules will, among other things, require national securities exchanges to establish listing standards that would require listed companies to adopt and comply with a com</w:t>
      </w:r>
      <w:r>
        <w:rPr>
          <w:rFonts w:eastAsia="Times New Roman"/>
          <w:color w:val="000000"/>
          <w:sz w:val="20"/>
          <w:szCs w:val="20"/>
        </w:rPr>
        <w:t>pensation recovery policy, often known as a clawback policy, and require listed companies to provide disclosure about such policies and how they are being implemented. In the event a company is required to prepare an accounting restatement, including to co</w:t>
      </w:r>
      <w:r>
        <w:rPr>
          <w:rFonts w:eastAsia="Times New Roman"/>
          <w:color w:val="000000"/>
          <w:sz w:val="20"/>
          <w:szCs w:val="20"/>
        </w:rPr>
        <w:t>rrect an error that would result in a material misstatement if the error were corrected in the current period or left uncorrected in the current period, the company must recover from any current or former executive officers incentive-based compensation tha</w:t>
      </w:r>
      <w:r>
        <w:rPr>
          <w:rFonts w:eastAsia="Times New Roman"/>
          <w:color w:val="000000"/>
          <w:sz w:val="20"/>
          <w:szCs w:val="20"/>
        </w:rPr>
        <w:t xml:space="preserve">t was erroneously awarded during the three years preceding the date such a restatement was required. The recoverable amount would be the amount of incentive-based compensation received in excess of the amount that otherwise would have been received had it </w:t>
      </w:r>
      <w:r>
        <w:rPr>
          <w:rFonts w:eastAsia="Times New Roman"/>
          <w:color w:val="000000"/>
          <w:sz w:val="20"/>
          <w:szCs w:val="20"/>
        </w:rPr>
        <w:t>been determined based on the restated financial measure. The updated listing standards related to clawback policies will become effective no later than November 28, 2023. Listed companies will be required to adopt a clawback policy no later than 60 days fo</w:t>
      </w:r>
      <w:r>
        <w:rPr>
          <w:rFonts w:eastAsia="Times New Roman"/>
          <w:color w:val="000000"/>
          <w:sz w:val="20"/>
          <w:szCs w:val="20"/>
        </w:rPr>
        <w:t>llowing the applicable listing standards effective date and make the required disclosure in proxy and information statements, as well as annual reports filed after the adoption of their clawback policy. We are currently awaiting the finalization of the rel</w:t>
      </w:r>
      <w:r>
        <w:rPr>
          <w:rFonts w:eastAsia="Times New Roman"/>
          <w:color w:val="000000"/>
          <w:sz w:val="20"/>
          <w:szCs w:val="20"/>
        </w:rPr>
        <w:t>evant listing standards and are evaluating our existing clawback policy to determine if any updates are required.</w:t>
      </w:r>
    </w:p>
    <w:p w:rsidR="00000000" w:rsidRDefault="00E54EC0">
      <w:pPr>
        <w:ind w:firstLine="360"/>
        <w:divId w:val="716011304"/>
        <w:rPr>
          <w:rFonts w:eastAsia="Times New Roman"/>
        </w:rPr>
      </w:pPr>
      <w:r>
        <w:rPr>
          <w:rFonts w:eastAsia="Times New Roman"/>
          <w:color w:val="000000"/>
          <w:sz w:val="20"/>
          <w:szCs w:val="20"/>
        </w:rPr>
        <w:t>On August 25, 2022, the SEC adopted final rules implementing the pay versus performance requirement as mandated by the Dodd-Frank Act. The rul</w:t>
      </w:r>
      <w:r>
        <w:rPr>
          <w:rFonts w:eastAsia="Times New Roman"/>
          <w:color w:val="000000"/>
          <w:sz w:val="20"/>
          <w:szCs w:val="20"/>
        </w:rPr>
        <w:t>es require public companies to disclose the relationship between their executive compensation and financial performance in proxy or information statements in which executive compensation disclosures are required. Under the new rules, companies will be requ</w:t>
      </w:r>
      <w:r>
        <w:rPr>
          <w:rFonts w:eastAsia="Times New Roman"/>
          <w:color w:val="000000"/>
          <w:sz w:val="20"/>
          <w:szCs w:val="20"/>
        </w:rPr>
        <w:t xml:space="preserve">ired to provide a table disclosing specified executive compensation and financial performance measures for the five most recently completed fiscal years after an initial phase-in period. Companies are also required to describe the relationship between the </w:t>
      </w:r>
      <w:r>
        <w:rPr>
          <w:rFonts w:eastAsia="Times New Roman"/>
          <w:color w:val="000000"/>
          <w:sz w:val="20"/>
          <w:szCs w:val="20"/>
        </w:rPr>
        <w:t>actual executive compensation paid, as defined by the new rules, and each of the financial performance measures in the table, as well as the company’s total shareholder return (“TSR”) and the TSR of its selected peer group. In addition, companies are requi</w:t>
      </w:r>
      <w:r>
        <w:rPr>
          <w:rFonts w:eastAsia="Times New Roman"/>
          <w:color w:val="000000"/>
          <w:sz w:val="20"/>
          <w:szCs w:val="20"/>
        </w:rPr>
        <w:t>red to disclose three to seven financial performance measures they determine to be the most important performance measures for linking executive compensation actually paid to company performance. These final rules are effective in proxy and information sta</w:t>
      </w:r>
      <w:r>
        <w:rPr>
          <w:rFonts w:eastAsia="Times New Roman"/>
          <w:color w:val="000000"/>
          <w:sz w:val="20"/>
          <w:szCs w:val="20"/>
        </w:rPr>
        <w:t>tements for fiscal years ending on or after December 16, 2022.</w:t>
      </w:r>
    </w:p>
    <w:p w:rsidR="00000000" w:rsidRDefault="00E54EC0">
      <w:pPr>
        <w:ind w:firstLine="360"/>
        <w:divId w:val="1598712231"/>
        <w:rPr>
          <w:rFonts w:eastAsia="Times New Roman"/>
        </w:rPr>
      </w:pPr>
      <w:r>
        <w:rPr>
          <w:rFonts w:eastAsia="Times New Roman"/>
          <w:color w:val="000000"/>
          <w:sz w:val="20"/>
          <w:szCs w:val="20"/>
        </w:rPr>
        <w:t>The following aspects of our operations could also be affected by the Dodd-Frank Act:</w:t>
      </w:r>
    </w:p>
    <w:p w:rsidR="00000000" w:rsidRDefault="00E54EC0">
      <w:pPr>
        <w:divId w:val="1210991893"/>
        <w:rPr>
          <w:rFonts w:eastAsia="Times New Roman"/>
        </w:rPr>
      </w:pPr>
      <w:r>
        <w:rPr>
          <w:rFonts w:eastAsia="Times New Roman"/>
          <w:i/>
          <w:iCs/>
          <w:color w:val="000000"/>
          <w:sz w:val="20"/>
          <w:szCs w:val="20"/>
          <w:u w:val="single"/>
        </w:rPr>
        <w:t>Heightened Standards and Safeguards</w:t>
      </w:r>
    </w:p>
    <w:p w:rsidR="00000000" w:rsidRDefault="00E54EC0">
      <w:pPr>
        <w:ind w:firstLine="360"/>
        <w:divId w:val="1142845582"/>
        <w:rPr>
          <w:rFonts w:eastAsia="Times New Roman"/>
        </w:rPr>
      </w:pPr>
      <w:r>
        <w:rPr>
          <w:rFonts w:eastAsia="Times New Roman"/>
          <w:color w:val="000000"/>
          <w:sz w:val="20"/>
          <w:szCs w:val="20"/>
        </w:rPr>
        <w:t>The FSOC may recommend that state insurance regulators or other regulat</w:t>
      </w:r>
      <w:r>
        <w:rPr>
          <w:rFonts w:eastAsia="Times New Roman"/>
          <w:color w:val="000000"/>
          <w:sz w:val="20"/>
          <w:szCs w:val="20"/>
        </w:rPr>
        <w:t>ors apply new or heightened standards and safeguards for activities or practices we and other insurers or other financial services companies engage in if the FSOC determines that those activities or practices could create or increase the risk that signific</w:t>
      </w:r>
      <w:r>
        <w:rPr>
          <w:rFonts w:eastAsia="Times New Roman"/>
          <w:color w:val="000000"/>
          <w:sz w:val="20"/>
          <w:szCs w:val="20"/>
        </w:rPr>
        <w:t>ant liquidity, credit or other problems spread among financial companies. We cannot predict whether any such recommendations will be made or their effect on our business, consolidated results of operations or financial condition.</w:t>
      </w:r>
    </w:p>
    <w:p w:rsidR="00000000" w:rsidRDefault="00E54EC0">
      <w:pPr>
        <w:divId w:val="529270410"/>
        <w:rPr>
          <w:rFonts w:eastAsia="Times New Roman"/>
        </w:rPr>
      </w:pPr>
      <w:r>
        <w:rPr>
          <w:rFonts w:eastAsia="Times New Roman"/>
          <w:i/>
          <w:iCs/>
          <w:color w:val="000000"/>
          <w:sz w:val="20"/>
          <w:szCs w:val="20"/>
          <w:u w:val="single"/>
        </w:rPr>
        <w:t>Over-The-Counter Derivativ</w:t>
      </w:r>
      <w:r>
        <w:rPr>
          <w:rFonts w:eastAsia="Times New Roman"/>
          <w:i/>
          <w:iCs/>
          <w:color w:val="000000"/>
          <w:sz w:val="20"/>
          <w:szCs w:val="20"/>
          <w:u w:val="single"/>
        </w:rPr>
        <w:t>es Regulation</w:t>
      </w:r>
    </w:p>
    <w:p w:rsidR="00000000" w:rsidRDefault="00E54EC0">
      <w:pPr>
        <w:ind w:firstLine="360"/>
        <w:divId w:val="1690913544"/>
        <w:rPr>
          <w:rFonts w:eastAsia="Times New Roman"/>
        </w:rPr>
      </w:pPr>
      <w:r>
        <w:rPr>
          <w:rFonts w:eastAsia="Times New Roman"/>
          <w:color w:val="000000"/>
          <w:sz w:val="20"/>
          <w:szCs w:val="20"/>
        </w:rPr>
        <w:t>The Dodd-Frank Act includes a framework of regulation for the OTC derivatives markets, which has largely been implemented. The Dodd-Frank Act provided authority to the CFTC to regulate “swaps” and the SEC to regulate “security-based swaps.” S</w:t>
      </w:r>
      <w:r>
        <w:rPr>
          <w:rFonts w:eastAsia="Times New Roman"/>
          <w:color w:val="000000"/>
          <w:sz w:val="20"/>
          <w:szCs w:val="20"/>
        </w:rPr>
        <w:t>waps include, among other things, OTC derivatives on interest rates, commodities, broad-based securities indexes, currency and treasury and other exempted securities. Security-based swaps include, among other things, OTC derivatives on single securities, b</w:t>
      </w:r>
      <w:r>
        <w:rPr>
          <w:rFonts w:eastAsia="Times New Roman"/>
          <w:color w:val="000000"/>
          <w:sz w:val="20"/>
          <w:szCs w:val="20"/>
        </w:rPr>
        <w:t>askets of securities, narrow-based indexes or loans. The Dodd-Frank Act also granted authority to the U.S. Secretary of the Treasury to exclude physically-settled foreign exchange instruments from regulation as swaps, which the Secretary implemented shortl</w:t>
      </w:r>
      <w:r>
        <w:rPr>
          <w:rFonts w:eastAsia="Times New Roman"/>
          <w:color w:val="000000"/>
          <w:sz w:val="20"/>
          <w:szCs w:val="20"/>
        </w:rPr>
        <w:t>y after adoption of the Dodd-Frank Act.</w:t>
      </w:r>
    </w:p>
    <w:p w:rsidR="00000000" w:rsidRDefault="00E54EC0">
      <w:pPr>
        <w:ind w:firstLine="360"/>
        <w:divId w:val="496111107"/>
        <w:rPr>
          <w:rFonts w:eastAsia="Times New Roman"/>
        </w:rPr>
      </w:pPr>
      <w:r>
        <w:rPr>
          <w:rFonts w:eastAsia="Times New Roman"/>
          <w:color w:val="000000"/>
          <w:sz w:val="20"/>
          <w:szCs w:val="20"/>
        </w:rPr>
        <w:t>The Dodd-Frank Act authorized the SEC and the CFTC to mandate that specified types of OTC derivatives must be executed in regulated markets and be submitted for clearing to regulated clearinghouses and directed the C</w:t>
      </w:r>
      <w:r>
        <w:rPr>
          <w:rFonts w:eastAsia="Times New Roman"/>
          <w:color w:val="000000"/>
          <w:sz w:val="20"/>
          <w:szCs w:val="20"/>
        </w:rPr>
        <w:t>FTC and SEC to establish documentation, recordkeeping and registration requirements for swap dealers, major swap participants, security-based swap dealers and major security-based swap participants for swaps, security-based swaps and specified other deriva</w:t>
      </w:r>
      <w:r>
        <w:rPr>
          <w:rFonts w:eastAsia="Times New Roman"/>
          <w:color w:val="000000"/>
          <w:sz w:val="20"/>
          <w:szCs w:val="20"/>
        </w:rPr>
        <w:t>tives that continued to trade on the OTC market. The Dodd-Frank Act also directed the SEC, CFTC, the Office of the Comptroller of the Currency, the Federal Reserve Board, the FDIC, the Farm Credit Administration, and the Federal Housing Finance Agency (col</w:t>
      </w:r>
      <w:r>
        <w:rPr>
          <w:rFonts w:eastAsia="Times New Roman"/>
          <w:color w:val="000000"/>
          <w:sz w:val="20"/>
          <w:szCs w:val="20"/>
        </w:rPr>
        <w:t>lectively, the “Prudential Regulators”), with respect to the respective entities they regulate, to develop margin rules for OTC derivatives and capital rules for regulated dealers and major participants. The Prudential Regulators completed substantially al</w:t>
      </w:r>
      <w:r>
        <w:rPr>
          <w:rFonts w:eastAsia="Times New Roman"/>
          <w:color w:val="000000"/>
          <w:sz w:val="20"/>
          <w:szCs w:val="20"/>
        </w:rPr>
        <w:t xml:space="preserve">l of the required regulations by 2017, and the CFTC finalized one of its last remaining rules – the capital rules for swap dealers in July 2020. In December 2019 the SEC finalized and adopted the final set of rules related to security-based swaps, and the </w:t>
      </w:r>
      <w:r>
        <w:rPr>
          <w:rFonts w:eastAsia="Times New Roman"/>
          <w:color w:val="000000"/>
          <w:sz w:val="20"/>
          <w:szCs w:val="20"/>
        </w:rPr>
        <w:t>rules, including registration of dealers in security-based swaps, became effective on or prior to November 1, 2021. Public trade reporting of security-based swaps went into effect in February 2022. In December 2021, the SEC proposed rule 10B-1 under the Ex</w:t>
      </w:r>
      <w:r>
        <w:rPr>
          <w:rFonts w:eastAsia="Times New Roman"/>
          <w:color w:val="000000"/>
          <w:sz w:val="20"/>
          <w:szCs w:val="20"/>
        </w:rPr>
        <w:t>change Act to require next day public reporting of security-based swaps that exceed certain specified thresholds.</w:t>
      </w:r>
    </w:p>
    <w:p w:rsidR="00000000" w:rsidRDefault="00E54EC0">
      <w:pPr>
        <w:jc w:val="center"/>
        <w:divId w:val="238518111"/>
        <w:rPr>
          <w:rFonts w:eastAsia="Times New Roman"/>
        </w:rPr>
      </w:pPr>
      <w:r>
        <w:rPr>
          <w:rFonts w:eastAsia="Times New Roman"/>
          <w:color w:val="000000"/>
          <w:sz w:val="20"/>
          <w:szCs w:val="20"/>
        </w:rPr>
        <w:t>43</w:t>
      </w:r>
    </w:p>
    <w:p w:rsidR="00000000" w:rsidRDefault="00E54EC0">
      <w:pPr>
        <w:rPr>
          <w:rFonts w:eastAsia="Times New Roman"/>
        </w:rPr>
      </w:pPr>
      <w:r>
        <w:rPr>
          <w:rFonts w:eastAsia="Times New Roman"/>
        </w:rPr>
        <w:pict>
          <v:rect id="_x0000_i1080" style="width:0;height:1.5pt" o:hralign="center" o:hrstd="t" o:hr="t" fillcolor="#a0a0a0" stroked="f"/>
        </w:pict>
      </w:r>
    </w:p>
    <w:p w:rsidR="00000000" w:rsidRDefault="00E54EC0">
      <w:pPr>
        <w:divId w:val="2112315813"/>
        <w:rPr>
          <w:rFonts w:eastAsia="Times New Roman"/>
        </w:rPr>
      </w:pPr>
    </w:p>
    <w:p w:rsidR="00000000" w:rsidRDefault="00E54EC0">
      <w:pPr>
        <w:ind w:firstLine="360"/>
        <w:divId w:val="1644038905"/>
        <w:rPr>
          <w:rFonts w:eastAsia="Times New Roman"/>
        </w:rPr>
      </w:pPr>
      <w:r>
        <w:rPr>
          <w:rFonts w:eastAsia="Times New Roman"/>
          <w:color w:val="000000"/>
          <w:sz w:val="20"/>
          <w:szCs w:val="20"/>
        </w:rPr>
        <w:t>As a result of the CFTC regulations, several types of CFTC-regulated swaps are required to be traded on swap execution facilities and cleared through a regulated DCO. Swaps and security-based swaps submitted for cleari</w:t>
      </w:r>
      <w:r>
        <w:rPr>
          <w:rFonts w:eastAsia="Times New Roman"/>
          <w:color w:val="000000"/>
          <w:sz w:val="20"/>
          <w:szCs w:val="20"/>
        </w:rPr>
        <w:t>ng are subject to minimum initial and variation margin requirements set by the relevant DCO or security-based swap clearing organization. Both swaps and security-based swaps are subject to transaction-reporting requirements.</w:t>
      </w:r>
    </w:p>
    <w:p w:rsidR="00000000" w:rsidRDefault="00E54EC0">
      <w:pPr>
        <w:ind w:firstLine="360"/>
        <w:divId w:val="1928805556"/>
        <w:rPr>
          <w:rFonts w:eastAsia="Times New Roman"/>
        </w:rPr>
      </w:pPr>
      <w:r>
        <w:rPr>
          <w:rFonts w:eastAsia="Times New Roman"/>
          <w:color w:val="000000"/>
          <w:sz w:val="20"/>
          <w:szCs w:val="20"/>
        </w:rPr>
        <w:t>Under the CFTC’s and SEC’s regu</w:t>
      </w:r>
      <w:r>
        <w:rPr>
          <w:rFonts w:eastAsia="Times New Roman"/>
          <w:color w:val="000000"/>
          <w:sz w:val="20"/>
          <w:szCs w:val="20"/>
        </w:rPr>
        <w:t>lations, swaps and security-based swaps traded by a non-banking entity are currently subject to variation margin requirements as well as, for most entities, initial margin, as mandated by the CFTC and SEC. Under regulations adopted by the Prudential Regula</w:t>
      </w:r>
      <w:r>
        <w:rPr>
          <w:rFonts w:eastAsia="Times New Roman"/>
          <w:color w:val="000000"/>
          <w:sz w:val="20"/>
          <w:szCs w:val="20"/>
        </w:rPr>
        <w:t>tors, both swaps and security-based swaps traded by banking entities are currently subject to variation margin requirements and, for most entities, initial margin requirements as well. Initial margin requirements imposed by the CFTC, the SEC and the Pruden</w:t>
      </w:r>
      <w:r>
        <w:rPr>
          <w:rFonts w:eastAsia="Times New Roman"/>
          <w:color w:val="000000"/>
          <w:sz w:val="20"/>
          <w:szCs w:val="20"/>
        </w:rPr>
        <w:t>tial Regulators are being phased in over a period of time. As a result, initial margin requirements took effect in September 2021 for us. The CFTC regulations require us to post and collect variation margin (comprised of specified liquid instruments and su</w:t>
      </w:r>
      <w:r>
        <w:rPr>
          <w:rFonts w:eastAsia="Times New Roman"/>
          <w:color w:val="000000"/>
          <w:sz w:val="20"/>
          <w:szCs w:val="20"/>
        </w:rPr>
        <w:t>bject to a required haircut) in connection with trading of swaps with CFTC-regulated swap dealers, and the regulations adopted by the Prudential Regulators require us to post and collect variation margin when trading either swaps or security-based swaps wi</w:t>
      </w:r>
      <w:r>
        <w:rPr>
          <w:rFonts w:eastAsia="Times New Roman"/>
          <w:color w:val="000000"/>
          <w:sz w:val="20"/>
          <w:szCs w:val="20"/>
        </w:rPr>
        <w:t xml:space="preserve">th a dealer regulated by the Prudential Regulators. SEC regulations require posting and collection of variation margin by both us and our counterparty but require posting of initial margin only by the entity facing the broker-dealer or security-based swap </w:t>
      </w:r>
      <w:r>
        <w:rPr>
          <w:rFonts w:eastAsia="Times New Roman"/>
          <w:color w:val="000000"/>
          <w:sz w:val="20"/>
          <w:szCs w:val="20"/>
        </w:rPr>
        <w:t>dealer but not the broker-dealer or security-based swap dealer itself.</w:t>
      </w:r>
    </w:p>
    <w:p w:rsidR="00000000" w:rsidRDefault="00E54EC0">
      <w:pPr>
        <w:ind w:firstLine="360"/>
        <w:divId w:val="1402408575"/>
        <w:rPr>
          <w:rFonts w:eastAsia="Times New Roman"/>
        </w:rPr>
      </w:pPr>
      <w:r>
        <w:rPr>
          <w:rFonts w:eastAsia="Times New Roman"/>
          <w:color w:val="000000"/>
          <w:sz w:val="20"/>
          <w:szCs w:val="20"/>
        </w:rPr>
        <w:t>In addition, regulations adopted by the Prudential Regulators that became effective in 2019 require certain bank-regulated counterparties and certain of their affiliates to include in q</w:t>
      </w:r>
      <w:r>
        <w:rPr>
          <w:rFonts w:eastAsia="Times New Roman"/>
          <w:color w:val="000000"/>
          <w:sz w:val="20"/>
          <w:szCs w:val="20"/>
        </w:rPr>
        <w:t>ualified financial contracts, including many derivatives contracts, repurchase agreements and securities lending agreements, terms that delay or restrict the rights of counterparties, such as us, to terminate such contracts, foreclose upon collateral, exer</w:t>
      </w:r>
      <w:r>
        <w:rPr>
          <w:rFonts w:eastAsia="Times New Roman"/>
          <w:color w:val="000000"/>
          <w:sz w:val="20"/>
          <w:szCs w:val="20"/>
        </w:rPr>
        <w:t>cise other default rights or restrict transfers of affiliate credit enhancements (such as guarantees) in the event that the bank-regulated counterparty and/or its affiliates are subject to certain types of resolution or insolvency proceedings. It is possib</w:t>
      </w:r>
      <w:r>
        <w:rPr>
          <w:rFonts w:eastAsia="Times New Roman"/>
          <w:color w:val="000000"/>
          <w:sz w:val="20"/>
          <w:szCs w:val="20"/>
        </w:rPr>
        <w:t>le that these requirements in the market, could adversely affect our ability to terminate existing derivatives agreements or to realize amounts to be received under such agreements. The Dodd-Frank Act and related federal regulations and foreign derivatives</w:t>
      </w:r>
      <w:r>
        <w:rPr>
          <w:rFonts w:eastAsia="Times New Roman"/>
          <w:color w:val="000000"/>
          <w:sz w:val="20"/>
          <w:szCs w:val="20"/>
        </w:rPr>
        <w:t xml:space="preserve"> requirements expose us to operational, compliance, execution and other risks, including central counterparty insolvency risk.</w:t>
      </w:r>
    </w:p>
    <w:p w:rsidR="00000000" w:rsidRDefault="00E54EC0">
      <w:pPr>
        <w:ind w:firstLine="360"/>
        <w:divId w:val="429392363"/>
        <w:rPr>
          <w:rFonts w:eastAsia="Times New Roman"/>
        </w:rPr>
      </w:pPr>
      <w:r>
        <w:rPr>
          <w:rFonts w:eastAsia="Times New Roman"/>
          <w:color w:val="000000"/>
          <w:sz w:val="20"/>
          <w:szCs w:val="20"/>
        </w:rPr>
        <w:t>We use derivatives to mitigate a wide range of risks in connection with our business, including the impact of increased benefit e</w:t>
      </w:r>
      <w:r>
        <w:rPr>
          <w:rFonts w:eastAsia="Times New Roman"/>
          <w:color w:val="000000"/>
          <w:sz w:val="20"/>
          <w:szCs w:val="20"/>
        </w:rPr>
        <w:t>xposures from certain variable annuity products that offer GMxB features. We have always been subject to the risk that our hedging and other management procedures might prove ineffective in reducing the risks to which insurance policies expose us or that u</w:t>
      </w:r>
      <w:r>
        <w:rPr>
          <w:rFonts w:eastAsia="Times New Roman"/>
          <w:color w:val="000000"/>
          <w:sz w:val="20"/>
          <w:szCs w:val="20"/>
        </w:rPr>
        <w:t>nanticipated policyholder behavior or mortality, combined with adverse market events, could produce economic losses beyond the scope of the risk management techniques employed. Any such losses could be increased by higher costs of writing derivatives (incl</w:t>
      </w:r>
      <w:r>
        <w:rPr>
          <w:rFonts w:eastAsia="Times New Roman"/>
          <w:color w:val="000000"/>
          <w:sz w:val="20"/>
          <w:szCs w:val="20"/>
        </w:rPr>
        <w:t>uding customized derivatives) and the reduced availability of customized derivatives that might result from the enactment and implementation of new regulations.</w:t>
      </w:r>
    </w:p>
    <w:p w:rsidR="00000000" w:rsidRDefault="00E54EC0">
      <w:pPr>
        <w:divId w:val="624384193"/>
        <w:rPr>
          <w:rFonts w:eastAsia="Times New Roman"/>
        </w:rPr>
      </w:pPr>
      <w:r>
        <w:rPr>
          <w:rFonts w:eastAsia="Times New Roman"/>
          <w:i/>
          <w:iCs/>
          <w:color w:val="000000"/>
          <w:sz w:val="20"/>
          <w:szCs w:val="20"/>
          <w:u w:val="single"/>
        </w:rPr>
        <w:t>Broker-Dealer Regulation</w:t>
      </w:r>
    </w:p>
    <w:p w:rsidR="00000000" w:rsidRDefault="00E54EC0">
      <w:pPr>
        <w:ind w:firstLine="360"/>
        <w:divId w:val="292446207"/>
        <w:rPr>
          <w:rFonts w:eastAsia="Times New Roman"/>
        </w:rPr>
      </w:pPr>
      <w:r>
        <w:rPr>
          <w:rFonts w:eastAsia="Times New Roman"/>
          <w:color w:val="000000"/>
          <w:sz w:val="20"/>
          <w:szCs w:val="20"/>
        </w:rPr>
        <w:t>The Dodd-Frank Act authorized the SEC to promulgate rules to provide t</w:t>
      </w:r>
      <w:r>
        <w:rPr>
          <w:rFonts w:eastAsia="Times New Roman"/>
          <w:color w:val="000000"/>
          <w:sz w:val="20"/>
          <w:szCs w:val="20"/>
        </w:rPr>
        <w:t>hat the standard of conduct for all broker-dealers, when providing personalized investment advice about securities to retail customers. In response, the SEC adopted Regulation BI, which became effective on June 30, 2020. Regulation BI also requires registe</w:t>
      </w:r>
      <w:r>
        <w:rPr>
          <w:rFonts w:eastAsia="Times New Roman"/>
          <w:color w:val="000000"/>
          <w:sz w:val="20"/>
          <w:szCs w:val="20"/>
        </w:rPr>
        <w:t>red broker dealers and investment advisers to retail customers to file a client relationship summary (“Form CRS”) with the SEC and deliver copies of Form CRS to their retail customers. Form CRS provides disclosures from the broker-dealer or investment advi</w:t>
      </w:r>
      <w:r>
        <w:rPr>
          <w:rFonts w:eastAsia="Times New Roman"/>
          <w:color w:val="000000"/>
          <w:sz w:val="20"/>
          <w:szCs w:val="20"/>
        </w:rPr>
        <w:t>ser about the applicable standard of conduct and conflicts of interest. The intent of these rules is to impose on broker-dealers an enhanced duty of care to their customers similar to that which applies to investment advisers under existing law. We have de</w:t>
      </w:r>
      <w:r>
        <w:rPr>
          <w:rFonts w:eastAsia="Times New Roman"/>
          <w:color w:val="000000"/>
          <w:sz w:val="20"/>
          <w:szCs w:val="20"/>
        </w:rPr>
        <w:t xml:space="preserve">veloped systems and processes and put in place policies and procedures to ensure that we are in compliance with Regulation Best Interest. </w:t>
      </w:r>
    </w:p>
    <w:p w:rsidR="00000000" w:rsidRDefault="00E54EC0">
      <w:pPr>
        <w:ind w:firstLine="360"/>
        <w:divId w:val="1726224261"/>
        <w:rPr>
          <w:rFonts w:eastAsia="Times New Roman"/>
        </w:rPr>
      </w:pPr>
      <w:r>
        <w:rPr>
          <w:rFonts w:eastAsia="Times New Roman"/>
          <w:color w:val="000000"/>
          <w:sz w:val="20"/>
          <w:szCs w:val="20"/>
        </w:rPr>
        <w:t>The SEC recently proposed a new Regulation Best Execution, which would supplement existing best execution rules enfor</w:t>
      </w:r>
      <w:r>
        <w:rPr>
          <w:rFonts w:eastAsia="Times New Roman"/>
          <w:color w:val="000000"/>
          <w:sz w:val="20"/>
          <w:szCs w:val="20"/>
        </w:rPr>
        <w:t xml:space="preserve">ced by FINRA and the Municipal Securities Rulemaking Board. In conjunction with Regulation Best Execution, the SEC also proposed other rules or rule modifications that, if adopted as proposed, would materially impact broker-dealers operating in the equity </w:t>
      </w:r>
      <w:r>
        <w:rPr>
          <w:rFonts w:eastAsia="Times New Roman"/>
          <w:color w:val="000000"/>
          <w:sz w:val="20"/>
          <w:szCs w:val="20"/>
        </w:rPr>
        <w:t>markets. These proposals include: (i) the Order Competition Rule, which would require certain retail customer orders to be exposed first to a “qualified auction” operated by an open competition trading center prior to execution in the over-the-counter mark</w:t>
      </w:r>
      <w:r>
        <w:rPr>
          <w:rFonts w:eastAsia="Times New Roman"/>
          <w:color w:val="000000"/>
          <w:sz w:val="20"/>
          <w:szCs w:val="20"/>
        </w:rPr>
        <w:t>et; (ii) amendments to Regulation NMS to adopt, among other things, minimum pricing increments for quoting and trading of listed stocks and reduce exchange access fees; and (iii) amendments to disclosure requirements under Regulation NMS to require monthly</w:t>
      </w:r>
      <w:r>
        <w:rPr>
          <w:rFonts w:eastAsia="Times New Roman"/>
          <w:color w:val="000000"/>
          <w:sz w:val="20"/>
          <w:szCs w:val="20"/>
        </w:rPr>
        <w:t xml:space="preserve"> publication of order execution quality information in listed equity by certain large broker-dealers and trading platforms in addition to the market centers that are currently required to publish such reports. If adopted, the proposals will likely increase</w:t>
      </w:r>
      <w:r>
        <w:rPr>
          <w:rFonts w:eastAsia="Times New Roman"/>
          <w:color w:val="000000"/>
          <w:sz w:val="20"/>
          <w:szCs w:val="20"/>
        </w:rPr>
        <w:t xml:space="preserve"> costs for our broker-dealers.</w:t>
      </w:r>
    </w:p>
    <w:p w:rsidR="00000000" w:rsidRDefault="00E54EC0">
      <w:pPr>
        <w:divId w:val="1720200743"/>
        <w:rPr>
          <w:rFonts w:eastAsia="Times New Roman"/>
        </w:rPr>
      </w:pPr>
      <w:r>
        <w:rPr>
          <w:rFonts w:eastAsia="Times New Roman"/>
          <w:i/>
          <w:iCs/>
          <w:color w:val="000000"/>
          <w:sz w:val="20"/>
          <w:szCs w:val="20"/>
          <w:u w:val="single"/>
        </w:rPr>
        <w:t>Investment Adviser Regulation</w:t>
      </w:r>
    </w:p>
    <w:p w:rsidR="00000000" w:rsidRDefault="00E54EC0">
      <w:pPr>
        <w:jc w:val="center"/>
        <w:divId w:val="807668046"/>
        <w:rPr>
          <w:rFonts w:eastAsia="Times New Roman"/>
        </w:rPr>
      </w:pPr>
      <w:r>
        <w:rPr>
          <w:rFonts w:eastAsia="Times New Roman"/>
          <w:color w:val="000000"/>
          <w:sz w:val="20"/>
          <w:szCs w:val="20"/>
        </w:rPr>
        <w:t>44</w:t>
      </w:r>
    </w:p>
    <w:p w:rsidR="00000000" w:rsidRDefault="00E54EC0">
      <w:pPr>
        <w:rPr>
          <w:rFonts w:eastAsia="Times New Roman"/>
        </w:rPr>
      </w:pPr>
      <w:r>
        <w:rPr>
          <w:rFonts w:eastAsia="Times New Roman"/>
        </w:rPr>
        <w:pict>
          <v:rect id="_x0000_i1081" style="width:0;height:1.5pt" o:hralign="center" o:hrstd="t" o:hr="t" fillcolor="#a0a0a0" stroked="f"/>
        </w:pict>
      </w:r>
    </w:p>
    <w:p w:rsidR="00000000" w:rsidRDefault="00E54EC0">
      <w:pPr>
        <w:divId w:val="2099665817"/>
        <w:rPr>
          <w:rFonts w:eastAsia="Times New Roman"/>
        </w:rPr>
      </w:pPr>
    </w:p>
    <w:p w:rsidR="00000000" w:rsidRDefault="00E54EC0">
      <w:pPr>
        <w:ind w:firstLine="360"/>
        <w:divId w:val="1659962738"/>
        <w:rPr>
          <w:rFonts w:eastAsia="Times New Roman"/>
        </w:rPr>
      </w:pPr>
      <w:r>
        <w:rPr>
          <w:rFonts w:eastAsia="Times New Roman"/>
          <w:color w:val="000000"/>
          <w:sz w:val="20"/>
          <w:szCs w:val="20"/>
        </w:rPr>
        <w:t xml:space="preserve">Changes to the marketing requirements for registered investment advisers were adopted in December 2020 and became effective in November 2022. The changes </w:t>
      </w:r>
      <w:r>
        <w:rPr>
          <w:rFonts w:eastAsia="Times New Roman"/>
          <w:color w:val="000000"/>
          <w:sz w:val="20"/>
          <w:szCs w:val="20"/>
        </w:rPr>
        <w:t xml:space="preserve">amend existing Rule 206(4)-1 under the Investment Advisers Act and incorporate aspects of Investment Advisers Act Rule 206(4)-3, which the SEC simultaneously rescinded in its entirety. The amended rules impose a number of new requirements that will affect </w:t>
      </w:r>
      <w:r>
        <w:rPr>
          <w:rFonts w:eastAsia="Times New Roman"/>
          <w:color w:val="000000"/>
          <w:sz w:val="20"/>
          <w:szCs w:val="20"/>
        </w:rPr>
        <w:t>marketing of certain advisory products, including, in particular, private funds. We developed systems and processes and put in place policies and procedures to ensure that we are in compliance with the amended rule. The SEC is currently focused on examinin</w:t>
      </w:r>
      <w:r>
        <w:rPr>
          <w:rFonts w:eastAsia="Times New Roman"/>
          <w:color w:val="000000"/>
          <w:sz w:val="20"/>
          <w:szCs w:val="20"/>
        </w:rPr>
        <w:t>g compliance efforts with newly amended Rule 206(4)-1. The SEC has also adopted new reporting requirements for registered investment advisers regarding “say on pay” and more expansive reporting on voting practices by managers for registered funds on Form N</w:t>
      </w:r>
      <w:r>
        <w:rPr>
          <w:rFonts w:eastAsia="Times New Roman"/>
          <w:color w:val="000000"/>
          <w:sz w:val="20"/>
          <w:szCs w:val="20"/>
        </w:rPr>
        <w:t xml:space="preserve">-PX. In October 2022, the SEC also proposed a new rule and rule amendments under the Investment Advisers Act that would prohibit registered investment advisers from outsourcing certain services and functions without conducting due diligence and monitoring </w:t>
      </w:r>
      <w:r>
        <w:rPr>
          <w:rFonts w:eastAsia="Times New Roman"/>
          <w:color w:val="000000"/>
          <w:sz w:val="20"/>
          <w:szCs w:val="20"/>
        </w:rPr>
        <w:t>the proposed service providers. Both the new requirements and the new proposals, if adopted, will create substantially greater compliance requirements and costs for our investment adviser entities.</w:t>
      </w:r>
    </w:p>
    <w:p w:rsidR="00000000" w:rsidRDefault="00E54EC0">
      <w:pPr>
        <w:jc w:val="both"/>
        <w:divId w:val="2115395646"/>
        <w:rPr>
          <w:rFonts w:eastAsia="Times New Roman"/>
        </w:rPr>
      </w:pPr>
      <w:r>
        <w:rPr>
          <w:rFonts w:eastAsia="Times New Roman"/>
          <w:b/>
          <w:bCs/>
          <w:i/>
          <w:iCs/>
          <w:color w:val="000000"/>
          <w:sz w:val="20"/>
          <w:szCs w:val="20"/>
        </w:rPr>
        <w:t>Fiduciary Rules / “Best Interest” Standards of Conduct</w:t>
      </w:r>
    </w:p>
    <w:p w:rsidR="00000000" w:rsidRDefault="00E54EC0">
      <w:pPr>
        <w:ind w:firstLine="360"/>
        <w:divId w:val="1518152702"/>
        <w:rPr>
          <w:rFonts w:eastAsia="Times New Roman"/>
        </w:rPr>
      </w:pPr>
      <w:r>
        <w:rPr>
          <w:rFonts w:eastAsia="Times New Roman"/>
          <w:color w:val="000000"/>
          <w:sz w:val="20"/>
          <w:szCs w:val="20"/>
        </w:rPr>
        <w:t xml:space="preserve">We </w:t>
      </w:r>
      <w:r>
        <w:rPr>
          <w:rFonts w:eastAsia="Times New Roman"/>
          <w:color w:val="000000"/>
          <w:sz w:val="20"/>
          <w:szCs w:val="20"/>
        </w:rPr>
        <w:t>provide certain products and services to employee benefit plans that are subject to ERISA and certain provisions of the Internal Revenue Code of 1986, as amended (the “Code”). As such, our activities are subject to the restrictions imposed by ERISA and the</w:t>
      </w:r>
      <w:r>
        <w:rPr>
          <w:rFonts w:eastAsia="Times New Roman"/>
          <w:color w:val="000000"/>
          <w:sz w:val="20"/>
          <w:szCs w:val="20"/>
        </w:rPr>
        <w:t xml:space="preserve"> Code, including the requirement that fiduciaries must perform their duties solely in the interests of plan participants and beneficiaries, and fiduciaries may not cause or permit a covered plan to engage in certain prohibited transactions with persons (pa</w:t>
      </w:r>
      <w:r>
        <w:rPr>
          <w:rFonts w:eastAsia="Times New Roman"/>
          <w:color w:val="000000"/>
          <w:sz w:val="20"/>
          <w:szCs w:val="20"/>
        </w:rPr>
        <w:t>rties-in-interest) who have certain relationships with respect to such plans. The applicable provisions of ERISA and the Code are subject to enforcement by the DOL, the IRS, and the Pension Benefit Guaranty Corporation.</w:t>
      </w:r>
    </w:p>
    <w:p w:rsidR="00000000" w:rsidRDefault="00E54EC0">
      <w:pPr>
        <w:ind w:firstLine="360"/>
        <w:divId w:val="1269629272"/>
        <w:rPr>
          <w:rFonts w:eastAsia="Times New Roman"/>
        </w:rPr>
      </w:pPr>
      <w:r>
        <w:rPr>
          <w:rFonts w:eastAsia="Times New Roman"/>
          <w:color w:val="000000"/>
          <w:sz w:val="20"/>
          <w:szCs w:val="20"/>
        </w:rPr>
        <w:t>In the wake of the March 2018 federal appeals court decision to vacate the 2016 DOL Fiduciary Rule, the DOL announced its intention to issue revised fiduciary investment advice regulations. In December 2020, the DOL finalized a “best interest” prohibited t</w:t>
      </w:r>
      <w:r>
        <w:rPr>
          <w:rFonts w:eastAsia="Times New Roman"/>
          <w:color w:val="000000"/>
          <w:sz w:val="20"/>
          <w:szCs w:val="20"/>
        </w:rPr>
        <w:t>ransaction exemption (“PTE 2020-02”) for investment advice fiduciaries under ERISA, and the Code, which is now effective and subject to enforcement. PTE 2020-02 includes the DOL’s interpretation of the five-part test under ERISA and the Code for determinin</w:t>
      </w:r>
      <w:r>
        <w:rPr>
          <w:rFonts w:eastAsia="Times New Roman"/>
          <w:color w:val="000000"/>
          <w:sz w:val="20"/>
          <w:szCs w:val="20"/>
        </w:rPr>
        <w:t>g fiduciary status that was in effect prior to the 2016 DOL Fiduciary Rule, although the scope of PTE 2020-02 extends to rollover transactions if they constitute “investment advice” under the five-part test. If fiduciary status is triggered, PTE 2020-02 pr</w:t>
      </w:r>
      <w:r>
        <w:rPr>
          <w:rFonts w:eastAsia="Times New Roman"/>
          <w:color w:val="000000"/>
          <w:sz w:val="20"/>
          <w:szCs w:val="20"/>
        </w:rPr>
        <w:t>escribes a set of impartial conduct standards and disclosure obligations that are intended to be consistent with the SEC’s Regulation Best Interest. We have devoted significant time and resources towards coming into compliance with PTE 2020-02. The DOL has</w:t>
      </w:r>
      <w:r>
        <w:rPr>
          <w:rFonts w:eastAsia="Times New Roman"/>
          <w:color w:val="000000"/>
          <w:sz w:val="20"/>
          <w:szCs w:val="20"/>
        </w:rPr>
        <w:t xml:space="preserve"> noted that it may further amend its fiduciary regulations, including PTE 2020-02 and, possibly, other existing prohibited transaction exemptions in the near future. To date, nothing has been proposed. However, recent press reports have suggested that the </w:t>
      </w:r>
      <w:r>
        <w:rPr>
          <w:rFonts w:eastAsia="Times New Roman"/>
          <w:color w:val="000000"/>
          <w:sz w:val="20"/>
          <w:szCs w:val="20"/>
        </w:rPr>
        <w:t>Department of Labor soon may move forward with re-drafting a rule defining the term “fiduciary.”</w:t>
      </w:r>
    </w:p>
    <w:p w:rsidR="00000000" w:rsidRDefault="00E54EC0">
      <w:pPr>
        <w:ind w:firstLine="360"/>
        <w:divId w:val="374738235"/>
        <w:rPr>
          <w:rFonts w:eastAsia="Times New Roman"/>
        </w:rPr>
      </w:pPr>
      <w:r>
        <w:rPr>
          <w:rFonts w:eastAsia="Times New Roman"/>
          <w:color w:val="000000"/>
          <w:sz w:val="20"/>
          <w:szCs w:val="20"/>
        </w:rPr>
        <w:t>In addition, in January 2020, the NAIC revised the Suitability in Annuity Transactions Model Regulation to apply a best interest of the consumer standard on in</w:t>
      </w:r>
      <w:r>
        <w:rPr>
          <w:rFonts w:eastAsia="Times New Roman"/>
          <w:color w:val="000000"/>
          <w:sz w:val="20"/>
          <w:szCs w:val="20"/>
        </w:rPr>
        <w:t>surance producers’ annuity recommendations and to require that insurers supervise such recommendations. Several state regulators have adopted the revised regulation, including in two of our insurance subsidiaries’ domiciliary states, while others are curre</w:t>
      </w:r>
      <w:r>
        <w:rPr>
          <w:rFonts w:eastAsia="Times New Roman"/>
          <w:color w:val="000000"/>
          <w:sz w:val="20"/>
          <w:szCs w:val="20"/>
        </w:rPr>
        <w:t xml:space="preserve">ntly considering doing so or instead issuing standalone impartial conduct standards applicable to annuity and, in some cases, life insurance transactions. For example, the NYDFS amended Regulation 187 - Suitability and Best Interests in Life Insurance and </w:t>
      </w:r>
      <w:r>
        <w:rPr>
          <w:rFonts w:eastAsia="Times New Roman"/>
          <w:color w:val="000000"/>
          <w:sz w:val="20"/>
          <w:szCs w:val="20"/>
        </w:rPr>
        <w:t>Annuity Transactions (“Regulation 187”) to add a “best interest” standard for recommendations regarding the sale of life insurance and annuity products in New York. In April 2021, the Appellate Division of the NYS Supreme Court, Third Department, overturne</w:t>
      </w:r>
      <w:r>
        <w:rPr>
          <w:rFonts w:eastAsia="Times New Roman"/>
          <w:color w:val="000000"/>
          <w:sz w:val="20"/>
          <w:szCs w:val="20"/>
        </w:rPr>
        <w:t>d Regulation 187 for being unconstitutionally vague, although the New York State Court of Appeals reversed this ruling on October 20, 2022. We have developed our compliance framework for Regulation 187 with respect to annuity sales as well as our life insu</w:t>
      </w:r>
      <w:r>
        <w:rPr>
          <w:rFonts w:eastAsia="Times New Roman"/>
          <w:color w:val="000000"/>
          <w:sz w:val="20"/>
          <w:szCs w:val="20"/>
        </w:rPr>
        <w:t>rance business. Meanwhile, state regulators and legislatures in Nevada and Maryland have proposed measures that would make broker-dealers, sales agents, and investment advisers and their representatives subject to a fiduciary duty when providing products a</w:t>
      </w:r>
      <w:r>
        <w:rPr>
          <w:rFonts w:eastAsia="Times New Roman"/>
          <w:color w:val="000000"/>
          <w:sz w:val="20"/>
          <w:szCs w:val="20"/>
        </w:rPr>
        <w:t>nd services to customers, including pension plans and IRAs. Massachusetts has adopted such a regulation applying a fiduciary duty standard to broker-dealers and their agents which, although not applying to insurance product (including variable annuity) sal</w:t>
      </w:r>
      <w:r>
        <w:rPr>
          <w:rFonts w:eastAsia="Times New Roman"/>
          <w:color w:val="000000"/>
          <w:sz w:val="20"/>
          <w:szCs w:val="20"/>
        </w:rPr>
        <w:t>es, did require us to make changes to certain policies and procedures to ensure compliance. Beyond the New York and Massachusetts regulations, the likelihood of enactment of any such other standalone state-based regulation is uncertain at this time, but if</w:t>
      </w:r>
      <w:r>
        <w:rPr>
          <w:rFonts w:eastAsia="Times New Roman"/>
          <w:color w:val="000000"/>
          <w:sz w:val="20"/>
          <w:szCs w:val="20"/>
        </w:rPr>
        <w:t xml:space="preserve"> implemented, these regulations could have adverse effects on our business and consolidated results of operations.</w:t>
      </w:r>
    </w:p>
    <w:p w:rsidR="00000000" w:rsidRDefault="00E54EC0">
      <w:pPr>
        <w:jc w:val="both"/>
        <w:divId w:val="685523139"/>
        <w:rPr>
          <w:rFonts w:eastAsia="Times New Roman"/>
        </w:rPr>
      </w:pPr>
      <w:r>
        <w:rPr>
          <w:rFonts w:eastAsia="Times New Roman"/>
          <w:b/>
          <w:bCs/>
          <w:i/>
          <w:iCs/>
          <w:color w:val="000000"/>
          <w:sz w:val="20"/>
          <w:szCs w:val="20"/>
        </w:rPr>
        <w:t>Climate Risks</w:t>
      </w:r>
    </w:p>
    <w:p w:rsidR="00000000" w:rsidRDefault="00E54EC0">
      <w:pPr>
        <w:ind w:firstLine="360"/>
        <w:divId w:val="555122188"/>
        <w:rPr>
          <w:rFonts w:eastAsia="Times New Roman"/>
        </w:rPr>
      </w:pPr>
      <w:r>
        <w:rPr>
          <w:rFonts w:eastAsia="Times New Roman"/>
          <w:color w:val="000000"/>
          <w:sz w:val="20"/>
          <w:szCs w:val="20"/>
        </w:rPr>
        <w:t>The topic of climate risk has come under increased scrutiny by insurance regulators. In September 2020, the NYDFS announced tha</w:t>
      </w:r>
      <w:r>
        <w:rPr>
          <w:rFonts w:eastAsia="Times New Roman"/>
          <w:color w:val="000000"/>
          <w:sz w:val="20"/>
          <w:szCs w:val="20"/>
        </w:rPr>
        <w:t xml:space="preserve">t it expects New York domestic and foreign authorized insurers to integrate financial risks from climate change into their governance frameworks, risk management processes, and business strategies. </w:t>
      </w:r>
    </w:p>
    <w:p w:rsidR="00000000" w:rsidRDefault="00E54EC0">
      <w:pPr>
        <w:jc w:val="center"/>
        <w:divId w:val="1304577646"/>
        <w:rPr>
          <w:rFonts w:eastAsia="Times New Roman"/>
        </w:rPr>
      </w:pPr>
      <w:r>
        <w:rPr>
          <w:rFonts w:eastAsia="Times New Roman"/>
          <w:color w:val="000000"/>
          <w:sz w:val="20"/>
          <w:szCs w:val="20"/>
        </w:rPr>
        <w:t>45</w:t>
      </w:r>
    </w:p>
    <w:p w:rsidR="00000000" w:rsidRDefault="00E54EC0">
      <w:pPr>
        <w:rPr>
          <w:rFonts w:eastAsia="Times New Roman"/>
        </w:rPr>
      </w:pPr>
      <w:r>
        <w:rPr>
          <w:rFonts w:eastAsia="Times New Roman"/>
        </w:rPr>
        <w:pict>
          <v:rect id="_x0000_i1082" style="width:0;height:1.5pt" o:hralign="center" o:hrstd="t" o:hr="t" fillcolor="#a0a0a0" stroked="f"/>
        </w:pict>
      </w:r>
    </w:p>
    <w:p w:rsidR="00000000" w:rsidRDefault="00E54EC0">
      <w:pPr>
        <w:divId w:val="495148916"/>
        <w:rPr>
          <w:rFonts w:eastAsia="Times New Roman"/>
        </w:rPr>
      </w:pPr>
    </w:p>
    <w:p w:rsidR="00000000" w:rsidRDefault="00E54EC0">
      <w:pPr>
        <w:ind w:firstLine="360"/>
        <w:divId w:val="124586894"/>
        <w:rPr>
          <w:rFonts w:eastAsia="Times New Roman"/>
        </w:rPr>
      </w:pPr>
      <w:r>
        <w:rPr>
          <w:rFonts w:eastAsia="Times New Roman"/>
          <w:color w:val="000000"/>
          <w:sz w:val="20"/>
          <w:szCs w:val="20"/>
        </w:rPr>
        <w:t xml:space="preserve">On November 15, </w:t>
      </w:r>
      <w:r>
        <w:rPr>
          <w:rFonts w:eastAsia="Times New Roman"/>
          <w:color w:val="000000"/>
          <w:sz w:val="20"/>
          <w:szCs w:val="20"/>
        </w:rPr>
        <w:t>2021, the NYDFS issued additional guidance stating that New York domestic insurers, such as Equitable Financial, are expected to manage financial risks from climate change by taking actions that are proportionate to the nature, scale and complexity of thei</w:t>
      </w:r>
      <w:r>
        <w:rPr>
          <w:rFonts w:eastAsia="Times New Roman"/>
          <w:color w:val="000000"/>
          <w:sz w:val="20"/>
          <w:szCs w:val="20"/>
        </w:rPr>
        <w:t>r businesses. For instance, the guidance states that an insurer should: (i) incorporate climate risk into its financial risk management (e.g., a company’s ORSA should address climate risk); (ii) manage climate risk through its enterprise risk management fu</w:t>
      </w:r>
      <w:r>
        <w:rPr>
          <w:rFonts w:eastAsia="Times New Roman"/>
          <w:color w:val="000000"/>
          <w:sz w:val="20"/>
          <w:szCs w:val="20"/>
        </w:rPr>
        <w:t>nctions and ensure that its organizational structure clearly defines roles and responsibilities related to managing such risk; (iii) use scenario analysis when developing business strategies and identifying risks; and (iv) incorporate the management of cli</w:t>
      </w:r>
      <w:r>
        <w:rPr>
          <w:rFonts w:eastAsia="Times New Roman"/>
          <w:color w:val="000000"/>
          <w:sz w:val="20"/>
          <w:szCs w:val="20"/>
        </w:rPr>
        <w:t xml:space="preserve">mate risk into its corporate governance structure at the group or insurer entity level (i.e., an insurer’s board of directors should understand climate risk and oversee the team responsible for managing such risk). As of August 15, 2022, New York domestic </w:t>
      </w:r>
      <w:r>
        <w:rPr>
          <w:rFonts w:eastAsia="Times New Roman"/>
          <w:color w:val="000000"/>
          <w:sz w:val="20"/>
          <w:szCs w:val="20"/>
        </w:rPr>
        <w:t>insurers should have implemented certain corporate governance changes and developed plans to implement the organizational structure changes (e.g., defining roles and responsibilities related to managing climate risk). With respect to implementing more invo</w:t>
      </w:r>
      <w:r>
        <w:rPr>
          <w:rFonts w:eastAsia="Times New Roman"/>
          <w:color w:val="000000"/>
          <w:sz w:val="20"/>
          <w:szCs w:val="20"/>
        </w:rPr>
        <w:t>lved changes (e.g., reflecting climate risks in the ORSA and using scenario analysis when developing business strategies), insurers are encouraged to start working on these changes, although the NYDFS intends to issue additional guidance with more specific</w:t>
      </w:r>
      <w:r>
        <w:rPr>
          <w:rFonts w:eastAsia="Times New Roman"/>
          <w:color w:val="000000"/>
          <w:sz w:val="20"/>
          <w:szCs w:val="20"/>
        </w:rPr>
        <w:t xml:space="preserve"> timing information. We have developed our compliance framework with respect to the November 2021 guidance. </w:t>
      </w:r>
    </w:p>
    <w:p w:rsidR="00000000" w:rsidRDefault="00E54EC0">
      <w:pPr>
        <w:ind w:firstLine="360"/>
        <w:divId w:val="1409500632"/>
        <w:rPr>
          <w:rFonts w:eastAsia="Times New Roman"/>
        </w:rPr>
      </w:pPr>
      <w:r>
        <w:rPr>
          <w:rFonts w:eastAsia="Times New Roman"/>
          <w:color w:val="000000"/>
          <w:sz w:val="20"/>
          <w:szCs w:val="20"/>
        </w:rPr>
        <w:t xml:space="preserve">The NYDFS also adopted an amendment to the regulation governing enterprise risk management, applicable to New York domestic and foreign authorized </w:t>
      </w:r>
      <w:r>
        <w:rPr>
          <w:rFonts w:eastAsia="Times New Roman"/>
          <w:color w:val="000000"/>
          <w:sz w:val="20"/>
          <w:szCs w:val="20"/>
        </w:rPr>
        <w:t>insurers, which requires an insurance group’s enterprise risk management function to address certain additional risks, including climate change risk.</w:t>
      </w:r>
    </w:p>
    <w:p w:rsidR="00000000" w:rsidRDefault="00E54EC0">
      <w:pPr>
        <w:ind w:firstLine="360"/>
        <w:divId w:val="214046582"/>
        <w:rPr>
          <w:rFonts w:eastAsia="Times New Roman"/>
        </w:rPr>
      </w:pPr>
      <w:r>
        <w:rPr>
          <w:rFonts w:eastAsia="Times New Roman"/>
          <w:color w:val="000000"/>
          <w:sz w:val="20"/>
          <w:szCs w:val="20"/>
        </w:rPr>
        <w:t>In addition, the FIO is authorized to monitor the U.S. insurance industry under the Dodd-Frank Act, as dis</w:t>
      </w:r>
      <w:r>
        <w:rPr>
          <w:rFonts w:eastAsia="Times New Roman"/>
          <w:color w:val="000000"/>
          <w:sz w:val="20"/>
          <w:szCs w:val="20"/>
        </w:rPr>
        <w:t>cussed above. In furtherance of President Biden’s Executive Order on Climate-Related Financial Risk, dated May 20, 2021, the FIO sought public comment on climate-related financial risks in the insurance industry. The FIO is assessing how the insurance sect</w:t>
      </w:r>
      <w:r>
        <w:rPr>
          <w:rFonts w:eastAsia="Times New Roman"/>
          <w:color w:val="000000"/>
          <w:sz w:val="20"/>
          <w:szCs w:val="20"/>
        </w:rPr>
        <w:t>or may mitigate climate risks and help achieve national climate-related goals.</w:t>
      </w:r>
    </w:p>
    <w:p w:rsidR="00000000" w:rsidRDefault="00E54EC0">
      <w:pPr>
        <w:ind w:firstLine="360"/>
        <w:divId w:val="130750575"/>
        <w:rPr>
          <w:rFonts w:eastAsia="Times New Roman"/>
        </w:rPr>
      </w:pPr>
      <w:r>
        <w:rPr>
          <w:rFonts w:eastAsia="Times New Roman"/>
          <w:color w:val="000000"/>
          <w:sz w:val="20"/>
          <w:szCs w:val="20"/>
        </w:rPr>
        <w:t>In March 2022, the SEC released proposed rule changes on climate-related disclosure. The proposed rule changes would require companies to include certain climate-related disclos</w:t>
      </w:r>
      <w:r>
        <w:rPr>
          <w:rFonts w:eastAsia="Times New Roman"/>
          <w:color w:val="000000"/>
          <w:sz w:val="20"/>
          <w:szCs w:val="20"/>
        </w:rPr>
        <w:t>ures including information about climate-related risks that have had or reasonably likely to have a material impact on their business, results of operations, or financial condition, and certain climate-related financial statement metrics in a note to the a</w:t>
      </w:r>
      <w:r>
        <w:rPr>
          <w:rFonts w:eastAsia="Times New Roman"/>
          <w:color w:val="000000"/>
          <w:sz w:val="20"/>
          <w:szCs w:val="20"/>
        </w:rPr>
        <w:t xml:space="preserve">udited financial statements. Among other things, the required information about climate-related risks also would include disclosure of a company’s greenhouse gas emissions, information about climate-related targets and goals, and if a transition plan, has </w:t>
      </w:r>
      <w:r>
        <w:rPr>
          <w:rFonts w:eastAsia="Times New Roman"/>
          <w:color w:val="000000"/>
          <w:sz w:val="20"/>
          <w:szCs w:val="20"/>
        </w:rPr>
        <w:t>been adopted as part of climate-related risk management strategy, and requires extensive attestation requirements. If adopted as proposed, the rule changes are expected to result in additional compliance and reporting costs.</w:t>
      </w:r>
    </w:p>
    <w:p w:rsidR="00000000" w:rsidRDefault="00E54EC0">
      <w:pPr>
        <w:ind w:firstLine="360"/>
        <w:divId w:val="1541473546"/>
        <w:rPr>
          <w:rFonts w:eastAsia="Times New Roman"/>
        </w:rPr>
      </w:pPr>
      <w:r>
        <w:rPr>
          <w:rFonts w:eastAsia="Times New Roman"/>
          <w:color w:val="000000"/>
          <w:sz w:val="20"/>
          <w:szCs w:val="20"/>
        </w:rPr>
        <w:t>Finally, on May 25, 2022, the SEC proposed amendments to existing rules that would require registered investment companies and investment advisers to include specific disclosures regarding their environmental, social and governance (“ESG”) strategies in pr</w:t>
      </w:r>
      <w:r>
        <w:rPr>
          <w:rFonts w:eastAsia="Times New Roman"/>
          <w:color w:val="000000"/>
          <w:sz w:val="20"/>
          <w:szCs w:val="20"/>
        </w:rPr>
        <w:t>ospectuses and shareholder reports and Form ADV.</w:t>
      </w:r>
    </w:p>
    <w:p w:rsidR="00000000" w:rsidRDefault="00E54EC0">
      <w:pPr>
        <w:jc w:val="both"/>
        <w:divId w:val="1387290884"/>
        <w:rPr>
          <w:rFonts w:eastAsia="Times New Roman"/>
        </w:rPr>
      </w:pPr>
      <w:r>
        <w:rPr>
          <w:rFonts w:eastAsia="Times New Roman"/>
          <w:b/>
          <w:bCs/>
          <w:i/>
          <w:iCs/>
          <w:color w:val="000000"/>
          <w:sz w:val="20"/>
          <w:szCs w:val="20"/>
        </w:rPr>
        <w:t>NYDFS Guidance on Diversity and Corporate Governance</w:t>
      </w:r>
    </w:p>
    <w:p w:rsidR="00000000" w:rsidRDefault="00E54EC0">
      <w:pPr>
        <w:ind w:firstLine="360"/>
        <w:divId w:val="75908336"/>
        <w:rPr>
          <w:rFonts w:eastAsia="Times New Roman"/>
        </w:rPr>
      </w:pPr>
      <w:r>
        <w:rPr>
          <w:rFonts w:eastAsia="Times New Roman"/>
          <w:color w:val="000000"/>
          <w:sz w:val="20"/>
          <w:szCs w:val="20"/>
        </w:rPr>
        <w:t xml:space="preserve">Insurance regulators are also focused on the topic of race, diversity and inclusion. In New York, the NYDFS issued a circular letter in 2021 stating that </w:t>
      </w:r>
      <w:r>
        <w:rPr>
          <w:rFonts w:eastAsia="Times New Roman"/>
          <w:color w:val="000000"/>
          <w:sz w:val="20"/>
          <w:szCs w:val="20"/>
        </w:rPr>
        <w:t>it expects the insurers it regulates, such as Equitable Financial, to make diversity of their leadership a business priority and a key element of their corporate governance. The NYDFS collected data from insurers that met certain premium thresholds, includ</w:t>
      </w:r>
      <w:r>
        <w:rPr>
          <w:rFonts w:eastAsia="Times New Roman"/>
          <w:color w:val="000000"/>
          <w:sz w:val="20"/>
          <w:szCs w:val="20"/>
        </w:rPr>
        <w:t>ing Equitable Financial, regarding the diversity of their corporate boards and management. The NYDFS plans to publish this data on an aggregate basis to measure progress in the industry, and it now includes diversity-related questions in its examination pr</w:t>
      </w:r>
      <w:r>
        <w:rPr>
          <w:rFonts w:eastAsia="Times New Roman"/>
          <w:color w:val="000000"/>
          <w:sz w:val="20"/>
          <w:szCs w:val="20"/>
        </w:rPr>
        <w:t>ocess. We are considering the NYDFS’ guidance as part of our commitment to diversity and inclusion. The NAIC is also evaluating issues related to this topic, and it is examining practices in the insurance industry to determine how barriers are created that</w:t>
      </w:r>
      <w:r>
        <w:rPr>
          <w:rFonts w:eastAsia="Times New Roman"/>
          <w:color w:val="000000"/>
          <w:sz w:val="20"/>
          <w:szCs w:val="20"/>
        </w:rPr>
        <w:t xml:space="preserve"> disadvantage people of color or historically underrepresented groups.</w:t>
      </w:r>
    </w:p>
    <w:p w:rsidR="00000000" w:rsidRDefault="00E54EC0">
      <w:pPr>
        <w:jc w:val="both"/>
        <w:divId w:val="1498612832"/>
        <w:rPr>
          <w:rFonts w:eastAsia="Times New Roman"/>
        </w:rPr>
      </w:pPr>
      <w:r>
        <w:rPr>
          <w:rFonts w:eastAsia="Times New Roman"/>
          <w:b/>
          <w:bCs/>
          <w:i/>
          <w:iCs/>
          <w:color w:val="000000"/>
          <w:sz w:val="20"/>
          <w:szCs w:val="20"/>
        </w:rPr>
        <w:t>International Regulation</w:t>
      </w:r>
    </w:p>
    <w:p w:rsidR="00000000" w:rsidRDefault="00E54EC0">
      <w:pPr>
        <w:ind w:firstLine="360"/>
        <w:divId w:val="1764834027"/>
        <w:rPr>
          <w:rFonts w:eastAsia="Times New Roman"/>
        </w:rPr>
      </w:pPr>
      <w:r>
        <w:rPr>
          <w:rFonts w:eastAsia="Times New Roman"/>
          <w:color w:val="000000"/>
          <w:sz w:val="20"/>
          <w:szCs w:val="20"/>
        </w:rPr>
        <w:t xml:space="preserve">Many of AB’s subsidiaries are subject to the oversight of regulatory authorities in jurisdictions outside of the United States in which they operate, including </w:t>
      </w:r>
      <w:r>
        <w:rPr>
          <w:rFonts w:eastAsia="Times New Roman"/>
          <w:color w:val="000000"/>
          <w:sz w:val="20"/>
          <w:szCs w:val="20"/>
        </w:rPr>
        <w:t>the Ontario Securities Commission, the Investment Industry Regulatory Organization of Canada, the European Securities and Markets Authority, the Financial Conduct Authority in the U.K., the CSSF in Luxembourg, the Financial Services Agency in Japan, the Se</w:t>
      </w:r>
      <w:r>
        <w:rPr>
          <w:rFonts w:eastAsia="Times New Roman"/>
          <w:color w:val="000000"/>
          <w:sz w:val="20"/>
          <w:szCs w:val="20"/>
        </w:rPr>
        <w:t>curities &amp; Futures Commission in Hong Kong, the Monetary Authority of Singapore, the Financial Services Commission in South Korea, the Financial Supervisory Commission in Taiwan and the Securities and Exchange Board of India. While these regulatory require</w:t>
      </w:r>
      <w:r>
        <w:rPr>
          <w:rFonts w:eastAsia="Times New Roman"/>
          <w:color w:val="000000"/>
          <w:sz w:val="20"/>
          <w:szCs w:val="20"/>
        </w:rPr>
        <w:t>ments often may be comparable to the requirements of the SEC and other U.S. regulators, they are sometimes more restrictive and may cause AB to incur substantial expenditures of time and money related to AB’s compliance efforts.</w:t>
      </w:r>
    </w:p>
    <w:p w:rsidR="00000000" w:rsidRDefault="00E54EC0">
      <w:pPr>
        <w:jc w:val="center"/>
        <w:divId w:val="1755977668"/>
        <w:rPr>
          <w:rFonts w:eastAsia="Times New Roman"/>
        </w:rPr>
      </w:pPr>
      <w:r>
        <w:rPr>
          <w:rFonts w:eastAsia="Times New Roman"/>
          <w:color w:val="000000"/>
          <w:sz w:val="20"/>
          <w:szCs w:val="20"/>
        </w:rPr>
        <w:t>46</w:t>
      </w:r>
    </w:p>
    <w:p w:rsidR="00000000" w:rsidRDefault="00E54EC0">
      <w:pPr>
        <w:rPr>
          <w:rFonts w:eastAsia="Times New Roman"/>
        </w:rPr>
      </w:pPr>
      <w:r>
        <w:rPr>
          <w:rFonts w:eastAsia="Times New Roman"/>
        </w:rPr>
        <w:pict>
          <v:rect id="_x0000_i1083" style="width:0;height:1.5pt" o:hralign="center" o:hrstd="t" o:hr="t" fillcolor="#a0a0a0" stroked="f"/>
        </w:pict>
      </w:r>
    </w:p>
    <w:p w:rsidR="00000000" w:rsidRDefault="00E54EC0">
      <w:pPr>
        <w:divId w:val="1699430110"/>
        <w:rPr>
          <w:rFonts w:eastAsia="Times New Roman"/>
        </w:rPr>
      </w:pPr>
    </w:p>
    <w:p w:rsidR="00000000" w:rsidRDefault="00E54EC0">
      <w:pPr>
        <w:jc w:val="both"/>
        <w:divId w:val="839779839"/>
        <w:rPr>
          <w:rFonts w:eastAsia="Times New Roman"/>
        </w:rPr>
      </w:pPr>
      <w:r>
        <w:rPr>
          <w:rFonts w:eastAsia="Times New Roman"/>
          <w:b/>
          <w:bCs/>
          <w:i/>
          <w:iCs/>
          <w:color w:val="000000"/>
          <w:sz w:val="20"/>
          <w:szCs w:val="20"/>
        </w:rPr>
        <w:t>Federal Tax Legislation, Regulation and Administration</w:t>
      </w:r>
    </w:p>
    <w:p w:rsidR="00000000" w:rsidRDefault="00E54EC0">
      <w:pPr>
        <w:ind w:firstLine="360"/>
        <w:divId w:val="514808750"/>
        <w:rPr>
          <w:rFonts w:eastAsia="Times New Roman"/>
        </w:rPr>
      </w:pPr>
      <w:r>
        <w:rPr>
          <w:rFonts w:eastAsia="Times New Roman"/>
          <w:color w:val="000000"/>
          <w:sz w:val="20"/>
          <w:szCs w:val="20"/>
        </w:rPr>
        <w:t>Although we cannot predict what legislative, regulatory, or administrative changes may or may not occur with respect to the federal tax law, we nevertheless endeavor to consider the possi</w:t>
      </w:r>
      <w:r>
        <w:rPr>
          <w:rFonts w:eastAsia="Times New Roman"/>
          <w:color w:val="000000"/>
          <w:sz w:val="20"/>
          <w:szCs w:val="20"/>
        </w:rPr>
        <w:t>ble ramifications of such changes on the profitability of our business and the attractiveness of our products to consumers. In this regard, we analyze multiple streams of information, including those described below.</w:t>
      </w:r>
    </w:p>
    <w:p w:rsidR="00000000" w:rsidRDefault="00E54EC0">
      <w:pPr>
        <w:divId w:val="1362975458"/>
        <w:rPr>
          <w:rFonts w:eastAsia="Times New Roman"/>
        </w:rPr>
      </w:pPr>
      <w:r>
        <w:rPr>
          <w:rFonts w:eastAsia="Times New Roman"/>
          <w:i/>
          <w:iCs/>
          <w:color w:val="000000"/>
          <w:sz w:val="20"/>
          <w:szCs w:val="20"/>
          <w:u w:val="single"/>
        </w:rPr>
        <w:t>Transition from LIBOR</w:t>
      </w:r>
    </w:p>
    <w:p w:rsidR="00000000" w:rsidRDefault="00E54EC0">
      <w:pPr>
        <w:ind w:firstLine="360"/>
        <w:divId w:val="577903424"/>
        <w:rPr>
          <w:rFonts w:eastAsia="Times New Roman"/>
        </w:rPr>
      </w:pPr>
      <w:r>
        <w:rPr>
          <w:rFonts w:eastAsia="Times New Roman"/>
          <w:color w:val="000000"/>
          <w:sz w:val="20"/>
          <w:szCs w:val="20"/>
        </w:rPr>
        <w:t>Global regulators</w:t>
      </w:r>
      <w:r>
        <w:rPr>
          <w:rFonts w:eastAsia="Times New Roman"/>
          <w:color w:val="000000"/>
          <w:sz w:val="20"/>
          <w:szCs w:val="20"/>
        </w:rPr>
        <w:t xml:space="preserve"> have announced that publication of LIBOR will cease after June 2023. The cessation dates of many of these USD and non-USD LIBOR settings have occurred and publication of the remaining USD LIBOR settings (overnight and one, three, six and 12 month USD LIBO</w:t>
      </w:r>
      <w:r>
        <w:rPr>
          <w:rFonts w:eastAsia="Times New Roman"/>
          <w:color w:val="000000"/>
          <w:sz w:val="20"/>
          <w:szCs w:val="20"/>
        </w:rPr>
        <w:t xml:space="preserve">R) will cease after June 2023. The Financial Conduct Authority (“FCA”) has proposed that the Intercontinental Exchange (“ICE”) Benchmark Administration, the administrator of LIBOR, continue publication of one-, three- and six-month USD LIBOR settings on a </w:t>
      </w:r>
      <w:r>
        <w:rPr>
          <w:rFonts w:eastAsia="Times New Roman"/>
          <w:color w:val="000000"/>
          <w:sz w:val="20"/>
          <w:szCs w:val="20"/>
        </w:rPr>
        <w:t>“synthetic,” or non-representative, basis through the end of September 2024.</w:t>
      </w:r>
    </w:p>
    <w:p w:rsidR="00000000" w:rsidRDefault="00E54EC0">
      <w:pPr>
        <w:ind w:firstLine="360"/>
        <w:divId w:val="2073504237"/>
        <w:rPr>
          <w:rFonts w:eastAsia="Times New Roman"/>
        </w:rPr>
      </w:pPr>
      <w:r>
        <w:rPr>
          <w:rFonts w:eastAsia="Times New Roman"/>
          <w:color w:val="000000"/>
          <w:sz w:val="20"/>
          <w:szCs w:val="20"/>
        </w:rPr>
        <w:t>In March 2022, federal legislation was enacted to address, for USD LIBOR settings scheduled to cease being published at the end of June 2023, the transition to alternative referen</w:t>
      </w:r>
      <w:r>
        <w:rPr>
          <w:rFonts w:eastAsia="Times New Roman"/>
          <w:color w:val="000000"/>
          <w:sz w:val="20"/>
          <w:szCs w:val="20"/>
        </w:rPr>
        <w:t>ce rates for all U.S. law governed contracts with non-existent or inadequate USD LIBOR fallback provisions. Except with respect to the one-week and two-month USD LIBOR tenors, the federal legislation supersedes all state law addressing the USD LIBOR transi</w:t>
      </w:r>
      <w:r>
        <w:rPr>
          <w:rFonts w:eastAsia="Times New Roman"/>
          <w:color w:val="000000"/>
          <w:sz w:val="20"/>
          <w:szCs w:val="20"/>
        </w:rPr>
        <w:t>tion, including legislation enacted in New York in 2021. The Board of Governors of the Federal Reserve System (the “Federal Reserve Board”) adopted regulations in December 2022 that implements this legislation by identifying benchmark rates based on the Se</w:t>
      </w:r>
      <w:r>
        <w:rPr>
          <w:rFonts w:eastAsia="Times New Roman"/>
          <w:color w:val="000000"/>
          <w:sz w:val="20"/>
          <w:szCs w:val="20"/>
        </w:rPr>
        <w:t>cured Overnight Financing Rate (“SOFR”) that will replace LIBOR in specified financial contracts after June 30, 2023. The regulation authorizes specified “determining persons” to select a benchmark replacement and substitutes a Federal Reserve Board-specif</w:t>
      </w:r>
      <w:r>
        <w:rPr>
          <w:rFonts w:eastAsia="Times New Roman"/>
          <w:color w:val="000000"/>
          <w:sz w:val="20"/>
          <w:szCs w:val="20"/>
        </w:rPr>
        <w:t>ied replacement where a determining person does not select a workable benchmark replacement by at least June 30, 2023. Each Federal Reserve Board-specified replacement specified in the regulation incorporates spread adjustments.</w:t>
      </w:r>
    </w:p>
    <w:p w:rsidR="00000000" w:rsidRDefault="00E54EC0">
      <w:pPr>
        <w:ind w:firstLine="360"/>
        <w:divId w:val="2012834738"/>
        <w:rPr>
          <w:rFonts w:eastAsia="Times New Roman"/>
        </w:rPr>
      </w:pPr>
      <w:r>
        <w:rPr>
          <w:rFonts w:eastAsia="Times New Roman"/>
          <w:color w:val="000000"/>
          <w:sz w:val="20"/>
          <w:szCs w:val="20"/>
        </w:rPr>
        <w:t>We have exposure to USD LIB</w:t>
      </w:r>
      <w:r>
        <w:rPr>
          <w:rFonts w:eastAsia="Times New Roman"/>
          <w:color w:val="000000"/>
          <w:sz w:val="20"/>
          <w:szCs w:val="20"/>
        </w:rPr>
        <w:t>OR through loans, derivatives, investments and financing operations and there are references to LIBOR in certain product prospectuses. We have evaluated our existing credit agreements, portfolio holdings, derivatives and other investments and identified al</w:t>
      </w:r>
      <w:r>
        <w:rPr>
          <w:rFonts w:eastAsia="Times New Roman"/>
          <w:color w:val="000000"/>
          <w:sz w:val="20"/>
          <w:szCs w:val="20"/>
        </w:rPr>
        <w:t>l contracts for which there is not a robust fallback rate specified and have either identified replacement rates, including SOFR, as an adequate fallback for these instruments, have disposed of the instrument or negotiated fallback terms.</w:t>
      </w:r>
      <w:r>
        <w:rPr>
          <w:rFonts w:eastAsia="Times New Roman"/>
          <w:color w:val="000000"/>
        </w:rPr>
        <w:t xml:space="preserve"> </w:t>
      </w:r>
    </w:p>
    <w:p w:rsidR="00000000" w:rsidRDefault="00E54EC0">
      <w:pPr>
        <w:divId w:val="924606974"/>
        <w:rPr>
          <w:rFonts w:eastAsia="Times New Roman"/>
        </w:rPr>
      </w:pPr>
      <w:r>
        <w:rPr>
          <w:rFonts w:eastAsia="Times New Roman"/>
          <w:i/>
          <w:iCs/>
          <w:color w:val="000000"/>
          <w:sz w:val="20"/>
          <w:szCs w:val="20"/>
          <w:u w:val="single"/>
        </w:rPr>
        <w:t>Enacted Legislat</w:t>
      </w:r>
      <w:r>
        <w:rPr>
          <w:rFonts w:eastAsia="Times New Roman"/>
          <w:i/>
          <w:iCs/>
          <w:color w:val="000000"/>
          <w:sz w:val="20"/>
          <w:szCs w:val="20"/>
          <w:u w:val="single"/>
        </w:rPr>
        <w:t>ion</w:t>
      </w:r>
    </w:p>
    <w:p w:rsidR="00000000" w:rsidRDefault="00E54EC0">
      <w:pPr>
        <w:ind w:firstLine="360"/>
        <w:divId w:val="1718969252"/>
        <w:rPr>
          <w:rFonts w:eastAsia="Times New Roman"/>
        </w:rPr>
      </w:pPr>
      <w:r>
        <w:rPr>
          <w:rFonts w:eastAsia="Times New Roman"/>
          <w:color w:val="000000"/>
          <w:sz w:val="20"/>
          <w:szCs w:val="20"/>
        </w:rPr>
        <w:t>At present, the federal tax laws generally permit certain holders of life insurance and annuity products to defer taxation on the build-up of value within such products (commonly referred to as “inside build-up”) until payments are made to the policyho</w:t>
      </w:r>
      <w:r>
        <w:rPr>
          <w:rFonts w:eastAsia="Times New Roman"/>
          <w:color w:val="000000"/>
          <w:sz w:val="20"/>
          <w:szCs w:val="20"/>
        </w:rPr>
        <w:t xml:space="preserve">lders or other beneficiaries. From time to time, Congress considers legislation that could enhance or reduce (or eliminate) the benefit of tax deferral on some life insurance and annuity products. The modification or elimination of this tax-favored status </w:t>
      </w:r>
      <w:r>
        <w:rPr>
          <w:rFonts w:eastAsia="Times New Roman"/>
          <w:color w:val="000000"/>
          <w:sz w:val="20"/>
          <w:szCs w:val="20"/>
        </w:rPr>
        <w:t>could also reduce demand for our products. In addition, if the treatment of earnings accrued inside an annuity contract was changed prospectively, and the tax-favored status of existing contracts was grandfathered, holders of existing contracts would be le</w:t>
      </w:r>
      <w:r>
        <w:rPr>
          <w:rFonts w:eastAsia="Times New Roman"/>
          <w:color w:val="000000"/>
          <w:sz w:val="20"/>
          <w:szCs w:val="20"/>
        </w:rPr>
        <w:t>ss likely to surrender or rollover their contracts. These changes could reduce our earnings and negatively impact our business.</w:t>
      </w:r>
    </w:p>
    <w:p w:rsidR="00000000" w:rsidRDefault="00E54EC0">
      <w:pPr>
        <w:ind w:firstLine="360"/>
        <w:divId w:val="637878569"/>
        <w:rPr>
          <w:rFonts w:eastAsia="Times New Roman"/>
        </w:rPr>
      </w:pPr>
      <w:r>
        <w:rPr>
          <w:rFonts w:eastAsia="Times New Roman"/>
          <w:color w:val="000000"/>
          <w:sz w:val="20"/>
          <w:szCs w:val="20"/>
        </w:rPr>
        <w:t>On August 16, 2022, President Biden signed the Inflation Reduction Act into law which introduces a 15% minimum tax based on fina</w:t>
      </w:r>
      <w:r>
        <w:rPr>
          <w:rFonts w:eastAsia="Times New Roman"/>
          <w:color w:val="000000"/>
          <w:sz w:val="20"/>
          <w:szCs w:val="20"/>
        </w:rPr>
        <w:t>ncial statement income as well as a 1% excise tax on share buybacks, effective for tax years beginning in 2023. While neither the minimum tax nor the excise tax on share buybacks are currently expected to have a significant impact on the Company, we contin</w:t>
      </w:r>
      <w:r>
        <w:rPr>
          <w:rFonts w:eastAsia="Times New Roman"/>
          <w:color w:val="000000"/>
          <w:sz w:val="20"/>
          <w:szCs w:val="20"/>
        </w:rPr>
        <w:t>ue to monitor developments and regulations associated with the Inflation Reduction Act for any potential future impacts on our business, results of operations and financial condition.</w:t>
      </w:r>
    </w:p>
    <w:p w:rsidR="00000000" w:rsidRDefault="00E54EC0">
      <w:pPr>
        <w:ind w:firstLine="360"/>
        <w:divId w:val="1749383415"/>
        <w:rPr>
          <w:rFonts w:eastAsia="Times New Roman"/>
        </w:rPr>
      </w:pPr>
      <w:r>
        <w:rPr>
          <w:rFonts w:eastAsia="Times New Roman"/>
          <w:color w:val="000000"/>
          <w:sz w:val="20"/>
          <w:szCs w:val="20"/>
        </w:rPr>
        <w:t>The SECURE 2.0 Act of 2022 (“SECURE 2.0”), signed into law on December 2</w:t>
      </w:r>
      <w:r>
        <w:rPr>
          <w:rFonts w:eastAsia="Times New Roman"/>
          <w:color w:val="000000"/>
          <w:sz w:val="20"/>
          <w:szCs w:val="20"/>
        </w:rPr>
        <w:t>9, 2022, makes significant changes to existing law for retirement plans by building upon provisions in the Setting Every Community Up for Retirement Enhancement Act of 2019. SECURE 2.0 introduces new requirements and considerations for plan sponsors that a</w:t>
      </w:r>
      <w:r>
        <w:rPr>
          <w:rFonts w:eastAsia="Times New Roman"/>
          <w:color w:val="000000"/>
          <w:sz w:val="20"/>
          <w:szCs w:val="20"/>
        </w:rPr>
        <w:t>re intended to expand coverage, increase savings, preserve income, and simplify plan rules and administrative procedures. Among other provisions, SECURE 2.0 directs the DOL to review its current interpretive bulletin regarding ERISA plan sponsors’ selectio</w:t>
      </w:r>
      <w:r>
        <w:rPr>
          <w:rFonts w:eastAsia="Times New Roman"/>
          <w:color w:val="000000"/>
          <w:sz w:val="20"/>
          <w:szCs w:val="20"/>
        </w:rPr>
        <w:t>n of annuity providers for purposes of transferring plan sponsor benefit plan liability to such annuity providers. Such review could result in the DOL’s imposition of new or different requirements on plan sponsors or on annuity providers or could make such</w:t>
      </w:r>
      <w:r>
        <w:rPr>
          <w:rFonts w:eastAsia="Times New Roman"/>
          <w:color w:val="000000"/>
          <w:sz w:val="20"/>
          <w:szCs w:val="20"/>
        </w:rPr>
        <w:t xml:space="preserve"> selection process more difficult for the parties involved.</w:t>
      </w:r>
    </w:p>
    <w:p w:rsidR="00000000" w:rsidRDefault="00E54EC0">
      <w:pPr>
        <w:jc w:val="center"/>
        <w:divId w:val="1079864600"/>
        <w:rPr>
          <w:rFonts w:eastAsia="Times New Roman"/>
        </w:rPr>
      </w:pPr>
      <w:r>
        <w:rPr>
          <w:rFonts w:eastAsia="Times New Roman"/>
          <w:color w:val="000000"/>
          <w:sz w:val="20"/>
          <w:szCs w:val="20"/>
        </w:rPr>
        <w:t>47</w:t>
      </w:r>
    </w:p>
    <w:p w:rsidR="00000000" w:rsidRDefault="00E54EC0">
      <w:pPr>
        <w:rPr>
          <w:rFonts w:eastAsia="Times New Roman"/>
        </w:rPr>
      </w:pPr>
      <w:r>
        <w:rPr>
          <w:rFonts w:eastAsia="Times New Roman"/>
        </w:rPr>
        <w:pict>
          <v:rect id="_x0000_i1084" style="width:0;height:1.5pt" o:hralign="center" o:hrstd="t" o:hr="t" fillcolor="#a0a0a0" stroked="f"/>
        </w:pict>
      </w:r>
    </w:p>
    <w:p w:rsidR="00000000" w:rsidRDefault="00E54EC0">
      <w:pPr>
        <w:divId w:val="1691494271"/>
        <w:rPr>
          <w:rFonts w:eastAsia="Times New Roman"/>
        </w:rPr>
      </w:pPr>
    </w:p>
    <w:p w:rsidR="00000000" w:rsidRDefault="00E54EC0">
      <w:pPr>
        <w:divId w:val="2073383463"/>
        <w:rPr>
          <w:rFonts w:eastAsia="Times New Roman"/>
        </w:rPr>
      </w:pPr>
      <w:r>
        <w:rPr>
          <w:rFonts w:eastAsia="Times New Roman"/>
          <w:i/>
          <w:iCs/>
          <w:color w:val="000000"/>
          <w:sz w:val="20"/>
          <w:szCs w:val="20"/>
          <w:u w:val="single"/>
        </w:rPr>
        <w:t>Regulatory and Other Administrative Guidance from the Treasury Department and the IRS</w:t>
      </w:r>
      <w:r>
        <w:rPr>
          <w:rFonts w:eastAsia="Times New Roman"/>
          <w:color w:val="000000"/>
          <w:sz w:val="20"/>
          <w:szCs w:val="20"/>
        </w:rPr>
        <w:t xml:space="preserve"> </w:t>
      </w:r>
    </w:p>
    <w:p w:rsidR="00000000" w:rsidRDefault="00E54EC0">
      <w:pPr>
        <w:ind w:firstLine="360"/>
        <w:divId w:val="858465496"/>
        <w:rPr>
          <w:rFonts w:eastAsia="Times New Roman"/>
        </w:rPr>
      </w:pPr>
      <w:r>
        <w:rPr>
          <w:rFonts w:eastAsia="Times New Roman"/>
          <w:color w:val="000000"/>
          <w:sz w:val="20"/>
          <w:szCs w:val="20"/>
        </w:rPr>
        <w:t>Regulatory and other administrative guidance from the Treasury Depa</w:t>
      </w:r>
      <w:r>
        <w:rPr>
          <w:rFonts w:eastAsia="Times New Roman"/>
          <w:color w:val="000000"/>
          <w:sz w:val="20"/>
          <w:szCs w:val="20"/>
        </w:rPr>
        <w:t>rtment and the IRS also could impact the amount of federal tax that we pay. For example, the adoption of “principles based” approaches for calculating statutory reserves may lead the Treasury Department and the IRS to issue guidance that changes the way th</w:t>
      </w:r>
      <w:r>
        <w:rPr>
          <w:rFonts w:eastAsia="Times New Roman"/>
          <w:color w:val="000000"/>
          <w:sz w:val="20"/>
          <w:szCs w:val="20"/>
        </w:rPr>
        <w:t>at deductible insurance reserves are determined, potentially reducing future tax deductions for us.</w:t>
      </w:r>
    </w:p>
    <w:p w:rsidR="00000000" w:rsidRDefault="00E54EC0">
      <w:pPr>
        <w:jc w:val="both"/>
        <w:divId w:val="275872741"/>
        <w:rPr>
          <w:rFonts w:eastAsia="Times New Roman"/>
        </w:rPr>
      </w:pPr>
      <w:r>
        <w:rPr>
          <w:rFonts w:eastAsia="Times New Roman"/>
          <w:b/>
          <w:bCs/>
          <w:i/>
          <w:iCs/>
          <w:color w:val="000000"/>
          <w:sz w:val="20"/>
          <w:szCs w:val="20"/>
        </w:rPr>
        <w:t>Privacy and Security of Customer Information and Cybersecurity Regulation</w:t>
      </w:r>
    </w:p>
    <w:p w:rsidR="00000000" w:rsidRDefault="00E54EC0">
      <w:pPr>
        <w:ind w:firstLine="360"/>
        <w:divId w:val="487939975"/>
        <w:rPr>
          <w:rFonts w:eastAsia="Times New Roman"/>
        </w:rPr>
      </w:pPr>
      <w:r>
        <w:rPr>
          <w:rFonts w:eastAsia="Times New Roman"/>
          <w:color w:val="000000"/>
          <w:sz w:val="20"/>
          <w:szCs w:val="20"/>
        </w:rPr>
        <w:t>We are subject to federal and state laws and regulations that require financial in</w:t>
      </w:r>
      <w:r>
        <w:rPr>
          <w:rFonts w:eastAsia="Times New Roman"/>
          <w:color w:val="000000"/>
          <w:sz w:val="20"/>
          <w:szCs w:val="20"/>
        </w:rPr>
        <w:t>stitutions to protect the security, integrity, confidentiality, and availability of customer information, and to notify customers about their policies and practices relating to their collection and disclosure of customer information and their practices rel</w:t>
      </w:r>
      <w:r>
        <w:rPr>
          <w:rFonts w:eastAsia="Times New Roman"/>
          <w:color w:val="000000"/>
          <w:sz w:val="20"/>
          <w:szCs w:val="20"/>
        </w:rPr>
        <w:t>ated to protecting the security of that information. We maintain, and we require our third-party service providers to maintain, security controls designed to ensure the integrity, confidentiality, and availability of our systems and the confidential and se</w:t>
      </w:r>
      <w:r>
        <w:rPr>
          <w:rFonts w:eastAsia="Times New Roman"/>
          <w:color w:val="000000"/>
          <w:sz w:val="20"/>
          <w:szCs w:val="20"/>
        </w:rPr>
        <w:t>nsitive information we maintain and process. We have adopted a privacy policy outlining the Company’s procedures and practices relating to the collection, maintenance, disclosure, disposal, and protection of customer information, including personal informa</w:t>
      </w:r>
      <w:r>
        <w:rPr>
          <w:rFonts w:eastAsia="Times New Roman"/>
          <w:color w:val="000000"/>
          <w:sz w:val="20"/>
          <w:szCs w:val="20"/>
        </w:rPr>
        <w:t>tion. As required by law, subject to certain exceptions, a copy of the privacy policy is mailed to customers on an annual basis. Federal and state laws generally require that we provide notice to affected individuals, law enforcement, regulators and/or pot</w:t>
      </w:r>
      <w:r>
        <w:rPr>
          <w:rFonts w:eastAsia="Times New Roman"/>
          <w:color w:val="000000"/>
          <w:sz w:val="20"/>
          <w:szCs w:val="20"/>
        </w:rPr>
        <w:t>entially others if there is a situation in which customer information is disclosed to and/or accessed or acquired by unauthorized third parties. Federal regulations require financial institutions to implement programs to protect against unauthorized access</w:t>
      </w:r>
      <w:r>
        <w:rPr>
          <w:rFonts w:eastAsia="Times New Roman"/>
          <w:color w:val="000000"/>
          <w:sz w:val="20"/>
          <w:szCs w:val="20"/>
        </w:rPr>
        <w:t xml:space="preserve"> to this customer information, and to detect, prevent and mitigate identity theft. Federal and state laws and regulations regulate the ability of financial institutions to make telemarketing calls and to send unsolicited e-mail or fax messages to both cons</w:t>
      </w:r>
      <w:r>
        <w:rPr>
          <w:rFonts w:eastAsia="Times New Roman"/>
          <w:color w:val="000000"/>
          <w:sz w:val="20"/>
          <w:szCs w:val="20"/>
        </w:rPr>
        <w:t xml:space="preserve">umers and customers, and also regulate the permissible uses of certain categories of customer information. </w:t>
      </w:r>
    </w:p>
    <w:p w:rsidR="00000000" w:rsidRDefault="00E54EC0">
      <w:pPr>
        <w:ind w:firstLine="360"/>
        <w:divId w:val="1775518499"/>
        <w:rPr>
          <w:rFonts w:eastAsia="Times New Roman"/>
        </w:rPr>
      </w:pPr>
      <w:r>
        <w:rPr>
          <w:rFonts w:eastAsia="Times New Roman"/>
          <w:color w:val="000000"/>
          <w:sz w:val="20"/>
          <w:szCs w:val="20"/>
        </w:rPr>
        <w:t>The violation of data privacy and data protection laws and regulations or the failure to implement and maintain reasonable and effective cybersecuri</w:t>
      </w:r>
      <w:r>
        <w:rPr>
          <w:rFonts w:eastAsia="Times New Roman"/>
          <w:color w:val="000000"/>
          <w:sz w:val="20"/>
          <w:szCs w:val="20"/>
        </w:rPr>
        <w:t>ty programs may result in significant fines, remediation costs and regulatory enforcement actions. Moreover, a cybersecurity incident that disrupts critical operations and customer services could expose the Company to litigation, losses, and reputational d</w:t>
      </w:r>
      <w:r>
        <w:rPr>
          <w:rFonts w:eastAsia="Times New Roman"/>
          <w:color w:val="000000"/>
          <w:sz w:val="20"/>
          <w:szCs w:val="20"/>
        </w:rPr>
        <w:t>amage. As cyber threats continue to evolve, regulators continue to develop new requirements to account for risk exposure, including specific cybersecurity safeguards and program oversight. As such, it may be expected that legislation considered by either t</w:t>
      </w:r>
      <w:r>
        <w:rPr>
          <w:rFonts w:eastAsia="Times New Roman"/>
          <w:color w:val="000000"/>
          <w:sz w:val="20"/>
          <w:szCs w:val="20"/>
        </w:rPr>
        <w:t xml:space="preserve">he U.S. Congress and/or state legislatures could create additional and/or more burdensome obligations relating to the use and protection of customer information. </w:t>
      </w:r>
    </w:p>
    <w:p w:rsidR="00000000" w:rsidRDefault="00E54EC0">
      <w:pPr>
        <w:ind w:firstLine="360"/>
        <w:divId w:val="516576279"/>
        <w:rPr>
          <w:rFonts w:eastAsia="Times New Roman"/>
        </w:rPr>
      </w:pPr>
      <w:r>
        <w:rPr>
          <w:rFonts w:eastAsia="Times New Roman"/>
          <w:color w:val="000000"/>
          <w:sz w:val="20"/>
          <w:szCs w:val="20"/>
        </w:rPr>
        <w:t>We are subject to the rules and regulations of the NYDFS which in 2017 adopted the Cybersecur</w:t>
      </w:r>
      <w:r>
        <w:rPr>
          <w:rFonts w:eastAsia="Times New Roman"/>
          <w:color w:val="000000"/>
          <w:sz w:val="20"/>
          <w:szCs w:val="20"/>
        </w:rPr>
        <w:t>ity Requirements for Financial Services Companies (the “NY Cybersecurity Regulation”), a regulation applicable to banking and insurance entities under its jurisdiction. The NY Cybersecurity regulation requires covered entities to, among other things, asses</w:t>
      </w:r>
      <w:r>
        <w:rPr>
          <w:rFonts w:eastAsia="Times New Roman"/>
          <w:color w:val="000000"/>
          <w:sz w:val="20"/>
          <w:szCs w:val="20"/>
        </w:rPr>
        <w:t>s risks associated with their information systems and establish and maintain a cybersecurity program reasonably designed to protect such systems and consumers’ private data. We have adopted a cybersecurity policy outlining our policies and procedures for t</w:t>
      </w:r>
      <w:r>
        <w:rPr>
          <w:rFonts w:eastAsia="Times New Roman"/>
          <w:color w:val="000000"/>
          <w:sz w:val="20"/>
          <w:szCs w:val="20"/>
        </w:rPr>
        <w:t>he protection of our information systems and information stored on those systems that comports with the regulation. In July and November 2022, the NYDFS formally proposed amendments to the NY Cybersecurity Regulation, which, if adopted, would require new t</w:t>
      </w:r>
      <w:r>
        <w:rPr>
          <w:rFonts w:eastAsia="Times New Roman"/>
          <w:color w:val="000000"/>
          <w:sz w:val="20"/>
          <w:szCs w:val="20"/>
        </w:rPr>
        <w:t>echnical reporting, governance and oversight measures be implemented, enhance certain cybersecurity safeguards (e.g., annual audits, vulnerability assessments, and password controls and monitoring), and mandate notifications in the event that a covered ent</w:t>
      </w:r>
      <w:r>
        <w:rPr>
          <w:rFonts w:eastAsia="Times New Roman"/>
          <w:color w:val="000000"/>
          <w:sz w:val="20"/>
          <w:szCs w:val="20"/>
        </w:rPr>
        <w:t>ity makes a cyber-ransom payment. The comment period on these proposed amendments ended in January 2023. We cannot predict whether the amendments will be adopted, what form they will take, or what effect they would have on our business or compliance effort</w:t>
      </w:r>
      <w:r>
        <w:rPr>
          <w:rFonts w:eastAsia="Times New Roman"/>
          <w:color w:val="000000"/>
          <w:sz w:val="20"/>
          <w:szCs w:val="20"/>
        </w:rPr>
        <w:t>s.</w:t>
      </w:r>
    </w:p>
    <w:p w:rsidR="00000000" w:rsidRDefault="00E54EC0">
      <w:pPr>
        <w:ind w:firstLine="360"/>
        <w:divId w:val="712777318"/>
        <w:rPr>
          <w:rFonts w:eastAsia="Times New Roman"/>
        </w:rPr>
      </w:pPr>
      <w:r>
        <w:rPr>
          <w:rFonts w:eastAsia="Times New Roman"/>
          <w:color w:val="000000"/>
          <w:sz w:val="20"/>
          <w:szCs w:val="20"/>
        </w:rPr>
        <w:t>In addition to the NY Cybersecurity Regulation, the NAIC adopted the Insurance Data Security Model Law for entities licensed under the relevant state’s insurance laws. The model law requires such entities to establish standards for data security and for th</w:t>
      </w:r>
      <w:r>
        <w:rPr>
          <w:rFonts w:eastAsia="Times New Roman"/>
          <w:color w:val="000000"/>
          <w:sz w:val="20"/>
          <w:szCs w:val="20"/>
        </w:rPr>
        <w:t>e investigation and notification of insurance commissioners of cybersecurity events involving unauthorized access to, or the misuse of, certain nonpublic information. Several states have adopted the model law, although it has not been adopted by any of our</w:t>
      </w:r>
      <w:r>
        <w:rPr>
          <w:rFonts w:eastAsia="Times New Roman"/>
          <w:color w:val="000000"/>
          <w:sz w:val="20"/>
          <w:szCs w:val="20"/>
        </w:rPr>
        <w:t xml:space="preserve"> significant insurance subsidiaries’ domiciliary states. We expect additional states to adopt the model law, even though it is not an NAIC accreditation standard, but we cannot predict whether or not, or in what form or when, they will do so. </w:t>
      </w:r>
    </w:p>
    <w:p w:rsidR="00000000" w:rsidRDefault="00E54EC0">
      <w:pPr>
        <w:ind w:firstLine="360"/>
        <w:divId w:val="1310674113"/>
        <w:rPr>
          <w:rFonts w:eastAsia="Times New Roman"/>
        </w:rPr>
      </w:pPr>
      <w:r>
        <w:rPr>
          <w:rFonts w:eastAsia="Times New Roman"/>
          <w:color w:val="000000"/>
          <w:sz w:val="20"/>
          <w:szCs w:val="20"/>
        </w:rPr>
        <w:t>Under the Ca</w:t>
      </w:r>
      <w:r>
        <w:rPr>
          <w:rFonts w:eastAsia="Times New Roman"/>
          <w:color w:val="000000"/>
          <w:sz w:val="20"/>
          <w:szCs w:val="20"/>
        </w:rPr>
        <w:t>lifornia Consumer Privacy Act (“CCPA”), California residents enjoy the right to know what information a business has collected from them, the sourcing and sharing of that information, and the right to delete and limit certain uses of that information. CCPA</w:t>
      </w:r>
      <w:r>
        <w:rPr>
          <w:rFonts w:eastAsia="Times New Roman"/>
          <w:color w:val="000000"/>
          <w:sz w:val="20"/>
          <w:szCs w:val="20"/>
        </w:rPr>
        <w:t xml:space="preserve"> also establishes a private right of action with potentially significant statutory damages, whereby businesses that fail to implement reasonable security measures to protect against breaches of personal information could be liable to affected consumers. Ce</w:t>
      </w:r>
      <w:r>
        <w:rPr>
          <w:rFonts w:eastAsia="Times New Roman"/>
          <w:color w:val="000000"/>
          <w:sz w:val="20"/>
          <w:szCs w:val="20"/>
        </w:rPr>
        <w:t>rtain data processing which is otherwise regulated, including under the Gramm-Leach-Bliley Act, is excluded from the CCPA; however, this is not an entity-wide exclusion. We expect a significant portion of our business will be excepted from the requirements</w:t>
      </w:r>
      <w:r>
        <w:rPr>
          <w:rFonts w:eastAsia="Times New Roman"/>
          <w:color w:val="000000"/>
          <w:sz w:val="20"/>
          <w:szCs w:val="20"/>
        </w:rPr>
        <w:t xml:space="preserve"> of the CCPA. The California Privacy Rights Act (“CPRA”), which came into effect on </w:t>
      </w:r>
    </w:p>
    <w:p w:rsidR="00000000" w:rsidRDefault="00E54EC0">
      <w:pPr>
        <w:jc w:val="center"/>
        <w:divId w:val="567615304"/>
        <w:rPr>
          <w:rFonts w:eastAsia="Times New Roman"/>
        </w:rPr>
      </w:pPr>
      <w:r>
        <w:rPr>
          <w:rFonts w:eastAsia="Times New Roman"/>
          <w:color w:val="000000"/>
          <w:sz w:val="20"/>
          <w:szCs w:val="20"/>
        </w:rPr>
        <w:t>48</w:t>
      </w:r>
    </w:p>
    <w:p w:rsidR="00000000" w:rsidRDefault="00E54EC0">
      <w:pPr>
        <w:rPr>
          <w:rFonts w:eastAsia="Times New Roman"/>
        </w:rPr>
      </w:pPr>
      <w:r>
        <w:rPr>
          <w:rFonts w:eastAsia="Times New Roman"/>
        </w:rPr>
        <w:pict>
          <v:rect id="_x0000_i1085" style="width:0;height:1.5pt" o:hralign="center" o:hrstd="t" o:hr="t" fillcolor="#a0a0a0" stroked="f"/>
        </w:pict>
      </w:r>
    </w:p>
    <w:p w:rsidR="00000000" w:rsidRDefault="00E54EC0">
      <w:pPr>
        <w:divId w:val="1866600238"/>
        <w:rPr>
          <w:rFonts w:eastAsia="Times New Roman"/>
        </w:rPr>
      </w:pPr>
    </w:p>
    <w:p w:rsidR="00000000" w:rsidRDefault="00E54EC0">
      <w:pPr>
        <w:divId w:val="674234507"/>
        <w:rPr>
          <w:rFonts w:eastAsia="Times New Roman"/>
        </w:rPr>
      </w:pPr>
      <w:r>
        <w:rPr>
          <w:rFonts w:eastAsia="Times New Roman"/>
          <w:color w:val="000000"/>
          <w:sz w:val="20"/>
          <w:szCs w:val="20"/>
        </w:rPr>
        <w:t xml:space="preserve">January 1, 2023, amends the CCPA to provide California consumers the right to correct personal information, limit certain uses of </w:t>
      </w:r>
      <w:r>
        <w:rPr>
          <w:rFonts w:eastAsia="Times New Roman"/>
          <w:color w:val="000000"/>
          <w:sz w:val="20"/>
          <w:szCs w:val="20"/>
        </w:rPr>
        <w:t>sensitive data and the sharing of data that does not constitute a sale, and establishes a new agency, the California Privacy Rights Agency, to adopt rules for and enforce the CCPA and CPRA. The CPRA may require additional compliance efforts, such as change</w:t>
      </w:r>
      <w:r>
        <w:rPr>
          <w:rFonts w:eastAsia="Times New Roman"/>
          <w:color w:val="000000"/>
          <w:sz w:val="20"/>
          <w:szCs w:val="20"/>
        </w:rPr>
        <w:t>s to our policies, procedures and operations. Several other states have adopted, or are considering, similar comprehensive privacy laws or regulations in the near future. To date, several of these state laws (such as those enacted in Colorado, Utah, and Vi</w:t>
      </w:r>
      <w:r>
        <w:rPr>
          <w:rFonts w:eastAsia="Times New Roman"/>
          <w:color w:val="000000"/>
          <w:sz w:val="20"/>
          <w:szCs w:val="20"/>
        </w:rPr>
        <w:t>rginia) include entity-wide exemptions for financial institutions that are subject to privacy protections in the Gramm-Leach-Bliley Act or similar, state-level financial privacy laws.</w:t>
      </w:r>
    </w:p>
    <w:p w:rsidR="00000000" w:rsidRDefault="00E54EC0">
      <w:pPr>
        <w:divId w:val="1414163745"/>
        <w:rPr>
          <w:rFonts w:eastAsia="Times New Roman"/>
        </w:rPr>
      </w:pPr>
    </w:p>
    <w:p w:rsidR="00000000" w:rsidRDefault="00E54EC0">
      <w:pPr>
        <w:ind w:firstLine="360"/>
        <w:divId w:val="1040284865"/>
        <w:rPr>
          <w:rFonts w:eastAsia="Times New Roman"/>
        </w:rPr>
      </w:pPr>
      <w:r>
        <w:rPr>
          <w:rFonts w:eastAsia="Times New Roman"/>
          <w:color w:val="000000"/>
          <w:sz w:val="20"/>
          <w:szCs w:val="20"/>
        </w:rPr>
        <w:t>State and federal regulators are increasingly focused on cybersecurity</w:t>
      </w:r>
      <w:r>
        <w:rPr>
          <w:rFonts w:eastAsia="Times New Roman"/>
          <w:color w:val="000000"/>
          <w:sz w:val="20"/>
          <w:szCs w:val="20"/>
        </w:rPr>
        <w:t xml:space="preserve"> and several have established specific and potentially burdensome requirements. For instance, in October 2021, the Federal Trade Commission announced significant amendments to the Standards for Safeguarding Customer Information Rule (the “Safeguards Rule”)</w:t>
      </w:r>
      <w:r>
        <w:rPr>
          <w:rFonts w:eastAsia="Times New Roman"/>
          <w:color w:val="000000"/>
          <w:sz w:val="20"/>
          <w:szCs w:val="20"/>
        </w:rPr>
        <w:t xml:space="preserve"> that require financial institutions to implement specific data security measures within their formal information security measures. The effective date for the updated Safeguards Rule is June 9, 2023. Failure to comply with new regulation or requirements m</w:t>
      </w:r>
      <w:r>
        <w:rPr>
          <w:rFonts w:eastAsia="Times New Roman"/>
          <w:color w:val="000000"/>
          <w:sz w:val="20"/>
          <w:szCs w:val="20"/>
        </w:rPr>
        <w:t>ay result in enforcement action, fines and/or other operational or reputational harms. Further, in March 2022, the SEC released proposed rules enhancing cybersecurity risk and management disclosure requirements for companies. If enacted, the proposed rules</w:t>
      </w:r>
      <w:r>
        <w:rPr>
          <w:rFonts w:eastAsia="Times New Roman"/>
          <w:color w:val="000000"/>
          <w:sz w:val="20"/>
          <w:szCs w:val="20"/>
        </w:rPr>
        <w:t xml:space="preserve"> would, among other things, require disclosure of any material cybersecurity incident on its Form 8-K within four business days of determining that the incident it has experienced is material. They would also require periodic disclosures of, among other th</w:t>
      </w:r>
      <w:r>
        <w:rPr>
          <w:rFonts w:eastAsia="Times New Roman"/>
          <w:color w:val="000000"/>
          <w:sz w:val="20"/>
          <w:szCs w:val="20"/>
        </w:rPr>
        <w:t>ings, (i) details on the company’s cybersecurity policies and procedures, (ii) cybersecurity governance, oversight policies and risk management policies, including the board of directors’ oversight of cybersecurity risks, (iii) the relevant expertise of me</w:t>
      </w:r>
      <w:r>
        <w:rPr>
          <w:rFonts w:eastAsia="Times New Roman"/>
          <w:color w:val="000000"/>
          <w:sz w:val="20"/>
          <w:szCs w:val="20"/>
        </w:rPr>
        <w:t>mbers of the board of directors with respect to cybersecurity issues and (iv) details of any cybersecurity incident that was previously disclosed on Form 8-K, as well as any undisclosed incidents that were non-material, but have become material in the aggr</w:t>
      </w:r>
      <w:r>
        <w:rPr>
          <w:rFonts w:eastAsia="Times New Roman"/>
          <w:color w:val="000000"/>
          <w:sz w:val="20"/>
          <w:szCs w:val="20"/>
        </w:rPr>
        <w:t xml:space="preserve">egate. </w:t>
      </w:r>
    </w:p>
    <w:p w:rsidR="00000000" w:rsidRDefault="00E54EC0">
      <w:pPr>
        <w:jc w:val="both"/>
        <w:divId w:val="551500390"/>
        <w:rPr>
          <w:rFonts w:eastAsia="Times New Roman"/>
        </w:rPr>
      </w:pPr>
      <w:r>
        <w:rPr>
          <w:rFonts w:eastAsia="Times New Roman"/>
          <w:b/>
          <w:bCs/>
          <w:i/>
          <w:iCs/>
          <w:color w:val="000000"/>
          <w:sz w:val="20"/>
          <w:szCs w:val="20"/>
        </w:rPr>
        <w:t>Environmental Considerations</w:t>
      </w:r>
    </w:p>
    <w:p w:rsidR="00000000" w:rsidRDefault="00E54EC0">
      <w:pPr>
        <w:ind w:firstLine="360"/>
        <w:divId w:val="1856571287"/>
        <w:rPr>
          <w:rFonts w:eastAsia="Times New Roman"/>
        </w:rPr>
      </w:pPr>
      <w:r>
        <w:rPr>
          <w:rFonts w:eastAsia="Times New Roman"/>
          <w:color w:val="000000"/>
          <w:sz w:val="20"/>
          <w:szCs w:val="20"/>
        </w:rPr>
        <w:t>Federal, state and local environmental laws and regulations apply to our ownership and operation of real property. Inherent in owning and operating real property are the risk of environmental liabilities and the costs o</w:t>
      </w:r>
      <w:r>
        <w:rPr>
          <w:rFonts w:eastAsia="Times New Roman"/>
          <w:color w:val="000000"/>
          <w:sz w:val="20"/>
          <w:szCs w:val="20"/>
        </w:rPr>
        <w:t>f any required clean-up. Under the laws of certain states, contamination of a property may give rise to a lien on the property to secure recovery of the costs of clean-up, which could adversely affect our mortgage lending business. In some states, this lie</w:t>
      </w:r>
      <w:r>
        <w:rPr>
          <w:rFonts w:eastAsia="Times New Roman"/>
          <w:color w:val="000000"/>
          <w:sz w:val="20"/>
          <w:szCs w:val="20"/>
        </w:rPr>
        <w:t>n may have priority over the lien of an existing mortgage against such property. In addition, in some states and under the federal Comprehensive Environmental Response, Compensation, and Liability Act of 1980, or CERCLA, we may be liable, in certain circum</w:t>
      </w:r>
      <w:r>
        <w:rPr>
          <w:rFonts w:eastAsia="Times New Roman"/>
          <w:color w:val="000000"/>
          <w:sz w:val="20"/>
          <w:szCs w:val="20"/>
        </w:rPr>
        <w:t>stances, as an “owner” or “operator,” for costs of cleaning-up releases or threatened releases of hazardous substances at a property mortgaged to us. We also risk environmental liability when we foreclose on a property mortgaged to us. However, federal leg</w:t>
      </w:r>
      <w:r>
        <w:rPr>
          <w:rFonts w:eastAsia="Times New Roman"/>
          <w:color w:val="000000"/>
          <w:sz w:val="20"/>
          <w:szCs w:val="20"/>
        </w:rPr>
        <w:t>islation provides for a safe harbor from CERCLA liability for secured lenders, provided that certain requirements are met. Application of various other federal and state environmental laws could also result in the imposition of liability on us for costs as</w:t>
      </w:r>
      <w:r>
        <w:rPr>
          <w:rFonts w:eastAsia="Times New Roman"/>
          <w:color w:val="000000"/>
          <w:sz w:val="20"/>
          <w:szCs w:val="20"/>
        </w:rPr>
        <w:t>sociated with environmental hazards.</w:t>
      </w:r>
    </w:p>
    <w:p w:rsidR="00000000" w:rsidRDefault="00E54EC0">
      <w:pPr>
        <w:ind w:firstLine="360"/>
        <w:divId w:val="1127627161"/>
        <w:rPr>
          <w:rFonts w:eastAsia="Times New Roman"/>
        </w:rPr>
      </w:pPr>
      <w:r>
        <w:rPr>
          <w:rFonts w:eastAsia="Times New Roman"/>
          <w:color w:val="000000"/>
          <w:sz w:val="20"/>
          <w:szCs w:val="20"/>
        </w:rPr>
        <w:t xml:space="preserve">We routinely conduct environmental assessments prior to making a mortgage loan or taking title to real estate, whether through acquisition for investment or through foreclosure on real estate collateralizing mortgages. </w:t>
      </w:r>
      <w:r>
        <w:rPr>
          <w:rFonts w:eastAsia="Times New Roman"/>
          <w:color w:val="000000"/>
          <w:sz w:val="20"/>
          <w:szCs w:val="20"/>
        </w:rPr>
        <w:t>We cannot provide assurance that unexpected environmental liabilities will not arise. However, based on information currently available to us, we believe that any costs associated with compliance with environmental laws and regulations or any clean-up of p</w:t>
      </w:r>
      <w:r>
        <w:rPr>
          <w:rFonts w:eastAsia="Times New Roman"/>
          <w:color w:val="000000"/>
          <w:sz w:val="20"/>
          <w:szCs w:val="20"/>
        </w:rPr>
        <w:t>roperties would not have a material adverse effect on our consolidated results of operations.</w:t>
      </w:r>
    </w:p>
    <w:p w:rsidR="00000000" w:rsidRDefault="00E54EC0">
      <w:pPr>
        <w:jc w:val="both"/>
        <w:divId w:val="1032729370"/>
        <w:rPr>
          <w:rFonts w:eastAsia="Times New Roman"/>
        </w:rPr>
      </w:pPr>
      <w:r>
        <w:rPr>
          <w:rFonts w:eastAsia="Times New Roman"/>
          <w:b/>
          <w:bCs/>
          <w:i/>
          <w:iCs/>
          <w:color w:val="000000"/>
          <w:sz w:val="20"/>
          <w:szCs w:val="20"/>
        </w:rPr>
        <w:t>Intellectual Property</w:t>
      </w:r>
    </w:p>
    <w:p w:rsidR="00000000" w:rsidRDefault="00E54EC0">
      <w:pPr>
        <w:ind w:firstLine="360"/>
        <w:divId w:val="33889945"/>
        <w:rPr>
          <w:rFonts w:eastAsia="Times New Roman"/>
        </w:rPr>
      </w:pPr>
      <w:r>
        <w:rPr>
          <w:rFonts w:eastAsia="Times New Roman"/>
          <w:color w:val="000000"/>
          <w:sz w:val="20"/>
          <w:szCs w:val="20"/>
        </w:rPr>
        <w:t>We rely on a combination of copyright, trademark, patent and trade secret laws to establish and protect our intellectual property rights. We</w:t>
      </w:r>
      <w:r>
        <w:rPr>
          <w:rFonts w:eastAsia="Times New Roman"/>
          <w:color w:val="000000"/>
          <w:sz w:val="20"/>
          <w:szCs w:val="20"/>
        </w:rPr>
        <w:t xml:space="preserve"> regard our intellectual property as valuable assets and protect them against infringement.</w:t>
      </w:r>
    </w:p>
    <w:p w:rsidR="00000000" w:rsidRDefault="00E54EC0">
      <w:pPr>
        <w:divId w:val="1386641135"/>
        <w:rPr>
          <w:rFonts w:eastAsia="Times New Roman"/>
        </w:rPr>
      </w:pPr>
      <w:r>
        <w:rPr>
          <w:rFonts w:eastAsia="Times New Roman"/>
          <w:b/>
          <w:bCs/>
          <w:color w:val="000000"/>
          <w:sz w:val="20"/>
          <w:szCs w:val="20"/>
        </w:rPr>
        <w:t xml:space="preserve">Human Capital Management </w:t>
      </w:r>
    </w:p>
    <w:p w:rsidR="00000000" w:rsidRDefault="00E54EC0">
      <w:pPr>
        <w:ind w:firstLine="360"/>
        <w:divId w:val="1562793382"/>
        <w:rPr>
          <w:rFonts w:eastAsia="Times New Roman"/>
        </w:rPr>
      </w:pPr>
      <w:r>
        <w:rPr>
          <w:rFonts w:eastAsia="Times New Roman"/>
          <w:color w:val="000000"/>
          <w:sz w:val="20"/>
          <w:szCs w:val="20"/>
        </w:rPr>
        <w:t>As of December 31, 2022, we had approximately 8,200 full time employees. Of these, approximately 4,400 were employed full-time by AB.</w:t>
      </w:r>
    </w:p>
    <w:p w:rsidR="00000000" w:rsidRDefault="00E54EC0">
      <w:pPr>
        <w:jc w:val="both"/>
        <w:divId w:val="1907762364"/>
        <w:rPr>
          <w:rFonts w:eastAsia="Times New Roman"/>
        </w:rPr>
      </w:pPr>
      <w:r>
        <w:rPr>
          <w:rFonts w:eastAsia="Times New Roman"/>
          <w:b/>
          <w:bCs/>
          <w:i/>
          <w:iCs/>
          <w:color w:val="000000"/>
          <w:sz w:val="20"/>
          <w:szCs w:val="20"/>
        </w:rPr>
        <w:t>Equi</w:t>
      </w:r>
      <w:r>
        <w:rPr>
          <w:rFonts w:eastAsia="Times New Roman"/>
          <w:b/>
          <w:bCs/>
          <w:i/>
          <w:iCs/>
          <w:color w:val="000000"/>
          <w:sz w:val="20"/>
          <w:szCs w:val="20"/>
        </w:rPr>
        <w:t>table</w:t>
      </w:r>
    </w:p>
    <w:p w:rsidR="00000000" w:rsidRDefault="00E54EC0">
      <w:pPr>
        <w:ind w:firstLine="360"/>
        <w:divId w:val="1382248020"/>
        <w:rPr>
          <w:rFonts w:eastAsia="Times New Roman"/>
        </w:rPr>
      </w:pPr>
      <w:r>
        <w:rPr>
          <w:rFonts w:eastAsia="Times New Roman"/>
          <w:color w:val="000000"/>
          <w:sz w:val="20"/>
          <w:szCs w:val="20"/>
        </w:rPr>
        <w:t>To execute our business plan successfully, we need not only a sound business strategy but an equally well-developed people strategy. Central to achieving our goals and strategies as an organization is building a culture of employee engagement and inc</w:t>
      </w:r>
      <w:r>
        <w:rPr>
          <w:rFonts w:eastAsia="Times New Roman"/>
          <w:color w:val="000000"/>
          <w:sz w:val="20"/>
          <w:szCs w:val="20"/>
        </w:rPr>
        <w:t>lusion, professional excellence and continuous learning. We have made significant strides towards delivering on these three fronts.</w:t>
      </w:r>
    </w:p>
    <w:p w:rsidR="00000000" w:rsidRDefault="00E54EC0">
      <w:pPr>
        <w:divId w:val="655766035"/>
        <w:rPr>
          <w:rFonts w:eastAsia="Times New Roman"/>
        </w:rPr>
      </w:pPr>
      <w:r>
        <w:rPr>
          <w:rFonts w:eastAsia="Times New Roman"/>
          <w:i/>
          <w:iCs/>
          <w:color w:val="000000"/>
          <w:sz w:val="20"/>
          <w:szCs w:val="20"/>
          <w:u w:val="single"/>
        </w:rPr>
        <w:t>Culture of Inclusion</w:t>
      </w:r>
    </w:p>
    <w:p w:rsidR="00000000" w:rsidRDefault="00E54EC0">
      <w:pPr>
        <w:jc w:val="center"/>
        <w:divId w:val="161092928"/>
        <w:rPr>
          <w:rFonts w:eastAsia="Times New Roman"/>
        </w:rPr>
      </w:pPr>
      <w:r>
        <w:rPr>
          <w:rFonts w:eastAsia="Times New Roman"/>
          <w:color w:val="000000"/>
          <w:sz w:val="20"/>
          <w:szCs w:val="20"/>
        </w:rPr>
        <w:t>49</w:t>
      </w:r>
    </w:p>
    <w:p w:rsidR="00000000" w:rsidRDefault="00E54EC0">
      <w:pPr>
        <w:rPr>
          <w:rFonts w:eastAsia="Times New Roman"/>
        </w:rPr>
      </w:pPr>
      <w:r>
        <w:rPr>
          <w:rFonts w:eastAsia="Times New Roman"/>
        </w:rPr>
        <w:pict>
          <v:rect id="_x0000_i1086" style="width:0;height:1.5pt" o:hralign="center" o:hrstd="t" o:hr="t" fillcolor="#a0a0a0" stroked="f"/>
        </w:pict>
      </w:r>
    </w:p>
    <w:p w:rsidR="00000000" w:rsidRDefault="00E54EC0">
      <w:pPr>
        <w:divId w:val="872422166"/>
        <w:rPr>
          <w:rFonts w:eastAsia="Times New Roman"/>
        </w:rPr>
      </w:pPr>
    </w:p>
    <w:p w:rsidR="00000000" w:rsidRDefault="00E54EC0">
      <w:pPr>
        <w:ind w:firstLine="360"/>
        <w:divId w:val="299501978"/>
        <w:rPr>
          <w:rFonts w:eastAsia="Times New Roman"/>
        </w:rPr>
      </w:pPr>
      <w:r>
        <w:rPr>
          <w:rFonts w:eastAsia="Times New Roman"/>
          <w:color w:val="000000"/>
          <w:sz w:val="20"/>
          <w:szCs w:val="20"/>
        </w:rPr>
        <w:t>Equitable consistently scores highly on workplace quality rank</w:t>
      </w:r>
      <w:r>
        <w:rPr>
          <w:rFonts w:eastAsia="Times New Roman"/>
          <w:color w:val="000000"/>
          <w:sz w:val="20"/>
          <w:szCs w:val="20"/>
        </w:rPr>
        <w:t>ings because of our emphasis on employee engagement and inclusion. We have been recognized as a “Great Place to Work” by the Great Place to Work® Institute, an independent workplace authority, each year since 2016. Equitable has also received a perfect sco</w:t>
      </w:r>
      <w:r>
        <w:rPr>
          <w:rFonts w:eastAsia="Times New Roman"/>
          <w:color w:val="000000"/>
          <w:sz w:val="20"/>
          <w:szCs w:val="20"/>
        </w:rPr>
        <w:t xml:space="preserve">re on the Human Rights Campaign Foundation's Corporate Equality Index (“CEI”) for the 8th consecutive year, which recognizes our inclusive workplace culture. In addition, we received a perfect score for the second consecutive year as a “Best Place to Work </w:t>
      </w:r>
      <w:r>
        <w:rPr>
          <w:rFonts w:eastAsia="Times New Roman"/>
          <w:color w:val="000000"/>
          <w:sz w:val="20"/>
          <w:szCs w:val="20"/>
        </w:rPr>
        <w:t>for Disability Inclusion”, with participation in the Disability Equality Index (“DEI”) since 2015. We strive to maintain and expand upon our efforts that have garnered us this recognition.</w:t>
      </w:r>
    </w:p>
    <w:p w:rsidR="00000000" w:rsidRDefault="00E54EC0">
      <w:pPr>
        <w:divId w:val="1359165234"/>
        <w:rPr>
          <w:rFonts w:eastAsia="Times New Roman"/>
        </w:rPr>
      </w:pPr>
      <w:r>
        <w:rPr>
          <w:rFonts w:eastAsia="Times New Roman"/>
          <w:i/>
          <w:iCs/>
          <w:color w:val="000000"/>
          <w:sz w:val="20"/>
          <w:szCs w:val="20"/>
          <w:u w:val="single"/>
        </w:rPr>
        <w:t>Professional Excellence</w:t>
      </w:r>
    </w:p>
    <w:p w:rsidR="00000000" w:rsidRDefault="00E54EC0">
      <w:pPr>
        <w:ind w:firstLine="360"/>
        <w:divId w:val="210460405"/>
        <w:rPr>
          <w:rFonts w:eastAsia="Times New Roman"/>
        </w:rPr>
      </w:pPr>
      <w:r>
        <w:rPr>
          <w:rFonts w:eastAsia="Times New Roman"/>
          <w:color w:val="000000"/>
          <w:sz w:val="20"/>
          <w:szCs w:val="20"/>
        </w:rPr>
        <w:t xml:space="preserve">Equitable seeks to help our clients secure </w:t>
      </w:r>
      <w:r>
        <w:rPr>
          <w:rFonts w:eastAsia="Times New Roman"/>
          <w:color w:val="000000"/>
          <w:sz w:val="20"/>
          <w:szCs w:val="20"/>
        </w:rPr>
        <w:t>their financial well-being so they can pursue long and fulfilling lives. To achieve that mission, we must deliver best-in-class services while increasing our speed to market to maximize our impact on our customers’ financial outcomes. This requires our emp</w:t>
      </w:r>
      <w:r>
        <w:rPr>
          <w:rFonts w:eastAsia="Times New Roman"/>
          <w:color w:val="000000"/>
          <w:sz w:val="20"/>
          <w:szCs w:val="20"/>
        </w:rPr>
        <w:t>loyees to buy into our mission and genuinely enjoy working with and for us. We recently launched a new workplace initiative called New Ways of Working (“NWOW”) to strengthen our employee experience. NWOW, which is tailored to the Equitable environment, sha</w:t>
      </w:r>
      <w:r>
        <w:rPr>
          <w:rFonts w:eastAsia="Times New Roman"/>
          <w:color w:val="000000"/>
          <w:sz w:val="20"/>
          <w:szCs w:val="20"/>
        </w:rPr>
        <w:t>rpens our focus on the following five areas of the employee experience: (i) Adaptive Leadership — empowering those closest to the work with decision-making authority; (ii) Outcomes, Objectives &amp; Key Results (“OKRs”) — long-term objectives and a goal-settin</w:t>
      </w:r>
      <w:r>
        <w:rPr>
          <w:rFonts w:eastAsia="Times New Roman"/>
          <w:color w:val="000000"/>
          <w:sz w:val="20"/>
          <w:szCs w:val="20"/>
        </w:rPr>
        <w:t xml:space="preserve">g framework; (iii) Dynamic Enablers — processes and tools that promote innovation, autonomy and skills development; (iv) Enterprise Agile — adapting in the face of rapid change; and (v) Design Thinking — client-centric solutions design. We believe that by </w:t>
      </w:r>
      <w:r>
        <w:rPr>
          <w:rFonts w:eastAsia="Times New Roman"/>
          <w:color w:val="000000"/>
          <w:sz w:val="20"/>
          <w:szCs w:val="20"/>
        </w:rPr>
        <w:t>prioritizing these five areas, our business can adapt with greater speed, agility, creativity and client focus.</w:t>
      </w:r>
    </w:p>
    <w:p w:rsidR="00000000" w:rsidRDefault="00E54EC0">
      <w:pPr>
        <w:ind w:firstLine="360"/>
        <w:divId w:val="7875160"/>
        <w:rPr>
          <w:rFonts w:eastAsia="Times New Roman"/>
        </w:rPr>
      </w:pPr>
      <w:r>
        <w:rPr>
          <w:rFonts w:eastAsia="Times New Roman"/>
          <w:color w:val="000000"/>
          <w:sz w:val="20"/>
          <w:szCs w:val="20"/>
        </w:rPr>
        <w:t>Of particular importance is Equitable’s focus on Outcomes, which establishes clear, measurable, and aspirational goals to both inspire and colle</w:t>
      </w:r>
      <w:r>
        <w:rPr>
          <w:rFonts w:eastAsia="Times New Roman"/>
          <w:color w:val="000000"/>
          <w:sz w:val="20"/>
          <w:szCs w:val="20"/>
        </w:rPr>
        <w:t xml:space="preserve">ctively focus teams across the organization. We recognize that our employees must believe in the possibility of their success. Further, our definition of success must be attainable. By clearly articulating and refining our view of employee success, we can </w:t>
      </w:r>
      <w:r>
        <w:rPr>
          <w:rFonts w:eastAsia="Times New Roman"/>
          <w:color w:val="000000"/>
          <w:sz w:val="20"/>
          <w:szCs w:val="20"/>
        </w:rPr>
        <w:t>ensure a balanced, holistic approach that will deliver successful outcomes for our employees, and by extension, our clients and investors. Since we adopted NWOW, we have seen its positive impact on our culture, as measured through our employee engagement a</w:t>
      </w:r>
      <w:r>
        <w:rPr>
          <w:rFonts w:eastAsia="Times New Roman"/>
          <w:color w:val="000000"/>
          <w:sz w:val="20"/>
          <w:szCs w:val="20"/>
        </w:rPr>
        <w:t xml:space="preserve">nd culture drivers survey results. </w:t>
      </w:r>
    </w:p>
    <w:p w:rsidR="00000000" w:rsidRDefault="00E54EC0">
      <w:pPr>
        <w:ind w:firstLine="360"/>
        <w:divId w:val="416438837"/>
        <w:rPr>
          <w:rFonts w:eastAsia="Times New Roman"/>
        </w:rPr>
      </w:pPr>
      <w:r>
        <w:rPr>
          <w:rFonts w:eastAsia="Times New Roman"/>
          <w:color w:val="000000"/>
          <w:sz w:val="20"/>
          <w:szCs w:val="20"/>
        </w:rPr>
        <w:t>About two-thirds of Equitable employees are operating under NWOW, and the rest of our organization will make the transition in 2023. Equitable’s NWOW has fundamentally changed the way we think, work and lead as a company</w:t>
      </w:r>
      <w:r>
        <w:rPr>
          <w:rFonts w:eastAsia="Times New Roman"/>
          <w:color w:val="000000"/>
          <w:sz w:val="20"/>
          <w:szCs w:val="20"/>
        </w:rPr>
        <w:t>, ensuring we are better positioned to grow, meet our clients’ needs and attract the best talent.</w:t>
      </w:r>
    </w:p>
    <w:p w:rsidR="00000000" w:rsidRDefault="00E54EC0">
      <w:pPr>
        <w:divId w:val="969363953"/>
        <w:rPr>
          <w:rFonts w:eastAsia="Times New Roman"/>
        </w:rPr>
      </w:pPr>
      <w:r>
        <w:rPr>
          <w:rFonts w:eastAsia="Times New Roman"/>
          <w:i/>
          <w:iCs/>
          <w:color w:val="000000"/>
          <w:sz w:val="20"/>
          <w:szCs w:val="20"/>
          <w:u w:val="single"/>
        </w:rPr>
        <w:t>Continuous Learning</w:t>
      </w:r>
    </w:p>
    <w:p w:rsidR="00000000" w:rsidRDefault="00E54EC0">
      <w:pPr>
        <w:ind w:firstLine="360"/>
        <w:divId w:val="526143087"/>
        <w:rPr>
          <w:rFonts w:eastAsia="Times New Roman"/>
        </w:rPr>
      </w:pPr>
      <w:r>
        <w:rPr>
          <w:rFonts w:eastAsia="Times New Roman"/>
          <w:color w:val="000000"/>
          <w:sz w:val="20"/>
          <w:szCs w:val="20"/>
        </w:rPr>
        <w:t>Our culture of continuous learning and professional excellence starts with the relationship between the employee and manager, which continues through peer discussions, skill building and bringing professional aspirations into focus. We encourage our employ</w:t>
      </w:r>
      <w:r>
        <w:rPr>
          <w:rFonts w:eastAsia="Times New Roman"/>
          <w:color w:val="000000"/>
          <w:sz w:val="20"/>
          <w:szCs w:val="20"/>
        </w:rPr>
        <w:t>ees to take advantage of rich experiences that support their career and growth, including skill acquisition and strengthening. Employees own their own growth and development enabled by user-friendly resources in Thrive, our centralized HR hub, or by taking</w:t>
      </w:r>
      <w:r>
        <w:rPr>
          <w:rFonts w:eastAsia="Times New Roman"/>
          <w:color w:val="000000"/>
          <w:sz w:val="20"/>
          <w:szCs w:val="20"/>
        </w:rPr>
        <w:t xml:space="preserve"> advantage of the wide range of Learning and Development courses. Additionally, the Company offers tuition assistance to support educational endeavors.</w:t>
      </w:r>
    </w:p>
    <w:p w:rsidR="00000000" w:rsidRDefault="00E54EC0">
      <w:pPr>
        <w:divId w:val="647129257"/>
        <w:rPr>
          <w:rFonts w:eastAsia="Times New Roman"/>
        </w:rPr>
      </w:pPr>
      <w:r>
        <w:rPr>
          <w:rFonts w:eastAsia="Times New Roman"/>
          <w:i/>
          <w:iCs/>
          <w:color w:val="000000"/>
          <w:sz w:val="20"/>
          <w:szCs w:val="20"/>
          <w:u w:val="single"/>
        </w:rPr>
        <w:t xml:space="preserve">Diversity, Equity and Inclusion </w:t>
      </w:r>
    </w:p>
    <w:p w:rsidR="00000000" w:rsidRDefault="00E54EC0">
      <w:pPr>
        <w:ind w:firstLine="360"/>
        <w:divId w:val="878976889"/>
        <w:rPr>
          <w:rFonts w:eastAsia="Times New Roman"/>
        </w:rPr>
      </w:pPr>
      <w:r>
        <w:rPr>
          <w:rFonts w:eastAsia="Times New Roman"/>
          <w:color w:val="000000"/>
          <w:sz w:val="20"/>
          <w:szCs w:val="20"/>
        </w:rPr>
        <w:t>At Equitable, building a more diverse, equitable and inclusive workplac</w:t>
      </w:r>
      <w:r>
        <w:rPr>
          <w:rFonts w:eastAsia="Times New Roman"/>
          <w:color w:val="000000"/>
          <w:sz w:val="20"/>
          <w:szCs w:val="20"/>
        </w:rPr>
        <w:t>e is an essential and ongoing endeavor. It helps us better serve our clients and communities, creates a more supportive and productive work environment, and ultimately enables our people to achieve their full potential.</w:t>
      </w:r>
    </w:p>
    <w:p w:rsidR="00000000" w:rsidRDefault="00E54EC0">
      <w:pPr>
        <w:ind w:firstLine="360"/>
        <w:divId w:val="2059084807"/>
        <w:rPr>
          <w:rFonts w:eastAsia="Times New Roman"/>
        </w:rPr>
      </w:pPr>
      <w:r>
        <w:rPr>
          <w:rFonts w:eastAsia="Times New Roman"/>
          <w:color w:val="000000"/>
          <w:sz w:val="20"/>
          <w:szCs w:val="20"/>
        </w:rPr>
        <w:t>Our DEI vision is to inspire, lead a</w:t>
      </w:r>
      <w:r>
        <w:rPr>
          <w:rFonts w:eastAsia="Times New Roman"/>
          <w:color w:val="000000"/>
          <w:sz w:val="20"/>
          <w:szCs w:val="20"/>
        </w:rPr>
        <w:t xml:space="preserve">nd serve as a model for the </w:t>
      </w:r>
      <w:r>
        <w:rPr>
          <w:rFonts w:eastAsia="Times New Roman"/>
          <w:color w:val="000000"/>
          <w:sz w:val="20"/>
          <w:szCs w:val="20"/>
        </w:rPr>
        <w:t>ﬁ</w:t>
      </w:r>
      <w:r>
        <w:rPr>
          <w:rFonts w:eastAsia="Times New Roman"/>
          <w:color w:val="000000"/>
          <w:sz w:val="20"/>
          <w:szCs w:val="20"/>
        </w:rPr>
        <w:t>nancial industry of an inclusive, diverse, empowering and equitable workplace for all. To achieve our vision, our specific strategic goals are to:</w:t>
      </w:r>
    </w:p>
    <w:p w:rsidR="00000000" w:rsidRDefault="00E54EC0">
      <w:pPr>
        <w:ind w:hanging="360"/>
        <w:jc w:val="both"/>
        <w:divId w:val="984358902"/>
        <w:rPr>
          <w:rFonts w:eastAsia="Times New Roman"/>
        </w:rPr>
      </w:pPr>
      <w:r>
        <w:rPr>
          <w:rFonts w:eastAsia="Times New Roman"/>
          <w:color w:val="000000"/>
          <w:sz w:val="20"/>
          <w:szCs w:val="20"/>
        </w:rPr>
        <w:t>•Attract, retain and advance diverse talent. By strategically and thoughtfully r</w:t>
      </w:r>
      <w:r>
        <w:rPr>
          <w:rFonts w:eastAsia="Times New Roman"/>
          <w:color w:val="000000"/>
          <w:sz w:val="20"/>
          <w:szCs w:val="20"/>
        </w:rPr>
        <w:t xml:space="preserve">ecruiting and advancing diverse talent, we seek to create the most effective and impactful team in the </w:t>
      </w:r>
      <w:r>
        <w:rPr>
          <w:rFonts w:eastAsia="Times New Roman"/>
          <w:color w:val="000000"/>
          <w:sz w:val="20"/>
          <w:szCs w:val="20"/>
        </w:rPr>
        <w:t>ﬁ</w:t>
      </w:r>
      <w:r>
        <w:rPr>
          <w:rFonts w:eastAsia="Times New Roman"/>
          <w:color w:val="000000"/>
          <w:sz w:val="20"/>
          <w:szCs w:val="20"/>
        </w:rPr>
        <w:t>nancial services industry.</w:t>
      </w:r>
    </w:p>
    <w:p w:rsidR="00000000" w:rsidRDefault="00E54EC0">
      <w:pPr>
        <w:ind w:hanging="360"/>
        <w:jc w:val="both"/>
        <w:divId w:val="642275179"/>
        <w:rPr>
          <w:rFonts w:eastAsia="Times New Roman"/>
        </w:rPr>
      </w:pPr>
      <w:r>
        <w:rPr>
          <w:rFonts w:eastAsia="Times New Roman"/>
          <w:color w:val="000000"/>
          <w:sz w:val="20"/>
          <w:szCs w:val="20"/>
        </w:rPr>
        <w:t>•Create and uphold an inclusive company culture. Employees thrive in a culture that values contributions from all and encoura</w:t>
      </w:r>
      <w:r>
        <w:rPr>
          <w:rFonts w:eastAsia="Times New Roman"/>
          <w:color w:val="000000"/>
          <w:sz w:val="20"/>
          <w:szCs w:val="20"/>
        </w:rPr>
        <w:t xml:space="preserve">ges collaboration, </w:t>
      </w:r>
      <w:r>
        <w:rPr>
          <w:rFonts w:eastAsia="Times New Roman"/>
          <w:color w:val="000000"/>
          <w:sz w:val="20"/>
          <w:szCs w:val="20"/>
        </w:rPr>
        <w:t>ﬂ</w:t>
      </w:r>
      <w:r>
        <w:rPr>
          <w:rFonts w:eastAsia="Times New Roman"/>
          <w:color w:val="000000"/>
          <w:sz w:val="20"/>
          <w:szCs w:val="20"/>
        </w:rPr>
        <w:t>exibility and fairness. A culture that enables us to work at our full potential, set higher standards and maximize value for clients, employees, financial professionals, shareholders, and communities.</w:t>
      </w:r>
    </w:p>
    <w:p w:rsidR="00000000" w:rsidRDefault="00E54EC0">
      <w:pPr>
        <w:jc w:val="center"/>
        <w:divId w:val="1438065030"/>
        <w:rPr>
          <w:rFonts w:eastAsia="Times New Roman"/>
        </w:rPr>
      </w:pPr>
      <w:r>
        <w:rPr>
          <w:rFonts w:eastAsia="Times New Roman"/>
          <w:color w:val="000000"/>
          <w:sz w:val="20"/>
          <w:szCs w:val="20"/>
        </w:rPr>
        <w:t>50</w:t>
      </w:r>
    </w:p>
    <w:p w:rsidR="00000000" w:rsidRDefault="00E54EC0">
      <w:pPr>
        <w:rPr>
          <w:rFonts w:eastAsia="Times New Roman"/>
        </w:rPr>
      </w:pPr>
      <w:r>
        <w:rPr>
          <w:rFonts w:eastAsia="Times New Roman"/>
        </w:rPr>
        <w:pict>
          <v:rect id="_x0000_i1087" style="width:0;height:1.5pt" o:hralign="center" o:hrstd="t" o:hr="t" fillcolor="#a0a0a0" stroked="f"/>
        </w:pict>
      </w:r>
    </w:p>
    <w:p w:rsidR="00000000" w:rsidRDefault="00E54EC0">
      <w:pPr>
        <w:divId w:val="199363572"/>
        <w:rPr>
          <w:rFonts w:eastAsia="Times New Roman"/>
        </w:rPr>
      </w:pPr>
    </w:p>
    <w:p w:rsidR="00000000" w:rsidRDefault="00E54EC0">
      <w:pPr>
        <w:ind w:hanging="360"/>
        <w:jc w:val="both"/>
        <w:divId w:val="574047478"/>
        <w:rPr>
          <w:rFonts w:eastAsia="Times New Roman"/>
        </w:rPr>
      </w:pPr>
      <w:r>
        <w:rPr>
          <w:rFonts w:eastAsia="Times New Roman"/>
          <w:color w:val="000000"/>
          <w:sz w:val="20"/>
          <w:szCs w:val="20"/>
        </w:rPr>
        <w:t>•Instill commitment and accountability at all levels. An inclusive workplace is only possible when all are committed to and accountable for its creation and success. We strive to have every person at Equitable do their part to bend the “arc of histor</w:t>
      </w:r>
      <w:r>
        <w:rPr>
          <w:rFonts w:eastAsia="Times New Roman"/>
          <w:color w:val="000000"/>
          <w:sz w:val="20"/>
          <w:szCs w:val="20"/>
        </w:rPr>
        <w:t>y” toward a more just and equitable company and society.</w:t>
      </w:r>
    </w:p>
    <w:p w:rsidR="00000000" w:rsidRDefault="00E54EC0">
      <w:pPr>
        <w:ind w:firstLine="360"/>
        <w:divId w:val="1025866815"/>
        <w:rPr>
          <w:rFonts w:eastAsia="Times New Roman"/>
        </w:rPr>
      </w:pPr>
      <w:r>
        <w:rPr>
          <w:rFonts w:eastAsia="Times New Roman"/>
          <w:color w:val="000000"/>
          <w:sz w:val="20"/>
          <w:szCs w:val="20"/>
        </w:rPr>
        <w:t xml:space="preserve">Our Employee Resource Groups, Field Advisory Councils and Diversity Advocates play a key role in serving as a community voice to leadership, driving important policy changes and helping to build and </w:t>
      </w:r>
      <w:r>
        <w:rPr>
          <w:rFonts w:eastAsia="Times New Roman"/>
          <w:color w:val="000000"/>
          <w:sz w:val="20"/>
          <w:szCs w:val="20"/>
        </w:rPr>
        <w:t xml:space="preserve">shape our DEI strategy. They also create development opportunities for our people, with members working collaboratively to address business challenges and share ideas. </w:t>
      </w:r>
    </w:p>
    <w:p w:rsidR="00000000" w:rsidRDefault="00E54EC0">
      <w:pPr>
        <w:ind w:firstLine="360"/>
        <w:divId w:val="811755299"/>
        <w:rPr>
          <w:rFonts w:eastAsia="Times New Roman"/>
        </w:rPr>
      </w:pPr>
      <w:r>
        <w:rPr>
          <w:rFonts w:eastAsia="Times New Roman"/>
          <w:color w:val="000000"/>
          <w:sz w:val="20"/>
          <w:szCs w:val="20"/>
        </w:rPr>
        <w:t>In 2020, we established the CEO Taskforce to Advance Racial Equity with the intention to more deeply focus and accelerate our efforts within our Black community and create a new approach which will ultimately be used to benefit all people and diverse commu</w:t>
      </w:r>
      <w:r>
        <w:rPr>
          <w:rFonts w:eastAsia="Times New Roman"/>
          <w:color w:val="000000"/>
          <w:sz w:val="20"/>
          <w:szCs w:val="20"/>
        </w:rPr>
        <w:t xml:space="preserve">nities within our company. Our mission is to make Equitable the most sought-after employer for Black Professionals by building an environment that supports and invests in the careers and well-being of our Black Employees and Financial Professionals. Based </w:t>
      </w:r>
      <w:r>
        <w:rPr>
          <w:rFonts w:eastAsia="Times New Roman"/>
          <w:color w:val="000000"/>
          <w:sz w:val="20"/>
          <w:szCs w:val="20"/>
        </w:rPr>
        <w:t>on the research performed by the Taskforce, we launched several talent programs reaching nearly 200 individuals. We have seen increases in our Black employee net promoter score and psychological safety. As we look ahead, the learnings and experience from t</w:t>
      </w:r>
      <w:r>
        <w:rPr>
          <w:rFonts w:eastAsia="Times New Roman"/>
          <w:color w:val="000000"/>
          <w:sz w:val="20"/>
          <w:szCs w:val="20"/>
        </w:rPr>
        <w:t xml:space="preserve">he Taskforce will serve as a playbook for how we can advance other underrepresented populations within our organization. </w:t>
      </w:r>
    </w:p>
    <w:p w:rsidR="00000000" w:rsidRDefault="00E54EC0">
      <w:pPr>
        <w:ind w:firstLine="360"/>
        <w:divId w:val="1046223629"/>
        <w:rPr>
          <w:rFonts w:eastAsia="Times New Roman"/>
        </w:rPr>
      </w:pPr>
      <w:r>
        <w:rPr>
          <w:rFonts w:eastAsia="Times New Roman"/>
          <w:color w:val="000000"/>
          <w:sz w:val="20"/>
          <w:szCs w:val="20"/>
        </w:rPr>
        <w:t>We are committed to continue deepening our understanding of the issues facing the communities we serve. We recognize that there is a c</w:t>
      </w:r>
      <w:r>
        <w:rPr>
          <w:rFonts w:eastAsia="Times New Roman"/>
          <w:color w:val="000000"/>
          <w:sz w:val="20"/>
          <w:szCs w:val="20"/>
        </w:rPr>
        <w:t>ritical need for improved financial wellness and access to financial advisors in diverse markets. In 2022, we hosted 5 Impact and Black Financial Empowerment Days across our branch offices in Atlanta, Cleveland, Philadelphia, Washington DC and Jacksonville</w:t>
      </w:r>
      <w:r>
        <w:rPr>
          <w:rFonts w:eastAsia="Times New Roman"/>
          <w:color w:val="000000"/>
          <w:sz w:val="20"/>
          <w:szCs w:val="20"/>
        </w:rPr>
        <w:t xml:space="preserve">. These events bring together senior headquarter and branch leaders, along with top financial professionals to discuss improving diversity in financial advising, through directed recruiting efforts and client acquisition. </w:t>
      </w:r>
    </w:p>
    <w:p w:rsidR="00000000" w:rsidRDefault="00E54EC0">
      <w:pPr>
        <w:divId w:val="1353459807"/>
        <w:rPr>
          <w:rFonts w:eastAsia="Times New Roman"/>
        </w:rPr>
      </w:pPr>
      <w:r>
        <w:rPr>
          <w:rFonts w:eastAsia="Times New Roman"/>
          <w:i/>
          <w:iCs/>
          <w:color w:val="000000"/>
          <w:sz w:val="20"/>
          <w:szCs w:val="20"/>
          <w:u w:val="single"/>
        </w:rPr>
        <w:t xml:space="preserve">Talent Acquisition </w:t>
      </w:r>
    </w:p>
    <w:p w:rsidR="00000000" w:rsidRDefault="00E54EC0">
      <w:pPr>
        <w:ind w:firstLine="360"/>
        <w:divId w:val="1380742709"/>
        <w:rPr>
          <w:rFonts w:eastAsia="Times New Roman"/>
        </w:rPr>
      </w:pPr>
      <w:r>
        <w:rPr>
          <w:rFonts w:eastAsia="Times New Roman"/>
          <w:color w:val="000000"/>
          <w:sz w:val="20"/>
          <w:szCs w:val="20"/>
        </w:rPr>
        <w:t>The Talent Ac</w:t>
      </w:r>
      <w:r>
        <w:rPr>
          <w:rFonts w:eastAsia="Times New Roman"/>
          <w:color w:val="000000"/>
          <w:sz w:val="20"/>
          <w:szCs w:val="20"/>
        </w:rPr>
        <w:t xml:space="preserve">quisition Team at Equitable is charged with conveying to the external talent market the merits of working for Equitable. One of its principal areas of focus has been in growing the number of diverse employees amongst Equitable’s ranks, an effort which saw </w:t>
      </w:r>
      <w:r>
        <w:rPr>
          <w:rFonts w:eastAsia="Times New Roman"/>
          <w:color w:val="000000"/>
          <w:sz w:val="20"/>
          <w:szCs w:val="20"/>
        </w:rPr>
        <w:t>great success in 2022. As part of Equitable’s recruiting strategy, we have implemented diverse interview panels and diverse interview candidate slates to ensure that hiring managers are interviewing highly qualified diverse candidates and that those candid</w:t>
      </w:r>
      <w:r>
        <w:rPr>
          <w:rFonts w:eastAsia="Times New Roman"/>
          <w:color w:val="000000"/>
          <w:sz w:val="20"/>
          <w:szCs w:val="20"/>
        </w:rPr>
        <w:t>ates are interviewing with a diverse group of Equitable employees. In addition, we partnered with diversity-focused external organizations (i.e, Prospanica and National Black MBA) to drive more diverse candidate flow to open roles at Equitable. Equitable h</w:t>
      </w:r>
      <w:r>
        <w:rPr>
          <w:rFonts w:eastAsia="Times New Roman"/>
          <w:color w:val="000000"/>
          <w:sz w:val="20"/>
          <w:szCs w:val="20"/>
        </w:rPr>
        <w:t>as also expanded its outreach more broadly through its social media presence, leading to an increase in total applicants, including an increase in ethnically diverse candidates and an increase in women applying to Equitable. This has translated into the hi</w:t>
      </w:r>
      <w:r>
        <w:rPr>
          <w:rFonts w:eastAsia="Times New Roman"/>
          <w:color w:val="000000"/>
          <w:sz w:val="20"/>
          <w:szCs w:val="20"/>
        </w:rPr>
        <w:t xml:space="preserve">ring of an increased number of people of color. </w:t>
      </w:r>
    </w:p>
    <w:p w:rsidR="00000000" w:rsidRDefault="00E54EC0">
      <w:pPr>
        <w:divId w:val="1892036411"/>
        <w:rPr>
          <w:rFonts w:eastAsia="Times New Roman"/>
        </w:rPr>
      </w:pPr>
      <w:r>
        <w:rPr>
          <w:rFonts w:eastAsia="Times New Roman"/>
          <w:i/>
          <w:iCs/>
          <w:color w:val="000000"/>
          <w:sz w:val="20"/>
          <w:szCs w:val="20"/>
          <w:u w:val="single"/>
        </w:rPr>
        <w:t xml:space="preserve">Employee Development and Engagement </w:t>
      </w:r>
    </w:p>
    <w:p w:rsidR="00000000" w:rsidRDefault="00E54EC0">
      <w:pPr>
        <w:ind w:firstLine="360"/>
        <w:divId w:val="2052075140"/>
        <w:rPr>
          <w:rFonts w:eastAsia="Times New Roman"/>
        </w:rPr>
      </w:pPr>
      <w:r>
        <w:rPr>
          <w:rFonts w:eastAsia="Times New Roman"/>
          <w:color w:val="000000"/>
          <w:sz w:val="20"/>
          <w:szCs w:val="20"/>
        </w:rPr>
        <w:t>At Equitable, our power is in our people. We believe our people are at the heart of our business. Attracting, developing, and retaining talent is crucial to our long-term</w:t>
      </w:r>
      <w:r>
        <w:rPr>
          <w:rFonts w:eastAsia="Times New Roman"/>
          <w:color w:val="000000"/>
          <w:sz w:val="20"/>
          <w:szCs w:val="20"/>
        </w:rPr>
        <w:t xml:space="preserve"> success and strategy. We actively cultivate and reward passion and innovation in our people. We embrace diverse thought on our teams by continuously investing in and creating opportunities for our employees to deliver meaningful work at Equitable. </w:t>
      </w:r>
    </w:p>
    <w:p w:rsidR="00000000" w:rsidRDefault="00E54EC0">
      <w:pPr>
        <w:divId w:val="21790265"/>
        <w:rPr>
          <w:rFonts w:eastAsia="Times New Roman"/>
        </w:rPr>
      </w:pPr>
      <w:r>
        <w:rPr>
          <w:rFonts w:eastAsia="Times New Roman"/>
          <w:i/>
          <w:iCs/>
          <w:color w:val="000000"/>
          <w:sz w:val="20"/>
          <w:szCs w:val="20"/>
          <w:u w:val="single"/>
        </w:rPr>
        <w:t>Employ</w:t>
      </w:r>
      <w:r>
        <w:rPr>
          <w:rFonts w:eastAsia="Times New Roman"/>
          <w:i/>
          <w:iCs/>
          <w:color w:val="000000"/>
          <w:sz w:val="20"/>
          <w:szCs w:val="20"/>
          <w:u w:val="single"/>
        </w:rPr>
        <w:t>ee Development</w:t>
      </w:r>
    </w:p>
    <w:p w:rsidR="00000000" w:rsidRDefault="00E54EC0">
      <w:pPr>
        <w:ind w:firstLine="360"/>
        <w:divId w:val="1887255775"/>
        <w:rPr>
          <w:rFonts w:eastAsia="Times New Roman"/>
        </w:rPr>
      </w:pPr>
      <w:r>
        <w:rPr>
          <w:rFonts w:eastAsia="Times New Roman"/>
          <w:color w:val="000000"/>
          <w:sz w:val="20"/>
          <w:szCs w:val="20"/>
        </w:rPr>
        <w:t>We encourage our team members to take advantage of the rich experiences that Equitable has to support career and growth, including learning new skills and strengthening existing ones. Equitable invests in various talent programs to support t</w:t>
      </w:r>
      <w:r>
        <w:rPr>
          <w:rFonts w:eastAsia="Times New Roman"/>
          <w:color w:val="000000"/>
          <w:sz w:val="20"/>
          <w:szCs w:val="20"/>
        </w:rPr>
        <w:t xml:space="preserve">he development of our colleagues and financial professionals. These programs range from three months to a full-year engagement and include developmental learning, mentorship or sponsorship and coaching engagements. </w:t>
      </w:r>
    </w:p>
    <w:p w:rsidR="00000000" w:rsidRDefault="00E54EC0">
      <w:pPr>
        <w:ind w:firstLine="360"/>
        <w:divId w:val="1235159805"/>
        <w:rPr>
          <w:rFonts w:eastAsia="Times New Roman"/>
        </w:rPr>
      </w:pPr>
      <w:r>
        <w:rPr>
          <w:rFonts w:eastAsia="Times New Roman"/>
          <w:color w:val="000000"/>
          <w:sz w:val="20"/>
          <w:szCs w:val="20"/>
        </w:rPr>
        <w:t>We have also developed a career model fr</w:t>
      </w:r>
      <w:r>
        <w:rPr>
          <w:rFonts w:eastAsia="Times New Roman"/>
          <w:color w:val="000000"/>
          <w:sz w:val="20"/>
          <w:szCs w:val="20"/>
        </w:rPr>
        <w:t xml:space="preserve">amework to drive a high performing, skills-based workforce, which uses a common language of skills and behaviors required for employees to take the next step in their current career path or to transition to a new path entirely. All three dimensions of the </w:t>
      </w:r>
      <w:r>
        <w:rPr>
          <w:rFonts w:eastAsia="Times New Roman"/>
          <w:color w:val="000000"/>
          <w:sz w:val="20"/>
          <w:szCs w:val="20"/>
        </w:rPr>
        <w:t>career model framework – Craftsmanship Skills, Core Competencies and Execution – work together to provide the foundation for development, assessment, and feedback. Apart from our talent programs, Equitable offers a wide range of Learning and Development co</w:t>
      </w:r>
      <w:r>
        <w:rPr>
          <w:rFonts w:eastAsia="Times New Roman"/>
          <w:color w:val="000000"/>
          <w:sz w:val="20"/>
          <w:szCs w:val="20"/>
        </w:rPr>
        <w:t xml:space="preserve">urses aimed at improving everything from communication skills to product knowledge to digital expertise, all delivered through multi-channel learning platforms. </w:t>
      </w:r>
    </w:p>
    <w:p w:rsidR="00000000" w:rsidRDefault="00E54EC0">
      <w:pPr>
        <w:ind w:firstLine="360"/>
        <w:divId w:val="618949910"/>
        <w:rPr>
          <w:rFonts w:eastAsia="Times New Roman"/>
        </w:rPr>
      </w:pPr>
      <w:r>
        <w:rPr>
          <w:rFonts w:eastAsia="Times New Roman"/>
          <w:color w:val="000000"/>
          <w:sz w:val="20"/>
          <w:szCs w:val="20"/>
        </w:rPr>
        <w:t>Our commitment to employee development is measurable by the quality of our workforce and our a</w:t>
      </w:r>
      <w:r>
        <w:rPr>
          <w:rFonts w:eastAsia="Times New Roman"/>
          <w:color w:val="000000"/>
          <w:sz w:val="20"/>
          <w:szCs w:val="20"/>
        </w:rPr>
        <w:t xml:space="preserve">pproach to career progression. At Equitable, career progression is defined holistically to include skill progression, internal career model mobility, people leadership elevation and proficiency level “promotion.” </w:t>
      </w:r>
    </w:p>
    <w:p w:rsidR="00000000" w:rsidRDefault="00E54EC0">
      <w:pPr>
        <w:jc w:val="center"/>
        <w:divId w:val="500237939"/>
        <w:rPr>
          <w:rFonts w:eastAsia="Times New Roman"/>
        </w:rPr>
      </w:pPr>
      <w:r>
        <w:rPr>
          <w:rFonts w:eastAsia="Times New Roman"/>
          <w:color w:val="000000"/>
          <w:sz w:val="20"/>
          <w:szCs w:val="20"/>
        </w:rPr>
        <w:t>51</w:t>
      </w:r>
    </w:p>
    <w:p w:rsidR="00000000" w:rsidRDefault="00E54EC0">
      <w:pPr>
        <w:rPr>
          <w:rFonts w:eastAsia="Times New Roman"/>
        </w:rPr>
      </w:pPr>
      <w:r>
        <w:rPr>
          <w:rFonts w:eastAsia="Times New Roman"/>
        </w:rPr>
        <w:pict>
          <v:rect id="_x0000_i1088" style="width:0;height:1.5pt" o:hralign="center" o:hrstd="t" o:hr="t" fillcolor="#a0a0a0" stroked="f"/>
        </w:pict>
      </w:r>
    </w:p>
    <w:p w:rsidR="00000000" w:rsidRDefault="00E54EC0">
      <w:pPr>
        <w:divId w:val="1658150398"/>
        <w:rPr>
          <w:rFonts w:eastAsia="Times New Roman"/>
        </w:rPr>
      </w:pPr>
    </w:p>
    <w:p w:rsidR="00000000" w:rsidRDefault="00E54EC0">
      <w:pPr>
        <w:divId w:val="2113358260"/>
        <w:rPr>
          <w:rFonts w:eastAsia="Times New Roman"/>
        </w:rPr>
      </w:pPr>
      <w:r>
        <w:rPr>
          <w:rFonts w:eastAsia="Times New Roman"/>
          <w:i/>
          <w:iCs/>
          <w:color w:val="000000"/>
          <w:sz w:val="20"/>
          <w:szCs w:val="20"/>
          <w:u w:val="single"/>
        </w:rPr>
        <w:t>Employee Engagement</w:t>
      </w:r>
    </w:p>
    <w:p w:rsidR="00000000" w:rsidRDefault="00E54EC0">
      <w:pPr>
        <w:ind w:firstLine="360"/>
        <w:divId w:val="682827156"/>
        <w:rPr>
          <w:rFonts w:eastAsia="Times New Roman"/>
        </w:rPr>
      </w:pPr>
      <w:r>
        <w:rPr>
          <w:rFonts w:eastAsia="Times New Roman"/>
          <w:color w:val="000000"/>
          <w:sz w:val="20"/>
          <w:szCs w:val="20"/>
        </w:rPr>
        <w:t>Key to our employee development efforts is the ability of our leaders to keep employees engaged in our hybrid work structure. As we returned to the physical workplace in greater numbers in 2022, we reinforced the leadership skills of pe</w:t>
      </w:r>
      <w:r>
        <w:rPr>
          <w:rFonts w:eastAsia="Times New Roman"/>
          <w:color w:val="000000"/>
          <w:sz w:val="20"/>
          <w:szCs w:val="20"/>
        </w:rPr>
        <w:t>ople leaders to help meet the need for adaptive leadership in a hybrid world. These tools and resources supported our leaders through this transition and as they transformed their teams through the NWOW transition and pivoted towards data-driven management</w:t>
      </w:r>
      <w:r>
        <w:rPr>
          <w:rFonts w:eastAsia="Times New Roman"/>
          <w:color w:val="000000"/>
          <w:sz w:val="20"/>
          <w:szCs w:val="20"/>
        </w:rPr>
        <w:t xml:space="preserve">. They also ensured our employees remained engaged, even when performing work remotely in our hybrid working structure. </w:t>
      </w:r>
    </w:p>
    <w:p w:rsidR="00000000" w:rsidRDefault="00E54EC0">
      <w:pPr>
        <w:ind w:firstLine="360"/>
        <w:divId w:val="1113941122"/>
        <w:rPr>
          <w:rFonts w:eastAsia="Times New Roman"/>
        </w:rPr>
      </w:pPr>
      <w:r>
        <w:rPr>
          <w:rFonts w:eastAsia="Times New Roman"/>
          <w:color w:val="000000"/>
          <w:sz w:val="20"/>
          <w:szCs w:val="20"/>
        </w:rPr>
        <w:t>Recognizing the importance of in-person collaboration and innovation, which are major drivers of success in our organization, we emphas</w:t>
      </w:r>
      <w:r>
        <w:rPr>
          <w:rFonts w:eastAsia="Times New Roman"/>
          <w:color w:val="000000"/>
          <w:sz w:val="20"/>
          <w:szCs w:val="20"/>
        </w:rPr>
        <w:t>ized programming to enable our employees to socialize and collaborate with colleagues. Employee engagement surveys cited these as the top two benefits of returning to the office. We also enhanced our recognition efforts by embedding recognition in the empl</w:t>
      </w:r>
      <w:r>
        <w:rPr>
          <w:rFonts w:eastAsia="Times New Roman"/>
          <w:color w:val="000000"/>
          <w:sz w:val="20"/>
          <w:szCs w:val="20"/>
        </w:rPr>
        <w:t>oyee life cycle. We found that these efforts made our employees feel valued, which created a retention benefit.</w:t>
      </w:r>
    </w:p>
    <w:p w:rsidR="00000000" w:rsidRDefault="00E54EC0">
      <w:pPr>
        <w:ind w:firstLine="360"/>
        <w:divId w:val="1833373525"/>
        <w:rPr>
          <w:rFonts w:eastAsia="Times New Roman"/>
        </w:rPr>
      </w:pPr>
      <w:r>
        <w:rPr>
          <w:rFonts w:eastAsia="Times New Roman"/>
          <w:color w:val="000000"/>
          <w:sz w:val="20"/>
          <w:szCs w:val="20"/>
        </w:rPr>
        <w:t xml:space="preserve">As we strive to continuously listen, learn and adapt, we execute a multi-channeled employee listening strategy, including pulse surveys and ad-hoc focus groups as we measure our culture and amplify the valued voice our people. </w:t>
      </w:r>
    </w:p>
    <w:p w:rsidR="00000000" w:rsidRDefault="00E54EC0">
      <w:pPr>
        <w:divId w:val="968784116"/>
        <w:rPr>
          <w:rFonts w:eastAsia="Times New Roman"/>
        </w:rPr>
      </w:pPr>
      <w:r>
        <w:rPr>
          <w:rFonts w:eastAsia="Times New Roman"/>
          <w:i/>
          <w:iCs/>
          <w:color w:val="000000"/>
          <w:sz w:val="20"/>
          <w:szCs w:val="20"/>
          <w:u w:val="single"/>
        </w:rPr>
        <w:t xml:space="preserve">Compensation and Benefits </w:t>
      </w:r>
    </w:p>
    <w:p w:rsidR="00000000" w:rsidRDefault="00E54EC0">
      <w:pPr>
        <w:ind w:firstLine="360"/>
        <w:divId w:val="1353193115"/>
        <w:rPr>
          <w:rFonts w:eastAsia="Times New Roman"/>
        </w:rPr>
      </w:pPr>
      <w:r>
        <w:rPr>
          <w:rFonts w:eastAsia="Times New Roman"/>
          <w:color w:val="000000"/>
          <w:sz w:val="20"/>
          <w:szCs w:val="20"/>
        </w:rPr>
        <w:t>R</w:t>
      </w:r>
      <w:r>
        <w:rPr>
          <w:rFonts w:eastAsia="Times New Roman"/>
          <w:color w:val="000000"/>
          <w:sz w:val="20"/>
          <w:szCs w:val="20"/>
        </w:rPr>
        <w:t xml:space="preserve">ewarding performance is the cornerstone of our “Total Rewards” program. Total Rewards include access to comprehensive benefits programs and the opportunity to share in company results through equity awards. Our benefits portfolio allows eligible employees </w:t>
      </w:r>
      <w:r>
        <w:rPr>
          <w:rFonts w:eastAsia="Times New Roman"/>
          <w:color w:val="000000"/>
          <w:sz w:val="20"/>
          <w:szCs w:val="20"/>
        </w:rPr>
        <w:t>and financial professionals to elect the right coverage for health needs, to build their wealth and to provide protection for themselves and their families from the unexpected events that might occur along the way. Our Total Rewards package includes market</w:t>
      </w:r>
      <w:r>
        <w:rPr>
          <w:rFonts w:eastAsia="Times New Roman"/>
          <w:color w:val="000000"/>
          <w:sz w:val="20"/>
          <w:szCs w:val="20"/>
        </w:rPr>
        <w:t>-competitive pay, equity award programs and bonuses, healthcare benefits, retirement savings plans, paid time off and family leave, flexible work schedules, an educational assistance program and an employee assistance program and other mental health servic</w:t>
      </w:r>
      <w:r>
        <w:rPr>
          <w:rFonts w:eastAsia="Times New Roman"/>
          <w:color w:val="000000"/>
          <w:sz w:val="20"/>
          <w:szCs w:val="20"/>
        </w:rPr>
        <w:t>es. We offer many resources designed to support employees in their family life, including child and elder care support, college coaching and tutoring services and adoption support.</w:t>
      </w:r>
    </w:p>
    <w:p w:rsidR="00000000" w:rsidRDefault="00E54EC0">
      <w:pPr>
        <w:divId w:val="1058553058"/>
        <w:rPr>
          <w:rFonts w:eastAsia="Times New Roman"/>
        </w:rPr>
      </w:pPr>
      <w:r>
        <w:rPr>
          <w:rFonts w:eastAsia="Times New Roman"/>
          <w:i/>
          <w:iCs/>
          <w:color w:val="000000"/>
          <w:sz w:val="20"/>
          <w:szCs w:val="20"/>
          <w:u w:val="single"/>
        </w:rPr>
        <w:t>Health and Safety</w:t>
      </w:r>
    </w:p>
    <w:p w:rsidR="00000000" w:rsidRDefault="00E54EC0">
      <w:pPr>
        <w:ind w:firstLine="360"/>
        <w:divId w:val="990792366"/>
        <w:rPr>
          <w:rFonts w:eastAsia="Times New Roman"/>
        </w:rPr>
      </w:pPr>
      <w:r>
        <w:rPr>
          <w:rFonts w:eastAsia="Times New Roman"/>
          <w:color w:val="000000"/>
          <w:sz w:val="20"/>
          <w:szCs w:val="20"/>
        </w:rPr>
        <w:t>As we enter a fourth year of COVID-19 in the workplace, w</w:t>
      </w:r>
      <w:r>
        <w:rPr>
          <w:rFonts w:eastAsia="Times New Roman"/>
          <w:color w:val="000000"/>
          <w:sz w:val="20"/>
          <w:szCs w:val="20"/>
        </w:rPr>
        <w:t>e are committed to the health and safety of our employees, financial professionals and their families. Subject matter experts meet regularly to assess current CDC output and guidelines, establish or update policy and maintain an internal communication hub,</w:t>
      </w:r>
      <w:r>
        <w:rPr>
          <w:rFonts w:eastAsia="Times New Roman"/>
          <w:color w:val="000000"/>
          <w:sz w:val="20"/>
          <w:szCs w:val="20"/>
        </w:rPr>
        <w:t xml:space="preserve"> which remains our primary source of information.</w:t>
      </w:r>
    </w:p>
    <w:p w:rsidR="00000000" w:rsidRDefault="00E54EC0">
      <w:pPr>
        <w:ind w:firstLine="360"/>
        <w:divId w:val="51925663"/>
        <w:rPr>
          <w:rFonts w:eastAsia="Times New Roman"/>
        </w:rPr>
      </w:pPr>
      <w:r>
        <w:rPr>
          <w:rFonts w:eastAsia="Times New Roman"/>
          <w:color w:val="000000"/>
          <w:sz w:val="20"/>
          <w:szCs w:val="20"/>
        </w:rPr>
        <w:t>Our corporate locations, as well as our retail branches, are open and available for use. As part of our hybrid work environment, employees are engaging in more in-person events or defined schedules via a le</w:t>
      </w:r>
      <w:r>
        <w:rPr>
          <w:rFonts w:eastAsia="Times New Roman"/>
          <w:color w:val="000000"/>
          <w:sz w:val="20"/>
          <w:szCs w:val="20"/>
        </w:rPr>
        <w:t>ader-led methodology. Our model is a flexible, leader-led approach, where we value the power of in-person connection and celebrate the benefits of being able to work remotely. This hybrid strategy has been well received and has become part of our overall t</w:t>
      </w:r>
      <w:r>
        <w:rPr>
          <w:rFonts w:eastAsia="Times New Roman"/>
          <w:color w:val="000000"/>
          <w:sz w:val="20"/>
          <w:szCs w:val="20"/>
        </w:rPr>
        <w:t xml:space="preserve">alent and retention strategy. </w:t>
      </w:r>
    </w:p>
    <w:p w:rsidR="00000000" w:rsidRDefault="00E54EC0">
      <w:pPr>
        <w:ind w:firstLine="360"/>
        <w:divId w:val="1252206110"/>
        <w:rPr>
          <w:rFonts w:eastAsia="Times New Roman"/>
        </w:rPr>
      </w:pPr>
      <w:r>
        <w:rPr>
          <w:rFonts w:eastAsia="Times New Roman"/>
          <w:color w:val="000000"/>
          <w:sz w:val="20"/>
          <w:szCs w:val="20"/>
        </w:rPr>
        <w:t>We have maintained a centralized location to share the latest updates on health and safety with our employees and financial professionals, and our Chief Medical Director hosted a series of videos that provided COVID-19 update</w:t>
      </w:r>
      <w:r>
        <w:rPr>
          <w:rFonts w:eastAsia="Times New Roman"/>
          <w:color w:val="000000"/>
          <w:sz w:val="20"/>
          <w:szCs w:val="20"/>
        </w:rPr>
        <w:t>s and answered employees’ questions. As an on-going benefit, we continue with our COVID-19 specific hotline with our expert second medical opinion service provider to intake health questions and provide local referrals for Equitable employees, financial pr</w:t>
      </w:r>
      <w:r>
        <w:rPr>
          <w:rFonts w:eastAsia="Times New Roman"/>
          <w:color w:val="000000"/>
          <w:sz w:val="20"/>
          <w:szCs w:val="20"/>
        </w:rPr>
        <w:t xml:space="preserve">ofessionals and family members. </w:t>
      </w:r>
    </w:p>
    <w:p w:rsidR="00000000" w:rsidRDefault="00E54EC0">
      <w:pPr>
        <w:ind w:firstLine="360"/>
        <w:divId w:val="1691373930"/>
        <w:rPr>
          <w:rFonts w:eastAsia="Times New Roman"/>
        </w:rPr>
      </w:pPr>
      <w:r>
        <w:rPr>
          <w:rFonts w:eastAsia="Times New Roman"/>
          <w:color w:val="000000"/>
          <w:sz w:val="20"/>
          <w:szCs w:val="20"/>
        </w:rPr>
        <w:t>Specific to our engagement, we continue to offer complimentary membership to an online tutoring service during the school year. Our suite of resources, designed to support employees in their family life, also continues to i</w:t>
      </w:r>
      <w:r>
        <w:rPr>
          <w:rFonts w:eastAsia="Times New Roman"/>
          <w:color w:val="000000"/>
          <w:sz w:val="20"/>
          <w:szCs w:val="20"/>
        </w:rPr>
        <w:t>nclude child and elder care support through Bright Horizons, College Coach, financial wellness, health wellness, adoption support, family and medical leave and paid parental leave of between 8 and 16 weeks. Our Employee Assistance Program provides resource</w:t>
      </w:r>
      <w:r>
        <w:rPr>
          <w:rFonts w:eastAsia="Times New Roman"/>
          <w:color w:val="000000"/>
          <w:sz w:val="20"/>
          <w:szCs w:val="20"/>
        </w:rPr>
        <w:t>s to help employees overcome challenges at home or at work and help them reach their professional and personal goals. This includes six complimentary confidential counseling sessions annually.</w:t>
      </w:r>
    </w:p>
    <w:p w:rsidR="00000000" w:rsidRDefault="00E54EC0">
      <w:pPr>
        <w:ind w:firstLine="360"/>
        <w:divId w:val="40253459"/>
        <w:rPr>
          <w:rFonts w:eastAsia="Times New Roman"/>
        </w:rPr>
      </w:pPr>
      <w:r>
        <w:rPr>
          <w:rFonts w:eastAsia="Times New Roman"/>
          <w:color w:val="000000"/>
          <w:sz w:val="20"/>
          <w:szCs w:val="20"/>
        </w:rPr>
        <w:t>While we continue to make progress, benchmark with our peers, a</w:t>
      </w:r>
      <w:r>
        <w:rPr>
          <w:rFonts w:eastAsia="Times New Roman"/>
          <w:color w:val="000000"/>
          <w:sz w:val="20"/>
          <w:szCs w:val="20"/>
        </w:rPr>
        <w:t xml:space="preserve">nd maintain a direct line of communication with our colleagues, we also recognize the landscape continues to shift. At Equitable, we remain committed to understanding these shifts, and to pivoting while balancing the needs of the business, with the safety </w:t>
      </w:r>
      <w:r>
        <w:rPr>
          <w:rFonts w:eastAsia="Times New Roman"/>
          <w:color w:val="000000"/>
          <w:sz w:val="20"/>
          <w:szCs w:val="20"/>
        </w:rPr>
        <w:t>of our employees.</w:t>
      </w:r>
    </w:p>
    <w:p w:rsidR="00000000" w:rsidRDefault="00E54EC0">
      <w:pPr>
        <w:divId w:val="1238903614"/>
        <w:rPr>
          <w:rFonts w:eastAsia="Times New Roman"/>
        </w:rPr>
      </w:pPr>
      <w:r>
        <w:rPr>
          <w:rFonts w:eastAsia="Times New Roman"/>
          <w:i/>
          <w:iCs/>
          <w:color w:val="000000"/>
          <w:sz w:val="20"/>
          <w:szCs w:val="20"/>
          <w:u w:val="single"/>
        </w:rPr>
        <w:t>Equitable Foundation</w:t>
      </w:r>
    </w:p>
    <w:p w:rsidR="00000000" w:rsidRDefault="00E54EC0">
      <w:pPr>
        <w:jc w:val="center"/>
        <w:divId w:val="2049181770"/>
        <w:rPr>
          <w:rFonts w:eastAsia="Times New Roman"/>
        </w:rPr>
      </w:pPr>
      <w:r>
        <w:rPr>
          <w:rFonts w:eastAsia="Times New Roman"/>
          <w:color w:val="000000"/>
          <w:sz w:val="20"/>
          <w:szCs w:val="20"/>
        </w:rPr>
        <w:t>52</w:t>
      </w:r>
    </w:p>
    <w:p w:rsidR="00000000" w:rsidRDefault="00E54EC0">
      <w:pPr>
        <w:rPr>
          <w:rFonts w:eastAsia="Times New Roman"/>
        </w:rPr>
      </w:pPr>
      <w:r>
        <w:rPr>
          <w:rFonts w:eastAsia="Times New Roman"/>
        </w:rPr>
        <w:pict>
          <v:rect id="_x0000_i1089" style="width:0;height:1.5pt" o:hralign="center" o:hrstd="t" o:hr="t" fillcolor="#a0a0a0" stroked="f"/>
        </w:pict>
      </w:r>
    </w:p>
    <w:p w:rsidR="00000000" w:rsidRDefault="00E54EC0">
      <w:pPr>
        <w:divId w:val="1912884339"/>
        <w:rPr>
          <w:rFonts w:eastAsia="Times New Roman"/>
        </w:rPr>
      </w:pPr>
    </w:p>
    <w:p w:rsidR="00000000" w:rsidRDefault="00E54EC0">
      <w:pPr>
        <w:ind w:firstLine="360"/>
        <w:divId w:val="2104450523"/>
        <w:rPr>
          <w:rFonts w:eastAsia="Times New Roman"/>
        </w:rPr>
      </w:pPr>
      <w:r>
        <w:rPr>
          <w:rFonts w:eastAsia="Times New Roman"/>
          <w:color w:val="000000"/>
          <w:sz w:val="20"/>
          <w:szCs w:val="20"/>
        </w:rPr>
        <w:t>Equitable Foundation directs the Company’s philanthropic and volunteer activities. Equitable Foundation gives our employees and financial professionals an opportunity to commit</w:t>
      </w:r>
      <w:r>
        <w:rPr>
          <w:rFonts w:eastAsia="Times New Roman"/>
          <w:color w:val="000000"/>
          <w:sz w:val="20"/>
          <w:szCs w:val="20"/>
        </w:rPr>
        <w:t xml:space="preserve"> their time and effort to organizations they believe in, as well as supports their efforts through charitable grants and through our company volunteer program, Equitable in Action.</w:t>
      </w:r>
    </w:p>
    <w:p w:rsidR="00000000" w:rsidRDefault="00E54EC0">
      <w:pPr>
        <w:ind w:firstLine="360"/>
        <w:divId w:val="1122384584"/>
        <w:rPr>
          <w:rFonts w:eastAsia="Times New Roman"/>
        </w:rPr>
      </w:pPr>
      <w:r>
        <w:rPr>
          <w:rFonts w:eastAsia="Times New Roman"/>
          <w:color w:val="000000"/>
          <w:sz w:val="20"/>
          <w:szCs w:val="20"/>
        </w:rPr>
        <w:t>We believe the best way to achieve our aspirations is through programs that</w:t>
      </w:r>
      <w:r>
        <w:rPr>
          <w:rFonts w:eastAsia="Times New Roman"/>
          <w:color w:val="000000"/>
          <w:sz w:val="20"/>
          <w:szCs w:val="20"/>
        </w:rPr>
        <w:t xml:space="preserve"> drive greater impact by simultaneously (i) focusing our efforts around key areas and geographies, while also (ii) harnessing our biggest systems including Equitable’s General Account, our $100 million endowment, Equitable Foundation, and the power of our </w:t>
      </w:r>
      <w:r>
        <w:rPr>
          <w:rFonts w:eastAsia="Times New Roman"/>
          <w:color w:val="000000"/>
          <w:sz w:val="20"/>
          <w:szCs w:val="20"/>
        </w:rPr>
        <w:t>people. Our key focus areas and aspirations include the following:</w:t>
      </w:r>
    </w:p>
    <w:p w:rsidR="00000000" w:rsidRDefault="00E54EC0">
      <w:pPr>
        <w:ind w:hanging="360"/>
        <w:divId w:val="439108205"/>
        <w:rPr>
          <w:rFonts w:eastAsia="Times New Roman"/>
        </w:rPr>
      </w:pPr>
      <w:r>
        <w:rPr>
          <w:rFonts w:eastAsia="Times New Roman"/>
          <w:color w:val="000000"/>
          <w:sz w:val="20"/>
          <w:szCs w:val="20"/>
        </w:rPr>
        <w:t>•College access and career advancement – We aspire to provide programmatic support, scholarships, and social capital to empower students and educators to reach their full potential.</w:t>
      </w:r>
    </w:p>
    <w:p w:rsidR="00000000" w:rsidRDefault="00E54EC0">
      <w:pPr>
        <w:ind w:hanging="360"/>
        <w:divId w:val="1727878813"/>
        <w:rPr>
          <w:rFonts w:eastAsia="Times New Roman"/>
        </w:rPr>
      </w:pPr>
      <w:r>
        <w:rPr>
          <w:rFonts w:eastAsia="Times New Roman"/>
          <w:color w:val="000000"/>
          <w:sz w:val="20"/>
          <w:szCs w:val="20"/>
        </w:rPr>
        <w:t>•Health</w:t>
      </w:r>
      <w:r>
        <w:rPr>
          <w:rFonts w:eastAsia="Times New Roman"/>
          <w:color w:val="000000"/>
          <w:sz w:val="20"/>
          <w:szCs w:val="20"/>
        </w:rPr>
        <w:t>y and vibrant communities – We aspire to help drive community vitality, support social causes, and advance social and economic mobility.</w:t>
      </w:r>
    </w:p>
    <w:p w:rsidR="00000000" w:rsidRDefault="00E54EC0">
      <w:pPr>
        <w:ind w:hanging="360"/>
        <w:divId w:val="1822236112"/>
        <w:rPr>
          <w:rFonts w:eastAsia="Times New Roman"/>
        </w:rPr>
      </w:pPr>
      <w:r>
        <w:rPr>
          <w:rFonts w:eastAsia="Times New Roman"/>
          <w:color w:val="000000"/>
          <w:sz w:val="20"/>
          <w:szCs w:val="20"/>
        </w:rPr>
        <w:t>•Equity and opportunity – deliver programs to help foster greater equity and opportunity within the communities where w</w:t>
      </w:r>
      <w:r>
        <w:rPr>
          <w:rFonts w:eastAsia="Times New Roman"/>
          <w:color w:val="000000"/>
          <w:sz w:val="20"/>
          <w:szCs w:val="20"/>
        </w:rPr>
        <w:t xml:space="preserve">e live and work. </w:t>
      </w:r>
    </w:p>
    <w:p w:rsidR="00000000" w:rsidRDefault="00E54EC0">
      <w:pPr>
        <w:divId w:val="1161119306"/>
        <w:rPr>
          <w:rFonts w:eastAsia="Times New Roman"/>
        </w:rPr>
      </w:pPr>
    </w:p>
    <w:p w:rsidR="00000000" w:rsidRDefault="00E54EC0">
      <w:pPr>
        <w:ind w:firstLine="360"/>
        <w:divId w:val="420219889"/>
        <w:rPr>
          <w:rFonts w:eastAsia="Times New Roman"/>
        </w:rPr>
      </w:pPr>
      <w:r>
        <w:rPr>
          <w:rFonts w:eastAsia="Times New Roman"/>
          <w:color w:val="000000"/>
          <w:sz w:val="20"/>
          <w:szCs w:val="20"/>
        </w:rPr>
        <w:t>Equitable Excellence, a scholarship program for high school seniors, is the flagship program of Equitable Foundation. In alignment with Equitable’s own mission of helping people achieve financial security so that they can face the futur</w:t>
      </w:r>
      <w:r>
        <w:rPr>
          <w:rFonts w:eastAsia="Times New Roman"/>
          <w:color w:val="000000"/>
          <w:sz w:val="20"/>
          <w:szCs w:val="20"/>
        </w:rPr>
        <w:t>e with confidence, the Equitable Excellence Scholarship places an emphasis on empowering students’ future plans so that they can continue to have positive impacts in their community.    </w:t>
      </w:r>
    </w:p>
    <w:p w:rsidR="00000000" w:rsidRDefault="00E54EC0">
      <w:pPr>
        <w:ind w:firstLine="360"/>
        <w:divId w:val="671419974"/>
        <w:rPr>
          <w:rFonts w:eastAsia="Times New Roman"/>
        </w:rPr>
      </w:pPr>
      <w:r>
        <w:rPr>
          <w:rFonts w:eastAsia="Times New Roman"/>
          <w:color w:val="000000"/>
          <w:sz w:val="20"/>
          <w:szCs w:val="20"/>
        </w:rPr>
        <w:t>Through our matching gifts program, we double the impact of the chari</w:t>
      </w:r>
      <w:r>
        <w:rPr>
          <w:rFonts w:eastAsia="Times New Roman"/>
          <w:color w:val="000000"/>
          <w:sz w:val="20"/>
          <w:szCs w:val="20"/>
        </w:rPr>
        <w:t xml:space="preserve">table contributions made by our employees and financial professionals. Eligible donations of $50 or more are matched up to $2,000 per year, per individual. In 2022, Equitable Foundation matched over $1.2 million to nonprofits directed by our employees and </w:t>
      </w:r>
      <w:r>
        <w:rPr>
          <w:rFonts w:eastAsia="Times New Roman"/>
          <w:color w:val="000000"/>
          <w:sz w:val="20"/>
          <w:szCs w:val="20"/>
        </w:rPr>
        <w:t xml:space="preserve">financial professionals. </w:t>
      </w:r>
    </w:p>
    <w:p w:rsidR="00000000" w:rsidRDefault="00E54EC0">
      <w:pPr>
        <w:jc w:val="both"/>
        <w:divId w:val="236213301"/>
        <w:rPr>
          <w:rFonts w:eastAsia="Times New Roman"/>
        </w:rPr>
      </w:pPr>
      <w:r>
        <w:rPr>
          <w:rFonts w:eastAsia="Times New Roman"/>
          <w:b/>
          <w:bCs/>
          <w:i/>
          <w:iCs/>
          <w:color w:val="000000"/>
          <w:sz w:val="20"/>
          <w:szCs w:val="20"/>
        </w:rPr>
        <w:t>AllianceBernstein</w:t>
      </w:r>
    </w:p>
    <w:p w:rsidR="00000000" w:rsidRDefault="00E54EC0">
      <w:pPr>
        <w:ind w:firstLine="360"/>
        <w:divId w:val="517618469"/>
        <w:rPr>
          <w:rFonts w:eastAsia="Times New Roman"/>
        </w:rPr>
      </w:pPr>
      <w:r>
        <w:rPr>
          <w:rFonts w:eastAsia="Times New Roman"/>
          <w:color w:val="000000"/>
          <w:sz w:val="20"/>
          <w:szCs w:val="20"/>
        </w:rPr>
        <w:t>As a leading global investment management and research firm, AB brings together a wide range of insights, expertise and innovations to advance the interests of its clients around the world. The intellectual capit</w:t>
      </w:r>
      <w:r>
        <w:rPr>
          <w:rFonts w:eastAsia="Times New Roman"/>
          <w:color w:val="000000"/>
          <w:sz w:val="20"/>
          <w:szCs w:val="20"/>
        </w:rPr>
        <w:t xml:space="preserve">al and distinctive knowledge of AB’s employees are collectively the most important assets of AB, so the long-term sustainability and success of AB is heavily dependent on its people. In 2022, AB’s human capital and administrative services teams became its </w:t>
      </w:r>
      <w:r>
        <w:rPr>
          <w:rFonts w:eastAsia="Times New Roman"/>
          <w:color w:val="000000"/>
          <w:sz w:val="20"/>
          <w:szCs w:val="20"/>
        </w:rPr>
        <w:t>"People" team, a key acknowledgement of the central role they play in supporting AB’s employees and advancing their work experience. AB is keenly focused on:</w:t>
      </w:r>
    </w:p>
    <w:p w:rsidR="00000000" w:rsidRDefault="00E54EC0">
      <w:pPr>
        <w:ind w:hanging="360"/>
        <w:divId w:val="576788889"/>
        <w:rPr>
          <w:rFonts w:eastAsia="Times New Roman"/>
        </w:rPr>
      </w:pPr>
      <w:r>
        <w:rPr>
          <w:rFonts w:eastAsia="Times New Roman"/>
          <w:color w:val="000000"/>
          <w:sz w:val="20"/>
          <w:szCs w:val="20"/>
        </w:rPr>
        <w:t xml:space="preserve">•fostering an inclusive culture by incorporating diversity, equity and inclusion in all levels of </w:t>
      </w:r>
      <w:r>
        <w:rPr>
          <w:rFonts w:eastAsia="Times New Roman"/>
          <w:color w:val="000000"/>
          <w:sz w:val="20"/>
          <w:szCs w:val="20"/>
        </w:rPr>
        <w:t>AB’s business;</w:t>
      </w:r>
    </w:p>
    <w:p w:rsidR="00000000" w:rsidRDefault="00E54EC0">
      <w:pPr>
        <w:ind w:hanging="360"/>
        <w:divId w:val="545870614"/>
        <w:rPr>
          <w:rFonts w:eastAsia="Times New Roman"/>
        </w:rPr>
      </w:pPr>
      <w:r>
        <w:rPr>
          <w:rFonts w:eastAsia="Times New Roman"/>
          <w:color w:val="000000"/>
          <w:sz w:val="20"/>
          <w:szCs w:val="20"/>
        </w:rPr>
        <w:t>•encouraging innovation;</w:t>
      </w:r>
    </w:p>
    <w:p w:rsidR="00000000" w:rsidRDefault="00E54EC0">
      <w:pPr>
        <w:ind w:hanging="360"/>
        <w:divId w:val="214050392"/>
        <w:rPr>
          <w:rFonts w:eastAsia="Times New Roman"/>
        </w:rPr>
      </w:pPr>
      <w:r>
        <w:rPr>
          <w:rFonts w:eastAsia="Times New Roman"/>
          <w:color w:val="000000"/>
          <w:sz w:val="20"/>
          <w:szCs w:val="20"/>
        </w:rPr>
        <w:t>•developing, retaining and recruiting high quality talent; and</w:t>
      </w:r>
    </w:p>
    <w:p w:rsidR="00000000" w:rsidRDefault="00E54EC0">
      <w:pPr>
        <w:ind w:hanging="360"/>
        <w:divId w:val="45765684"/>
        <w:rPr>
          <w:rFonts w:eastAsia="Times New Roman"/>
        </w:rPr>
      </w:pPr>
      <w:r>
        <w:rPr>
          <w:rFonts w:eastAsia="Times New Roman"/>
          <w:color w:val="000000"/>
          <w:sz w:val="20"/>
          <w:szCs w:val="20"/>
        </w:rPr>
        <w:t>•aligning employees’ incentives and risk taking with those of AB.</w:t>
      </w:r>
    </w:p>
    <w:p w:rsidR="00000000" w:rsidRDefault="00E54EC0">
      <w:pPr>
        <w:ind w:firstLine="360"/>
        <w:divId w:val="2065105211"/>
        <w:rPr>
          <w:rFonts w:eastAsia="Times New Roman"/>
        </w:rPr>
      </w:pPr>
      <w:r>
        <w:rPr>
          <w:rFonts w:eastAsia="Times New Roman"/>
          <w:color w:val="000000"/>
          <w:sz w:val="20"/>
          <w:szCs w:val="20"/>
        </w:rPr>
        <w:t>As a result, we have a strong firm culture that helps us maximize performance and drive excellence. Further, our firm’s role as a fiduciary is embedded in our culture. As a fiduciary, our firm’s primary objective is to act in our clients' best interests an</w:t>
      </w:r>
      <w:r>
        <w:rPr>
          <w:rFonts w:eastAsia="Times New Roman"/>
          <w:color w:val="000000"/>
          <w:sz w:val="20"/>
          <w:szCs w:val="20"/>
        </w:rPr>
        <w:t>d help them reach their financial goals.</w:t>
      </w:r>
    </w:p>
    <w:p w:rsidR="00000000" w:rsidRDefault="00E54EC0">
      <w:pPr>
        <w:divId w:val="842429542"/>
        <w:rPr>
          <w:rFonts w:eastAsia="Times New Roman"/>
        </w:rPr>
      </w:pPr>
      <w:r>
        <w:rPr>
          <w:rFonts w:eastAsia="Times New Roman"/>
          <w:i/>
          <w:iCs/>
          <w:color w:val="000000"/>
          <w:sz w:val="20"/>
          <w:szCs w:val="20"/>
          <w:u w:val="single"/>
        </w:rPr>
        <w:t>Talent Acquisition</w:t>
      </w:r>
    </w:p>
    <w:p w:rsidR="00000000" w:rsidRDefault="00E54EC0">
      <w:pPr>
        <w:ind w:firstLine="360"/>
        <w:divId w:val="556867362"/>
        <w:rPr>
          <w:rFonts w:eastAsia="Times New Roman"/>
        </w:rPr>
      </w:pPr>
      <w:r>
        <w:rPr>
          <w:rFonts w:eastAsia="Times New Roman"/>
          <w:color w:val="000000"/>
          <w:sz w:val="20"/>
          <w:szCs w:val="20"/>
        </w:rPr>
        <w:t>AB seeks to achieve excellence in business and investment performance by recruiting and hiring a workforce with diversity of thought, backgrounds and experiences. AB believes that diverse and incl</w:t>
      </w:r>
      <w:r>
        <w:rPr>
          <w:rFonts w:eastAsia="Times New Roman"/>
          <w:color w:val="000000"/>
          <w:sz w:val="20"/>
          <w:szCs w:val="20"/>
        </w:rPr>
        <w:t>usive teams generate better ideas and reach more balanced decisions. AB seeks to leverage the unique backgrounds of its employees to meet the needs of a broad range of clients and engage with the communities in which AB operates. AB engages several externa</w:t>
      </w:r>
      <w:r>
        <w:rPr>
          <w:rFonts w:eastAsia="Times New Roman"/>
          <w:color w:val="000000"/>
          <w:sz w:val="20"/>
          <w:szCs w:val="20"/>
        </w:rPr>
        <w:t>l organizations to assist in attracting and recruiting top talent at all levels, with a particular focus on attracting diverse talent. AB has a sizable group of internal talent acquisition associates focused on recruiting, and AB has implemented various pe</w:t>
      </w:r>
      <w:r>
        <w:rPr>
          <w:rFonts w:eastAsia="Times New Roman"/>
          <w:color w:val="000000"/>
          <w:sz w:val="20"/>
          <w:szCs w:val="20"/>
        </w:rPr>
        <w:t>ople-related initiatives to develop and provide for a balanced workforce. Additionally, AB offers internship programs for students to work in positions across functional areas of the firm, and an important part of AB’s emerging talent and post-graduate rec</w:t>
      </w:r>
      <w:r>
        <w:rPr>
          <w:rFonts w:eastAsia="Times New Roman"/>
          <w:color w:val="000000"/>
          <w:sz w:val="20"/>
          <w:szCs w:val="20"/>
        </w:rPr>
        <w:t>ruitment strategy is to convert a high percentage of AB’s interns into full-time employees.</w:t>
      </w:r>
    </w:p>
    <w:p w:rsidR="00000000" w:rsidRDefault="00E54EC0">
      <w:pPr>
        <w:jc w:val="center"/>
        <w:divId w:val="1797672759"/>
        <w:rPr>
          <w:rFonts w:eastAsia="Times New Roman"/>
        </w:rPr>
      </w:pPr>
      <w:r>
        <w:rPr>
          <w:rFonts w:eastAsia="Times New Roman"/>
          <w:color w:val="000000"/>
          <w:sz w:val="20"/>
          <w:szCs w:val="20"/>
        </w:rPr>
        <w:t>53</w:t>
      </w:r>
    </w:p>
    <w:p w:rsidR="00000000" w:rsidRDefault="00E54EC0">
      <w:pPr>
        <w:rPr>
          <w:rFonts w:eastAsia="Times New Roman"/>
        </w:rPr>
      </w:pPr>
      <w:r>
        <w:rPr>
          <w:rFonts w:eastAsia="Times New Roman"/>
        </w:rPr>
        <w:pict>
          <v:rect id="_x0000_i1090" style="width:0;height:1.5pt" o:hralign="center" o:hrstd="t" o:hr="t" fillcolor="#a0a0a0" stroked="f"/>
        </w:pict>
      </w:r>
    </w:p>
    <w:p w:rsidR="00000000" w:rsidRDefault="00E54EC0">
      <w:pPr>
        <w:divId w:val="1572696878"/>
        <w:rPr>
          <w:rFonts w:eastAsia="Times New Roman"/>
        </w:rPr>
      </w:pPr>
    </w:p>
    <w:p w:rsidR="00000000" w:rsidRDefault="00E54EC0">
      <w:pPr>
        <w:divId w:val="1613171331"/>
        <w:rPr>
          <w:rFonts w:eastAsia="Times New Roman"/>
        </w:rPr>
      </w:pPr>
      <w:r>
        <w:rPr>
          <w:rFonts w:eastAsia="Times New Roman"/>
          <w:i/>
          <w:iCs/>
          <w:color w:val="000000"/>
          <w:sz w:val="20"/>
          <w:szCs w:val="20"/>
          <w:u w:val="single"/>
        </w:rPr>
        <w:t>Employee Engagement</w:t>
      </w:r>
    </w:p>
    <w:p w:rsidR="00000000" w:rsidRDefault="00E54EC0">
      <w:pPr>
        <w:ind w:firstLine="360"/>
        <w:divId w:val="1397626179"/>
        <w:rPr>
          <w:rFonts w:eastAsia="Times New Roman"/>
        </w:rPr>
      </w:pPr>
      <w:r>
        <w:rPr>
          <w:rFonts w:eastAsia="Times New Roman"/>
          <w:color w:val="000000"/>
          <w:sz w:val="20"/>
          <w:szCs w:val="20"/>
        </w:rPr>
        <w:t>AB believes a workforce is most productive, effective and highly engaged when they feel connected to A</w:t>
      </w:r>
      <w:r>
        <w:rPr>
          <w:rFonts w:eastAsia="Times New Roman"/>
          <w:color w:val="000000"/>
          <w:sz w:val="20"/>
          <w:szCs w:val="20"/>
        </w:rPr>
        <w:t>B’s business and culture. AB seeks to provide diverse work experiences, professional development opportunities, competitive compensation and benefits, an inclusive and diverse culture and social engagement projects to keep its employees motivated, connecte</w:t>
      </w:r>
      <w:r>
        <w:rPr>
          <w:rFonts w:eastAsia="Times New Roman"/>
          <w:color w:val="000000"/>
          <w:sz w:val="20"/>
          <w:szCs w:val="20"/>
        </w:rPr>
        <w:t>d to AB and engaged throughout their careers. AB strives to create a culture of intellectual curiosity and collaboration, creating an environment where AB’s employees can thrive and do their best work. AB fosters growth and advancement through different tr</w:t>
      </w:r>
      <w:r>
        <w:rPr>
          <w:rFonts w:eastAsia="Times New Roman"/>
          <w:color w:val="000000"/>
          <w:sz w:val="20"/>
          <w:szCs w:val="20"/>
        </w:rPr>
        <w:t>aining avenues to develop skill sets, create opportunities for networking, both internally and externally, and AB encourages internal mobility as a part of AB’s employees' career trajectory.</w:t>
      </w:r>
    </w:p>
    <w:p w:rsidR="00000000" w:rsidRDefault="00E54EC0">
      <w:pPr>
        <w:ind w:firstLine="360"/>
        <w:divId w:val="1024675987"/>
        <w:rPr>
          <w:rFonts w:eastAsia="Times New Roman"/>
        </w:rPr>
      </w:pPr>
      <w:r>
        <w:rPr>
          <w:rFonts w:eastAsia="Times New Roman"/>
          <w:color w:val="000000"/>
          <w:sz w:val="20"/>
          <w:szCs w:val="20"/>
        </w:rPr>
        <w:t>It is important that AB’s employees are not only connected to AB’</w:t>
      </w:r>
      <w:r>
        <w:rPr>
          <w:rFonts w:eastAsia="Times New Roman"/>
          <w:color w:val="000000"/>
          <w:sz w:val="20"/>
          <w:szCs w:val="20"/>
        </w:rPr>
        <w:t>s business but also to the communities in which AB operates. As such, AB offers many opportunities for its employees to volunteer in the communities in which AB serves, including AB’s firm- wide philanthropic initiative, AB Gives Back. Other initiatives in</w:t>
      </w:r>
      <w:r>
        <w:rPr>
          <w:rFonts w:eastAsia="Times New Roman"/>
          <w:color w:val="000000"/>
          <w:sz w:val="20"/>
          <w:szCs w:val="20"/>
        </w:rPr>
        <w:t xml:space="preserve"> support of these objectives include a five-year refresh award, whereby employees receive two additional weeks off for every five years of service. In addition, AB utilizes AB Voice, a periodic survey designed to measure employee satisfaction and engagemen</w:t>
      </w:r>
      <w:r>
        <w:rPr>
          <w:rFonts w:eastAsia="Times New Roman"/>
          <w:color w:val="000000"/>
          <w:sz w:val="20"/>
          <w:szCs w:val="20"/>
        </w:rPr>
        <w:t>t, allowing AB to identify and address performance gaps.</w:t>
      </w:r>
    </w:p>
    <w:p w:rsidR="00000000" w:rsidRDefault="00E54EC0">
      <w:pPr>
        <w:divId w:val="1113011824"/>
        <w:rPr>
          <w:rFonts w:eastAsia="Times New Roman"/>
        </w:rPr>
      </w:pPr>
      <w:r>
        <w:rPr>
          <w:rFonts w:eastAsia="Times New Roman"/>
          <w:i/>
          <w:iCs/>
          <w:color w:val="000000"/>
          <w:sz w:val="20"/>
          <w:szCs w:val="20"/>
          <w:u w:val="single"/>
        </w:rPr>
        <w:t>Diversity, Equity and Inclusion</w:t>
      </w:r>
    </w:p>
    <w:p w:rsidR="00000000" w:rsidRDefault="00E54EC0">
      <w:pPr>
        <w:ind w:firstLine="360"/>
        <w:divId w:val="218981204"/>
        <w:rPr>
          <w:rFonts w:eastAsia="Times New Roman"/>
        </w:rPr>
      </w:pPr>
      <w:r>
        <w:rPr>
          <w:rFonts w:eastAsia="Times New Roman"/>
          <w:color w:val="000000"/>
          <w:sz w:val="20"/>
          <w:szCs w:val="20"/>
        </w:rPr>
        <w:t>AB’s continued commitment to DEI across all facets of AB aligns with broader industry recognition of the workplace as both a working and learning community. AB believe</w:t>
      </w:r>
      <w:r>
        <w:rPr>
          <w:rFonts w:eastAsia="Times New Roman"/>
          <w:color w:val="000000"/>
          <w:sz w:val="20"/>
          <w:szCs w:val="20"/>
        </w:rPr>
        <w:t>s that AB plays a critical role in empowering its people though purpose and fostering an inclusive, collaborative environment and equitable culture that allows for connectivity, belonging and success at every level.</w:t>
      </w:r>
    </w:p>
    <w:p w:rsidR="00000000" w:rsidRDefault="00E54EC0">
      <w:pPr>
        <w:ind w:firstLine="360"/>
        <w:divId w:val="661739303"/>
        <w:rPr>
          <w:rFonts w:eastAsia="Times New Roman"/>
        </w:rPr>
      </w:pPr>
      <w:r>
        <w:rPr>
          <w:rFonts w:eastAsia="Times New Roman"/>
          <w:color w:val="000000"/>
          <w:sz w:val="20"/>
          <w:szCs w:val="20"/>
        </w:rPr>
        <w:t>A key element of AB’s ongoing journey ha</w:t>
      </w:r>
      <w:r>
        <w:rPr>
          <w:rFonts w:eastAsia="Times New Roman"/>
          <w:color w:val="000000"/>
          <w:sz w:val="20"/>
          <w:szCs w:val="20"/>
        </w:rPr>
        <w:t>s been to adapt as appropriate to evolving DEI industry trends. In 2022, AB formally incorporated the concept of "equity" into AB’s strategy and team name in an effort to more accurately reflect AB’s current and anticipated approach.</w:t>
      </w:r>
    </w:p>
    <w:p w:rsidR="00000000" w:rsidRDefault="00E54EC0">
      <w:pPr>
        <w:ind w:firstLine="360"/>
        <w:divId w:val="265894583"/>
        <w:rPr>
          <w:rFonts w:eastAsia="Times New Roman"/>
        </w:rPr>
      </w:pPr>
      <w:r>
        <w:rPr>
          <w:rFonts w:eastAsia="Times New Roman"/>
          <w:color w:val="000000"/>
          <w:sz w:val="20"/>
          <w:szCs w:val="20"/>
        </w:rPr>
        <w:t>AB's community engagem</w:t>
      </w:r>
      <w:r>
        <w:rPr>
          <w:rFonts w:eastAsia="Times New Roman"/>
          <w:color w:val="000000"/>
          <w:sz w:val="20"/>
          <w:szCs w:val="20"/>
        </w:rPr>
        <w:t>ent efforts have been further integrated under the DEI umbrella. To support AB’s grantee and community partners, bolster its commitment to its non-profit clients, and add value for its current and future employees, AB’s approach leverages four programs und</w:t>
      </w:r>
      <w:r>
        <w:rPr>
          <w:rFonts w:eastAsia="Times New Roman"/>
          <w:color w:val="000000"/>
          <w:sz w:val="20"/>
          <w:szCs w:val="20"/>
        </w:rPr>
        <w:t>er the "AB Gives Back" brand: philanthropy, volunteering, board participation and gift matching. Some highlights include improved student attendance and financial literacy in inner city neighborhoods and over 3,000 employee volunteer hours completed in 202</w:t>
      </w:r>
      <w:r>
        <w:rPr>
          <w:rFonts w:eastAsia="Times New Roman"/>
          <w:color w:val="000000"/>
          <w:sz w:val="20"/>
          <w:szCs w:val="20"/>
        </w:rPr>
        <w:t>2.</w:t>
      </w:r>
    </w:p>
    <w:p w:rsidR="00000000" w:rsidRDefault="00E54EC0">
      <w:pPr>
        <w:ind w:firstLine="360"/>
        <w:divId w:val="238951927"/>
        <w:rPr>
          <w:rFonts w:eastAsia="Times New Roman"/>
        </w:rPr>
      </w:pPr>
      <w:r>
        <w:rPr>
          <w:rFonts w:eastAsia="Times New Roman"/>
          <w:color w:val="000000"/>
          <w:sz w:val="20"/>
          <w:szCs w:val="20"/>
        </w:rPr>
        <w:t xml:space="preserve">AB has enhanced its talent attraction and retention approach to position AB as an employer of choice and increase investment in its people. AB has developed a diverse talent strategy with a goal of gaining a deeper understanding of the needs of diverse </w:t>
      </w:r>
      <w:r>
        <w:rPr>
          <w:rFonts w:eastAsia="Times New Roman"/>
          <w:color w:val="000000"/>
          <w:sz w:val="20"/>
          <w:szCs w:val="20"/>
        </w:rPr>
        <w:t xml:space="preserve">talent and also equipping managers with the necessary tools to effectively manage an increasingly diverse workforce. The strategy includes incorporating the concept of inclusive leadership into the firm-wide leadership development curriculum and providing </w:t>
      </w:r>
      <w:r>
        <w:rPr>
          <w:rFonts w:eastAsia="Times New Roman"/>
          <w:color w:val="000000"/>
          <w:sz w:val="20"/>
          <w:szCs w:val="20"/>
        </w:rPr>
        <w:t>opportunities to build relationships across the firm at all levels.</w:t>
      </w:r>
    </w:p>
    <w:p w:rsidR="00000000" w:rsidRDefault="00E54EC0">
      <w:pPr>
        <w:ind w:firstLine="360"/>
        <w:divId w:val="388840439"/>
        <w:rPr>
          <w:rFonts w:eastAsia="Times New Roman"/>
        </w:rPr>
      </w:pPr>
      <w:r>
        <w:rPr>
          <w:rFonts w:eastAsia="Times New Roman"/>
          <w:color w:val="000000"/>
          <w:sz w:val="20"/>
          <w:szCs w:val="20"/>
        </w:rPr>
        <w:t>Finally, AB’s people remain its top priority. Over the course of the last year, there has been a continued focus on education and deepening engagement across all pillars of AB’s strategy t</w:t>
      </w:r>
      <w:r>
        <w:rPr>
          <w:rFonts w:eastAsia="Times New Roman"/>
          <w:color w:val="000000"/>
          <w:sz w:val="20"/>
          <w:szCs w:val="20"/>
        </w:rPr>
        <w:t>o include Employee Resource Groups ("ERGs"), corporate partnerships, and the overall experience at AB. ERGs have been a major proponent of these efforts by cultivating spaces for courageous conversations, encouraging professional development and personal w</w:t>
      </w:r>
      <w:r>
        <w:rPr>
          <w:rFonts w:eastAsia="Times New Roman"/>
          <w:color w:val="000000"/>
          <w:sz w:val="20"/>
          <w:szCs w:val="20"/>
        </w:rPr>
        <w:t>ellness, and raising awareness for various underrepresented communities.</w:t>
      </w:r>
    </w:p>
    <w:p w:rsidR="00000000" w:rsidRDefault="00E54EC0">
      <w:pPr>
        <w:divId w:val="2123527100"/>
        <w:rPr>
          <w:rFonts w:eastAsia="Times New Roman"/>
        </w:rPr>
      </w:pPr>
      <w:r>
        <w:rPr>
          <w:rFonts w:eastAsia="Times New Roman"/>
          <w:i/>
          <w:iCs/>
          <w:color w:val="000000"/>
          <w:sz w:val="20"/>
          <w:szCs w:val="20"/>
          <w:u w:val="single"/>
        </w:rPr>
        <w:t>Compensation and Benefits</w:t>
      </w:r>
    </w:p>
    <w:p w:rsidR="00000000" w:rsidRDefault="00E54EC0">
      <w:pPr>
        <w:ind w:firstLine="360"/>
        <w:divId w:val="420951008"/>
        <w:rPr>
          <w:rFonts w:eastAsia="Times New Roman"/>
        </w:rPr>
      </w:pPr>
      <w:r>
        <w:rPr>
          <w:rFonts w:eastAsia="Times New Roman"/>
          <w:color w:val="000000"/>
          <w:sz w:val="20"/>
          <w:szCs w:val="20"/>
        </w:rPr>
        <w:t>AB consistently invests in its workforce by offering competitive compensation. AB utilizes a variety of compensation elements, including base salaries, annua</w:t>
      </w:r>
      <w:r>
        <w:rPr>
          <w:rFonts w:eastAsia="Times New Roman"/>
          <w:color w:val="000000"/>
          <w:sz w:val="20"/>
          <w:szCs w:val="20"/>
        </w:rPr>
        <w:t>l short-term compensation awards (i.e., cash bonuses) and, for those employees who earn more than $300,000 annually, a long-term compensation award program. Long-term incentive compensation awards generally are denominated in restricted AB Holding Units. A</w:t>
      </w:r>
      <w:r>
        <w:rPr>
          <w:rFonts w:eastAsia="Times New Roman"/>
          <w:color w:val="000000"/>
          <w:sz w:val="20"/>
          <w:szCs w:val="20"/>
        </w:rPr>
        <w:t>B utilizes this structure to foster a stronger sense of ownership and align the interests of AB’s employees directly with the interests of AB’s Unitholders and indirectly with the interests of its clients, as strong performance for AB’s clients generally c</w:t>
      </w:r>
      <w:r>
        <w:rPr>
          <w:rFonts w:eastAsia="Times New Roman"/>
          <w:color w:val="000000"/>
          <w:sz w:val="20"/>
          <w:szCs w:val="20"/>
        </w:rPr>
        <w:t xml:space="preserve">ontributes directly to increases in AUM and improved financial performance for the firm. </w:t>
      </w:r>
    </w:p>
    <w:p w:rsidR="00000000" w:rsidRDefault="00E54EC0">
      <w:pPr>
        <w:divId w:val="759839339"/>
        <w:rPr>
          <w:rFonts w:eastAsia="Times New Roman"/>
        </w:rPr>
      </w:pPr>
      <w:r>
        <w:rPr>
          <w:rFonts w:eastAsia="Times New Roman"/>
          <w:i/>
          <w:iCs/>
          <w:color w:val="000000"/>
          <w:sz w:val="20"/>
          <w:szCs w:val="20"/>
          <w:u w:val="single"/>
        </w:rPr>
        <w:t>Health, Safety and Flexibility of AB’s Workforce</w:t>
      </w:r>
    </w:p>
    <w:p w:rsidR="00000000" w:rsidRDefault="00E54EC0">
      <w:pPr>
        <w:jc w:val="center"/>
        <w:divId w:val="673071118"/>
        <w:rPr>
          <w:rFonts w:eastAsia="Times New Roman"/>
        </w:rPr>
      </w:pPr>
      <w:r>
        <w:rPr>
          <w:rFonts w:eastAsia="Times New Roman"/>
          <w:color w:val="000000"/>
          <w:sz w:val="20"/>
          <w:szCs w:val="20"/>
        </w:rPr>
        <w:t>54</w:t>
      </w:r>
    </w:p>
    <w:p w:rsidR="00000000" w:rsidRDefault="00E54EC0">
      <w:pPr>
        <w:rPr>
          <w:rFonts w:eastAsia="Times New Roman"/>
        </w:rPr>
      </w:pPr>
      <w:r>
        <w:rPr>
          <w:rFonts w:eastAsia="Times New Roman"/>
        </w:rPr>
        <w:pict>
          <v:rect id="_x0000_i1091" style="width:0;height:1.5pt" o:hralign="center" o:hrstd="t" o:hr="t" fillcolor="#a0a0a0" stroked="f"/>
        </w:pict>
      </w:r>
    </w:p>
    <w:p w:rsidR="00000000" w:rsidRDefault="00E54EC0">
      <w:pPr>
        <w:divId w:val="741754722"/>
        <w:rPr>
          <w:rFonts w:eastAsia="Times New Roman"/>
        </w:rPr>
      </w:pPr>
    </w:p>
    <w:p w:rsidR="00000000" w:rsidRDefault="00E54EC0">
      <w:pPr>
        <w:ind w:firstLine="360"/>
        <w:divId w:val="159542719"/>
        <w:rPr>
          <w:rFonts w:eastAsia="Times New Roman"/>
        </w:rPr>
      </w:pPr>
      <w:r>
        <w:rPr>
          <w:rFonts w:eastAsia="Times New Roman"/>
          <w:color w:val="000000"/>
          <w:sz w:val="20"/>
          <w:szCs w:val="20"/>
        </w:rPr>
        <w:t>During 2020, at the onset of COVID-19, AB mobilized to ensure the health and</w:t>
      </w:r>
      <w:r>
        <w:rPr>
          <w:rFonts w:eastAsia="Times New Roman"/>
          <w:color w:val="000000"/>
          <w:sz w:val="20"/>
          <w:szCs w:val="20"/>
        </w:rPr>
        <w:t xml:space="preserve"> safety of its employees globally. AB implemented business continuity measures, including travel restrictions and a work-from-home requirement for almost all personnel (other than a relatively small number of employees whose physical presence in AB’s offic</w:t>
      </w:r>
      <w:r>
        <w:rPr>
          <w:rFonts w:eastAsia="Times New Roman"/>
          <w:color w:val="000000"/>
          <w:sz w:val="20"/>
          <w:szCs w:val="20"/>
        </w:rPr>
        <w:t>es was considered critical), which lasted through the second quarter of 2021. Then, while continuing to closely monitor COVID-19 related conditions globally, AB developed return-to-office programs tailored locally, so that employees could feel safe knowing</w:t>
      </w:r>
      <w:r>
        <w:rPr>
          <w:rFonts w:eastAsia="Times New Roman"/>
          <w:color w:val="000000"/>
          <w:sz w:val="20"/>
          <w:szCs w:val="20"/>
        </w:rPr>
        <w:t xml:space="preserve"> that their health, and the health of their families, were a priority. This meant a staggered return to the office so that AB could monitor data while complying with local ordinances.</w:t>
      </w:r>
    </w:p>
    <w:p w:rsidR="00000000" w:rsidRDefault="00E54EC0">
      <w:pPr>
        <w:ind w:firstLine="360"/>
        <w:divId w:val="1314872313"/>
        <w:rPr>
          <w:rFonts w:eastAsia="Times New Roman"/>
        </w:rPr>
      </w:pPr>
      <w:r>
        <w:rPr>
          <w:rFonts w:eastAsia="Times New Roman"/>
          <w:color w:val="000000"/>
          <w:sz w:val="20"/>
          <w:szCs w:val="20"/>
        </w:rPr>
        <w:t>Beginning in July 2021, in the U.S. AB returned to the office three days</w:t>
      </w:r>
      <w:r>
        <w:rPr>
          <w:rFonts w:eastAsia="Times New Roman"/>
          <w:color w:val="000000"/>
          <w:sz w:val="20"/>
          <w:szCs w:val="20"/>
        </w:rPr>
        <w:t xml:space="preserve"> a week, alternating weeks through the end of 2021. In early 2022, while most of AB’s employees returned to the office full-time, AB offered employees the ability to work remotely up to two days per week given the ability and diligence AB’s employees demon</w:t>
      </w:r>
      <w:r>
        <w:rPr>
          <w:rFonts w:eastAsia="Times New Roman"/>
          <w:color w:val="000000"/>
          <w:sz w:val="20"/>
          <w:szCs w:val="20"/>
        </w:rPr>
        <w:t>strated while working remotely. By the end of 2022, all employees had returned to the office utilizing a hybrid work schedule, including the flexibility to work remotely up to two days per week. AB believes this approach allows AB’s employees to maintain t</w:t>
      </w:r>
      <w:r>
        <w:rPr>
          <w:rFonts w:eastAsia="Times New Roman"/>
          <w:color w:val="000000"/>
          <w:sz w:val="20"/>
          <w:szCs w:val="20"/>
        </w:rPr>
        <w:t>he important benefits of in-person collaboration while providing greater work-life balance.</w:t>
      </w:r>
    </w:p>
    <w:p w:rsidR="00000000" w:rsidRDefault="00E54EC0">
      <w:pPr>
        <w:divId w:val="2146042282"/>
        <w:rPr>
          <w:rFonts w:eastAsia="Times New Roman"/>
        </w:rPr>
      </w:pPr>
      <w:r>
        <w:rPr>
          <w:rFonts w:eastAsia="Times New Roman"/>
          <w:b/>
          <w:bCs/>
          <w:color w:val="000000"/>
          <w:sz w:val="20"/>
          <w:szCs w:val="20"/>
        </w:rPr>
        <w:t>Available Information</w:t>
      </w:r>
    </w:p>
    <w:p w:rsidR="00000000" w:rsidRDefault="00E54EC0">
      <w:pPr>
        <w:ind w:firstLine="360"/>
        <w:divId w:val="1705711591"/>
        <w:rPr>
          <w:rFonts w:eastAsia="Times New Roman"/>
        </w:rPr>
      </w:pPr>
      <w:r>
        <w:rPr>
          <w:rFonts w:eastAsia="Times New Roman"/>
          <w:color w:val="000000"/>
          <w:sz w:val="20"/>
          <w:szCs w:val="20"/>
        </w:rPr>
        <w:t>We maintain a public website at https://equitableholdings.com. We use our website as a routine channel for distribution of important informati</w:t>
      </w:r>
      <w:r>
        <w:rPr>
          <w:rFonts w:eastAsia="Times New Roman"/>
          <w:color w:val="000000"/>
          <w:sz w:val="20"/>
          <w:szCs w:val="20"/>
        </w:rPr>
        <w:t>on, including news releases, analyst presentations, financial information and corporate governance information. We post filings on our website as soon as practicable after they are electronically filed with, or furnished to, the SEC, including our annual a</w:t>
      </w:r>
      <w:r>
        <w:rPr>
          <w:rFonts w:eastAsia="Times New Roman"/>
          <w:color w:val="000000"/>
          <w:sz w:val="20"/>
          <w:szCs w:val="20"/>
        </w:rPr>
        <w:t xml:space="preserve">nd quarterly reports on Forms 10-K and 10-Q and current reports on Form 8-K; our proxy statements; and any amendments to those reports or statements. All such postings and filings are available on the “Investors” section of our website free of charge. The </w:t>
      </w:r>
      <w:r>
        <w:rPr>
          <w:rFonts w:eastAsia="Times New Roman"/>
          <w:color w:val="000000"/>
          <w:sz w:val="20"/>
          <w:szCs w:val="20"/>
        </w:rPr>
        <w:t>SEC’s website, www.sec.gov, contains reports, proxy and information statements, and other information regarding issuers that file electronically with the SEC.</w:t>
      </w:r>
    </w:p>
    <w:p w:rsidR="00000000" w:rsidRDefault="00E54EC0">
      <w:pPr>
        <w:ind w:firstLine="360"/>
        <w:divId w:val="199098481"/>
        <w:rPr>
          <w:rFonts w:eastAsia="Times New Roman"/>
        </w:rPr>
      </w:pPr>
      <w:r>
        <w:rPr>
          <w:rFonts w:eastAsia="Times New Roman"/>
          <w:color w:val="000000"/>
          <w:sz w:val="20"/>
          <w:szCs w:val="20"/>
        </w:rPr>
        <w:t>We may use our website as a means of disclosing material information and for complying with our d</w:t>
      </w:r>
      <w:r>
        <w:rPr>
          <w:rFonts w:eastAsia="Times New Roman"/>
          <w:color w:val="000000"/>
          <w:sz w:val="20"/>
          <w:szCs w:val="20"/>
        </w:rPr>
        <w:t>isclosure obligations under Regulation Fair Disclosure promulgated by the SEC. These disclosures are included on our website in the “Investors” section. Accordingly, investors should monitor this portion of our website, in addition to following our news re</w:t>
      </w:r>
      <w:r>
        <w:rPr>
          <w:rFonts w:eastAsia="Times New Roman"/>
          <w:color w:val="000000"/>
          <w:sz w:val="20"/>
          <w:szCs w:val="20"/>
        </w:rPr>
        <w:t>leases, SEC filings, public conference calls and webcasts. The information contained on or connected to our website is not a part of this Form 10-K.</w:t>
      </w:r>
    </w:p>
    <w:p w:rsidR="00000000" w:rsidRDefault="00E54EC0">
      <w:pPr>
        <w:divId w:val="1791822390"/>
        <w:rPr>
          <w:rFonts w:eastAsia="Times New Roman"/>
        </w:rPr>
      </w:pPr>
    </w:p>
    <w:p w:rsidR="00000000" w:rsidRDefault="00E54EC0">
      <w:pPr>
        <w:divId w:val="1271086202"/>
        <w:rPr>
          <w:rFonts w:eastAsia="Times New Roman"/>
        </w:rPr>
      </w:pPr>
      <w:r>
        <w:rPr>
          <w:rFonts w:eastAsia="Times New Roman"/>
          <w:b/>
          <w:bCs/>
          <w:color w:val="000000"/>
          <w:sz w:val="20"/>
          <w:szCs w:val="20"/>
        </w:rPr>
        <w:t>Part I, Item 1A.</w:t>
      </w:r>
    </w:p>
    <w:p w:rsidR="00000000" w:rsidRDefault="00E54EC0">
      <w:pPr>
        <w:jc w:val="center"/>
        <w:divId w:val="480195375"/>
        <w:rPr>
          <w:rFonts w:eastAsia="Times New Roman"/>
        </w:rPr>
      </w:pPr>
      <w:r>
        <w:rPr>
          <w:rFonts w:eastAsia="Times New Roman"/>
          <w:b/>
          <w:bCs/>
          <w:color w:val="000000"/>
          <w:sz w:val="20"/>
          <w:szCs w:val="20"/>
        </w:rPr>
        <w:t>RISK FACTORS</w:t>
      </w:r>
    </w:p>
    <w:p w:rsidR="00000000" w:rsidRDefault="00E54EC0">
      <w:pPr>
        <w:divId w:val="463546586"/>
        <w:rPr>
          <w:rFonts w:eastAsia="Times New Roman"/>
        </w:rPr>
      </w:pPr>
      <w:r>
        <w:rPr>
          <w:rFonts w:eastAsia="Times New Roman"/>
          <w:i/>
          <w:iCs/>
          <w:color w:val="000000"/>
          <w:sz w:val="20"/>
          <w:szCs w:val="20"/>
        </w:rPr>
        <w:t>You should read and consider all of the risks described below, as well as other information set forth in this Annual Report on Form 10-K. The risks described below are not the only ones we face. Many of these risks are interrelated and could occur under si</w:t>
      </w:r>
      <w:r>
        <w:rPr>
          <w:rFonts w:eastAsia="Times New Roman"/>
          <w:i/>
          <w:iCs/>
          <w:color w:val="000000"/>
          <w:sz w:val="20"/>
          <w:szCs w:val="20"/>
        </w:rPr>
        <w:t>milar business and economic conditions, and the occurrence of certain of them may in turn cause the emergence or exacerbate the effect of others. Such a combination could materially increase the severity of the impact of these risks on our businesses, resu</w:t>
      </w:r>
      <w:r>
        <w:rPr>
          <w:rFonts w:eastAsia="Times New Roman"/>
          <w:i/>
          <w:iCs/>
          <w:color w:val="000000"/>
          <w:sz w:val="20"/>
          <w:szCs w:val="20"/>
        </w:rPr>
        <w:t>lts of operations, financial condition or liquidity.</w:t>
      </w:r>
    </w:p>
    <w:p w:rsidR="00000000" w:rsidRDefault="00E54EC0">
      <w:pPr>
        <w:jc w:val="center"/>
        <w:divId w:val="1301157610"/>
        <w:rPr>
          <w:rFonts w:eastAsia="Times New Roman"/>
        </w:rPr>
      </w:pPr>
      <w:r>
        <w:rPr>
          <w:rFonts w:eastAsia="Times New Roman"/>
          <w:b/>
          <w:bCs/>
          <w:color w:val="000000"/>
          <w:sz w:val="20"/>
          <w:szCs w:val="20"/>
        </w:rPr>
        <w:t>Risks Relating to Our Consolidated Business</w:t>
      </w:r>
    </w:p>
    <w:p w:rsidR="00000000" w:rsidRDefault="00E54EC0">
      <w:pPr>
        <w:divId w:val="188953478"/>
        <w:rPr>
          <w:rFonts w:eastAsia="Times New Roman"/>
        </w:rPr>
      </w:pPr>
      <w:r>
        <w:rPr>
          <w:rFonts w:eastAsia="Times New Roman"/>
          <w:b/>
          <w:bCs/>
          <w:color w:val="000000"/>
          <w:sz w:val="20"/>
          <w:szCs w:val="20"/>
        </w:rPr>
        <w:t>Risks Relating to Conditions in the Financial Markets and Economy</w:t>
      </w:r>
    </w:p>
    <w:p w:rsidR="00000000" w:rsidRDefault="00E54EC0">
      <w:pPr>
        <w:jc w:val="both"/>
        <w:divId w:val="1033458954"/>
        <w:rPr>
          <w:rFonts w:eastAsia="Times New Roman"/>
        </w:rPr>
      </w:pPr>
      <w:r>
        <w:rPr>
          <w:rFonts w:eastAsia="Times New Roman"/>
          <w:b/>
          <w:bCs/>
          <w:i/>
          <w:iCs/>
          <w:color w:val="000000"/>
          <w:sz w:val="20"/>
          <w:szCs w:val="20"/>
        </w:rPr>
        <w:t>Conditions in the global capital markets and the economy.</w:t>
      </w:r>
    </w:p>
    <w:p w:rsidR="00000000" w:rsidRDefault="00E54EC0">
      <w:pPr>
        <w:ind w:firstLine="360"/>
        <w:divId w:val="2055806900"/>
        <w:rPr>
          <w:rFonts w:eastAsia="Times New Roman"/>
        </w:rPr>
      </w:pPr>
      <w:r>
        <w:rPr>
          <w:rFonts w:eastAsia="Times New Roman"/>
          <w:color w:val="000000"/>
          <w:sz w:val="20"/>
          <w:szCs w:val="20"/>
        </w:rPr>
        <w:t>Our business, results of operations or financial condition are materially affected by conditions in the global capital markets and the economy. A wide variety of factors continue to impact economic conditions and consumer confidence. These factors include,</w:t>
      </w:r>
      <w:r>
        <w:rPr>
          <w:rFonts w:eastAsia="Times New Roman"/>
          <w:color w:val="000000"/>
          <w:sz w:val="20"/>
          <w:szCs w:val="20"/>
        </w:rPr>
        <w:t xml:space="preserve"> among others, concerns over resurgences of COVID-19 and consumer and government reactions thereto, the potential of a U.S. government default, increased volatility in the capital markets, equity market declines, rising interest rates, inflationary pressur</w:t>
      </w:r>
      <w:r>
        <w:rPr>
          <w:rFonts w:eastAsia="Times New Roman"/>
          <w:color w:val="000000"/>
          <w:sz w:val="20"/>
          <w:szCs w:val="20"/>
        </w:rPr>
        <w:t>es fueling concerns of a potential recession, plateauing or decreasing economic growth, high fuel and energy costs and changes in fiscal or monetary policy. The Russian invasion of the Ukraine and the sanctions and other measures imposed in response to thi</w:t>
      </w:r>
      <w:r>
        <w:rPr>
          <w:rFonts w:eastAsia="Times New Roman"/>
          <w:color w:val="000000"/>
          <w:sz w:val="20"/>
          <w:szCs w:val="20"/>
        </w:rPr>
        <w:t>s conflict have significantly increased the level of volatility in the financial markets and have increased the level of economic and political uncertainty. Given our interest rate and equity market exposure in our investment and derivatives portfolios and</w:t>
      </w:r>
      <w:r>
        <w:rPr>
          <w:rFonts w:eastAsia="Times New Roman"/>
          <w:color w:val="000000"/>
          <w:sz w:val="20"/>
          <w:szCs w:val="20"/>
        </w:rPr>
        <w:t xml:space="preserve"> many of our products, these factors could have a material adverse effect on us. The value of our investments and derivatives portfolios may also be adversely affected by reductions in price transparency, changes in the assumptions or methodology we use to</w:t>
      </w:r>
      <w:r>
        <w:rPr>
          <w:rFonts w:eastAsia="Times New Roman"/>
          <w:color w:val="000000"/>
          <w:sz w:val="20"/>
          <w:szCs w:val="20"/>
        </w:rPr>
        <w:t xml:space="preserve"> estimate fair value and changes in investor confidence or preferences, which could potentially result in higher realized or unrealized losses. Market volatility may also make it difficult to transact in or to value certain of our securities if trading bec</w:t>
      </w:r>
      <w:r>
        <w:rPr>
          <w:rFonts w:eastAsia="Times New Roman"/>
          <w:color w:val="000000"/>
          <w:sz w:val="20"/>
          <w:szCs w:val="20"/>
        </w:rPr>
        <w:t>omes less frequent.</w:t>
      </w:r>
    </w:p>
    <w:p w:rsidR="00000000" w:rsidRDefault="00E54EC0">
      <w:pPr>
        <w:jc w:val="center"/>
        <w:divId w:val="1548178150"/>
        <w:rPr>
          <w:rFonts w:eastAsia="Times New Roman"/>
        </w:rPr>
      </w:pPr>
      <w:r>
        <w:rPr>
          <w:rFonts w:eastAsia="Times New Roman"/>
          <w:color w:val="000000"/>
          <w:sz w:val="20"/>
          <w:szCs w:val="20"/>
        </w:rPr>
        <w:t>55</w:t>
      </w:r>
    </w:p>
    <w:p w:rsidR="00000000" w:rsidRDefault="00E54EC0">
      <w:pPr>
        <w:rPr>
          <w:rFonts w:eastAsia="Times New Roman"/>
        </w:rPr>
      </w:pPr>
      <w:r>
        <w:rPr>
          <w:rFonts w:eastAsia="Times New Roman"/>
        </w:rPr>
        <w:pict>
          <v:rect id="_x0000_i1092" style="width:0;height:1.5pt" o:hralign="center" o:hrstd="t" o:hr="t" fillcolor="#a0a0a0" stroked="f"/>
        </w:pict>
      </w:r>
    </w:p>
    <w:p w:rsidR="00000000" w:rsidRDefault="00E54EC0">
      <w:pPr>
        <w:divId w:val="1769692710"/>
        <w:rPr>
          <w:rFonts w:eastAsia="Times New Roman"/>
        </w:rPr>
      </w:pPr>
    </w:p>
    <w:p w:rsidR="00000000" w:rsidRDefault="00E54EC0">
      <w:pPr>
        <w:ind w:firstLine="360"/>
        <w:divId w:val="1109743447"/>
        <w:rPr>
          <w:rFonts w:eastAsia="Times New Roman"/>
        </w:rPr>
      </w:pPr>
      <w:r>
        <w:rPr>
          <w:rFonts w:eastAsia="Times New Roman"/>
          <w:color w:val="000000"/>
          <w:sz w:val="20"/>
          <w:szCs w:val="20"/>
        </w:rPr>
        <w:t>In an economic downturn, the demand for our products and our investment returns could be materially and adversely affected. The profitability of many of our products depends in part on the value</w:t>
      </w:r>
      <w:r>
        <w:rPr>
          <w:rFonts w:eastAsia="Times New Roman"/>
          <w:color w:val="000000"/>
          <w:sz w:val="20"/>
          <w:szCs w:val="20"/>
        </w:rPr>
        <w:t xml:space="preserve"> of the assets supporting them, which may fluctuate substantially depending on various market conditions. In addition, a change in market conditions could cause a change in consumer sentiment and adversely affect sales and could cause the actual persistenc</w:t>
      </w:r>
      <w:r>
        <w:rPr>
          <w:rFonts w:eastAsia="Times New Roman"/>
          <w:color w:val="000000"/>
          <w:sz w:val="20"/>
          <w:szCs w:val="20"/>
        </w:rPr>
        <w:t>y of these products to vary from their anticipated persistency and adversely affect profitability. Our policyholders may choose to defer paying insurance premiums or stop paying insurance premiums altogether. In addition, market conditions may adversely af</w:t>
      </w:r>
      <w:r>
        <w:rPr>
          <w:rFonts w:eastAsia="Times New Roman"/>
          <w:color w:val="000000"/>
          <w:sz w:val="20"/>
          <w:szCs w:val="20"/>
        </w:rPr>
        <w:t>fect the availability and cost of reinsurance protections and the availability and performance of hedging instruments.</w:t>
      </w:r>
    </w:p>
    <w:p w:rsidR="00000000" w:rsidRDefault="00E54EC0">
      <w:pPr>
        <w:jc w:val="both"/>
        <w:divId w:val="1460804179"/>
        <w:rPr>
          <w:rFonts w:eastAsia="Times New Roman"/>
        </w:rPr>
      </w:pPr>
      <w:r>
        <w:rPr>
          <w:rFonts w:eastAsia="Times New Roman"/>
          <w:b/>
          <w:bCs/>
          <w:i/>
          <w:iCs/>
          <w:color w:val="000000"/>
          <w:sz w:val="20"/>
          <w:szCs w:val="20"/>
        </w:rPr>
        <w:t>Equity market declines and volatility.</w:t>
      </w:r>
    </w:p>
    <w:p w:rsidR="00000000" w:rsidRDefault="00E54EC0">
      <w:pPr>
        <w:ind w:firstLine="360"/>
        <w:divId w:val="1865240021"/>
        <w:rPr>
          <w:rFonts w:eastAsia="Times New Roman"/>
        </w:rPr>
      </w:pPr>
      <w:r>
        <w:rPr>
          <w:rFonts w:eastAsia="Times New Roman"/>
          <w:color w:val="000000"/>
          <w:sz w:val="20"/>
          <w:szCs w:val="20"/>
        </w:rPr>
        <w:t>Declines or volatility in the equity markets can negatively impact our business, results of operat</w:t>
      </w:r>
      <w:r>
        <w:rPr>
          <w:rFonts w:eastAsia="Times New Roman"/>
          <w:color w:val="000000"/>
          <w:sz w:val="20"/>
          <w:szCs w:val="20"/>
        </w:rPr>
        <w:t>ions or financial condition. For example, equity market declines or volatility could decrease our AUM, the AV of our annuity and variable life contracts, or AUA, which, in turn, would reduce the amount of revenue we derive from fees charged on those accoun</w:t>
      </w:r>
      <w:r>
        <w:rPr>
          <w:rFonts w:eastAsia="Times New Roman"/>
          <w:color w:val="000000"/>
          <w:sz w:val="20"/>
          <w:szCs w:val="20"/>
        </w:rPr>
        <w:t>t and asset values. Our variable annuity business is particularly sensitive to equity markets, and sustained weakness or stagnation in equity markets could decrease its revenues and earnings. At the same time, for variable annuity contracts that include GM</w:t>
      </w:r>
      <w:r>
        <w:rPr>
          <w:rFonts w:eastAsia="Times New Roman"/>
          <w:color w:val="000000"/>
          <w:sz w:val="20"/>
          <w:szCs w:val="20"/>
        </w:rPr>
        <w:t>xB features, equity market declines increase the amount of our potential obligations related to such GMxB features and could increase the cost of executing GMxB-related hedges beyond what was anticipated in the pricing of the products being hedged. This co</w:t>
      </w:r>
      <w:r>
        <w:rPr>
          <w:rFonts w:eastAsia="Times New Roman"/>
          <w:color w:val="000000"/>
          <w:sz w:val="20"/>
          <w:szCs w:val="20"/>
        </w:rPr>
        <w:t>uld result in an increase in claims and reserves related to those contracts, net of any reinsurance reimbursements or proceeds from our hedging programs. Equity market declines and volatility may also influence policyholder behavior, which may adversely im</w:t>
      </w:r>
      <w:r>
        <w:rPr>
          <w:rFonts w:eastAsia="Times New Roman"/>
          <w:color w:val="000000"/>
          <w:sz w:val="20"/>
          <w:szCs w:val="20"/>
        </w:rPr>
        <w:t>pact the levels of surrenders, withdrawals and amounts of withdrawals of our annuity and variable life contracts or cause policyholders to reallocate a portion of their account balances to more conservative investment options (which may have lower fees), w</w:t>
      </w:r>
      <w:r>
        <w:rPr>
          <w:rFonts w:eastAsia="Times New Roman"/>
          <w:color w:val="000000"/>
          <w:sz w:val="20"/>
          <w:szCs w:val="20"/>
        </w:rPr>
        <w:t>hich could negatively impact our future profitability or increase our benefit obligations particularly if they were to remain in such options during an equity market increase. Market volatility can negatively impact the value of equity securities we hold f</w:t>
      </w:r>
      <w:r>
        <w:rPr>
          <w:rFonts w:eastAsia="Times New Roman"/>
          <w:color w:val="000000"/>
          <w:sz w:val="20"/>
          <w:szCs w:val="20"/>
        </w:rPr>
        <w:t>or investment which could in turn reduce the statutory capital of certain of our insurance subsidiaries. In addition, equity market volatility could reduce demand for variable products relative to fixed products, lead to changes in estimates underlying our</w:t>
      </w:r>
      <w:r>
        <w:rPr>
          <w:rFonts w:eastAsia="Times New Roman"/>
          <w:color w:val="000000"/>
          <w:sz w:val="20"/>
          <w:szCs w:val="20"/>
        </w:rPr>
        <w:t xml:space="preserve"> calculations of DAC that, in turn, could accelerate our DAC amortization and reduce our current earnings and result in changes to the fair value of our GMIB reinsurance contracts and GMxB liabilities, which could increase the volatility of our earnings. L</w:t>
      </w:r>
      <w:r>
        <w:rPr>
          <w:rFonts w:eastAsia="Times New Roman"/>
          <w:color w:val="000000"/>
          <w:sz w:val="20"/>
          <w:szCs w:val="20"/>
        </w:rPr>
        <w:t>astly, periods of high market volatility or adverse conditions could decrease the availability or increase the cost of derivatives.</w:t>
      </w:r>
    </w:p>
    <w:p w:rsidR="00000000" w:rsidRDefault="00E54EC0">
      <w:pPr>
        <w:jc w:val="both"/>
        <w:divId w:val="1998141785"/>
        <w:rPr>
          <w:rFonts w:eastAsia="Times New Roman"/>
        </w:rPr>
      </w:pPr>
      <w:r>
        <w:rPr>
          <w:rFonts w:eastAsia="Times New Roman"/>
          <w:b/>
          <w:bCs/>
          <w:i/>
          <w:iCs/>
          <w:color w:val="000000"/>
          <w:sz w:val="20"/>
          <w:szCs w:val="20"/>
        </w:rPr>
        <w:t>Interest rate fluctuations.</w:t>
      </w:r>
    </w:p>
    <w:p w:rsidR="00000000" w:rsidRDefault="00E54EC0">
      <w:pPr>
        <w:ind w:firstLine="360"/>
        <w:divId w:val="503328164"/>
        <w:rPr>
          <w:rFonts w:eastAsia="Times New Roman"/>
        </w:rPr>
      </w:pPr>
      <w:r>
        <w:rPr>
          <w:rFonts w:eastAsia="Times New Roman"/>
          <w:color w:val="000000"/>
          <w:sz w:val="20"/>
          <w:szCs w:val="20"/>
        </w:rPr>
        <w:t>Some of our retirement and protection products and certain of our investment products, and our i</w:t>
      </w:r>
      <w:r>
        <w:rPr>
          <w:rFonts w:eastAsia="Times New Roman"/>
          <w:color w:val="000000"/>
          <w:sz w:val="20"/>
          <w:szCs w:val="20"/>
        </w:rPr>
        <w:t>nvestment returns, are sensitive to interest rate fluctuations, and changes in interest rates and interest rate benchmarks may adversely affect our investment returns and results of operations, including in the following respects:</w:t>
      </w:r>
    </w:p>
    <w:p w:rsidR="00000000" w:rsidRDefault="00E54EC0">
      <w:pPr>
        <w:ind w:hanging="360"/>
        <w:divId w:val="2013295726"/>
        <w:rPr>
          <w:rFonts w:eastAsia="Times New Roman"/>
        </w:rPr>
      </w:pPr>
      <w:r>
        <w:rPr>
          <w:rFonts w:eastAsia="Times New Roman"/>
          <w:color w:val="000000"/>
          <w:sz w:val="20"/>
          <w:szCs w:val="20"/>
        </w:rPr>
        <w:t>•changes in interest rate</w:t>
      </w:r>
      <w:r>
        <w:rPr>
          <w:rFonts w:eastAsia="Times New Roman"/>
          <w:color w:val="000000"/>
          <w:sz w:val="20"/>
          <w:szCs w:val="20"/>
        </w:rPr>
        <w:t>s may reduce the spread on some of our products between the amounts that we are required to pay under the contracts and the rate of return we are able to earn on our General Account investments supporting the contracts;</w:t>
      </w:r>
    </w:p>
    <w:p w:rsidR="00000000" w:rsidRDefault="00E54EC0">
      <w:pPr>
        <w:ind w:hanging="360"/>
        <w:divId w:val="1072848889"/>
        <w:rPr>
          <w:rFonts w:eastAsia="Times New Roman"/>
        </w:rPr>
      </w:pPr>
      <w:r>
        <w:rPr>
          <w:rFonts w:eastAsia="Times New Roman"/>
          <w:color w:val="000000"/>
          <w:sz w:val="20"/>
          <w:szCs w:val="20"/>
        </w:rPr>
        <w:t>•when interest rates rise rapidly, p</w:t>
      </w:r>
      <w:r>
        <w:rPr>
          <w:rFonts w:eastAsia="Times New Roman"/>
          <w:color w:val="000000"/>
          <w:sz w:val="20"/>
          <w:szCs w:val="20"/>
        </w:rPr>
        <w:t>olicy loans and surrenders and withdrawals of annuity contracts and life insurance policies may increase, requiring us to sell investment assets potentially resulting in realized investment losses, or requiring us to accelerate the amortization of DAC, whi</w:t>
      </w:r>
      <w:r>
        <w:rPr>
          <w:rFonts w:eastAsia="Times New Roman"/>
          <w:color w:val="000000"/>
          <w:sz w:val="20"/>
          <w:szCs w:val="20"/>
        </w:rPr>
        <w:t>ch could reduce our net income;</w:t>
      </w:r>
    </w:p>
    <w:p w:rsidR="00000000" w:rsidRDefault="00E54EC0">
      <w:pPr>
        <w:ind w:hanging="360"/>
        <w:divId w:val="1745184831"/>
        <w:rPr>
          <w:rFonts w:eastAsia="Times New Roman"/>
        </w:rPr>
      </w:pPr>
      <w:r>
        <w:rPr>
          <w:rFonts w:eastAsia="Times New Roman"/>
          <w:color w:val="000000"/>
          <w:sz w:val="20"/>
          <w:szCs w:val="20"/>
        </w:rPr>
        <w:t>•a decline in interest rates accompanied by unexpected prepayments of certain investments may result in reduced investment income and a decline in our profitability. An increase in interest rates accompanied by unexpected ex</w:t>
      </w:r>
      <w:r>
        <w:rPr>
          <w:rFonts w:eastAsia="Times New Roman"/>
          <w:color w:val="000000"/>
          <w:sz w:val="20"/>
          <w:szCs w:val="20"/>
        </w:rPr>
        <w:t>tensions of certain lower yielding investments may result in a decline in our profitability;</w:t>
      </w:r>
    </w:p>
    <w:p w:rsidR="00000000" w:rsidRDefault="00E54EC0">
      <w:pPr>
        <w:ind w:hanging="360"/>
        <w:divId w:val="1404792106"/>
        <w:rPr>
          <w:rFonts w:eastAsia="Times New Roman"/>
        </w:rPr>
      </w:pPr>
      <w:r>
        <w:rPr>
          <w:rFonts w:eastAsia="Times New Roman"/>
          <w:color w:val="000000"/>
          <w:sz w:val="20"/>
          <w:szCs w:val="20"/>
        </w:rPr>
        <w:t>•changes in the relationship between long-term and short-term interest rates may adversely affect the profitability of some of our products;</w:t>
      </w:r>
    </w:p>
    <w:p w:rsidR="00000000" w:rsidRDefault="00E54EC0">
      <w:pPr>
        <w:ind w:hanging="360"/>
        <w:divId w:val="498619023"/>
        <w:rPr>
          <w:rFonts w:eastAsia="Times New Roman"/>
        </w:rPr>
      </w:pPr>
      <w:r>
        <w:rPr>
          <w:rFonts w:eastAsia="Times New Roman"/>
          <w:color w:val="000000"/>
          <w:sz w:val="20"/>
          <w:szCs w:val="20"/>
        </w:rPr>
        <w:t>•changes in interest r</w:t>
      </w:r>
      <w:r>
        <w:rPr>
          <w:rFonts w:eastAsia="Times New Roman"/>
          <w:color w:val="000000"/>
          <w:sz w:val="20"/>
          <w:szCs w:val="20"/>
        </w:rPr>
        <w:t>ates could result in changes to the fair value of our GMIB reinsurance contracts asset, which could increase the volatility of our earnings;</w:t>
      </w:r>
    </w:p>
    <w:p w:rsidR="00000000" w:rsidRDefault="00E54EC0">
      <w:pPr>
        <w:ind w:hanging="360"/>
        <w:divId w:val="1791625849"/>
        <w:rPr>
          <w:rFonts w:eastAsia="Times New Roman"/>
        </w:rPr>
      </w:pPr>
      <w:r>
        <w:rPr>
          <w:rFonts w:eastAsia="Times New Roman"/>
          <w:color w:val="000000"/>
          <w:sz w:val="20"/>
          <w:szCs w:val="20"/>
        </w:rPr>
        <w:t>•changes in interest rates could result in changes to the fair value liability of our variable annuity GMxB busines</w:t>
      </w:r>
      <w:r>
        <w:rPr>
          <w:rFonts w:eastAsia="Times New Roman"/>
          <w:color w:val="000000"/>
          <w:sz w:val="20"/>
          <w:szCs w:val="20"/>
        </w:rPr>
        <w:t>s;</w:t>
      </w:r>
    </w:p>
    <w:p w:rsidR="00000000" w:rsidRDefault="00E54EC0">
      <w:pPr>
        <w:ind w:hanging="360"/>
        <w:divId w:val="1030842783"/>
        <w:rPr>
          <w:rFonts w:eastAsia="Times New Roman"/>
        </w:rPr>
      </w:pPr>
      <w:r>
        <w:rPr>
          <w:rFonts w:eastAsia="Times New Roman"/>
          <w:color w:val="000000"/>
          <w:sz w:val="20"/>
          <w:szCs w:val="20"/>
        </w:rPr>
        <w:t>•changes in interest rates may adversely impact our liquidity and increase our costs of financing and hedges;</w:t>
      </w:r>
    </w:p>
    <w:p w:rsidR="00000000" w:rsidRDefault="00E54EC0">
      <w:pPr>
        <w:ind w:hanging="360"/>
        <w:divId w:val="260114415"/>
        <w:rPr>
          <w:rFonts w:eastAsia="Times New Roman"/>
        </w:rPr>
      </w:pPr>
      <w:r>
        <w:rPr>
          <w:rFonts w:eastAsia="Times New Roman"/>
          <w:color w:val="000000"/>
          <w:sz w:val="20"/>
          <w:szCs w:val="20"/>
        </w:rPr>
        <w:t>•we may not be able to effectively mitigate and we may sometimes choose not to fully mitigate or to increase, the interest rate risk of our ass</w:t>
      </w:r>
      <w:r>
        <w:rPr>
          <w:rFonts w:eastAsia="Times New Roman"/>
          <w:color w:val="000000"/>
          <w:sz w:val="20"/>
          <w:szCs w:val="20"/>
        </w:rPr>
        <w:t xml:space="preserve">ets relative to our liabilities; </w:t>
      </w:r>
    </w:p>
    <w:p w:rsidR="00000000" w:rsidRDefault="00E54EC0">
      <w:pPr>
        <w:jc w:val="center"/>
        <w:divId w:val="1814253029"/>
        <w:rPr>
          <w:rFonts w:eastAsia="Times New Roman"/>
        </w:rPr>
      </w:pPr>
      <w:r>
        <w:rPr>
          <w:rFonts w:eastAsia="Times New Roman"/>
          <w:color w:val="000000"/>
          <w:sz w:val="20"/>
          <w:szCs w:val="20"/>
        </w:rPr>
        <w:t>56</w:t>
      </w:r>
    </w:p>
    <w:p w:rsidR="00000000" w:rsidRDefault="00E54EC0">
      <w:pPr>
        <w:rPr>
          <w:rFonts w:eastAsia="Times New Roman"/>
        </w:rPr>
      </w:pPr>
      <w:r>
        <w:rPr>
          <w:rFonts w:eastAsia="Times New Roman"/>
        </w:rPr>
        <w:pict>
          <v:rect id="_x0000_i1093" style="width:0;height:1.5pt" o:hralign="center" o:hrstd="t" o:hr="t" fillcolor="#a0a0a0" stroked="f"/>
        </w:pict>
      </w:r>
    </w:p>
    <w:p w:rsidR="00000000" w:rsidRDefault="00E54EC0">
      <w:pPr>
        <w:divId w:val="1493720850"/>
        <w:rPr>
          <w:rFonts w:eastAsia="Times New Roman"/>
        </w:rPr>
      </w:pPr>
    </w:p>
    <w:p w:rsidR="00000000" w:rsidRDefault="00E54EC0">
      <w:pPr>
        <w:ind w:hanging="360"/>
        <w:divId w:val="369300548"/>
        <w:rPr>
          <w:rFonts w:eastAsia="Times New Roman"/>
        </w:rPr>
      </w:pPr>
      <w:r>
        <w:rPr>
          <w:rFonts w:eastAsia="Times New Roman"/>
          <w:color w:val="000000"/>
          <w:sz w:val="20"/>
          <w:szCs w:val="20"/>
        </w:rPr>
        <w:t>•</w:t>
      </w:r>
      <w:r>
        <w:rPr>
          <w:rFonts w:eastAsia="Times New Roman"/>
          <w:color w:val="000000"/>
          <w:sz w:val="20"/>
          <w:szCs w:val="20"/>
        </w:rPr>
        <w:t>the delay between the time we make changes in interest rate and other assumptions used for product pricing and the time we are able to reflect such changes in assumptions in products available for sale may negatively impact the long-term profitability of c</w:t>
      </w:r>
      <w:r>
        <w:rPr>
          <w:rFonts w:eastAsia="Times New Roman"/>
          <w:color w:val="000000"/>
          <w:sz w:val="20"/>
          <w:szCs w:val="20"/>
        </w:rPr>
        <w:t xml:space="preserve">ertain products sold during the intervening period; and </w:t>
      </w:r>
    </w:p>
    <w:p w:rsidR="00000000" w:rsidRDefault="00E54EC0">
      <w:pPr>
        <w:ind w:hanging="360"/>
        <w:jc w:val="both"/>
        <w:divId w:val="115418347"/>
        <w:rPr>
          <w:rFonts w:eastAsia="Times New Roman"/>
        </w:rPr>
      </w:pPr>
      <w:r>
        <w:rPr>
          <w:rFonts w:eastAsia="Times New Roman"/>
          <w:color w:val="000000"/>
          <w:sz w:val="20"/>
          <w:szCs w:val="20"/>
        </w:rPr>
        <w:t>•rising interest rates could cause our statutory interest maintenance reserve to become negative which could impact our capital and liquidity.</w:t>
      </w:r>
    </w:p>
    <w:p w:rsidR="00000000" w:rsidRDefault="00E54EC0">
      <w:pPr>
        <w:jc w:val="both"/>
        <w:divId w:val="1765763755"/>
        <w:rPr>
          <w:rFonts w:eastAsia="Times New Roman"/>
        </w:rPr>
      </w:pPr>
      <w:r>
        <w:rPr>
          <w:rFonts w:eastAsia="Times New Roman"/>
          <w:b/>
          <w:bCs/>
          <w:i/>
          <w:iCs/>
          <w:color w:val="000000"/>
          <w:sz w:val="20"/>
          <w:szCs w:val="20"/>
        </w:rPr>
        <w:t>The coronavirus (COVID-19) pandemic.</w:t>
      </w:r>
    </w:p>
    <w:p w:rsidR="00000000" w:rsidRDefault="00E54EC0">
      <w:pPr>
        <w:ind w:firstLine="360"/>
        <w:divId w:val="1345396859"/>
        <w:rPr>
          <w:rFonts w:eastAsia="Times New Roman"/>
        </w:rPr>
      </w:pPr>
      <w:r>
        <w:rPr>
          <w:rFonts w:eastAsia="Times New Roman"/>
          <w:color w:val="000000"/>
          <w:sz w:val="20"/>
          <w:szCs w:val="20"/>
        </w:rPr>
        <w:t>The COVID-19 pandem</w:t>
      </w:r>
      <w:r>
        <w:rPr>
          <w:rFonts w:eastAsia="Times New Roman"/>
          <w:color w:val="000000"/>
          <w:sz w:val="20"/>
          <w:szCs w:val="20"/>
        </w:rPr>
        <w:t>ic has negatively impacted the U.S. and global economies. Over the last few years, efforts to prevent the spread of COVID-19 have affected our business directly in a number of ways, including through the temporary closures of many businesses and schools an</w:t>
      </w:r>
      <w:r>
        <w:rPr>
          <w:rFonts w:eastAsia="Times New Roman"/>
          <w:color w:val="000000"/>
          <w:sz w:val="20"/>
          <w:szCs w:val="20"/>
        </w:rPr>
        <w:t>d the institution of social distancing requirements in many states and local communities. As businesses and schools have reopened, many have restricted or limited access. Although pandemic-related restrictions have been lifted in many places, resurgences o</w:t>
      </w:r>
      <w:r>
        <w:rPr>
          <w:rFonts w:eastAsia="Times New Roman"/>
          <w:color w:val="000000"/>
          <w:sz w:val="20"/>
          <w:szCs w:val="20"/>
        </w:rPr>
        <w:t xml:space="preserve">f COVID-19 in various regions and appearances of new variants of the virus, has resulted, and may continue to result, in their full or partial reinstitution. In addition, although many countries have vaccinated large segments of their population, COVID-19 </w:t>
      </w:r>
      <w:r>
        <w:rPr>
          <w:rFonts w:eastAsia="Times New Roman"/>
          <w:color w:val="000000"/>
          <w:sz w:val="20"/>
          <w:szCs w:val="20"/>
        </w:rPr>
        <w:t>continues to interrupt business activities and trade in many countries, which has caused a significant impact on the economies and financial markets of many countries including an economic downturn. We expect these impacts to continue for the foreseeable f</w:t>
      </w:r>
      <w:r>
        <w:rPr>
          <w:rFonts w:eastAsia="Times New Roman"/>
          <w:color w:val="000000"/>
          <w:sz w:val="20"/>
          <w:szCs w:val="20"/>
        </w:rPr>
        <w:t>uture. While we have implemented risk management and contingency plans with respect to COVID-19, such measures may not adequately protect our business from the full impacts of the pandemic. For additional information about COVID-19, see “Management’s Discu</w:t>
      </w:r>
      <w:r>
        <w:rPr>
          <w:rFonts w:eastAsia="Times New Roman"/>
          <w:color w:val="000000"/>
          <w:sz w:val="20"/>
          <w:szCs w:val="20"/>
        </w:rPr>
        <w:t>ssion and Analysis of Financial Condition and Results of Operations - Macroeconomic and Industry Trends - COVID-19 Impact.</w:t>
      </w:r>
    </w:p>
    <w:p w:rsidR="00000000" w:rsidRDefault="00E54EC0">
      <w:pPr>
        <w:ind w:firstLine="360"/>
        <w:divId w:val="400063134"/>
        <w:rPr>
          <w:rFonts w:eastAsia="Times New Roman"/>
        </w:rPr>
      </w:pPr>
      <w:r>
        <w:rPr>
          <w:rFonts w:eastAsia="Times New Roman"/>
          <w:color w:val="000000"/>
          <w:sz w:val="20"/>
          <w:szCs w:val="20"/>
        </w:rPr>
        <w:t xml:space="preserve">The extent of COVID-19’s impact on us will depend on future developments that are still highly uncertain, including the severity and </w:t>
      </w:r>
      <w:r>
        <w:rPr>
          <w:rFonts w:eastAsia="Times New Roman"/>
          <w:color w:val="000000"/>
          <w:sz w:val="20"/>
          <w:szCs w:val="20"/>
        </w:rPr>
        <w:t xml:space="preserve">duration of future outbreaks, actions taken by governments and other third parties in response to such outbreaks and the availability and efficacy of vaccines against COVID-19 and its variants. </w:t>
      </w:r>
    </w:p>
    <w:p w:rsidR="00000000" w:rsidRDefault="00E54EC0">
      <w:pPr>
        <w:jc w:val="both"/>
        <w:divId w:val="979379405"/>
        <w:rPr>
          <w:rFonts w:eastAsia="Times New Roman"/>
        </w:rPr>
      </w:pPr>
      <w:r>
        <w:rPr>
          <w:rFonts w:eastAsia="Times New Roman"/>
          <w:b/>
          <w:bCs/>
          <w:i/>
          <w:iCs/>
          <w:color w:val="000000"/>
          <w:sz w:val="20"/>
          <w:szCs w:val="20"/>
        </w:rPr>
        <w:t>Market conditions and other factors could materially and adve</w:t>
      </w:r>
      <w:r>
        <w:rPr>
          <w:rFonts w:eastAsia="Times New Roman"/>
          <w:b/>
          <w:bCs/>
          <w:i/>
          <w:iCs/>
          <w:color w:val="000000"/>
          <w:sz w:val="20"/>
          <w:szCs w:val="20"/>
        </w:rPr>
        <w:t>rsely affect our goodwill.</w:t>
      </w:r>
    </w:p>
    <w:p w:rsidR="00000000" w:rsidRDefault="00E54EC0">
      <w:pPr>
        <w:ind w:firstLine="360"/>
        <w:divId w:val="1569220047"/>
        <w:rPr>
          <w:rFonts w:eastAsia="Times New Roman"/>
        </w:rPr>
      </w:pPr>
      <w:r>
        <w:rPr>
          <w:rFonts w:eastAsia="Times New Roman"/>
          <w:color w:val="000000"/>
          <w:sz w:val="20"/>
          <w:szCs w:val="20"/>
        </w:rPr>
        <w:t>Business and market conditions may impact the amount of goodwill we carry in our consolidated balance sheet related to the Investment Management and Research segment. To the extent that securities valuations are depressed for pro</w:t>
      </w:r>
      <w:r>
        <w:rPr>
          <w:rFonts w:eastAsia="Times New Roman"/>
          <w:color w:val="000000"/>
          <w:sz w:val="20"/>
          <w:szCs w:val="20"/>
        </w:rPr>
        <w:t>longed periods of time or market conditions deteriorate, or that AB experiences significant net redemptions, its AUM, revenues, profitability and unit price will be adversely affected. This may result in the need to recognize an impairment of goodwill whic</w:t>
      </w:r>
      <w:r>
        <w:rPr>
          <w:rFonts w:eastAsia="Times New Roman"/>
          <w:color w:val="000000"/>
          <w:sz w:val="20"/>
          <w:szCs w:val="20"/>
        </w:rPr>
        <w:t>h could adversely affect our business, results of operations or financial condition.</w:t>
      </w:r>
    </w:p>
    <w:p w:rsidR="00000000" w:rsidRDefault="00E54EC0">
      <w:pPr>
        <w:jc w:val="both"/>
        <w:divId w:val="1606576822"/>
        <w:rPr>
          <w:rFonts w:eastAsia="Times New Roman"/>
        </w:rPr>
      </w:pPr>
      <w:r>
        <w:rPr>
          <w:rFonts w:eastAsia="Times New Roman"/>
          <w:b/>
          <w:bCs/>
          <w:i/>
          <w:iCs/>
          <w:color w:val="000000"/>
          <w:sz w:val="20"/>
          <w:szCs w:val="20"/>
        </w:rPr>
        <w:t>Adverse capital and credit market conditions.</w:t>
      </w:r>
    </w:p>
    <w:p w:rsidR="00000000" w:rsidRDefault="00E54EC0">
      <w:pPr>
        <w:ind w:firstLine="360"/>
        <w:divId w:val="2000645543"/>
        <w:rPr>
          <w:rFonts w:eastAsia="Times New Roman"/>
        </w:rPr>
      </w:pPr>
      <w:r>
        <w:rPr>
          <w:rFonts w:eastAsia="Times New Roman"/>
          <w:color w:val="000000"/>
          <w:sz w:val="20"/>
          <w:szCs w:val="20"/>
        </w:rPr>
        <w:t xml:space="preserve">Volatility and disruption in the capital and credit markets may exert downward pressure on the availability of liquidity and </w:t>
      </w:r>
      <w:r>
        <w:rPr>
          <w:rFonts w:eastAsia="Times New Roman"/>
          <w:color w:val="000000"/>
          <w:sz w:val="20"/>
          <w:szCs w:val="20"/>
        </w:rPr>
        <w:t>credit capacity. We need liquidity to pay our operating expenses (including potential hedging losses), interest expenses and any distributions on our capital stock and to capitalize our insurance subsidiaries. Without sufficient liquidity, we could be requ</w:t>
      </w:r>
      <w:r>
        <w:rPr>
          <w:rFonts w:eastAsia="Times New Roman"/>
          <w:color w:val="000000"/>
          <w:sz w:val="20"/>
          <w:szCs w:val="20"/>
        </w:rPr>
        <w:t>ired to curtail our operations and our business would suffer. While we expect that our future liquidity needs will be satisfied primarily through cash generated by our operations, borrowings from third parties and dividends and distributions from our subsi</w:t>
      </w:r>
      <w:r>
        <w:rPr>
          <w:rFonts w:eastAsia="Times New Roman"/>
          <w:color w:val="000000"/>
          <w:sz w:val="20"/>
          <w:szCs w:val="20"/>
        </w:rPr>
        <w:t xml:space="preserve">diaries, it is possible that we will not be able to meet our anticipated short-term and long-term benefit and expense payment obligations. If current resources are insufficient to satisfy our needs, we may access financing sources such as bank debt or the </w:t>
      </w:r>
      <w:r>
        <w:rPr>
          <w:rFonts w:eastAsia="Times New Roman"/>
          <w:color w:val="000000"/>
          <w:sz w:val="20"/>
          <w:szCs w:val="20"/>
        </w:rPr>
        <w:t>capital markets. These services may not be available during times of stress or may only be available on unfavorable terms. If we are unable to access capital markets to issue new debt, refinance existing debt or sell additional shares as needed, or if we a</w:t>
      </w:r>
      <w:r>
        <w:rPr>
          <w:rFonts w:eastAsia="Times New Roman"/>
          <w:color w:val="000000"/>
          <w:sz w:val="20"/>
          <w:szCs w:val="20"/>
        </w:rPr>
        <w:t>re unable to obtain such financing on acceptable terms, our business could be adversely impacted. Volatility in the capital markets may also consume liquidity as we pay hedge losses and meet collateral requirements related to market movements. We expect th</w:t>
      </w:r>
      <w:r>
        <w:rPr>
          <w:rFonts w:eastAsia="Times New Roman"/>
          <w:color w:val="000000"/>
          <w:sz w:val="20"/>
          <w:szCs w:val="20"/>
        </w:rPr>
        <w:t>ese hedging programs to incur losses in certain market scenarios, creating a need to pay cash settlements or post collateral to counterparties. Although our liabilities will also be reduced in these scenarios, this reduction is not immediate, and so in the</w:t>
      </w:r>
      <w:r>
        <w:rPr>
          <w:rFonts w:eastAsia="Times New Roman"/>
          <w:color w:val="000000"/>
          <w:sz w:val="20"/>
          <w:szCs w:val="20"/>
        </w:rPr>
        <w:t xml:space="preserve"> short term, hedging losses will reduce available liquidity.</w:t>
      </w:r>
    </w:p>
    <w:p w:rsidR="00000000" w:rsidRDefault="00E54EC0">
      <w:pPr>
        <w:ind w:firstLine="360"/>
        <w:divId w:val="907962151"/>
        <w:rPr>
          <w:rFonts w:eastAsia="Times New Roman"/>
        </w:rPr>
      </w:pPr>
      <w:r>
        <w:rPr>
          <w:rFonts w:eastAsia="Times New Roman"/>
          <w:color w:val="000000"/>
          <w:sz w:val="20"/>
          <w:szCs w:val="20"/>
        </w:rPr>
        <w:t>Disruptions, uncertainty or volatility in the capital and credit markets may limit our ability to raise additional capital to support business growth, or to counter-balance the consequences of lo</w:t>
      </w:r>
      <w:r>
        <w:rPr>
          <w:rFonts w:eastAsia="Times New Roman"/>
          <w:color w:val="000000"/>
          <w:sz w:val="20"/>
          <w:szCs w:val="20"/>
        </w:rPr>
        <w:t>sses or increased regulatory reserves and rating agency capital requirements. This could force us to: (i) delay raising capital; (ii) miss payments on our debt or reduce or eliminate dividends paid on our capital stock; (iii) issue capital of different typ</w:t>
      </w:r>
      <w:r>
        <w:rPr>
          <w:rFonts w:eastAsia="Times New Roman"/>
          <w:color w:val="000000"/>
          <w:sz w:val="20"/>
          <w:szCs w:val="20"/>
        </w:rPr>
        <w:t xml:space="preserve">es or under different terms than we would otherwise; or (iv) incur a higher cost of capital than would prevail in a more stable market environment. Ratings agencies may change our credit ratings, and any downgrade is likely to increase our borrowing costs </w:t>
      </w:r>
      <w:r>
        <w:rPr>
          <w:rFonts w:eastAsia="Times New Roman"/>
          <w:color w:val="000000"/>
          <w:sz w:val="20"/>
          <w:szCs w:val="20"/>
        </w:rPr>
        <w:t>and limit our access to the capital markets and could be detrimental to our business relationships with distribution partners. Our business, results of operations, financial condition, liquidity, statutory capital or rating agency capital position could be</w:t>
      </w:r>
      <w:r>
        <w:rPr>
          <w:rFonts w:eastAsia="Times New Roman"/>
          <w:color w:val="000000"/>
          <w:sz w:val="20"/>
          <w:szCs w:val="20"/>
        </w:rPr>
        <w:t xml:space="preserve"> materially and adversely affected by disruptions in the capital and credit markets.</w:t>
      </w:r>
    </w:p>
    <w:p w:rsidR="00000000" w:rsidRDefault="00E54EC0">
      <w:pPr>
        <w:jc w:val="center"/>
        <w:divId w:val="1556163777"/>
        <w:rPr>
          <w:rFonts w:eastAsia="Times New Roman"/>
        </w:rPr>
      </w:pPr>
      <w:r>
        <w:rPr>
          <w:rFonts w:eastAsia="Times New Roman"/>
          <w:color w:val="000000"/>
          <w:sz w:val="20"/>
          <w:szCs w:val="20"/>
        </w:rPr>
        <w:t>57</w:t>
      </w:r>
    </w:p>
    <w:p w:rsidR="00000000" w:rsidRDefault="00E54EC0">
      <w:pPr>
        <w:rPr>
          <w:rFonts w:eastAsia="Times New Roman"/>
        </w:rPr>
      </w:pPr>
      <w:r>
        <w:rPr>
          <w:rFonts w:eastAsia="Times New Roman"/>
        </w:rPr>
        <w:pict>
          <v:rect id="_x0000_i1094" style="width:0;height:1.5pt" o:hralign="center" o:hrstd="t" o:hr="t" fillcolor="#a0a0a0" stroked="f"/>
        </w:pict>
      </w:r>
    </w:p>
    <w:p w:rsidR="00000000" w:rsidRDefault="00E54EC0">
      <w:pPr>
        <w:divId w:val="656736827"/>
        <w:rPr>
          <w:rFonts w:eastAsia="Times New Roman"/>
        </w:rPr>
      </w:pPr>
    </w:p>
    <w:p w:rsidR="00000000" w:rsidRDefault="00E54EC0">
      <w:pPr>
        <w:ind w:firstLine="360"/>
        <w:divId w:val="729772891"/>
        <w:rPr>
          <w:rFonts w:eastAsia="Times New Roman"/>
        </w:rPr>
      </w:pPr>
      <w:r>
        <w:rPr>
          <w:rFonts w:eastAsia="Times New Roman"/>
          <w:color w:val="000000"/>
          <w:sz w:val="20"/>
          <w:szCs w:val="20"/>
        </w:rPr>
        <w:t>In addition, one of the most serious threats facing the U.S. economy is the disagreement over the federal debt limit which, if not</w:t>
      </w:r>
      <w:r>
        <w:rPr>
          <w:rFonts w:eastAsia="Times New Roman"/>
          <w:color w:val="000000"/>
          <w:sz w:val="20"/>
          <w:szCs w:val="20"/>
        </w:rPr>
        <w:t xml:space="preserve"> addressed in the coming months, could lead to a default on the federal debt, adverse market impact and a recession this year.</w:t>
      </w:r>
    </w:p>
    <w:p w:rsidR="00000000" w:rsidRDefault="00E54EC0">
      <w:pPr>
        <w:divId w:val="624852836"/>
        <w:rPr>
          <w:rFonts w:eastAsia="Times New Roman"/>
        </w:rPr>
      </w:pPr>
      <w:r>
        <w:rPr>
          <w:rFonts w:eastAsia="Times New Roman"/>
          <w:b/>
          <w:bCs/>
          <w:color w:val="000000"/>
          <w:sz w:val="20"/>
          <w:szCs w:val="20"/>
        </w:rPr>
        <w:t>Risks Relating to Our Operations</w:t>
      </w:r>
    </w:p>
    <w:p w:rsidR="00000000" w:rsidRDefault="00E54EC0">
      <w:pPr>
        <w:jc w:val="both"/>
        <w:divId w:val="1214007364"/>
        <w:rPr>
          <w:rFonts w:eastAsia="Times New Roman"/>
        </w:rPr>
      </w:pPr>
      <w:r>
        <w:rPr>
          <w:rFonts w:eastAsia="Times New Roman"/>
          <w:b/>
          <w:bCs/>
          <w:i/>
          <w:iCs/>
          <w:color w:val="000000"/>
          <w:sz w:val="20"/>
          <w:szCs w:val="20"/>
        </w:rPr>
        <w:t>Holdings depends on the ability of its subsidiaries to transfer funds to it to meet its obligati</w:t>
      </w:r>
      <w:r>
        <w:rPr>
          <w:rFonts w:eastAsia="Times New Roman"/>
          <w:b/>
          <w:bCs/>
          <w:i/>
          <w:iCs/>
          <w:color w:val="000000"/>
          <w:sz w:val="20"/>
          <w:szCs w:val="20"/>
        </w:rPr>
        <w:t>ons.</w:t>
      </w:r>
    </w:p>
    <w:p w:rsidR="00000000" w:rsidRDefault="00E54EC0">
      <w:pPr>
        <w:ind w:firstLine="360"/>
        <w:divId w:val="1756050710"/>
        <w:rPr>
          <w:rFonts w:eastAsia="Times New Roman"/>
        </w:rPr>
      </w:pPr>
      <w:r>
        <w:rPr>
          <w:rFonts w:eastAsia="Times New Roman"/>
          <w:color w:val="000000"/>
          <w:sz w:val="20"/>
          <w:szCs w:val="20"/>
        </w:rPr>
        <w:t>Dividends and other distributions from Holdings’ subsidiaries are the principal sources of funds available to Holdings to pay principal and interest on its outstanding indebtedness, to pay corporate operating expenses, to pay any stockholder dividends</w:t>
      </w:r>
      <w:r>
        <w:rPr>
          <w:rFonts w:eastAsia="Times New Roman"/>
          <w:color w:val="000000"/>
          <w:sz w:val="20"/>
          <w:szCs w:val="20"/>
        </w:rPr>
        <w:t xml:space="preserve">, to repurchase stock and to meet its other obligations. The inability to receive dividends from our subsidiaries could have a material adverse effect on our business, results of operations or financial condition. The ability of our insurance subsidiaries </w:t>
      </w:r>
      <w:r>
        <w:rPr>
          <w:rFonts w:eastAsia="Times New Roman"/>
          <w:color w:val="000000"/>
          <w:sz w:val="20"/>
          <w:szCs w:val="20"/>
        </w:rPr>
        <w:t>to pay dividends and make other distributions to Holdings will depend on their earnings, tax considerations, covenants contained in any financing or other agreements and applicable regulatory restrictions and receipt of regulatory approvals. If the ability</w:t>
      </w:r>
      <w:r>
        <w:rPr>
          <w:rFonts w:eastAsia="Times New Roman"/>
          <w:color w:val="000000"/>
          <w:sz w:val="20"/>
          <w:szCs w:val="20"/>
        </w:rPr>
        <w:t xml:space="preserve"> of our insurance or non-insurance subsidiaries to pay dividends or make other distributions or payments to Holdings is materially restricted by these or other factors, we may be required to raise cash through the incurrence of debt, the issuance of equity</w:t>
      </w:r>
      <w:r>
        <w:rPr>
          <w:rFonts w:eastAsia="Times New Roman"/>
          <w:color w:val="000000"/>
          <w:sz w:val="20"/>
          <w:szCs w:val="20"/>
        </w:rPr>
        <w:t xml:space="preserve"> or the sale of assets. However, there is no assurance that we would be able to raise sufficient cash by these means. This could materially and adversely affect our ability to pay our obligations.</w:t>
      </w:r>
    </w:p>
    <w:p w:rsidR="00000000" w:rsidRDefault="00E54EC0">
      <w:pPr>
        <w:jc w:val="both"/>
        <w:divId w:val="907884153"/>
        <w:rPr>
          <w:rFonts w:eastAsia="Times New Roman"/>
        </w:rPr>
      </w:pPr>
      <w:r>
        <w:rPr>
          <w:rFonts w:eastAsia="Times New Roman"/>
          <w:b/>
          <w:bCs/>
          <w:i/>
          <w:iCs/>
          <w:color w:val="000000"/>
          <w:sz w:val="20"/>
          <w:szCs w:val="20"/>
        </w:rPr>
        <w:t>Failure to protect the confidentiality of customer informat</w:t>
      </w:r>
      <w:r>
        <w:rPr>
          <w:rFonts w:eastAsia="Times New Roman"/>
          <w:b/>
          <w:bCs/>
          <w:i/>
          <w:iCs/>
          <w:color w:val="000000"/>
          <w:sz w:val="20"/>
          <w:szCs w:val="20"/>
        </w:rPr>
        <w:t>ion or proprietary business information.</w:t>
      </w:r>
    </w:p>
    <w:p w:rsidR="00000000" w:rsidRDefault="00E54EC0">
      <w:pPr>
        <w:ind w:firstLine="360"/>
        <w:divId w:val="1715496943"/>
        <w:rPr>
          <w:rFonts w:eastAsia="Times New Roman"/>
        </w:rPr>
      </w:pPr>
      <w:r>
        <w:rPr>
          <w:rFonts w:eastAsia="Times New Roman"/>
          <w:color w:val="000000"/>
          <w:sz w:val="20"/>
          <w:szCs w:val="20"/>
        </w:rPr>
        <w:t>We and certain of our vendors retain confidential information (including customer transactional data and personal information about our customers, the employees and customers of our customers, and our own employees)</w:t>
      </w:r>
      <w:r>
        <w:rPr>
          <w:rFonts w:eastAsia="Times New Roman"/>
          <w:color w:val="000000"/>
          <w:sz w:val="20"/>
          <w:szCs w:val="20"/>
        </w:rPr>
        <w:t>. The privacy of this information may be compromised, including as a result of an information security breach. We have implemented a formal, risk-based data security program; however, failure to implement and maintain effective cybersecurity programs, or a</w:t>
      </w:r>
      <w:r>
        <w:rPr>
          <w:rFonts w:eastAsia="Times New Roman"/>
          <w:color w:val="000000"/>
          <w:sz w:val="20"/>
          <w:szCs w:val="20"/>
        </w:rPr>
        <w:t>ny compromise of the security of our information systems, or those of our vendors, or the cloud-based systems we use, through cyber-attacks or for any other reason that results in unauthorized access, use, disclosure or destruction of personally identifiab</w:t>
      </w:r>
      <w:r>
        <w:rPr>
          <w:rFonts w:eastAsia="Times New Roman"/>
          <w:color w:val="000000"/>
          <w:sz w:val="20"/>
          <w:szCs w:val="20"/>
        </w:rPr>
        <w:t>le information or customer information, or the disruption of critical operations and services, could damage our reputation, deter people from purchasing our products, subject us to significant civil and criminal liability and require us to incur significan</w:t>
      </w:r>
      <w:r>
        <w:rPr>
          <w:rFonts w:eastAsia="Times New Roman"/>
          <w:color w:val="000000"/>
          <w:sz w:val="20"/>
          <w:szCs w:val="20"/>
        </w:rPr>
        <w:t>t technical, legal and other expenses any of which could have a material adverse effect on our business, results of operations or financial condition.</w:t>
      </w:r>
    </w:p>
    <w:p w:rsidR="00000000" w:rsidRDefault="00E54EC0">
      <w:pPr>
        <w:jc w:val="both"/>
        <w:divId w:val="1805149938"/>
        <w:rPr>
          <w:rFonts w:eastAsia="Times New Roman"/>
        </w:rPr>
      </w:pPr>
      <w:r>
        <w:rPr>
          <w:rFonts w:eastAsia="Times New Roman"/>
          <w:b/>
          <w:bCs/>
          <w:i/>
          <w:iCs/>
          <w:color w:val="000000"/>
          <w:sz w:val="20"/>
          <w:szCs w:val="20"/>
        </w:rPr>
        <w:t>Our operational failures or those of service providers on which we rely.</w:t>
      </w:r>
    </w:p>
    <w:p w:rsidR="00000000" w:rsidRDefault="00E54EC0">
      <w:pPr>
        <w:ind w:firstLine="360"/>
        <w:divId w:val="1901207444"/>
        <w:rPr>
          <w:rFonts w:eastAsia="Times New Roman"/>
        </w:rPr>
      </w:pPr>
      <w:r>
        <w:rPr>
          <w:rFonts w:eastAsia="Times New Roman"/>
          <w:color w:val="000000"/>
          <w:sz w:val="20"/>
          <w:szCs w:val="20"/>
        </w:rPr>
        <w:t>Weaknesses or failures in our in</w:t>
      </w:r>
      <w:r>
        <w:rPr>
          <w:rFonts w:eastAsia="Times New Roman"/>
          <w:color w:val="000000"/>
          <w:sz w:val="20"/>
          <w:szCs w:val="20"/>
        </w:rPr>
        <w:t>ternal processes or systems or those of our vendors could lead to disruption of our operations, liability to clients, exposure to disciplinary action or harm to our reputation. Our business is highly dependent on our ability to process large numbers of tra</w:t>
      </w:r>
      <w:r>
        <w:rPr>
          <w:rFonts w:eastAsia="Times New Roman"/>
          <w:color w:val="000000"/>
          <w:sz w:val="20"/>
          <w:szCs w:val="20"/>
        </w:rPr>
        <w:t>nsactions, many of which are highly complex, across numerous and diverse markets. These transactions generally must comply with client investment guidelines, as well as stringent legal and regulatory standards. If we make a mistake in performing our servic</w:t>
      </w:r>
      <w:r>
        <w:rPr>
          <w:rFonts w:eastAsia="Times New Roman"/>
          <w:color w:val="000000"/>
          <w:sz w:val="20"/>
          <w:szCs w:val="20"/>
        </w:rPr>
        <w:t>es that causes financial harm to a client, we have a duty to act promptly to put the client in the position the client would have been in had we not made the error. The occurrence of mistakes, particularly significant ones, can have a material adverse effe</w:t>
      </w:r>
      <w:r>
        <w:rPr>
          <w:rFonts w:eastAsia="Times New Roman"/>
          <w:color w:val="000000"/>
          <w:sz w:val="20"/>
          <w:szCs w:val="20"/>
        </w:rPr>
        <w:t>ct on our reputation, business, results of operations or financial condition.</w:t>
      </w:r>
    </w:p>
    <w:p w:rsidR="00000000" w:rsidRDefault="00E54EC0">
      <w:pPr>
        <w:jc w:val="both"/>
        <w:divId w:val="2069112231"/>
        <w:rPr>
          <w:rFonts w:eastAsia="Times New Roman"/>
        </w:rPr>
      </w:pPr>
      <w:r>
        <w:rPr>
          <w:rFonts w:eastAsia="Times New Roman"/>
          <w:b/>
          <w:bCs/>
          <w:i/>
          <w:iCs/>
          <w:color w:val="000000"/>
          <w:sz w:val="20"/>
          <w:szCs w:val="20"/>
        </w:rPr>
        <w:t>The occurrence of a catastrophe, including natural or man-made disasters.</w:t>
      </w:r>
    </w:p>
    <w:p w:rsidR="00000000" w:rsidRDefault="00E54EC0">
      <w:pPr>
        <w:ind w:firstLine="360"/>
        <w:divId w:val="269551296"/>
        <w:rPr>
          <w:rFonts w:eastAsia="Times New Roman"/>
        </w:rPr>
      </w:pPr>
      <w:r>
        <w:rPr>
          <w:rFonts w:eastAsia="Times New Roman"/>
          <w:color w:val="000000"/>
          <w:sz w:val="20"/>
          <w:szCs w:val="20"/>
        </w:rPr>
        <w:t xml:space="preserve">Any catastrophic event, such as pandemic diseases like COVID-19, terrorist attacks, accidents, floods, severe storms or hurricanes or cyber-terrorism, could have a material and adverse effect on our business. We could experience long-term interruptions in </w:t>
      </w:r>
      <w:r>
        <w:rPr>
          <w:rFonts w:eastAsia="Times New Roman"/>
          <w:color w:val="000000"/>
          <w:sz w:val="20"/>
          <w:szCs w:val="20"/>
        </w:rPr>
        <w:t>our service and the services provided by our significant vendors. Some of our operational systems are not fully redundant, and our disaster recovery and business continuity planning cannot account for all eventualities. Additionally, unanticipated problems</w:t>
      </w:r>
      <w:r>
        <w:rPr>
          <w:rFonts w:eastAsia="Times New Roman"/>
          <w:color w:val="000000"/>
          <w:sz w:val="20"/>
          <w:szCs w:val="20"/>
        </w:rPr>
        <w:t xml:space="preserve"> with our disaster recovery systems could further impede our ability to conduct business, particularly if those problems affect our computer-based data processing, transmission, storage and retrieval systems and destroy valuable data. We could experience a</w:t>
      </w:r>
      <w:r>
        <w:rPr>
          <w:rFonts w:eastAsia="Times New Roman"/>
          <w:color w:val="000000"/>
          <w:sz w:val="20"/>
          <w:szCs w:val="20"/>
        </w:rPr>
        <w:t xml:space="preserve"> material adverse effect on our liquidity, financial condition and the operating results of our insurance business due to increased mortality and, in certain cases, morbidity rates and/or its impact on the economy and financial markets. Our workforce may b</w:t>
      </w:r>
      <w:r>
        <w:rPr>
          <w:rFonts w:eastAsia="Times New Roman"/>
          <w:color w:val="000000"/>
          <w:sz w:val="20"/>
          <w:szCs w:val="20"/>
        </w:rPr>
        <w:t>e unable to be physically located at one of our facilities, which could result in lengthy interruptions in our service. A catastrophe may affect our computer-based data processing, transmission, storage and retrieval systems and destroy valuable data. Clim</w:t>
      </w:r>
      <w:r>
        <w:rPr>
          <w:rFonts w:eastAsia="Times New Roman"/>
          <w:color w:val="000000"/>
          <w:sz w:val="20"/>
          <w:szCs w:val="20"/>
        </w:rPr>
        <w:t>ate change may increase the frequency and severity of weather-related disasters and pandemics.</w:t>
      </w:r>
    </w:p>
    <w:p w:rsidR="00000000" w:rsidRDefault="00E54EC0">
      <w:pPr>
        <w:divId w:val="1987278620"/>
        <w:rPr>
          <w:rFonts w:eastAsia="Times New Roman"/>
        </w:rPr>
      </w:pPr>
    </w:p>
    <w:p w:rsidR="00000000" w:rsidRDefault="00E54EC0">
      <w:pPr>
        <w:jc w:val="both"/>
        <w:divId w:val="611322897"/>
        <w:rPr>
          <w:rFonts w:eastAsia="Times New Roman"/>
        </w:rPr>
      </w:pPr>
      <w:r>
        <w:rPr>
          <w:rFonts w:eastAsia="Times New Roman"/>
          <w:b/>
          <w:bCs/>
          <w:i/>
          <w:iCs/>
          <w:color w:val="000000"/>
          <w:sz w:val="20"/>
          <w:szCs w:val="20"/>
        </w:rPr>
        <w:t>Our ability to recruit, motivate and retain key employees and experienced and productive financial professionals.</w:t>
      </w:r>
    </w:p>
    <w:p w:rsidR="00000000" w:rsidRDefault="00E54EC0">
      <w:pPr>
        <w:jc w:val="center"/>
        <w:divId w:val="2095006890"/>
        <w:rPr>
          <w:rFonts w:eastAsia="Times New Roman"/>
        </w:rPr>
      </w:pPr>
      <w:r>
        <w:rPr>
          <w:rFonts w:eastAsia="Times New Roman"/>
          <w:color w:val="000000"/>
          <w:sz w:val="20"/>
          <w:szCs w:val="20"/>
        </w:rPr>
        <w:t>58</w:t>
      </w:r>
    </w:p>
    <w:p w:rsidR="00000000" w:rsidRDefault="00E54EC0">
      <w:pPr>
        <w:rPr>
          <w:rFonts w:eastAsia="Times New Roman"/>
        </w:rPr>
      </w:pPr>
      <w:r>
        <w:rPr>
          <w:rFonts w:eastAsia="Times New Roman"/>
        </w:rPr>
        <w:pict>
          <v:rect id="_x0000_i1095" style="width:0;height:1.5pt" o:hralign="center" o:hrstd="t" o:hr="t" fillcolor="#a0a0a0" stroked="f"/>
        </w:pict>
      </w:r>
    </w:p>
    <w:p w:rsidR="00000000" w:rsidRDefault="00E54EC0">
      <w:pPr>
        <w:divId w:val="1677077247"/>
        <w:rPr>
          <w:rFonts w:eastAsia="Times New Roman"/>
        </w:rPr>
      </w:pPr>
    </w:p>
    <w:p w:rsidR="00000000" w:rsidRDefault="00E54EC0">
      <w:pPr>
        <w:ind w:firstLine="360"/>
        <w:divId w:val="1688942287"/>
        <w:rPr>
          <w:rFonts w:eastAsia="Times New Roman"/>
        </w:rPr>
      </w:pPr>
      <w:r>
        <w:rPr>
          <w:rFonts w:eastAsia="Times New Roman"/>
          <w:color w:val="000000"/>
          <w:sz w:val="20"/>
          <w:szCs w:val="20"/>
        </w:rPr>
        <w:t>Our business depends on our ability to recruit, motivate and retain highly skilled, technical, inves</w:t>
      </w:r>
      <w:r>
        <w:rPr>
          <w:rFonts w:eastAsia="Times New Roman"/>
          <w:color w:val="000000"/>
          <w:sz w:val="20"/>
          <w:szCs w:val="20"/>
        </w:rPr>
        <w:t xml:space="preserve">tment, managerial and executive personnel, and there is no assurance that we will be able to do so. Our financial professionals and our key employees are key factors driving our sales. Intense competition exists among insurers and other financial services </w:t>
      </w:r>
      <w:r>
        <w:rPr>
          <w:rFonts w:eastAsia="Times New Roman"/>
          <w:color w:val="000000"/>
          <w:sz w:val="20"/>
          <w:szCs w:val="20"/>
        </w:rPr>
        <w:t>companies for financial professionals and key employees. We cannot provide assurances that we will be successful in our respective efforts to recruit, motivate and retain key employees and top financial professionals and the loss of such employees and prof</w:t>
      </w:r>
      <w:r>
        <w:rPr>
          <w:rFonts w:eastAsia="Times New Roman"/>
          <w:color w:val="000000"/>
          <w:sz w:val="20"/>
          <w:szCs w:val="20"/>
        </w:rPr>
        <w:t>essionals could have a material adverse effect on our business, results of operations or financial condition.</w:t>
      </w:r>
    </w:p>
    <w:p w:rsidR="00000000" w:rsidRDefault="00E54EC0">
      <w:pPr>
        <w:jc w:val="both"/>
        <w:divId w:val="683048343"/>
        <w:rPr>
          <w:rFonts w:eastAsia="Times New Roman"/>
        </w:rPr>
      </w:pPr>
      <w:r>
        <w:rPr>
          <w:rFonts w:eastAsia="Times New Roman"/>
          <w:b/>
          <w:bCs/>
          <w:i/>
          <w:iCs/>
          <w:color w:val="000000"/>
          <w:sz w:val="20"/>
          <w:szCs w:val="20"/>
        </w:rPr>
        <w:t>Misconduct by our employees or financial professionals.</w:t>
      </w:r>
    </w:p>
    <w:p w:rsidR="00000000" w:rsidRDefault="00E54EC0">
      <w:pPr>
        <w:ind w:firstLine="360"/>
        <w:divId w:val="993869980"/>
        <w:rPr>
          <w:rFonts w:eastAsia="Times New Roman"/>
        </w:rPr>
      </w:pPr>
      <w:r>
        <w:rPr>
          <w:rFonts w:eastAsia="Times New Roman"/>
          <w:color w:val="000000"/>
          <w:sz w:val="20"/>
          <w:szCs w:val="20"/>
        </w:rPr>
        <w:t>Misconduct by our employees, financial professionals, agents, intermediaries, representati</w:t>
      </w:r>
      <w:r>
        <w:rPr>
          <w:rFonts w:eastAsia="Times New Roman"/>
          <w:color w:val="000000"/>
          <w:sz w:val="20"/>
          <w:szCs w:val="20"/>
        </w:rPr>
        <w:t>ves of our broker-dealer subsidiaries - or employees of our vendors could result in obligations to report such misconduct publicly, regulatory enforcement proceeds and, even findings that violations of law were committed by us or our subsidiaries, regulato</w:t>
      </w:r>
      <w:r>
        <w:rPr>
          <w:rFonts w:eastAsia="Times New Roman"/>
          <w:color w:val="000000"/>
          <w:sz w:val="20"/>
          <w:szCs w:val="20"/>
        </w:rPr>
        <w:t>ry sanctions or serious reputational or financial harm. Certain types of violations may result in our inability to act as an investment adviser or broker-dealer or to represent issuers in Regulation D offerings by acting as placement agent, general partner</w:t>
      </w:r>
      <w:r>
        <w:rPr>
          <w:rFonts w:eastAsia="Times New Roman"/>
          <w:color w:val="000000"/>
          <w:sz w:val="20"/>
          <w:szCs w:val="20"/>
        </w:rPr>
        <w:t xml:space="preserve"> or other roles. We employ controls and procedures designed to monitor employees’ and financial professionals’ business decisions and to prevent them from taking excessive or inappropriate risks, including with respect to information security, but employee</w:t>
      </w:r>
      <w:r>
        <w:rPr>
          <w:rFonts w:eastAsia="Times New Roman"/>
          <w:color w:val="000000"/>
          <w:sz w:val="20"/>
          <w:szCs w:val="20"/>
        </w:rPr>
        <w:t>s may take such risks regardless of such controls and procedures. If our employees or financial professionals take excessive or inappropriate risks, those risks could harm our reputation, subject us to significant civil or criminal liability and require us</w:t>
      </w:r>
      <w:r>
        <w:rPr>
          <w:rFonts w:eastAsia="Times New Roman"/>
          <w:color w:val="000000"/>
          <w:sz w:val="20"/>
          <w:szCs w:val="20"/>
        </w:rPr>
        <w:t xml:space="preserve"> to incur significant technical, legal and other expenses.</w:t>
      </w:r>
    </w:p>
    <w:p w:rsidR="00000000" w:rsidRDefault="00E54EC0">
      <w:pPr>
        <w:jc w:val="both"/>
        <w:divId w:val="854073154"/>
        <w:rPr>
          <w:rFonts w:eastAsia="Times New Roman"/>
        </w:rPr>
      </w:pPr>
      <w:r>
        <w:rPr>
          <w:rFonts w:eastAsia="Times New Roman"/>
          <w:b/>
          <w:bCs/>
          <w:i/>
          <w:iCs/>
          <w:color w:val="000000"/>
          <w:sz w:val="20"/>
          <w:szCs w:val="20"/>
        </w:rPr>
        <w:t>Potential strategic transactions.</w:t>
      </w:r>
    </w:p>
    <w:p w:rsidR="00000000" w:rsidRDefault="00E54EC0">
      <w:pPr>
        <w:ind w:firstLine="360"/>
        <w:divId w:val="993753775"/>
        <w:rPr>
          <w:rFonts w:eastAsia="Times New Roman"/>
        </w:rPr>
      </w:pPr>
      <w:r>
        <w:rPr>
          <w:rFonts w:eastAsia="Times New Roman"/>
          <w:color w:val="000000"/>
          <w:sz w:val="20"/>
          <w:szCs w:val="20"/>
        </w:rPr>
        <w:t>We may consider potential strategic transactions, including acquisitions, dispositions, mergers, reinsurance, joint ventures and similar transactions. These transa</w:t>
      </w:r>
      <w:r>
        <w:rPr>
          <w:rFonts w:eastAsia="Times New Roman"/>
          <w:color w:val="000000"/>
          <w:sz w:val="20"/>
          <w:szCs w:val="20"/>
        </w:rPr>
        <w:t>ctions may not be effective and could result in decreased earnings and harm to our competitive position. In addition, these transactions, if undertaken, may involve a number of risks and present financial, managerial and operational challenges. Furthermore</w:t>
      </w:r>
      <w:r>
        <w:rPr>
          <w:rFonts w:eastAsia="Times New Roman"/>
          <w:color w:val="000000"/>
          <w:sz w:val="20"/>
          <w:szCs w:val="20"/>
        </w:rPr>
        <w:t>, strategic transactions may require us to increase our leverage or, if we issue shares to fund an acquisition, would dilute the holdings of the existing stockholders. Any of the above could cause us to fail to realize the benefits anticipated from any suc</w:t>
      </w:r>
      <w:r>
        <w:rPr>
          <w:rFonts w:eastAsia="Times New Roman"/>
          <w:color w:val="000000"/>
          <w:sz w:val="20"/>
          <w:szCs w:val="20"/>
        </w:rPr>
        <w:t>h transaction.</w:t>
      </w:r>
    </w:p>
    <w:p w:rsidR="00000000" w:rsidRDefault="00E54EC0">
      <w:pPr>
        <w:jc w:val="both"/>
        <w:divId w:val="703361946"/>
        <w:rPr>
          <w:rFonts w:eastAsia="Times New Roman"/>
        </w:rPr>
      </w:pPr>
      <w:r>
        <w:rPr>
          <w:rFonts w:eastAsia="Times New Roman"/>
          <w:b/>
          <w:bCs/>
          <w:i/>
          <w:iCs/>
          <w:color w:val="000000"/>
          <w:sz w:val="20"/>
          <w:szCs w:val="20"/>
        </w:rPr>
        <w:t>Changes in accounting standards.</w:t>
      </w:r>
    </w:p>
    <w:p w:rsidR="00000000" w:rsidRDefault="00E54EC0">
      <w:pPr>
        <w:ind w:firstLine="360"/>
        <w:divId w:val="1990405927"/>
        <w:rPr>
          <w:rFonts w:eastAsia="Times New Roman"/>
        </w:rPr>
      </w:pPr>
      <w:r>
        <w:rPr>
          <w:rFonts w:eastAsia="Times New Roman"/>
          <w:color w:val="000000"/>
          <w:sz w:val="20"/>
          <w:szCs w:val="20"/>
        </w:rPr>
        <w:t>Our consolidated financial statements are prepared in accordance with U.S. GAAP, the principles of which are revised from time to time. Accordingly, from time to time we are required to adopt new or revised a</w:t>
      </w:r>
      <w:r>
        <w:rPr>
          <w:rFonts w:eastAsia="Times New Roman"/>
          <w:color w:val="000000"/>
          <w:sz w:val="20"/>
          <w:szCs w:val="20"/>
        </w:rPr>
        <w:t>ccounting standards issued by recognized authoritative bodies, including the Financial Accounting Standards Board (“FASB”). We may not be able to predict or assess the effects of these new accounting pronouncements or new interpretations of existing accoun</w:t>
      </w:r>
      <w:r>
        <w:rPr>
          <w:rFonts w:eastAsia="Times New Roman"/>
          <w:color w:val="000000"/>
          <w:sz w:val="20"/>
          <w:szCs w:val="20"/>
        </w:rPr>
        <w:t>ting pronouncements, and they may have material adverse effects on our business, results of operations or financial condition. For a discussion of accounting pronouncements and their potential impact on our business, including Accounting Standards Update 2</w:t>
      </w:r>
      <w:r>
        <w:rPr>
          <w:rFonts w:eastAsia="Times New Roman"/>
          <w:color w:val="000000"/>
          <w:sz w:val="20"/>
          <w:szCs w:val="20"/>
        </w:rPr>
        <w:t>018-12, Financial Services - Insurance (Topic 944): Targeted Improvements to the Accounting for Long-Duration Contracts, see Note 2 of the Notes to the Consolidated Financial Statements.</w:t>
      </w:r>
    </w:p>
    <w:p w:rsidR="00000000" w:rsidRDefault="00E54EC0">
      <w:pPr>
        <w:jc w:val="both"/>
        <w:divId w:val="37366378"/>
        <w:rPr>
          <w:rFonts w:eastAsia="Times New Roman"/>
        </w:rPr>
      </w:pPr>
      <w:r>
        <w:rPr>
          <w:rFonts w:eastAsia="Times New Roman"/>
          <w:b/>
          <w:bCs/>
          <w:i/>
          <w:iCs/>
          <w:color w:val="000000"/>
          <w:sz w:val="20"/>
          <w:szCs w:val="20"/>
        </w:rPr>
        <w:t xml:space="preserve">Our investment advisory agreements with clients, and our selling and </w:t>
      </w:r>
      <w:r>
        <w:rPr>
          <w:rFonts w:eastAsia="Times New Roman"/>
          <w:b/>
          <w:bCs/>
          <w:i/>
          <w:iCs/>
          <w:color w:val="000000"/>
          <w:sz w:val="20"/>
          <w:szCs w:val="20"/>
        </w:rPr>
        <w:t>distribution agreements with various financial intermediaries and consultants, are subject to termination or non-renewal on short notice.</w:t>
      </w:r>
    </w:p>
    <w:p w:rsidR="00000000" w:rsidRDefault="00E54EC0">
      <w:pPr>
        <w:ind w:firstLine="360"/>
        <w:divId w:val="1032343527"/>
        <w:rPr>
          <w:rFonts w:eastAsia="Times New Roman"/>
        </w:rPr>
      </w:pPr>
      <w:r>
        <w:rPr>
          <w:rFonts w:eastAsia="Times New Roman"/>
          <w:color w:val="000000"/>
          <w:sz w:val="20"/>
          <w:szCs w:val="20"/>
        </w:rPr>
        <w:t>AB derives most of its revenues pursuant to written investment management agreements (or other arrangements) with inst</w:t>
      </w:r>
      <w:r>
        <w:rPr>
          <w:rFonts w:eastAsia="Times New Roman"/>
          <w:color w:val="000000"/>
          <w:sz w:val="20"/>
          <w:szCs w:val="20"/>
        </w:rPr>
        <w:t>itutional investors, mutual funds and private wealth clients, and selling and distribution agreements with financial intermediaries that distribute AB funds. In addition, as part of our variable annuity products, EIMG enters into written investment managem</w:t>
      </w:r>
      <w:r>
        <w:rPr>
          <w:rFonts w:eastAsia="Times New Roman"/>
          <w:color w:val="000000"/>
          <w:sz w:val="20"/>
          <w:szCs w:val="20"/>
        </w:rPr>
        <w:t>ent agreements (or other arrangements) with mutual funds. Generally, these investment management agreements (and other arrangements) are terminable without penalty at any time or upon relatively short notice by either party. In addition, the investment man</w:t>
      </w:r>
      <w:r>
        <w:rPr>
          <w:rFonts w:eastAsia="Times New Roman"/>
          <w:color w:val="000000"/>
          <w:sz w:val="20"/>
          <w:szCs w:val="20"/>
        </w:rPr>
        <w:t>agement agreements pursuant to which AB and EIMG manage an SEC-registered investment company (a “RIC”) must be renewed and approved by the RIC’s boards of directors (including a majority of the independent directors) annually. Consequently, there can be no</w:t>
      </w:r>
      <w:r>
        <w:rPr>
          <w:rFonts w:eastAsia="Times New Roman"/>
          <w:color w:val="000000"/>
          <w:sz w:val="20"/>
          <w:szCs w:val="20"/>
        </w:rPr>
        <w:t xml:space="preserve"> assurance that the board of directors of each RIC will approve the investment management agreement each year or will not condition its approval on revised terms that may be adverse to us.</w:t>
      </w:r>
    </w:p>
    <w:p w:rsidR="00000000" w:rsidRDefault="00E54EC0">
      <w:pPr>
        <w:ind w:firstLine="360"/>
        <w:divId w:val="2026709015"/>
        <w:rPr>
          <w:rFonts w:eastAsia="Times New Roman"/>
        </w:rPr>
      </w:pPr>
      <w:r>
        <w:rPr>
          <w:rFonts w:eastAsia="Times New Roman"/>
          <w:color w:val="000000"/>
          <w:sz w:val="20"/>
          <w:szCs w:val="20"/>
        </w:rPr>
        <w:t>Similarly, we enter into selling and distribution agreements with v</w:t>
      </w:r>
      <w:r>
        <w:rPr>
          <w:rFonts w:eastAsia="Times New Roman"/>
          <w:color w:val="000000"/>
          <w:sz w:val="20"/>
          <w:szCs w:val="20"/>
        </w:rPr>
        <w:t>arious financial intermediaries that are terminable by either party upon notice (generally 60 days) and do not obligate the financial intermediary to sell any specific amount of our products. These intermediaries generally offer their clients investment pr</w:t>
      </w:r>
      <w:r>
        <w:rPr>
          <w:rFonts w:eastAsia="Times New Roman"/>
          <w:color w:val="000000"/>
          <w:sz w:val="20"/>
          <w:szCs w:val="20"/>
        </w:rPr>
        <w:t>oducts that compete with our products. In addition, certain institutional investors rely on consultants to advise them about choosing an investment adviser and some of AB’s services may not be considered among the best choices by these consultants. As a re</w:t>
      </w:r>
      <w:r>
        <w:rPr>
          <w:rFonts w:eastAsia="Times New Roman"/>
          <w:color w:val="000000"/>
          <w:sz w:val="20"/>
          <w:szCs w:val="20"/>
        </w:rPr>
        <w:t>sult, investment consultants may advise their clients to move their assets invested with AB to other investment advisers, which could result in significant net outflows.</w:t>
      </w:r>
    </w:p>
    <w:p w:rsidR="00000000" w:rsidRDefault="00E54EC0">
      <w:pPr>
        <w:jc w:val="both"/>
        <w:divId w:val="747770430"/>
        <w:rPr>
          <w:rFonts w:eastAsia="Times New Roman"/>
        </w:rPr>
      </w:pPr>
      <w:r>
        <w:rPr>
          <w:rFonts w:eastAsia="Times New Roman"/>
          <w:b/>
          <w:bCs/>
          <w:i/>
          <w:iCs/>
          <w:color w:val="000000"/>
          <w:sz w:val="20"/>
          <w:szCs w:val="20"/>
        </w:rPr>
        <w:t>The replacement of LIBOR may affect our cost of capital and net investment income.</w:t>
      </w:r>
    </w:p>
    <w:p w:rsidR="00000000" w:rsidRDefault="00E54EC0">
      <w:pPr>
        <w:jc w:val="center"/>
        <w:divId w:val="1903523858"/>
        <w:rPr>
          <w:rFonts w:eastAsia="Times New Roman"/>
        </w:rPr>
      </w:pPr>
      <w:r>
        <w:rPr>
          <w:rFonts w:eastAsia="Times New Roman"/>
          <w:color w:val="000000"/>
          <w:sz w:val="20"/>
          <w:szCs w:val="20"/>
        </w:rPr>
        <w:t>59</w:t>
      </w:r>
    </w:p>
    <w:p w:rsidR="00000000" w:rsidRDefault="00E54EC0">
      <w:pPr>
        <w:rPr>
          <w:rFonts w:eastAsia="Times New Roman"/>
        </w:rPr>
      </w:pPr>
      <w:r>
        <w:rPr>
          <w:rFonts w:eastAsia="Times New Roman"/>
        </w:rPr>
        <w:pict>
          <v:rect id="_x0000_i1096" style="width:0;height:1.5pt" o:hralign="center" o:hrstd="t" o:hr="t" fillcolor="#a0a0a0" stroked="f"/>
        </w:pict>
      </w:r>
    </w:p>
    <w:p w:rsidR="00000000" w:rsidRDefault="00E54EC0">
      <w:pPr>
        <w:divId w:val="540900528"/>
        <w:rPr>
          <w:rFonts w:eastAsia="Times New Roman"/>
        </w:rPr>
      </w:pPr>
    </w:p>
    <w:p w:rsidR="00000000" w:rsidRDefault="00E54EC0">
      <w:pPr>
        <w:ind w:firstLine="360"/>
        <w:divId w:val="619382184"/>
        <w:rPr>
          <w:rFonts w:eastAsia="Times New Roman"/>
        </w:rPr>
      </w:pPr>
      <w:r>
        <w:rPr>
          <w:rFonts w:eastAsia="Times New Roman"/>
          <w:color w:val="000000"/>
          <w:sz w:val="20"/>
          <w:szCs w:val="20"/>
        </w:rPr>
        <w:t>It is anticipated that LIBOR will be discontinued no later than June 2023 As a result, existing loans, investments and other contracts relying on a LIBOR benchmark will need to designate a replacement rate. In addition</w:t>
      </w:r>
      <w:r>
        <w:rPr>
          <w:rFonts w:eastAsia="Times New Roman"/>
          <w:color w:val="000000"/>
          <w:sz w:val="20"/>
          <w:szCs w:val="20"/>
        </w:rPr>
        <w:t>, derivatives and other contracts used to hedge those contracts will generally need to be conformed to provide a similar alternative rate to that being hedged. Further, because, beginning in January 2022, U.S. banks would no longer extend loans based on LI</w:t>
      </w:r>
      <w:r>
        <w:rPr>
          <w:rFonts w:eastAsia="Times New Roman"/>
          <w:color w:val="000000"/>
          <w:sz w:val="20"/>
          <w:szCs w:val="20"/>
        </w:rPr>
        <w:t>BOR, new lines of credit we enter into since then have been benchmarked to a new benchmark rate, which has typically been the SOFR. SOFR is the average rate at which institutions can borrow U.S. dollars overnight while posting U.S. Treasury bonds as collat</w:t>
      </w:r>
      <w:r>
        <w:rPr>
          <w:rFonts w:eastAsia="Times New Roman"/>
          <w:color w:val="000000"/>
          <w:sz w:val="20"/>
          <w:szCs w:val="20"/>
        </w:rPr>
        <w:t>eral. SOFR is published by the New York Federal Reserve Bank. Given the LIBOR transition, we anticipate a valuation risk around the potential discontinuation event as well as potential risks relating to hedging interest-rate risk. Additionally, the elimina</w:t>
      </w:r>
      <w:r>
        <w:rPr>
          <w:rFonts w:eastAsia="Times New Roman"/>
          <w:color w:val="000000"/>
          <w:sz w:val="20"/>
          <w:szCs w:val="20"/>
        </w:rPr>
        <w:t>tion of LIBOR or changes to other reference rates or any other changes or reforms to the determination or supervision of reference rates may adversely affect the amount of interest payable or interest receivable on certain of our investments. These changes</w:t>
      </w:r>
      <w:r>
        <w:rPr>
          <w:rFonts w:eastAsia="Times New Roman"/>
          <w:color w:val="000000"/>
          <w:sz w:val="20"/>
          <w:szCs w:val="20"/>
        </w:rPr>
        <w:t xml:space="preserve"> may also impact the market liquidity and market value of these investments. Any changes to LIBOR or any alternative rate, or any further uncertainty in relation to the timing and manner of implementation of such changes, could have an adverse effect on th</w:t>
      </w:r>
      <w:r>
        <w:rPr>
          <w:rFonts w:eastAsia="Times New Roman"/>
          <w:color w:val="000000"/>
          <w:sz w:val="20"/>
          <w:szCs w:val="20"/>
        </w:rPr>
        <w:t>e value of investments in our investment portfolio, derivatives we use for hedging, or other indebtedness, securities or commercial contracts. We have inventoried all aspects of our business that utilize a LIBOR benchmark and, for those instruments that cu</w:t>
      </w:r>
      <w:r>
        <w:rPr>
          <w:rFonts w:eastAsia="Times New Roman"/>
          <w:color w:val="000000"/>
          <w:sz w:val="20"/>
          <w:szCs w:val="20"/>
        </w:rPr>
        <w:t>rrently do not have an appropriate fallback rate, we have now completed the process of either disposing of the instrument or negotiating a fallback rate. There is no assurance that the alternative rates we negotiate will not be materially less favorable th</w:t>
      </w:r>
      <w:r>
        <w:rPr>
          <w:rFonts w:eastAsia="Times New Roman"/>
          <w:color w:val="000000"/>
          <w:sz w:val="20"/>
          <w:szCs w:val="20"/>
        </w:rPr>
        <w:t>an the previous, LIBOR-based rate.</w:t>
      </w:r>
    </w:p>
    <w:p w:rsidR="00000000" w:rsidRDefault="00E54EC0">
      <w:pPr>
        <w:divId w:val="24134981"/>
        <w:rPr>
          <w:rFonts w:eastAsia="Times New Roman"/>
        </w:rPr>
      </w:pPr>
      <w:r>
        <w:rPr>
          <w:rFonts w:eastAsia="Times New Roman"/>
          <w:b/>
          <w:bCs/>
          <w:i/>
          <w:iCs/>
          <w:color w:val="000000"/>
          <w:sz w:val="20"/>
          <w:szCs w:val="20"/>
        </w:rPr>
        <w:t>Increasing scrutiny and evolving expectations regarding ESG matters.</w:t>
      </w:r>
    </w:p>
    <w:p w:rsidR="00000000" w:rsidRDefault="00E54EC0">
      <w:pPr>
        <w:ind w:firstLine="360"/>
        <w:divId w:val="41757879"/>
        <w:rPr>
          <w:rFonts w:eastAsia="Times New Roman"/>
        </w:rPr>
      </w:pPr>
      <w:r>
        <w:rPr>
          <w:rFonts w:eastAsia="Times New Roman"/>
          <w:color w:val="000000"/>
          <w:sz w:val="20"/>
          <w:szCs w:val="20"/>
        </w:rPr>
        <w:t>There is increasing scrutiny and evolving expectations from investors, customers, regulators and other stakeholders on ESG practices and disclosures, in</w:t>
      </w:r>
      <w:r>
        <w:rPr>
          <w:rFonts w:eastAsia="Times New Roman"/>
          <w:color w:val="000000"/>
          <w:sz w:val="20"/>
          <w:szCs w:val="20"/>
        </w:rPr>
        <w:t>cluding those related to environmental stewardship, climate change, diversity, equity and inclusion, racial justice and workplace conduct. Legislators and regulators have imposed and likely will continue to impose ESG-related legislation, rules and guidanc</w:t>
      </w:r>
      <w:r>
        <w:rPr>
          <w:rFonts w:eastAsia="Times New Roman"/>
          <w:color w:val="000000"/>
          <w:sz w:val="20"/>
          <w:szCs w:val="20"/>
        </w:rPr>
        <w:t xml:space="preserve">e, which may conflict with one another and impose additional costs on us, impede our business opportunities or expose us to new or additional risks. For example, the SEC has proposed new ESG reporting rules, including relating to climate change, which, if </w:t>
      </w:r>
      <w:r>
        <w:rPr>
          <w:rFonts w:eastAsia="Times New Roman"/>
          <w:color w:val="000000"/>
          <w:sz w:val="20"/>
          <w:szCs w:val="20"/>
        </w:rPr>
        <w:t>adopted as proposed, could result in additional compliance and reporting costs. See “Business—Regulation—Climate Risks.” In addition, state attorneys general and other state officials have spoken out against ESG motivated investing by some investment manag</w:t>
      </w:r>
      <w:r>
        <w:rPr>
          <w:rFonts w:eastAsia="Times New Roman"/>
          <w:color w:val="000000"/>
          <w:sz w:val="20"/>
          <w:szCs w:val="20"/>
        </w:rPr>
        <w:t>ers and terminated contracts with managers based on their following certain ESG-motivated strategies. Moreover, proxy advisory firms that provide voting recommendations to investors have developed ratings for evaluating companies on their approach to diffe</w:t>
      </w:r>
      <w:r>
        <w:rPr>
          <w:rFonts w:eastAsia="Times New Roman"/>
          <w:color w:val="000000"/>
          <w:sz w:val="20"/>
          <w:szCs w:val="20"/>
        </w:rPr>
        <w:t>rent ESG matters, and unfavorable ratings of our company or our industry may lead to negative investor sentiment and the diversion of investment to other companies or industries. If we are unable to meet these standards or expectations, whether established</w:t>
      </w:r>
      <w:r>
        <w:rPr>
          <w:rFonts w:eastAsia="Times New Roman"/>
          <w:color w:val="000000"/>
          <w:sz w:val="20"/>
          <w:szCs w:val="20"/>
        </w:rPr>
        <w:t xml:space="preserve"> by us or third parties, it could result in adverse publicity, reputational harm, or loss of customer and/or investor confidence, which could adversely affect our business, results of operations, financial condition and liquidity.</w:t>
      </w:r>
    </w:p>
    <w:p w:rsidR="00000000" w:rsidRDefault="00E54EC0">
      <w:pPr>
        <w:divId w:val="153684272"/>
        <w:rPr>
          <w:rFonts w:eastAsia="Times New Roman"/>
        </w:rPr>
      </w:pPr>
      <w:r>
        <w:rPr>
          <w:rFonts w:eastAsia="Times New Roman"/>
          <w:b/>
          <w:bCs/>
          <w:color w:val="000000"/>
          <w:sz w:val="20"/>
          <w:szCs w:val="20"/>
        </w:rPr>
        <w:t>Risks Relating to Credit,</w:t>
      </w:r>
      <w:r>
        <w:rPr>
          <w:rFonts w:eastAsia="Times New Roman"/>
          <w:b/>
          <w:bCs/>
          <w:color w:val="000000"/>
          <w:sz w:val="20"/>
          <w:szCs w:val="20"/>
        </w:rPr>
        <w:t xml:space="preserve"> Counterparties and Investments</w:t>
      </w:r>
    </w:p>
    <w:p w:rsidR="00000000" w:rsidRDefault="00E54EC0">
      <w:pPr>
        <w:jc w:val="both"/>
        <w:divId w:val="2024240421"/>
        <w:rPr>
          <w:rFonts w:eastAsia="Times New Roman"/>
        </w:rPr>
      </w:pPr>
      <w:r>
        <w:rPr>
          <w:rFonts w:eastAsia="Times New Roman"/>
          <w:b/>
          <w:bCs/>
          <w:i/>
          <w:iCs/>
          <w:color w:val="000000"/>
          <w:sz w:val="20"/>
          <w:szCs w:val="20"/>
        </w:rPr>
        <w:t>Our counterparties’ requirements to pledge collateral related to declines in estimated fair value of derivative contracts.</w:t>
      </w:r>
    </w:p>
    <w:p w:rsidR="00000000" w:rsidRDefault="00E54EC0">
      <w:pPr>
        <w:ind w:firstLine="360"/>
        <w:divId w:val="1108158576"/>
        <w:rPr>
          <w:rFonts w:eastAsia="Times New Roman"/>
        </w:rPr>
      </w:pPr>
      <w:r>
        <w:rPr>
          <w:rFonts w:eastAsia="Times New Roman"/>
          <w:color w:val="000000"/>
          <w:sz w:val="20"/>
          <w:szCs w:val="20"/>
        </w:rPr>
        <w:t>We use derivatives and other instruments to help us mitigate various business risks. Our transactions</w:t>
      </w:r>
      <w:r>
        <w:rPr>
          <w:rFonts w:eastAsia="Times New Roman"/>
          <w:color w:val="000000"/>
          <w:sz w:val="20"/>
          <w:szCs w:val="20"/>
        </w:rPr>
        <w:t xml:space="preserve"> with financial and other institutions generally specify the circumstances under which the parties are required to pledge collateral related to any decline in the market value of the derivatives contracts. If our counterparties fail or refuse to honor thei</w:t>
      </w:r>
      <w:r>
        <w:rPr>
          <w:rFonts w:eastAsia="Times New Roman"/>
          <w:color w:val="000000"/>
          <w:sz w:val="20"/>
          <w:szCs w:val="20"/>
        </w:rPr>
        <w:t>r obligations under these contracts, we could face significant losses to the extent collateral agreements do not fully offset our exposures and our hedges of the related risk will be ineffective. Such failure could have a material adverse effect on our bus</w:t>
      </w:r>
      <w:r>
        <w:rPr>
          <w:rFonts w:eastAsia="Times New Roman"/>
          <w:color w:val="000000"/>
          <w:sz w:val="20"/>
          <w:szCs w:val="20"/>
        </w:rPr>
        <w:t>iness, results of operations or financial condition.</w:t>
      </w:r>
    </w:p>
    <w:p w:rsidR="00000000" w:rsidRDefault="00E54EC0">
      <w:pPr>
        <w:jc w:val="both"/>
        <w:divId w:val="1550997268"/>
        <w:rPr>
          <w:rFonts w:eastAsia="Times New Roman"/>
        </w:rPr>
      </w:pPr>
      <w:r>
        <w:rPr>
          <w:rFonts w:eastAsia="Times New Roman"/>
          <w:b/>
          <w:bCs/>
          <w:i/>
          <w:iCs/>
          <w:color w:val="000000"/>
          <w:sz w:val="20"/>
          <w:szCs w:val="20"/>
        </w:rPr>
        <w:t>Changes in the actual or perceived soundness or condition of other financial institutions and market participants.</w:t>
      </w:r>
    </w:p>
    <w:p w:rsidR="00000000" w:rsidRDefault="00E54EC0">
      <w:pPr>
        <w:ind w:firstLine="360"/>
        <w:divId w:val="812409226"/>
        <w:rPr>
          <w:rFonts w:eastAsia="Times New Roman"/>
        </w:rPr>
      </w:pPr>
      <w:r>
        <w:rPr>
          <w:rFonts w:eastAsia="Times New Roman"/>
          <w:color w:val="000000"/>
          <w:sz w:val="20"/>
          <w:szCs w:val="20"/>
        </w:rPr>
        <w:t>A default by any financial institution or by a sovereign could lead to additional defaul</w:t>
      </w:r>
      <w:r>
        <w:rPr>
          <w:rFonts w:eastAsia="Times New Roman"/>
          <w:color w:val="000000"/>
          <w:sz w:val="20"/>
          <w:szCs w:val="20"/>
        </w:rPr>
        <w:t>ts by other market participants. Such failures could disrupt securities markets or clearance and settlement systems and lead to a chain of defaults, because the commercial and financial soundness of many financial institutions may be closely related as a r</w:t>
      </w:r>
      <w:r>
        <w:rPr>
          <w:rFonts w:eastAsia="Times New Roman"/>
          <w:color w:val="000000"/>
          <w:sz w:val="20"/>
          <w:szCs w:val="20"/>
        </w:rPr>
        <w:t>esult of credit, trading, clearing or other relationships. Even the perceived lack of creditworthiness of a financial institution may lead to market-wide liquidity problems and losses or defaults by us or by other institutions. This risk is sometimes refer</w:t>
      </w:r>
      <w:r>
        <w:rPr>
          <w:rFonts w:eastAsia="Times New Roman"/>
          <w:color w:val="000000"/>
          <w:sz w:val="20"/>
          <w:szCs w:val="20"/>
        </w:rPr>
        <w:t>red to as “systemic risk” and may adversely affect financial intermediaries with which we interact on a daily basis. Systemic risk could have a material adverse effect on our ability to raise new funding and on our business, results of operations or financ</w:t>
      </w:r>
      <w:r>
        <w:rPr>
          <w:rFonts w:eastAsia="Times New Roman"/>
          <w:color w:val="000000"/>
          <w:sz w:val="20"/>
          <w:szCs w:val="20"/>
        </w:rPr>
        <w:t>ial condition. In addition, such a failure could impact future product sales as a potential result of reduced confidence in the financial services industry.</w:t>
      </w:r>
    </w:p>
    <w:p w:rsidR="00000000" w:rsidRDefault="00E54EC0">
      <w:pPr>
        <w:jc w:val="both"/>
        <w:divId w:val="35474198"/>
        <w:rPr>
          <w:rFonts w:eastAsia="Times New Roman"/>
        </w:rPr>
      </w:pPr>
      <w:r>
        <w:rPr>
          <w:rFonts w:eastAsia="Times New Roman"/>
          <w:b/>
          <w:bCs/>
          <w:i/>
          <w:iCs/>
          <w:color w:val="000000"/>
          <w:sz w:val="20"/>
          <w:szCs w:val="20"/>
        </w:rPr>
        <w:t>Losses due to defaults by third parties and affiliates, including outsourcing relationships.</w:t>
      </w:r>
    </w:p>
    <w:p w:rsidR="00000000" w:rsidRDefault="00E54EC0">
      <w:pPr>
        <w:ind w:firstLine="360"/>
        <w:divId w:val="572466865"/>
        <w:rPr>
          <w:rFonts w:eastAsia="Times New Roman"/>
        </w:rPr>
      </w:pPr>
      <w:r>
        <w:rPr>
          <w:rFonts w:eastAsia="Times New Roman"/>
          <w:color w:val="000000"/>
          <w:sz w:val="20"/>
          <w:szCs w:val="20"/>
        </w:rPr>
        <w:t xml:space="preserve">We depend on third parties and affiliates that owe us money, securities or other assets to pay or perform under their </w:t>
      </w:r>
    </w:p>
    <w:p w:rsidR="00000000" w:rsidRDefault="00E54EC0">
      <w:pPr>
        <w:jc w:val="center"/>
        <w:divId w:val="1816683083"/>
        <w:rPr>
          <w:rFonts w:eastAsia="Times New Roman"/>
        </w:rPr>
      </w:pPr>
      <w:r>
        <w:rPr>
          <w:rFonts w:eastAsia="Times New Roman"/>
          <w:color w:val="000000"/>
          <w:sz w:val="20"/>
          <w:szCs w:val="20"/>
        </w:rPr>
        <w:t>60</w:t>
      </w:r>
    </w:p>
    <w:p w:rsidR="00000000" w:rsidRDefault="00E54EC0">
      <w:pPr>
        <w:rPr>
          <w:rFonts w:eastAsia="Times New Roman"/>
        </w:rPr>
      </w:pPr>
      <w:r>
        <w:rPr>
          <w:rFonts w:eastAsia="Times New Roman"/>
        </w:rPr>
        <w:pict>
          <v:rect id="_x0000_i1097" style="width:0;height:1.5pt" o:hralign="center" o:hrstd="t" o:hr="t" fillcolor="#a0a0a0" stroked="f"/>
        </w:pict>
      </w:r>
    </w:p>
    <w:p w:rsidR="00000000" w:rsidRDefault="00E54EC0">
      <w:pPr>
        <w:divId w:val="1435592925"/>
        <w:rPr>
          <w:rFonts w:eastAsia="Times New Roman"/>
        </w:rPr>
      </w:pPr>
    </w:p>
    <w:p w:rsidR="00000000" w:rsidRDefault="00E54EC0">
      <w:pPr>
        <w:divId w:val="1416898640"/>
        <w:rPr>
          <w:rFonts w:eastAsia="Times New Roman"/>
        </w:rPr>
      </w:pPr>
      <w:r>
        <w:rPr>
          <w:rFonts w:eastAsia="Times New Roman"/>
          <w:color w:val="000000"/>
          <w:sz w:val="20"/>
          <w:szCs w:val="20"/>
        </w:rPr>
        <w:t>obligations. Defaults by one or more of these parties could have a material adverse effect on ou</w:t>
      </w:r>
      <w:r>
        <w:rPr>
          <w:rFonts w:eastAsia="Times New Roman"/>
          <w:color w:val="000000"/>
          <w:sz w:val="20"/>
          <w:szCs w:val="20"/>
        </w:rPr>
        <w:t>r business, results of operations or financial condition. Moreover, as a result of contractual provisions certain swap dealers require us to add to derivatives documentation and to agreements, we may not be able to exercise default rights or enforce transf</w:t>
      </w:r>
      <w:r>
        <w:rPr>
          <w:rFonts w:eastAsia="Times New Roman"/>
          <w:color w:val="000000"/>
          <w:sz w:val="20"/>
          <w:szCs w:val="20"/>
        </w:rPr>
        <w:t>er restrictions against certain counterparties which may limit our ability to recover amounts due to us upon a counterparty’s default. We rely on various counterparties and other vendors to augment our existing investment, operational, financial and techno</w:t>
      </w:r>
      <w:r>
        <w:rPr>
          <w:rFonts w:eastAsia="Times New Roman"/>
          <w:color w:val="000000"/>
          <w:sz w:val="20"/>
          <w:szCs w:val="20"/>
        </w:rPr>
        <w:t>logical capabilities, but the use of a vendor does not diminish our responsibility to ensure that client and regulatory obligations are met. Disruptions in the financial markets and other economic challenges may cause our counterparties and other vendors t</w:t>
      </w:r>
      <w:r>
        <w:rPr>
          <w:rFonts w:eastAsia="Times New Roman"/>
          <w:color w:val="000000"/>
          <w:sz w:val="20"/>
          <w:szCs w:val="20"/>
        </w:rPr>
        <w:t xml:space="preserve">o experience significant cash flow problems or even render them insolvent, which may expose us to significant costs and impair our ability to conduct business. We are also subject to the risk that our rights against third parties may not be enforceable in </w:t>
      </w:r>
      <w:r>
        <w:rPr>
          <w:rFonts w:eastAsia="Times New Roman"/>
          <w:color w:val="000000"/>
          <w:sz w:val="20"/>
          <w:szCs w:val="20"/>
        </w:rPr>
        <w:t>all circumstances. The deterioration or perceived deterioration in the credit quality of third parties whose securities or obligations we hold could result in losses or adversely affect our ability to use those securities or obligations for liquidity purpo</w:t>
      </w:r>
      <w:r>
        <w:rPr>
          <w:rFonts w:eastAsia="Times New Roman"/>
          <w:color w:val="000000"/>
          <w:sz w:val="20"/>
          <w:szCs w:val="20"/>
        </w:rPr>
        <w:t xml:space="preserve">ses. </w:t>
      </w:r>
    </w:p>
    <w:p w:rsidR="00000000" w:rsidRDefault="00E54EC0">
      <w:pPr>
        <w:jc w:val="both"/>
        <w:divId w:val="690449137"/>
        <w:rPr>
          <w:rFonts w:eastAsia="Times New Roman"/>
        </w:rPr>
      </w:pPr>
      <w:r>
        <w:rPr>
          <w:rFonts w:eastAsia="Times New Roman"/>
          <w:b/>
          <w:bCs/>
          <w:i/>
          <w:iCs/>
          <w:color w:val="000000"/>
          <w:sz w:val="20"/>
          <w:szCs w:val="20"/>
        </w:rPr>
        <w:t>Economic downturns, defaults and other events may adversely affect our investments.</w:t>
      </w:r>
    </w:p>
    <w:p w:rsidR="00000000" w:rsidRDefault="00E54EC0">
      <w:pPr>
        <w:ind w:firstLine="360"/>
        <w:divId w:val="1026517263"/>
        <w:rPr>
          <w:rFonts w:eastAsia="Times New Roman"/>
        </w:rPr>
      </w:pPr>
      <w:r>
        <w:rPr>
          <w:rFonts w:eastAsia="Times New Roman"/>
          <w:color w:val="000000"/>
          <w:sz w:val="20"/>
          <w:szCs w:val="20"/>
        </w:rPr>
        <w:t>The occurrence of a major economic downturn, acts of corporate malfeasance, widening credit risk spreads, ratings downgrades or other events that adversely affect the</w:t>
      </w:r>
      <w:r>
        <w:rPr>
          <w:rFonts w:eastAsia="Times New Roman"/>
          <w:color w:val="000000"/>
          <w:sz w:val="20"/>
          <w:szCs w:val="20"/>
        </w:rPr>
        <w:t xml:space="preserve"> issuers or guarantors of securities we own or the underlying collateral of structured securities we own could cause the estimated fair value of our fixed maturity securities portfolio and corresponding earnings to decline and cause the default rate of the</w:t>
      </w:r>
      <w:r>
        <w:rPr>
          <w:rFonts w:eastAsia="Times New Roman"/>
          <w:color w:val="000000"/>
          <w:sz w:val="20"/>
          <w:szCs w:val="20"/>
        </w:rPr>
        <w:t xml:space="preserve"> fixed maturity securities in our investment portfolio to increase. We may have to hold more capital to support our securities to maintain our insurance companies’ RBC levels, should securities we hold suffer a ratings downgrade. Levels of write-downs or i</w:t>
      </w:r>
      <w:r>
        <w:rPr>
          <w:rFonts w:eastAsia="Times New Roman"/>
          <w:color w:val="000000"/>
          <w:sz w:val="20"/>
          <w:szCs w:val="20"/>
        </w:rPr>
        <w:t>mpairments are impacted by intent to sell, or our assessment of the likelihood that we will be required to sell, fixed maturity securities, as well as our intent and ability to hold equity securities which have declined in value until recovery. Realized lo</w:t>
      </w:r>
      <w:r>
        <w:rPr>
          <w:rFonts w:eastAsia="Times New Roman"/>
          <w:color w:val="000000"/>
          <w:sz w:val="20"/>
          <w:szCs w:val="20"/>
        </w:rPr>
        <w:t>sses or impairments on these securities may have a material adverse effect on our business, results of operations, liquidity or financial condition in, or at the end of, any quarterly or annual period.</w:t>
      </w:r>
    </w:p>
    <w:p w:rsidR="00000000" w:rsidRDefault="00E54EC0">
      <w:pPr>
        <w:jc w:val="both"/>
        <w:divId w:val="354229880"/>
        <w:rPr>
          <w:rFonts w:eastAsia="Times New Roman"/>
        </w:rPr>
      </w:pPr>
      <w:r>
        <w:rPr>
          <w:rFonts w:eastAsia="Times New Roman"/>
          <w:b/>
          <w:bCs/>
          <w:i/>
          <w:iCs/>
          <w:color w:val="000000"/>
          <w:sz w:val="20"/>
          <w:szCs w:val="20"/>
        </w:rPr>
        <w:t>Some of our investments are relatively illiquid and ma</w:t>
      </w:r>
      <w:r>
        <w:rPr>
          <w:rFonts w:eastAsia="Times New Roman"/>
          <w:b/>
          <w:bCs/>
          <w:i/>
          <w:iCs/>
          <w:color w:val="000000"/>
          <w:sz w:val="20"/>
          <w:szCs w:val="20"/>
        </w:rPr>
        <w:t>y be difficult to sell.</w:t>
      </w:r>
    </w:p>
    <w:p w:rsidR="00000000" w:rsidRDefault="00E54EC0">
      <w:pPr>
        <w:ind w:firstLine="360"/>
        <w:divId w:val="1680038833"/>
        <w:rPr>
          <w:rFonts w:eastAsia="Times New Roman"/>
        </w:rPr>
      </w:pPr>
      <w:r>
        <w:rPr>
          <w:rFonts w:eastAsia="Times New Roman"/>
          <w:color w:val="000000"/>
          <w:sz w:val="20"/>
          <w:szCs w:val="20"/>
        </w:rPr>
        <w:t>We hold certain investments that may lack liquidity, such as privately placed fixed maturity securities, mortgage loans, commercial mortgage backed securities and alternative investments. In the past, even some of our very high qual</w:t>
      </w:r>
      <w:r>
        <w:rPr>
          <w:rFonts w:eastAsia="Times New Roman"/>
          <w:color w:val="000000"/>
          <w:sz w:val="20"/>
          <w:szCs w:val="20"/>
        </w:rPr>
        <w:t>ity investments experienced reduced liquidity during periods of market volatility or disruption. If we were required to liquidate these investments on short notice or were required to post or return collateral, we may have difficulty doing so and be forced</w:t>
      </w:r>
      <w:r>
        <w:rPr>
          <w:rFonts w:eastAsia="Times New Roman"/>
          <w:color w:val="000000"/>
          <w:sz w:val="20"/>
          <w:szCs w:val="20"/>
        </w:rPr>
        <w:t xml:space="preserve"> to sell them for less than we otherwise would have been able to realize. The reported values of our relatively illiquid types of investments do not necessarily reflect the current market price for the asset. If we were forced to sell certain of our assets</w:t>
      </w:r>
      <w:r>
        <w:rPr>
          <w:rFonts w:eastAsia="Times New Roman"/>
          <w:color w:val="000000"/>
          <w:sz w:val="20"/>
          <w:szCs w:val="20"/>
        </w:rPr>
        <w:t xml:space="preserve"> in the current market, there can be no assurance that we would be able to sell them for the prices at which we have recorded them and we might be forced to sell them at significantly lower prices, which could have a material adverse effect on our business</w:t>
      </w:r>
      <w:r>
        <w:rPr>
          <w:rFonts w:eastAsia="Times New Roman"/>
          <w:color w:val="000000"/>
          <w:sz w:val="20"/>
          <w:szCs w:val="20"/>
        </w:rPr>
        <w:t>, results of operations, liquidity or financial condition.</w:t>
      </w:r>
    </w:p>
    <w:p w:rsidR="00000000" w:rsidRDefault="00E54EC0">
      <w:pPr>
        <w:jc w:val="both"/>
        <w:divId w:val="1014721141"/>
        <w:rPr>
          <w:rFonts w:eastAsia="Times New Roman"/>
        </w:rPr>
      </w:pPr>
      <w:r>
        <w:rPr>
          <w:rFonts w:eastAsia="Times New Roman"/>
          <w:b/>
          <w:bCs/>
          <w:i/>
          <w:iCs/>
          <w:color w:val="000000"/>
          <w:sz w:val="20"/>
          <w:szCs w:val="20"/>
        </w:rPr>
        <w:t>Defaults on our mortgage loans and volatility in performance.</w:t>
      </w:r>
    </w:p>
    <w:p w:rsidR="00000000" w:rsidRDefault="00E54EC0">
      <w:pPr>
        <w:ind w:firstLine="360"/>
        <w:divId w:val="688024461"/>
        <w:rPr>
          <w:rFonts w:eastAsia="Times New Roman"/>
        </w:rPr>
      </w:pPr>
      <w:r>
        <w:rPr>
          <w:rFonts w:eastAsia="Times New Roman"/>
          <w:color w:val="000000"/>
          <w:sz w:val="20"/>
          <w:szCs w:val="20"/>
        </w:rPr>
        <w:t xml:space="preserve">A portion of our investment portfolio consists of mortgage loans on commercial and agricultural real estate. Although we manage credit </w:t>
      </w:r>
      <w:r>
        <w:rPr>
          <w:rFonts w:eastAsia="Times New Roman"/>
          <w:color w:val="000000"/>
          <w:sz w:val="20"/>
          <w:szCs w:val="20"/>
        </w:rPr>
        <w:t>risk and market valuation risk for our commercial and agricultural real estate assets through geographic, property type and product type diversification and asset allocation, general economic conditions in the commercial and agricultural real estate sector</w:t>
      </w:r>
      <w:r>
        <w:rPr>
          <w:rFonts w:eastAsia="Times New Roman"/>
          <w:color w:val="000000"/>
          <w:sz w:val="20"/>
          <w:szCs w:val="20"/>
        </w:rPr>
        <w:t>s will continue to influence the performance of these investments. These factors, which are beyond our control, could have a material adverse effect on our business, results of operations, liquidity or financial condition. An increase in the default rate o</w:t>
      </w:r>
      <w:r>
        <w:rPr>
          <w:rFonts w:eastAsia="Times New Roman"/>
          <w:color w:val="000000"/>
          <w:sz w:val="20"/>
          <w:szCs w:val="20"/>
        </w:rPr>
        <w:t xml:space="preserve">f our mortgage loan investments or fluctuations in their performance could have a material adverse effect on our business, results of operations, liquidity or financial condition. </w:t>
      </w:r>
    </w:p>
    <w:p w:rsidR="00000000" w:rsidRDefault="00E54EC0">
      <w:pPr>
        <w:jc w:val="center"/>
        <w:divId w:val="987443330"/>
        <w:rPr>
          <w:rFonts w:eastAsia="Times New Roman"/>
        </w:rPr>
      </w:pPr>
      <w:r>
        <w:rPr>
          <w:rFonts w:eastAsia="Times New Roman"/>
          <w:b/>
          <w:bCs/>
          <w:color w:val="000000"/>
          <w:sz w:val="20"/>
          <w:szCs w:val="20"/>
        </w:rPr>
        <w:t>Risks Relating to Our Retirement and Protection Businesses</w:t>
      </w:r>
    </w:p>
    <w:p w:rsidR="00000000" w:rsidRDefault="00E54EC0">
      <w:pPr>
        <w:divId w:val="2137789910"/>
        <w:rPr>
          <w:rFonts w:eastAsia="Times New Roman"/>
        </w:rPr>
      </w:pPr>
      <w:r>
        <w:rPr>
          <w:rFonts w:eastAsia="Times New Roman"/>
          <w:b/>
          <w:bCs/>
          <w:color w:val="000000"/>
          <w:sz w:val="20"/>
          <w:szCs w:val="20"/>
        </w:rPr>
        <w:t>Risks Relating to Reinsurance and Hedging</w:t>
      </w:r>
    </w:p>
    <w:p w:rsidR="00000000" w:rsidRDefault="00E54EC0">
      <w:pPr>
        <w:jc w:val="both"/>
        <w:divId w:val="1006052633"/>
        <w:rPr>
          <w:rFonts w:eastAsia="Times New Roman"/>
        </w:rPr>
      </w:pPr>
      <w:r>
        <w:rPr>
          <w:rFonts w:eastAsia="Times New Roman"/>
          <w:b/>
          <w:bCs/>
          <w:i/>
          <w:iCs/>
          <w:color w:val="000000"/>
          <w:sz w:val="20"/>
          <w:szCs w:val="20"/>
        </w:rPr>
        <w:t>Our reinsurance and hedging programs.</w:t>
      </w:r>
    </w:p>
    <w:p w:rsidR="00000000" w:rsidRDefault="00E54EC0">
      <w:pPr>
        <w:ind w:firstLine="360"/>
        <w:divId w:val="1425497949"/>
        <w:rPr>
          <w:rFonts w:eastAsia="Times New Roman"/>
        </w:rPr>
      </w:pPr>
      <w:r>
        <w:rPr>
          <w:rFonts w:eastAsia="Times New Roman"/>
          <w:color w:val="000000"/>
          <w:sz w:val="20"/>
          <w:szCs w:val="20"/>
        </w:rPr>
        <w:t>We seek to mitigate some risks associated with the GMxB features or minimum crediting rate contained in certain of ou</w:t>
      </w:r>
      <w:r>
        <w:rPr>
          <w:rFonts w:eastAsia="Times New Roman"/>
          <w:color w:val="000000"/>
          <w:sz w:val="20"/>
          <w:szCs w:val="20"/>
        </w:rPr>
        <w:t>r retirement and protection products through our hedging and reinsurance programs. However, these programs cannot eliminate all of the risks, and no assurance can be given as to the extent to which such programs will be completely effective in reducing suc</w:t>
      </w:r>
      <w:r>
        <w:rPr>
          <w:rFonts w:eastAsia="Times New Roman"/>
          <w:color w:val="000000"/>
          <w:sz w:val="20"/>
          <w:szCs w:val="20"/>
        </w:rPr>
        <w:t xml:space="preserve">h risks. </w:t>
      </w:r>
    </w:p>
    <w:p w:rsidR="00000000" w:rsidRDefault="00E54EC0">
      <w:pPr>
        <w:ind w:firstLine="360"/>
        <w:divId w:val="590550491"/>
        <w:rPr>
          <w:rFonts w:eastAsia="Times New Roman"/>
        </w:rPr>
      </w:pPr>
      <w:r>
        <w:rPr>
          <w:rFonts w:eastAsia="Times New Roman"/>
          <w:i/>
          <w:iCs/>
          <w:color w:val="000000"/>
          <w:sz w:val="20"/>
          <w:szCs w:val="20"/>
        </w:rPr>
        <w:t>Reinsurance</w:t>
      </w:r>
      <w:r>
        <w:rPr>
          <w:rFonts w:eastAsia="Times New Roman"/>
          <w:color w:val="000000"/>
          <w:sz w:val="20"/>
          <w:szCs w:val="20"/>
        </w:rPr>
        <w:t>—We use reinsurance to mitigate a portion of the risks that we face, principally in certain of our in-force annuity and life insurance products. Under our reinsurance arrangements, other insurers assume a portion of the obligation to p</w:t>
      </w:r>
      <w:r>
        <w:rPr>
          <w:rFonts w:eastAsia="Times New Roman"/>
          <w:color w:val="000000"/>
          <w:sz w:val="20"/>
          <w:szCs w:val="20"/>
        </w:rPr>
        <w:t xml:space="preserve">ay claims and related expenses to which we are subject. However, we remain liable as the direct insurer on all risks we reinsure and, therefore, are subject to the risk that our reinsurer is unable or unwilling to pay or reimburse claims at the time </w:t>
      </w:r>
    </w:p>
    <w:p w:rsidR="00000000" w:rsidRDefault="00E54EC0">
      <w:pPr>
        <w:jc w:val="center"/>
        <w:divId w:val="2045791583"/>
        <w:rPr>
          <w:rFonts w:eastAsia="Times New Roman"/>
        </w:rPr>
      </w:pPr>
      <w:r>
        <w:rPr>
          <w:rFonts w:eastAsia="Times New Roman"/>
          <w:color w:val="000000"/>
          <w:sz w:val="20"/>
          <w:szCs w:val="20"/>
        </w:rPr>
        <w:t>61</w:t>
      </w:r>
    </w:p>
    <w:p w:rsidR="00000000" w:rsidRDefault="00E54EC0">
      <w:pPr>
        <w:rPr>
          <w:rFonts w:eastAsia="Times New Roman"/>
        </w:rPr>
      </w:pPr>
      <w:r>
        <w:rPr>
          <w:rFonts w:eastAsia="Times New Roman"/>
        </w:rPr>
        <w:pict>
          <v:rect id="_x0000_i1098" style="width:0;height:1.5pt" o:hralign="center" o:hrstd="t" o:hr="t" fillcolor="#a0a0a0" stroked="f"/>
        </w:pict>
      </w:r>
    </w:p>
    <w:p w:rsidR="00000000" w:rsidRDefault="00E54EC0">
      <w:pPr>
        <w:divId w:val="860244394"/>
        <w:rPr>
          <w:rFonts w:eastAsia="Times New Roman"/>
        </w:rPr>
      </w:pPr>
    </w:p>
    <w:p w:rsidR="00000000" w:rsidRDefault="00E54EC0">
      <w:pPr>
        <w:divId w:val="291833076"/>
        <w:rPr>
          <w:rFonts w:eastAsia="Times New Roman"/>
        </w:rPr>
      </w:pPr>
      <w:r>
        <w:rPr>
          <w:rFonts w:eastAsia="Times New Roman"/>
          <w:color w:val="000000"/>
          <w:sz w:val="20"/>
          <w:szCs w:val="20"/>
        </w:rPr>
        <w:t>demand is made. The inability or unwillingness of a reinsurer to meet its obligations to us, or the inability to collect under our reinsurance treaties for any other reason, could have a material adverse impact on our bu</w:t>
      </w:r>
      <w:r>
        <w:rPr>
          <w:rFonts w:eastAsia="Times New Roman"/>
          <w:color w:val="000000"/>
          <w:sz w:val="20"/>
          <w:szCs w:val="20"/>
        </w:rPr>
        <w:t xml:space="preserve">siness, results of operations or financial condition. Prolonged or severe adverse mortality or morbidity experience could result in increased reinsurance costs, and ultimately may reduce the availability of reinsurance for future life insurance sales. If, </w:t>
      </w:r>
      <w:r>
        <w:rPr>
          <w:rFonts w:eastAsia="Times New Roman"/>
          <w:color w:val="000000"/>
          <w:sz w:val="20"/>
          <w:szCs w:val="20"/>
        </w:rPr>
        <w:t>for new sales, we are unable to maintain our current level of reinsurance or purchase new reinsurance protection in amounts that we consider sufficient, we would either have to be willing to accept an increase in our net exposures, revise our pricing to re</w:t>
      </w:r>
      <w:r>
        <w:rPr>
          <w:rFonts w:eastAsia="Times New Roman"/>
          <w:color w:val="000000"/>
          <w:sz w:val="20"/>
          <w:szCs w:val="20"/>
        </w:rPr>
        <w:t>flect higher reinsurance premiums or limit the amount of new business written on any individual life. If this were to occur, we may be exposed to reduced profitability and cash flow strain or we may not be able to price new business at competitive rates. T</w:t>
      </w:r>
      <w:r>
        <w:rPr>
          <w:rFonts w:eastAsia="Times New Roman"/>
          <w:color w:val="000000"/>
          <w:sz w:val="20"/>
          <w:szCs w:val="20"/>
        </w:rPr>
        <w:t>he premium rates and other fees that we charge are based, in part, on the assumption that reinsurance will be available at a certain cost. If a reinsurer raises the rates that it charges on a block of in-force business, we may not be able to pass the incre</w:t>
      </w:r>
      <w:r>
        <w:rPr>
          <w:rFonts w:eastAsia="Times New Roman"/>
          <w:color w:val="000000"/>
          <w:sz w:val="20"/>
          <w:szCs w:val="20"/>
        </w:rPr>
        <w:t xml:space="preserve">ased costs onto our customers and our profitability will be negatively impacted. Additionally, such a rate increase could result in our recapturing of the business, which may result in a need to maintain additional reserves, reduce reinsurance receivables </w:t>
      </w:r>
      <w:r>
        <w:rPr>
          <w:rFonts w:eastAsia="Times New Roman"/>
          <w:color w:val="000000"/>
          <w:sz w:val="20"/>
          <w:szCs w:val="20"/>
        </w:rPr>
        <w:t xml:space="preserve">and expose us to greater risks. </w:t>
      </w:r>
    </w:p>
    <w:p w:rsidR="00000000" w:rsidRDefault="00E54EC0">
      <w:pPr>
        <w:ind w:firstLine="360"/>
        <w:divId w:val="471286246"/>
        <w:rPr>
          <w:rFonts w:eastAsia="Times New Roman"/>
        </w:rPr>
      </w:pPr>
      <w:r>
        <w:rPr>
          <w:rFonts w:eastAsia="Times New Roman"/>
          <w:i/>
          <w:iCs/>
          <w:color w:val="000000"/>
          <w:sz w:val="20"/>
          <w:szCs w:val="20"/>
        </w:rPr>
        <w:t>Hedging Programs</w:t>
      </w:r>
      <w:r>
        <w:rPr>
          <w:rFonts w:eastAsia="Times New Roman"/>
          <w:color w:val="000000"/>
          <w:sz w:val="20"/>
          <w:szCs w:val="20"/>
        </w:rPr>
        <w:t xml:space="preserve">—We use a hedging program to mitigate a portion of the unreinsured risks we face in, among other areas, the GMxB features of our variable annuity products and minimum crediting rates on our variable annuity </w:t>
      </w:r>
      <w:r>
        <w:rPr>
          <w:rFonts w:eastAsia="Times New Roman"/>
          <w:color w:val="000000"/>
          <w:sz w:val="20"/>
          <w:szCs w:val="20"/>
        </w:rPr>
        <w:t>and life products from unfavorable changes in benefit exposures due to movements in the capital markets. In certain cases, however, we may not be able to effectively apply these techniques because the derivatives markets in question may not be of sufficien</w:t>
      </w:r>
      <w:r>
        <w:rPr>
          <w:rFonts w:eastAsia="Times New Roman"/>
          <w:color w:val="000000"/>
          <w:sz w:val="20"/>
          <w:szCs w:val="20"/>
        </w:rPr>
        <w:t>t size or liquidity or there could be an operational error in the application of our hedging strategy or for other reasons. The operation of our hedging programs is based on models involving numerous estimates and assumptions. There can be no assurance tha</w:t>
      </w:r>
      <w:r>
        <w:rPr>
          <w:rFonts w:eastAsia="Times New Roman"/>
          <w:color w:val="000000"/>
          <w:sz w:val="20"/>
          <w:szCs w:val="20"/>
        </w:rPr>
        <w:t>t ultimate actual experience will not differ materially from our assumptions, particularly, but not only, during periods of high market volatility, which could adversely impact our business, results of operations or financial condition. For example, in the</w:t>
      </w:r>
      <w:r>
        <w:rPr>
          <w:rFonts w:eastAsia="Times New Roman"/>
          <w:color w:val="000000"/>
          <w:sz w:val="20"/>
          <w:szCs w:val="20"/>
        </w:rPr>
        <w:t xml:space="preserve"> past, due to, among other things, levels of volatility in the equity and interest rate markets above our assumptions as well as deviations between actual and assumed surrender and withdrawal rates, gains from our hedging programs did not fully offset the </w:t>
      </w:r>
      <w:r>
        <w:rPr>
          <w:rFonts w:eastAsia="Times New Roman"/>
          <w:color w:val="000000"/>
          <w:sz w:val="20"/>
          <w:szCs w:val="20"/>
        </w:rPr>
        <w:t>economic effect of the increase in the potential net benefits payable under the GMxB features offered in certain of our products. If these circumstances were to re-occur in the future or if, for other reasons, results from our hedging programs in the futur</w:t>
      </w:r>
      <w:r>
        <w:rPr>
          <w:rFonts w:eastAsia="Times New Roman"/>
          <w:color w:val="000000"/>
          <w:sz w:val="20"/>
          <w:szCs w:val="20"/>
        </w:rPr>
        <w:t>e do not correlate with the economic effect of changes in benefit exposures to customers, we could experience economic losses which could have a material adverse impact on our business, results of operations or financial condition. Additionally, our strate</w:t>
      </w:r>
      <w:r>
        <w:rPr>
          <w:rFonts w:eastAsia="Times New Roman"/>
          <w:color w:val="000000"/>
          <w:sz w:val="20"/>
          <w:szCs w:val="20"/>
        </w:rPr>
        <w:t>gies may result in under or over-hedging our liability exposure, which could result in an increase in our hedging losses and greater volatility in our earnings and have a material adverse effect on our business, results of operations or financial condition</w:t>
      </w:r>
      <w:r>
        <w:rPr>
          <w:rFonts w:eastAsia="Times New Roman"/>
          <w:color w:val="000000"/>
          <w:sz w:val="20"/>
          <w:szCs w:val="20"/>
        </w:rPr>
        <w:t>. For further discussion, see “—Risks Relating to Estimates, Assumptions and Valuations—Our risk management policies and procedures.”</w:t>
      </w:r>
    </w:p>
    <w:p w:rsidR="00000000" w:rsidRDefault="00E54EC0">
      <w:pPr>
        <w:jc w:val="both"/>
        <w:divId w:val="540286364"/>
        <w:rPr>
          <w:rFonts w:eastAsia="Times New Roman"/>
        </w:rPr>
      </w:pPr>
      <w:r>
        <w:rPr>
          <w:rFonts w:eastAsia="Times New Roman"/>
          <w:b/>
          <w:bCs/>
          <w:i/>
          <w:iCs/>
          <w:color w:val="000000"/>
          <w:sz w:val="20"/>
          <w:szCs w:val="20"/>
        </w:rPr>
        <w:t>Our reinsurance arrangement with an affiliated captive.</w:t>
      </w:r>
    </w:p>
    <w:p w:rsidR="00000000" w:rsidRDefault="00E54EC0">
      <w:pPr>
        <w:ind w:firstLine="360"/>
        <w:divId w:val="13309074"/>
        <w:rPr>
          <w:rFonts w:eastAsia="Times New Roman"/>
        </w:rPr>
      </w:pPr>
      <w:r>
        <w:rPr>
          <w:rFonts w:eastAsia="Times New Roman"/>
          <w:color w:val="000000"/>
          <w:sz w:val="20"/>
          <w:szCs w:val="20"/>
        </w:rPr>
        <w:t>The reinsurance arrangement with EQ AZ Life Re Company (the “Affil</w:t>
      </w:r>
      <w:r>
        <w:rPr>
          <w:rFonts w:eastAsia="Times New Roman"/>
          <w:color w:val="000000"/>
          <w:sz w:val="20"/>
          <w:szCs w:val="20"/>
        </w:rPr>
        <w:t xml:space="preserve">iated Captive”) provides important capital management benefits to Equitable Financial and Equitable America (collectively, the “Affiliated Cedants”). Under applicable statutory accounting rules, the Affiliated Cedants are currently, and will in the future </w:t>
      </w:r>
      <w:r>
        <w:rPr>
          <w:rFonts w:eastAsia="Times New Roman"/>
          <w:color w:val="000000"/>
          <w:sz w:val="20"/>
          <w:szCs w:val="20"/>
        </w:rPr>
        <w:t>be, entitled to a credit in their calculations of reserves for amounts reinsured to the Affiliated Captive, to the extent the Affiliated Captive hold assets in trust or provide letters of credit or other financing acceptable to the respective domestic regu</w:t>
      </w:r>
      <w:r>
        <w:rPr>
          <w:rFonts w:eastAsia="Times New Roman"/>
          <w:color w:val="000000"/>
          <w:sz w:val="20"/>
          <w:szCs w:val="20"/>
        </w:rPr>
        <w:t>lators of the Affiliated Cedants. The level of assets required to be maintained in the trust fluctuates based on market and interest rate movements, age of the policies, mortality experience and policyholder behavior. Increasing reserve requirements may ne</w:t>
      </w:r>
      <w:r>
        <w:rPr>
          <w:rFonts w:eastAsia="Times New Roman"/>
          <w:color w:val="000000"/>
          <w:sz w:val="20"/>
          <w:szCs w:val="20"/>
        </w:rPr>
        <w:t>cessitate that additional assets be placed in trust or securing additional letters of credit, which could impact the liquidity of the Affiliated Captive.</w:t>
      </w:r>
    </w:p>
    <w:p w:rsidR="00000000" w:rsidRDefault="00E54EC0">
      <w:pPr>
        <w:divId w:val="975142478"/>
        <w:rPr>
          <w:rFonts w:eastAsia="Times New Roman"/>
        </w:rPr>
      </w:pPr>
      <w:r>
        <w:rPr>
          <w:rFonts w:eastAsia="Times New Roman"/>
          <w:b/>
          <w:bCs/>
          <w:color w:val="000000"/>
          <w:sz w:val="20"/>
          <w:szCs w:val="20"/>
        </w:rPr>
        <w:t>Risks Relating to the Our Products, Our Structure and Product Distribution</w:t>
      </w:r>
    </w:p>
    <w:p w:rsidR="00000000" w:rsidRDefault="00E54EC0">
      <w:pPr>
        <w:jc w:val="both"/>
        <w:divId w:val="452208069"/>
        <w:rPr>
          <w:rFonts w:eastAsia="Times New Roman"/>
        </w:rPr>
      </w:pPr>
      <w:r>
        <w:rPr>
          <w:rFonts w:eastAsia="Times New Roman"/>
          <w:b/>
          <w:bCs/>
          <w:i/>
          <w:iCs/>
          <w:color w:val="000000"/>
          <w:sz w:val="20"/>
          <w:szCs w:val="20"/>
        </w:rPr>
        <w:t>GMxB features within certai</w:t>
      </w:r>
      <w:r>
        <w:rPr>
          <w:rFonts w:eastAsia="Times New Roman"/>
          <w:b/>
          <w:bCs/>
          <w:i/>
          <w:iCs/>
          <w:color w:val="000000"/>
          <w:sz w:val="20"/>
          <w:szCs w:val="20"/>
        </w:rPr>
        <w:t>n of our products.</w:t>
      </w:r>
    </w:p>
    <w:p w:rsidR="00000000" w:rsidRDefault="00E54EC0">
      <w:pPr>
        <w:ind w:firstLine="360"/>
        <w:divId w:val="239220677"/>
        <w:rPr>
          <w:rFonts w:eastAsia="Times New Roman"/>
        </w:rPr>
      </w:pPr>
      <w:r>
        <w:rPr>
          <w:rFonts w:eastAsia="Times New Roman"/>
          <w:color w:val="000000"/>
          <w:sz w:val="20"/>
          <w:szCs w:val="20"/>
        </w:rPr>
        <w:t>Certain of the variable annuity products we offer and certain in-force variable annuity products we offered historically, and certain variable annuity risks we assumed historically through reinsurance, include GMxB features. We also offe</w:t>
      </w:r>
      <w:r>
        <w:rPr>
          <w:rFonts w:eastAsia="Times New Roman"/>
          <w:color w:val="000000"/>
          <w:sz w:val="20"/>
          <w:szCs w:val="20"/>
        </w:rPr>
        <w:t>r index-linked variable annuities with guarantees against a defined floor on losses. GMxB features are designed to offer protection to policyholders against changes in equity markets and interest rates. Any such periods of significant and sustained negativ</w:t>
      </w:r>
      <w:r>
        <w:rPr>
          <w:rFonts w:eastAsia="Times New Roman"/>
          <w:color w:val="000000"/>
          <w:sz w:val="20"/>
          <w:szCs w:val="20"/>
        </w:rPr>
        <w:t xml:space="preserve">e or low Separate Accounts returns, increased equity volatility or reduced interest rates will result in an increase in the valuation of our liabilities associated with those products. In addition, if the Separate Account assets consisting of fixed income </w:t>
      </w:r>
      <w:r>
        <w:rPr>
          <w:rFonts w:eastAsia="Times New Roman"/>
          <w:color w:val="000000"/>
          <w:sz w:val="20"/>
          <w:szCs w:val="20"/>
        </w:rPr>
        <w:t>securities, which support the guaranteed index-linked return feature, are insufficient to reflect a period of sustained growth in the equity-index on which the product is based, we may be required to support such Separate Accounts with assets from our Gene</w:t>
      </w:r>
      <w:r>
        <w:rPr>
          <w:rFonts w:eastAsia="Times New Roman"/>
          <w:color w:val="000000"/>
          <w:sz w:val="20"/>
          <w:szCs w:val="20"/>
        </w:rPr>
        <w:t>ral Account and increase our liabilities. An increase in these liabilities would result in a decrease in our net income and depending on the magnitude of any such increase, could materially and adversely affect our financial condition, including our capita</w:t>
      </w:r>
      <w:r>
        <w:rPr>
          <w:rFonts w:eastAsia="Times New Roman"/>
          <w:color w:val="000000"/>
          <w:sz w:val="20"/>
          <w:szCs w:val="20"/>
        </w:rPr>
        <w:t>lization, as well as the financial strength ratings which are necessary to support our product sales.</w:t>
      </w:r>
    </w:p>
    <w:p w:rsidR="00000000" w:rsidRDefault="00E54EC0">
      <w:pPr>
        <w:ind w:firstLine="360"/>
        <w:divId w:val="161359658"/>
        <w:rPr>
          <w:rFonts w:eastAsia="Times New Roman"/>
        </w:rPr>
      </w:pPr>
      <w:r>
        <w:rPr>
          <w:rFonts w:eastAsia="Times New Roman"/>
          <w:color w:val="000000"/>
          <w:sz w:val="20"/>
          <w:szCs w:val="20"/>
        </w:rPr>
        <w:t xml:space="preserve">Additionally, we make assumptions regarding policyholder behavior at the time of pricing and in selecting and using the </w:t>
      </w:r>
    </w:p>
    <w:p w:rsidR="00000000" w:rsidRDefault="00E54EC0">
      <w:pPr>
        <w:jc w:val="center"/>
        <w:divId w:val="108478410"/>
        <w:rPr>
          <w:rFonts w:eastAsia="Times New Roman"/>
        </w:rPr>
      </w:pPr>
      <w:r>
        <w:rPr>
          <w:rFonts w:eastAsia="Times New Roman"/>
          <w:color w:val="000000"/>
          <w:sz w:val="20"/>
          <w:szCs w:val="20"/>
        </w:rPr>
        <w:t>62</w:t>
      </w:r>
    </w:p>
    <w:p w:rsidR="00000000" w:rsidRDefault="00E54EC0">
      <w:pPr>
        <w:rPr>
          <w:rFonts w:eastAsia="Times New Roman"/>
        </w:rPr>
      </w:pPr>
      <w:r>
        <w:rPr>
          <w:rFonts w:eastAsia="Times New Roman"/>
        </w:rPr>
        <w:pict>
          <v:rect id="_x0000_i1099" style="width:0;height:1.5pt" o:hralign="center" o:hrstd="t" o:hr="t" fillcolor="#a0a0a0" stroked="f"/>
        </w:pict>
      </w:r>
    </w:p>
    <w:p w:rsidR="00000000" w:rsidRDefault="00E54EC0">
      <w:pPr>
        <w:divId w:val="1954631082"/>
        <w:rPr>
          <w:rFonts w:eastAsia="Times New Roman"/>
        </w:rPr>
      </w:pPr>
    </w:p>
    <w:p w:rsidR="00000000" w:rsidRDefault="00E54EC0">
      <w:pPr>
        <w:divId w:val="2133015056"/>
        <w:rPr>
          <w:rFonts w:eastAsia="Times New Roman"/>
        </w:rPr>
      </w:pPr>
      <w:r>
        <w:rPr>
          <w:rFonts w:eastAsia="Times New Roman"/>
          <w:color w:val="000000"/>
          <w:sz w:val="20"/>
          <w:szCs w:val="20"/>
        </w:rPr>
        <w:t xml:space="preserve">GMxB features inherent within our products. An increase in the valuation of the liability could result to the extent emerging and actual experience deviates from these policyholder option use assumptions. If we update </w:t>
      </w:r>
      <w:r>
        <w:rPr>
          <w:rFonts w:eastAsia="Times New Roman"/>
          <w:color w:val="000000"/>
          <w:sz w:val="20"/>
          <w:szCs w:val="20"/>
        </w:rPr>
        <w:t xml:space="preserve">our assumptions based on our actuarial assumption review, we could be required to increase the liabilities we record for future policy benefits and claims to a level that may materially and adversely affect our business, results of operations or financial </w:t>
      </w:r>
      <w:r>
        <w:rPr>
          <w:rFonts w:eastAsia="Times New Roman"/>
          <w:color w:val="000000"/>
          <w:sz w:val="20"/>
          <w:szCs w:val="20"/>
        </w:rPr>
        <w:t>condition which, in certain circumstances, could impair our solvency. In addition, we have in the past updated our assumptions on policyholder behavior, which has negatively impacted our net income, and there can be no assurance that similar updates will n</w:t>
      </w:r>
      <w:r>
        <w:rPr>
          <w:rFonts w:eastAsia="Times New Roman"/>
          <w:color w:val="000000"/>
          <w:sz w:val="20"/>
          <w:szCs w:val="20"/>
        </w:rPr>
        <w:t xml:space="preserve">ot be required in the future. </w:t>
      </w:r>
    </w:p>
    <w:p w:rsidR="00000000" w:rsidRDefault="00E54EC0">
      <w:pPr>
        <w:ind w:firstLine="360"/>
        <w:divId w:val="548342178"/>
        <w:rPr>
          <w:rFonts w:eastAsia="Times New Roman"/>
        </w:rPr>
      </w:pPr>
      <w:r>
        <w:rPr>
          <w:rFonts w:eastAsia="Times New Roman"/>
          <w:color w:val="000000"/>
          <w:sz w:val="20"/>
          <w:szCs w:val="20"/>
        </w:rPr>
        <w:t>In addition, hedging instruments may not effectively offset the costs of GMxB features or may otherwise be insufficient in relation to our obligations. Furthermore, we are subject to the risk that changes in policyholder beha</w:t>
      </w:r>
      <w:r>
        <w:rPr>
          <w:rFonts w:eastAsia="Times New Roman"/>
          <w:color w:val="000000"/>
          <w:sz w:val="20"/>
          <w:szCs w:val="20"/>
        </w:rPr>
        <w:t>vior or mortality, combined with adverse market events, could produce economic losses not addressed by our risk management techniques. These factors, individually or collectively, may have a material adverse effect on our business, results of operations, i</w:t>
      </w:r>
      <w:r>
        <w:rPr>
          <w:rFonts w:eastAsia="Times New Roman"/>
          <w:color w:val="000000"/>
          <w:sz w:val="20"/>
          <w:szCs w:val="20"/>
        </w:rPr>
        <w:t>ncluding net income, capitalization, financial condition or liquidity including our ability to receive dividends from our insurance subsidiaries.</w:t>
      </w:r>
    </w:p>
    <w:p w:rsidR="00000000" w:rsidRDefault="00E54EC0">
      <w:pPr>
        <w:jc w:val="both"/>
        <w:divId w:val="71123545"/>
        <w:rPr>
          <w:rFonts w:eastAsia="Times New Roman"/>
        </w:rPr>
      </w:pPr>
      <w:r>
        <w:rPr>
          <w:rFonts w:eastAsia="Times New Roman"/>
          <w:b/>
          <w:bCs/>
          <w:i/>
          <w:iCs/>
          <w:color w:val="000000"/>
          <w:sz w:val="20"/>
          <w:szCs w:val="20"/>
        </w:rPr>
        <w:t>The amount of statutory capital that we have and the amount of statutory capital we must hold to meet our stat</w:t>
      </w:r>
      <w:r>
        <w:rPr>
          <w:rFonts w:eastAsia="Times New Roman"/>
          <w:b/>
          <w:bCs/>
          <w:i/>
          <w:iCs/>
          <w:color w:val="000000"/>
          <w:sz w:val="20"/>
          <w:szCs w:val="20"/>
        </w:rPr>
        <w:t>utory capital requirements and our financial strength and credit ratings can vary significantly.</w:t>
      </w:r>
    </w:p>
    <w:p w:rsidR="00000000" w:rsidRDefault="00E54EC0">
      <w:pPr>
        <w:ind w:firstLine="360"/>
        <w:divId w:val="1907258304"/>
        <w:rPr>
          <w:rFonts w:eastAsia="Times New Roman"/>
        </w:rPr>
      </w:pPr>
      <w:r>
        <w:rPr>
          <w:rFonts w:eastAsia="Times New Roman"/>
          <w:color w:val="000000"/>
          <w:sz w:val="20"/>
          <w:szCs w:val="20"/>
        </w:rPr>
        <w:t>In any particular year, statutory surplus amounts and RBC ratios may increase or decrease depending on a variety of factors. Additionally, state insurance regu</w:t>
      </w:r>
      <w:r>
        <w:rPr>
          <w:rFonts w:eastAsia="Times New Roman"/>
          <w:color w:val="000000"/>
          <w:sz w:val="20"/>
          <w:szCs w:val="20"/>
        </w:rPr>
        <w:t>lators have significant leeway in how to interpret existing regulations, which could further impact the amount of statutory capital or reserves that we must maintain. Equitable Financial is primarily regulated by the NYDFS, which from time to time has take</w:t>
      </w:r>
      <w:r>
        <w:rPr>
          <w:rFonts w:eastAsia="Times New Roman"/>
          <w:color w:val="000000"/>
          <w:sz w:val="20"/>
          <w:szCs w:val="20"/>
        </w:rPr>
        <w:t>n more stringent positions than other state insurance regulators on matters affecting, among other things, statutory capital or reserves. In certain circumstances, particularly those involving significant market declines, the effect of these more stringent</w:t>
      </w:r>
      <w:r>
        <w:rPr>
          <w:rFonts w:eastAsia="Times New Roman"/>
          <w:color w:val="000000"/>
          <w:sz w:val="20"/>
          <w:szCs w:val="20"/>
        </w:rPr>
        <w:t xml:space="preserve"> positions may be that our financial condition appears to be worse than competitors who are not subject to the same stringent standards, which could have a material adverse impact on our business, results of operations or financial condition. Moreover, rat</w:t>
      </w:r>
      <w:r>
        <w:rPr>
          <w:rFonts w:eastAsia="Times New Roman"/>
          <w:color w:val="000000"/>
          <w:sz w:val="20"/>
          <w:szCs w:val="20"/>
        </w:rPr>
        <w:t>ing agencies may implement changes to their internal models that have the effect of increasing or decreasing the amount of capital our insurance subsidiaries must hold in order to maintain their current ratings. To the extent that our statutory capital res</w:t>
      </w:r>
      <w:r>
        <w:rPr>
          <w:rFonts w:eastAsia="Times New Roman"/>
          <w:color w:val="000000"/>
          <w:sz w:val="20"/>
          <w:szCs w:val="20"/>
        </w:rPr>
        <w:t>ources are deemed to be insufficient to maintain a particular rating by one or more rating agencies, our insurance subsidiaries’ financial strength and credit ratings might be downgraded by one or more rating agencies. There can be no assurance that any of</w:t>
      </w:r>
      <w:r>
        <w:rPr>
          <w:rFonts w:eastAsia="Times New Roman"/>
          <w:color w:val="000000"/>
          <w:sz w:val="20"/>
          <w:szCs w:val="20"/>
        </w:rPr>
        <w:t xml:space="preserve"> our insurance subsidiaries will be able to maintain its current RBC ratio in the future or that its RBC ratio will not fall to a level that could have a material adverse effect on our business, results of operations or financial condition.</w:t>
      </w:r>
    </w:p>
    <w:p w:rsidR="00000000" w:rsidRDefault="00E54EC0">
      <w:pPr>
        <w:ind w:firstLine="360"/>
        <w:divId w:val="839540219"/>
        <w:rPr>
          <w:rFonts w:eastAsia="Times New Roman"/>
        </w:rPr>
      </w:pPr>
      <w:r>
        <w:rPr>
          <w:rFonts w:eastAsia="Times New Roman"/>
          <w:color w:val="000000"/>
          <w:sz w:val="20"/>
          <w:szCs w:val="20"/>
        </w:rPr>
        <w:t xml:space="preserve">The failure of </w:t>
      </w:r>
      <w:r>
        <w:rPr>
          <w:rFonts w:eastAsia="Times New Roman"/>
          <w:color w:val="000000"/>
          <w:sz w:val="20"/>
          <w:szCs w:val="20"/>
        </w:rPr>
        <w:t>any of our insurance subsidiaries to meet its applicable RBC requirements or minimum capital and surplus requirements could subject it to further examination or corrective action imposed by insurance regulators, including limitations on its ability to writ</w:t>
      </w:r>
      <w:r>
        <w:rPr>
          <w:rFonts w:eastAsia="Times New Roman"/>
          <w:color w:val="000000"/>
          <w:sz w:val="20"/>
          <w:szCs w:val="20"/>
        </w:rPr>
        <w:t>e additional business, supervision by regulators, rehabilitation, or seizure or liquidation. Any corrective action imposed could have a material adverse effect on our business, results of operations or financial condition. A decline in RBC ratios may limit</w:t>
      </w:r>
      <w:r>
        <w:rPr>
          <w:rFonts w:eastAsia="Times New Roman"/>
          <w:color w:val="000000"/>
          <w:sz w:val="20"/>
          <w:szCs w:val="20"/>
        </w:rPr>
        <w:t xml:space="preserve"> the ability of an insurance subsidiary to pay dividends or distributions to us, could result in a loss of customers or new business, and could be a factor in causing ratings agencies to downgrade the insurer’s financial strength ratings, each of which cou</w:t>
      </w:r>
      <w:r>
        <w:rPr>
          <w:rFonts w:eastAsia="Times New Roman"/>
          <w:color w:val="000000"/>
          <w:sz w:val="20"/>
          <w:szCs w:val="20"/>
        </w:rPr>
        <w:t>ld have a material adverse effect on our business, results of operations or financial condition.</w:t>
      </w:r>
    </w:p>
    <w:p w:rsidR="00000000" w:rsidRDefault="00E54EC0">
      <w:pPr>
        <w:jc w:val="both"/>
        <w:divId w:val="433401112"/>
        <w:rPr>
          <w:rFonts w:eastAsia="Times New Roman"/>
        </w:rPr>
      </w:pPr>
      <w:r>
        <w:rPr>
          <w:rFonts w:eastAsia="Times New Roman"/>
          <w:b/>
          <w:bCs/>
          <w:i/>
          <w:iCs/>
          <w:color w:val="000000"/>
          <w:sz w:val="20"/>
          <w:szCs w:val="20"/>
        </w:rPr>
        <w:t>A downgrade in our financial strength and claims-paying ratings.</w:t>
      </w:r>
    </w:p>
    <w:p w:rsidR="00000000" w:rsidRDefault="00E54EC0">
      <w:pPr>
        <w:ind w:firstLine="360"/>
        <w:divId w:val="439909675"/>
        <w:rPr>
          <w:rFonts w:eastAsia="Times New Roman"/>
        </w:rPr>
      </w:pPr>
      <w:r>
        <w:rPr>
          <w:rFonts w:eastAsia="Times New Roman"/>
          <w:color w:val="000000"/>
          <w:sz w:val="20"/>
          <w:szCs w:val="20"/>
        </w:rPr>
        <w:t>Claims-paying and financial strength ratings are important factors in establishing the competi</w:t>
      </w:r>
      <w:r>
        <w:rPr>
          <w:rFonts w:eastAsia="Times New Roman"/>
          <w:color w:val="000000"/>
          <w:sz w:val="20"/>
          <w:szCs w:val="20"/>
        </w:rPr>
        <w:t>tive position of insurance companies. They indicate the rating agencies’ opinions regarding an insurance company’s ability to meet policyholder obligations and are important to maintaining public confidence in our products and our competitive position. A d</w:t>
      </w:r>
      <w:r>
        <w:rPr>
          <w:rFonts w:eastAsia="Times New Roman"/>
          <w:color w:val="000000"/>
          <w:sz w:val="20"/>
          <w:szCs w:val="20"/>
        </w:rPr>
        <w:t>owngrade of our ratings or those of Equitable Financial, Equitable America or Holdings could adversely affect our business, results of operations or financial condition by, among other things, reducing new sales of our products, increasing surrenders and w</w:t>
      </w:r>
      <w:r>
        <w:rPr>
          <w:rFonts w:eastAsia="Times New Roman"/>
          <w:color w:val="000000"/>
          <w:sz w:val="20"/>
          <w:szCs w:val="20"/>
        </w:rPr>
        <w:t>ithdrawals from our existing contracts, possibly requiring us to reduce prices or take other actions for many of our products and services to remain competitive, or adversely affecting our ability to obtain reinsurance or obtain reasonable pricing on reins</w:t>
      </w:r>
      <w:r>
        <w:rPr>
          <w:rFonts w:eastAsia="Times New Roman"/>
          <w:color w:val="000000"/>
          <w:sz w:val="20"/>
          <w:szCs w:val="20"/>
        </w:rPr>
        <w:t>urance. A downgrade in our ratings may also adversely affect our cost of raising capital or limit our access to capital.</w:t>
      </w:r>
    </w:p>
    <w:p w:rsidR="00000000" w:rsidRDefault="00E54EC0">
      <w:pPr>
        <w:jc w:val="both"/>
        <w:divId w:val="55981524"/>
        <w:rPr>
          <w:rFonts w:eastAsia="Times New Roman"/>
        </w:rPr>
      </w:pPr>
      <w:r>
        <w:rPr>
          <w:rFonts w:eastAsia="Times New Roman"/>
          <w:b/>
          <w:bCs/>
          <w:i/>
          <w:iCs/>
          <w:color w:val="000000"/>
          <w:sz w:val="20"/>
          <w:szCs w:val="20"/>
        </w:rPr>
        <w:t xml:space="preserve">State insurance laws limit the ability of our insurance subsidiaries to pay dividends and other distributions to Holdings. </w:t>
      </w:r>
    </w:p>
    <w:p w:rsidR="00000000" w:rsidRDefault="00E54EC0">
      <w:pPr>
        <w:ind w:firstLine="360"/>
        <w:divId w:val="711152823"/>
        <w:rPr>
          <w:rFonts w:eastAsia="Times New Roman"/>
        </w:rPr>
      </w:pPr>
      <w:r>
        <w:rPr>
          <w:rFonts w:eastAsia="Times New Roman"/>
          <w:color w:val="000000"/>
          <w:sz w:val="20"/>
          <w:szCs w:val="20"/>
        </w:rPr>
        <w:t>The payment</w:t>
      </w:r>
      <w:r>
        <w:rPr>
          <w:rFonts w:eastAsia="Times New Roman"/>
          <w:color w:val="000000"/>
          <w:sz w:val="20"/>
          <w:szCs w:val="20"/>
        </w:rPr>
        <w:t xml:space="preserve"> of dividends and other distributions to Holdings by its insurance subsidiaries, including its captive reinsurer, is regulated by state insurance laws and regulations. These restrictions may limit or prevent our insurance subsidiaries from making dividend </w:t>
      </w:r>
      <w:r>
        <w:rPr>
          <w:rFonts w:eastAsia="Times New Roman"/>
          <w:color w:val="000000"/>
          <w:sz w:val="20"/>
          <w:szCs w:val="20"/>
        </w:rPr>
        <w:t>or other payments to Holdings. These restrictions are based, in part, on earned surplus and the prior year’s statutory income and policyholder surplus. In general, dividends may be paid only from earned surplus (typically defined as available or unassigned</w:t>
      </w:r>
      <w:r>
        <w:rPr>
          <w:rFonts w:eastAsia="Times New Roman"/>
          <w:color w:val="000000"/>
          <w:sz w:val="20"/>
          <w:szCs w:val="20"/>
        </w:rPr>
        <w:t xml:space="preserve"> surplus, subject to possible adjustments) which is derived from realized net profits on the company’s business. Dividends up to specified levels are considered ordinary and generally may be made without prior regulatory approval. Meanwhile, dividends paid</w:t>
      </w:r>
      <w:r>
        <w:rPr>
          <w:rFonts w:eastAsia="Times New Roman"/>
          <w:color w:val="000000"/>
          <w:sz w:val="20"/>
          <w:szCs w:val="20"/>
        </w:rPr>
        <w:t xml:space="preserve"> from sources other than earned surplus or in larger amounts, often called “extraordinary dividends,” are generally subject to approval by the insurance commissioner of the relevant state of domicile. In addition, </w:t>
      </w:r>
    </w:p>
    <w:p w:rsidR="00000000" w:rsidRDefault="00E54EC0">
      <w:pPr>
        <w:jc w:val="center"/>
        <w:divId w:val="191459661"/>
        <w:rPr>
          <w:rFonts w:eastAsia="Times New Roman"/>
        </w:rPr>
      </w:pPr>
      <w:r>
        <w:rPr>
          <w:rFonts w:eastAsia="Times New Roman"/>
          <w:color w:val="000000"/>
          <w:sz w:val="20"/>
          <w:szCs w:val="20"/>
        </w:rPr>
        <w:t>63</w:t>
      </w:r>
    </w:p>
    <w:p w:rsidR="00000000" w:rsidRDefault="00E54EC0">
      <w:pPr>
        <w:rPr>
          <w:rFonts w:eastAsia="Times New Roman"/>
        </w:rPr>
      </w:pPr>
      <w:r>
        <w:rPr>
          <w:rFonts w:eastAsia="Times New Roman"/>
        </w:rPr>
        <w:pict>
          <v:rect id="_x0000_i1100" style="width:0;height:1.5pt" o:hralign="center" o:hrstd="t" o:hr="t" fillcolor="#a0a0a0" stroked="f"/>
        </w:pict>
      </w:r>
    </w:p>
    <w:p w:rsidR="00000000" w:rsidRDefault="00E54EC0">
      <w:pPr>
        <w:divId w:val="1668441386"/>
        <w:rPr>
          <w:rFonts w:eastAsia="Times New Roman"/>
        </w:rPr>
      </w:pPr>
    </w:p>
    <w:p w:rsidR="00000000" w:rsidRDefault="00E54EC0">
      <w:pPr>
        <w:divId w:val="1155948744"/>
        <w:rPr>
          <w:rFonts w:eastAsia="Times New Roman"/>
        </w:rPr>
      </w:pPr>
      <w:r>
        <w:rPr>
          <w:rFonts w:eastAsia="Times New Roman"/>
          <w:color w:val="000000"/>
          <w:sz w:val="20"/>
          <w:szCs w:val="20"/>
        </w:rPr>
        <w:t>certain states may prohibit the payment of dividends from other than the insurance company’s earned surplus. If any of our insurance subsidiaries subject to the positive earned surplus requirement do not succeed in building up sufficient positive earned su</w:t>
      </w:r>
      <w:r>
        <w:rPr>
          <w:rFonts w:eastAsia="Times New Roman"/>
          <w:color w:val="000000"/>
          <w:sz w:val="20"/>
          <w:szCs w:val="20"/>
        </w:rPr>
        <w:t>rplus to have ordinary dividend capacity in future years, such subsidiary would be unable to pay dividends or distributions to our holding company, in certain cases, absent prior approval of its domiciliary insurance regulator. For further information on s</w:t>
      </w:r>
      <w:r>
        <w:rPr>
          <w:rFonts w:eastAsia="Times New Roman"/>
          <w:color w:val="000000"/>
          <w:sz w:val="20"/>
          <w:szCs w:val="20"/>
        </w:rPr>
        <w:t>tate insurance laws related to payments of dividends, see “Business—Regulation—Insurance Regulation—Holding Company and Shareholder Dividend Regulation.”</w:t>
      </w:r>
    </w:p>
    <w:p w:rsidR="00000000" w:rsidRDefault="00E54EC0">
      <w:pPr>
        <w:ind w:firstLine="360"/>
        <w:divId w:val="1667962"/>
        <w:rPr>
          <w:rFonts w:eastAsia="Times New Roman"/>
        </w:rPr>
      </w:pPr>
      <w:r>
        <w:rPr>
          <w:rFonts w:eastAsia="Times New Roman"/>
          <w:color w:val="000000"/>
          <w:sz w:val="20"/>
          <w:szCs w:val="20"/>
        </w:rPr>
        <w:t>From time to time, the NAIC and various state insurance regulators have considered, and may in the fut</w:t>
      </w:r>
      <w:r>
        <w:rPr>
          <w:rFonts w:eastAsia="Times New Roman"/>
          <w:color w:val="000000"/>
          <w:sz w:val="20"/>
          <w:szCs w:val="20"/>
        </w:rPr>
        <w:t>ure consider, proposals to further limit dividend payments that an insurance company may make without regulatory approval. For example, the NYDFS enacted Regulation 213. Due to a permitted statutory accounting practice agreed to with the NYDFS, Equitable F</w:t>
      </w:r>
      <w:r>
        <w:rPr>
          <w:rFonts w:eastAsia="Times New Roman"/>
          <w:color w:val="000000"/>
          <w:sz w:val="20"/>
          <w:szCs w:val="20"/>
        </w:rPr>
        <w:t>inancial needs the prior approval of the NYDFS to pay the portion, if any, of any ordinary dividend that exceeds the ordinary dividend that Equitable Financial would be permitted to pay under New York’s insurance laws absent the application of such permitt</w:t>
      </w:r>
      <w:r>
        <w:rPr>
          <w:rFonts w:eastAsia="Times New Roman"/>
          <w:color w:val="000000"/>
          <w:sz w:val="20"/>
          <w:szCs w:val="20"/>
        </w:rPr>
        <w:t>ed practice. If more stringent restrictions on dividend payments are adopted by jurisdictions in which our insurance subsidiaries are domiciled, such restrictions could have the effect of significantly reducing dividends or other amounts payable to Holding</w:t>
      </w:r>
      <w:r>
        <w:rPr>
          <w:rFonts w:eastAsia="Times New Roman"/>
          <w:color w:val="000000"/>
          <w:sz w:val="20"/>
          <w:szCs w:val="20"/>
        </w:rPr>
        <w:t>s by its insurance subsidiaries without prior approval by regulatory authorities. The ability of our insurance subsidiaries to pay dividends or make other distributions is also limited by our need to maintain the financial strength ratings assigned to such</w:t>
      </w:r>
      <w:r>
        <w:rPr>
          <w:rFonts w:eastAsia="Times New Roman"/>
          <w:color w:val="000000"/>
          <w:sz w:val="20"/>
          <w:szCs w:val="20"/>
        </w:rPr>
        <w:t xml:space="preserve"> subsidiaries by the rating agencies. These ratings depend to a large extent on the capitalization levels of our insurance subsidiaries.</w:t>
      </w:r>
    </w:p>
    <w:p w:rsidR="00000000" w:rsidRDefault="00E54EC0">
      <w:pPr>
        <w:divId w:val="1187332490"/>
        <w:rPr>
          <w:rFonts w:eastAsia="Times New Roman"/>
        </w:rPr>
      </w:pPr>
    </w:p>
    <w:p w:rsidR="00000000" w:rsidRDefault="00E54EC0">
      <w:pPr>
        <w:jc w:val="both"/>
        <w:divId w:val="1884706755"/>
        <w:rPr>
          <w:rFonts w:eastAsia="Times New Roman"/>
        </w:rPr>
      </w:pPr>
      <w:r>
        <w:rPr>
          <w:rFonts w:eastAsia="Times New Roman"/>
          <w:b/>
          <w:bCs/>
          <w:i/>
          <w:iCs/>
          <w:color w:val="000000"/>
          <w:sz w:val="20"/>
          <w:szCs w:val="20"/>
        </w:rPr>
        <w:t>A loss of, or significant change in, key product distribution relationships.</w:t>
      </w:r>
    </w:p>
    <w:p w:rsidR="00000000" w:rsidRDefault="00E54EC0">
      <w:pPr>
        <w:ind w:firstLine="360"/>
        <w:divId w:val="41367145"/>
        <w:rPr>
          <w:rFonts w:eastAsia="Times New Roman"/>
        </w:rPr>
      </w:pPr>
      <w:r>
        <w:rPr>
          <w:rFonts w:eastAsia="Times New Roman"/>
          <w:color w:val="000000"/>
          <w:sz w:val="20"/>
          <w:szCs w:val="20"/>
        </w:rPr>
        <w:t>We distribute certain products under agr</w:t>
      </w:r>
      <w:r>
        <w:rPr>
          <w:rFonts w:eastAsia="Times New Roman"/>
          <w:color w:val="000000"/>
          <w:sz w:val="20"/>
          <w:szCs w:val="20"/>
        </w:rPr>
        <w:t>eements with third-party distributors and other members of the financial services industry that are not affiliated with us. We compete with other financial institutions to attract and retain commercial relationships in each of these channels. An interrupti</w:t>
      </w:r>
      <w:r>
        <w:rPr>
          <w:rFonts w:eastAsia="Times New Roman"/>
          <w:color w:val="000000"/>
          <w:sz w:val="20"/>
          <w:szCs w:val="20"/>
        </w:rPr>
        <w:t xml:space="preserve">on or significant change in certain key relationships could materially and adversely affect our ability to market our products and could have a material adverse effect on our business, results of operation or financial condition. Distributors may elect to </w:t>
      </w:r>
      <w:r>
        <w:rPr>
          <w:rFonts w:eastAsia="Times New Roman"/>
          <w:color w:val="000000"/>
          <w:sz w:val="20"/>
          <w:szCs w:val="20"/>
        </w:rPr>
        <w:t>alter, reduce or terminate their distribution relationships with us, including for such reasons as changes in our distribution strategy, adverse developments in our business, adverse rating agency actions or concerns about market-related risks. Alternative</w:t>
      </w:r>
      <w:r>
        <w:rPr>
          <w:rFonts w:eastAsia="Times New Roman"/>
          <w:color w:val="000000"/>
          <w:sz w:val="20"/>
          <w:szCs w:val="20"/>
        </w:rPr>
        <w:t>ly, we may terminate one or more distribution agreements due to, for example, a loss of confidence in, or a change in control of, one of the third-party distributors, which could reduce sales.</w:t>
      </w:r>
    </w:p>
    <w:p w:rsidR="00000000" w:rsidRDefault="00E54EC0">
      <w:pPr>
        <w:ind w:firstLine="360"/>
        <w:divId w:val="46923903"/>
        <w:rPr>
          <w:rFonts w:eastAsia="Times New Roman"/>
        </w:rPr>
      </w:pPr>
      <w:r>
        <w:rPr>
          <w:rFonts w:eastAsia="Times New Roman"/>
          <w:color w:val="000000"/>
          <w:sz w:val="20"/>
          <w:szCs w:val="20"/>
        </w:rPr>
        <w:t>We are also at risk that key distribution partners may merge or</w:t>
      </w:r>
      <w:r>
        <w:rPr>
          <w:rFonts w:eastAsia="Times New Roman"/>
          <w:color w:val="000000"/>
          <w:sz w:val="20"/>
          <w:szCs w:val="20"/>
        </w:rPr>
        <w:t xml:space="preserve"> change their business models in ways that affect how our products are sold, either in response to changing business priorities or as a result of shifts in regulatory supervision or potential changes in state and federal laws and regulations regarding stan</w:t>
      </w:r>
      <w:r>
        <w:rPr>
          <w:rFonts w:eastAsia="Times New Roman"/>
          <w:color w:val="000000"/>
          <w:sz w:val="20"/>
          <w:szCs w:val="20"/>
        </w:rPr>
        <w:t>dards of conduct applicable to third-party distributors when providing investment advice to retail and other customers. Our key distribution relationships may also be adversely impacted by regulatory changes that increase the costs associated with marketin</w:t>
      </w:r>
      <w:r>
        <w:rPr>
          <w:rFonts w:eastAsia="Times New Roman"/>
          <w:color w:val="000000"/>
          <w:sz w:val="20"/>
          <w:szCs w:val="20"/>
        </w:rPr>
        <w:t xml:space="preserve">g, or restrict the ability of distribution partners to receive sales and promotion related charges. </w:t>
      </w:r>
    </w:p>
    <w:p w:rsidR="00000000" w:rsidRDefault="00E54EC0">
      <w:pPr>
        <w:divId w:val="363289670"/>
        <w:rPr>
          <w:rFonts w:eastAsia="Times New Roman"/>
        </w:rPr>
      </w:pPr>
      <w:r>
        <w:rPr>
          <w:rFonts w:eastAsia="Times New Roman"/>
          <w:b/>
          <w:bCs/>
          <w:color w:val="000000"/>
          <w:sz w:val="20"/>
          <w:szCs w:val="20"/>
        </w:rPr>
        <w:t>Risks Relating to Estimates, Assumptions and Valuations</w:t>
      </w:r>
    </w:p>
    <w:p w:rsidR="00000000" w:rsidRDefault="00E54EC0">
      <w:pPr>
        <w:jc w:val="both"/>
        <w:divId w:val="76291831"/>
        <w:rPr>
          <w:rFonts w:eastAsia="Times New Roman"/>
        </w:rPr>
      </w:pPr>
      <w:r>
        <w:rPr>
          <w:rFonts w:eastAsia="Times New Roman"/>
          <w:b/>
          <w:bCs/>
          <w:i/>
          <w:iCs/>
          <w:color w:val="000000"/>
          <w:sz w:val="20"/>
          <w:szCs w:val="20"/>
        </w:rPr>
        <w:t>Our risk management policies and procedures.</w:t>
      </w:r>
    </w:p>
    <w:p w:rsidR="00000000" w:rsidRDefault="00E54EC0">
      <w:pPr>
        <w:ind w:firstLine="360"/>
        <w:divId w:val="228197339"/>
        <w:rPr>
          <w:rFonts w:eastAsia="Times New Roman"/>
        </w:rPr>
      </w:pPr>
      <w:r>
        <w:rPr>
          <w:rFonts w:eastAsia="Times New Roman"/>
          <w:color w:val="000000"/>
          <w:sz w:val="20"/>
          <w:szCs w:val="20"/>
        </w:rPr>
        <w:t>Our policies and procedures, including hedging programs, to identify, monitor and manage risks may not be adequate or fully effective. Many of our methods of managing risk and exposures are based upon our use of historical market behavior or statistics bas</w:t>
      </w:r>
      <w:r>
        <w:rPr>
          <w:rFonts w:eastAsia="Times New Roman"/>
          <w:color w:val="000000"/>
          <w:sz w:val="20"/>
          <w:szCs w:val="20"/>
        </w:rPr>
        <w:t>ed on historical models. As a result, these methods may not predict future exposures, which could be significantly greater than the historical measures indicate. Other risk management methods depend upon the evaluation of information regarding markets, cli</w:t>
      </w:r>
      <w:r>
        <w:rPr>
          <w:rFonts w:eastAsia="Times New Roman"/>
          <w:color w:val="000000"/>
          <w:sz w:val="20"/>
          <w:szCs w:val="20"/>
        </w:rPr>
        <w:t>ents, catastrophe occurrence or other matters that is publicly available or otherwise accessible to us, which may not always be accurate, complete, up-to-date or properly evaluated. Management of operational, legal and regulatory risks requires, among othe</w:t>
      </w:r>
      <w:r>
        <w:rPr>
          <w:rFonts w:eastAsia="Times New Roman"/>
          <w:color w:val="000000"/>
          <w:sz w:val="20"/>
          <w:szCs w:val="20"/>
        </w:rPr>
        <w:t>r things, policies and procedures to record and verify large numbers of transactions and events. These policies and procedures may not be fully effective.</w:t>
      </w:r>
    </w:p>
    <w:p w:rsidR="00000000" w:rsidRDefault="00E54EC0">
      <w:pPr>
        <w:ind w:firstLine="360"/>
        <w:divId w:val="2086994896"/>
        <w:rPr>
          <w:rFonts w:eastAsia="Times New Roman"/>
        </w:rPr>
      </w:pPr>
      <w:r>
        <w:rPr>
          <w:rFonts w:eastAsia="Times New Roman"/>
          <w:color w:val="000000"/>
          <w:sz w:val="20"/>
          <w:szCs w:val="20"/>
        </w:rPr>
        <w:t>We employ various strategies to mitigate risks inherent in our business and operations. These risks i</w:t>
      </w:r>
      <w:r>
        <w:rPr>
          <w:rFonts w:eastAsia="Times New Roman"/>
          <w:color w:val="000000"/>
          <w:sz w:val="20"/>
          <w:szCs w:val="20"/>
        </w:rPr>
        <w:t>nclude current or future changes in the fair value of our assets and liabilities, current or future changes in cash flows, the effect of interest rates, equity markets and credit spread changes, the occurrence of credit defaults and changes in mortality an</w:t>
      </w:r>
      <w:r>
        <w:rPr>
          <w:rFonts w:eastAsia="Times New Roman"/>
          <w:color w:val="000000"/>
          <w:sz w:val="20"/>
          <w:szCs w:val="20"/>
        </w:rPr>
        <w:t>d longevity. We seek to control these risks by, among other things, entering into reinsurance contracts and through our hedging programs. Developing an effective strategy for dealing with these risks is complex, and no strategy can completely insulate us f</w:t>
      </w:r>
      <w:r>
        <w:rPr>
          <w:rFonts w:eastAsia="Times New Roman"/>
          <w:color w:val="000000"/>
          <w:sz w:val="20"/>
          <w:szCs w:val="20"/>
        </w:rPr>
        <w:t>rom such risks. Our hedging strategies also rely on assumptions and projections that may prove to be incorrect or prove to be inadequate. Moreover, definitions used in our derivatives contracts may differ from those used in the contract being hedged. For e</w:t>
      </w:r>
      <w:r>
        <w:rPr>
          <w:rFonts w:eastAsia="Times New Roman"/>
          <w:color w:val="000000"/>
          <w:sz w:val="20"/>
          <w:szCs w:val="20"/>
        </w:rPr>
        <w:t>xample, swap documents typically use SOFR as a fallback to LIBOR whereas corporate or municipal bonds or loans held by us may use different fallback rates. Accordingly, our hedging activities may not have the desired beneficial impact on our business, resu</w:t>
      </w:r>
      <w:r>
        <w:rPr>
          <w:rFonts w:eastAsia="Times New Roman"/>
          <w:color w:val="000000"/>
          <w:sz w:val="20"/>
          <w:szCs w:val="20"/>
        </w:rPr>
        <w:t xml:space="preserve">lts of operations or financial condition. As U.S. GAAP accounting differs from the methods used to determine regulatory reserves </w:t>
      </w:r>
    </w:p>
    <w:p w:rsidR="00000000" w:rsidRDefault="00E54EC0">
      <w:pPr>
        <w:jc w:val="center"/>
        <w:divId w:val="1193152334"/>
        <w:rPr>
          <w:rFonts w:eastAsia="Times New Roman"/>
        </w:rPr>
      </w:pPr>
      <w:r>
        <w:rPr>
          <w:rFonts w:eastAsia="Times New Roman"/>
          <w:color w:val="000000"/>
          <w:sz w:val="20"/>
          <w:szCs w:val="20"/>
        </w:rPr>
        <w:t>64</w:t>
      </w:r>
    </w:p>
    <w:p w:rsidR="00000000" w:rsidRDefault="00E54EC0">
      <w:pPr>
        <w:rPr>
          <w:rFonts w:eastAsia="Times New Roman"/>
        </w:rPr>
      </w:pPr>
      <w:r>
        <w:rPr>
          <w:rFonts w:eastAsia="Times New Roman"/>
        </w:rPr>
        <w:pict>
          <v:rect id="_x0000_i1101" style="width:0;height:1.5pt" o:hralign="center" o:hrstd="t" o:hr="t" fillcolor="#a0a0a0" stroked="f"/>
        </w:pict>
      </w:r>
    </w:p>
    <w:p w:rsidR="00000000" w:rsidRDefault="00E54EC0">
      <w:pPr>
        <w:divId w:val="707337413"/>
        <w:rPr>
          <w:rFonts w:eastAsia="Times New Roman"/>
        </w:rPr>
      </w:pPr>
    </w:p>
    <w:p w:rsidR="00000000" w:rsidRDefault="00E54EC0">
      <w:pPr>
        <w:divId w:val="1537501032"/>
        <w:rPr>
          <w:rFonts w:eastAsia="Times New Roman"/>
        </w:rPr>
      </w:pPr>
      <w:r>
        <w:rPr>
          <w:rFonts w:eastAsia="Times New Roman"/>
          <w:color w:val="000000"/>
          <w:sz w:val="20"/>
          <w:szCs w:val="20"/>
        </w:rPr>
        <w:t>and rating agency capital requirements, our hedging program tends to create earnings volatility in our U.S. GAAP financial statements. Further, the nature, timing, design or execution of our hedging transactions could actually increase our risks and losses</w:t>
      </w:r>
      <w:r>
        <w:rPr>
          <w:rFonts w:eastAsia="Times New Roman"/>
          <w:color w:val="000000"/>
          <w:sz w:val="20"/>
          <w:szCs w:val="20"/>
        </w:rPr>
        <w:t>. Our hedging strategies and the derivatives that we use, or may use in the future, may not adequately mitigate or offset the hedged risk and our hedging transactions may result in losses, including both losses based on the risk being hedged as well as los</w:t>
      </w:r>
      <w:r>
        <w:rPr>
          <w:rFonts w:eastAsia="Times New Roman"/>
          <w:color w:val="000000"/>
          <w:sz w:val="20"/>
          <w:szCs w:val="20"/>
        </w:rPr>
        <w:t xml:space="preserve">ses based on the derivative. The terms of the derivatives and other instruments used to hedge the stated risks may not match those of the instruments they are hedging which could cause unpredictability in results. </w:t>
      </w:r>
    </w:p>
    <w:p w:rsidR="00000000" w:rsidRDefault="00E54EC0">
      <w:pPr>
        <w:jc w:val="both"/>
        <w:divId w:val="421878699"/>
        <w:rPr>
          <w:rFonts w:eastAsia="Times New Roman"/>
        </w:rPr>
      </w:pPr>
      <w:r>
        <w:rPr>
          <w:rFonts w:eastAsia="Times New Roman"/>
          <w:b/>
          <w:bCs/>
          <w:i/>
          <w:iCs/>
          <w:color w:val="000000"/>
          <w:sz w:val="20"/>
          <w:szCs w:val="20"/>
        </w:rPr>
        <w:t>Our reserves could be inadequate and prod</w:t>
      </w:r>
      <w:r>
        <w:rPr>
          <w:rFonts w:eastAsia="Times New Roman"/>
          <w:b/>
          <w:bCs/>
          <w:i/>
          <w:iCs/>
          <w:color w:val="000000"/>
          <w:sz w:val="20"/>
          <w:szCs w:val="20"/>
        </w:rPr>
        <w:t>uct profitability could decrease due to differences between our actual experience and management’s estimates and assumptions.</w:t>
      </w:r>
    </w:p>
    <w:p w:rsidR="00000000" w:rsidRDefault="00E54EC0">
      <w:pPr>
        <w:ind w:firstLine="360"/>
        <w:divId w:val="1501774469"/>
        <w:rPr>
          <w:rFonts w:eastAsia="Times New Roman"/>
        </w:rPr>
      </w:pPr>
      <w:r>
        <w:rPr>
          <w:rFonts w:eastAsia="Times New Roman"/>
          <w:color w:val="000000"/>
          <w:sz w:val="20"/>
          <w:szCs w:val="20"/>
        </w:rPr>
        <w:t>Our reserve requirements for our direct and reinsurance assumed business are calculated based on a number of estimates and assumpt</w:t>
      </w:r>
      <w:r>
        <w:rPr>
          <w:rFonts w:eastAsia="Times New Roman"/>
          <w:color w:val="000000"/>
          <w:sz w:val="20"/>
          <w:szCs w:val="20"/>
        </w:rPr>
        <w:t>ions, including estimates and assumptions related to future mortality, morbidity, longevity, persistency, interest rates, future equity performance, reinvestment rates, claims experience and policyholder elections (i.e., the exercise or non-exercise of rig</w:t>
      </w:r>
      <w:r>
        <w:rPr>
          <w:rFonts w:eastAsia="Times New Roman"/>
          <w:color w:val="000000"/>
          <w:sz w:val="20"/>
          <w:szCs w:val="20"/>
        </w:rPr>
        <w:t>hts by policyholders under the contracts). The assumptions and estimates used in connection with the reserve estimation process are inherently uncertain and involve the exercise of significant judgment. We review the appropriateness of reserves and the und</w:t>
      </w:r>
      <w:r>
        <w:rPr>
          <w:rFonts w:eastAsia="Times New Roman"/>
          <w:color w:val="000000"/>
          <w:sz w:val="20"/>
          <w:szCs w:val="20"/>
        </w:rPr>
        <w:t>erlying assumptions at least annually and, if necessary, update our assumptions as additional information becomes available. We cannot, however, determine with precision the amounts that we will pay for, or the timing of payment of, actual benefits and cla</w:t>
      </w:r>
      <w:r>
        <w:rPr>
          <w:rFonts w:eastAsia="Times New Roman"/>
          <w:color w:val="000000"/>
          <w:sz w:val="20"/>
          <w:szCs w:val="20"/>
        </w:rPr>
        <w:t>ims or whether the assets supporting the policy liabilities will grow to the level assumed prior to payment of benefits or claims. Our claim costs could increase significantly, and our reserves could be inadequate if actual results differ significantly fro</w:t>
      </w:r>
      <w:r>
        <w:rPr>
          <w:rFonts w:eastAsia="Times New Roman"/>
          <w:color w:val="000000"/>
          <w:sz w:val="20"/>
          <w:szCs w:val="20"/>
        </w:rPr>
        <w:t>m our estimates and assumptions. If so, we will be required to increase reserves or reduce DAC, which could materially and adversely impact our business, results of operations or financial condition. Future reserve increases in connection with experience u</w:t>
      </w:r>
      <w:r>
        <w:rPr>
          <w:rFonts w:eastAsia="Times New Roman"/>
          <w:color w:val="000000"/>
          <w:sz w:val="20"/>
          <w:szCs w:val="20"/>
        </w:rPr>
        <w:t>pdates could be material and adverse to the results of operations or financial condition of the Company. Future changes as a result of future assumptions reviews could require us to make material additional capital contributions to one or more of our insur</w:t>
      </w:r>
      <w:r>
        <w:rPr>
          <w:rFonts w:eastAsia="Times New Roman"/>
          <w:color w:val="000000"/>
          <w:sz w:val="20"/>
          <w:szCs w:val="20"/>
        </w:rPr>
        <w:t>ance company subsidiaries or could otherwise materially and adversely impact our business, results of operations or financial condition and may negatively and materially impact our stock price.</w:t>
      </w:r>
    </w:p>
    <w:p w:rsidR="00000000" w:rsidRDefault="00E54EC0">
      <w:pPr>
        <w:ind w:firstLine="360"/>
        <w:divId w:val="11537757"/>
        <w:rPr>
          <w:rFonts w:eastAsia="Times New Roman"/>
        </w:rPr>
      </w:pPr>
      <w:r>
        <w:rPr>
          <w:rFonts w:eastAsia="Times New Roman"/>
          <w:color w:val="000000"/>
          <w:sz w:val="20"/>
          <w:szCs w:val="20"/>
        </w:rPr>
        <w:t>Significant deviations in actual experience from our pricing a</w:t>
      </w:r>
      <w:r>
        <w:rPr>
          <w:rFonts w:eastAsia="Times New Roman"/>
          <w:color w:val="000000"/>
          <w:sz w:val="20"/>
          <w:szCs w:val="20"/>
        </w:rPr>
        <w:t>ssumptions could have an adverse effect on the profitability of our products. If actual persistency is significantly different from that assumed in our current reserving assumptions, our reserves for future policy benefits may prove to be inadequate. Altho</w:t>
      </w:r>
      <w:r>
        <w:rPr>
          <w:rFonts w:eastAsia="Times New Roman"/>
          <w:color w:val="000000"/>
          <w:sz w:val="20"/>
          <w:szCs w:val="20"/>
        </w:rPr>
        <w:t>ugh some of our variable annuity and life insurance products permit us to increase premiums or adjust other charges and credits during the life of the policy or contract, the adjustments permitted under the terms of the policies or contracts may not be suf</w:t>
      </w:r>
      <w:r>
        <w:rPr>
          <w:rFonts w:eastAsia="Times New Roman"/>
          <w:color w:val="000000"/>
          <w:sz w:val="20"/>
          <w:szCs w:val="20"/>
        </w:rPr>
        <w:t>ficient to maintain profitability. Many of our variable annuity and life insurance products do not permit us to increase premiums or adjust other charges and credits or limit those adjustments during the life of the policy or contract. Even if we are permi</w:t>
      </w:r>
      <w:r>
        <w:rPr>
          <w:rFonts w:eastAsia="Times New Roman"/>
          <w:color w:val="000000"/>
          <w:sz w:val="20"/>
          <w:szCs w:val="20"/>
        </w:rPr>
        <w:t>tted under the contract to increase premiums or adjust other charges and credits, we may not be able to do so due to litigation, point of sale disclosures, regulatory reputation and market risk or due to actions by our competitors. In addition, the develop</w:t>
      </w:r>
      <w:r>
        <w:rPr>
          <w:rFonts w:eastAsia="Times New Roman"/>
          <w:color w:val="000000"/>
          <w:sz w:val="20"/>
          <w:szCs w:val="20"/>
        </w:rPr>
        <w:t>ment of a secondary market for life insurance could adversely affect the profitability of existing business and our pricing assumptions for new business.</w:t>
      </w:r>
    </w:p>
    <w:p w:rsidR="00000000" w:rsidRDefault="00E54EC0">
      <w:pPr>
        <w:jc w:val="both"/>
        <w:divId w:val="1182401214"/>
        <w:rPr>
          <w:rFonts w:eastAsia="Times New Roman"/>
        </w:rPr>
      </w:pPr>
      <w:r>
        <w:rPr>
          <w:rFonts w:eastAsia="Times New Roman"/>
          <w:b/>
          <w:bCs/>
          <w:i/>
          <w:iCs/>
          <w:color w:val="000000"/>
          <w:sz w:val="20"/>
          <w:szCs w:val="20"/>
        </w:rPr>
        <w:t>We may be required to accelerate the amortization of DAC.</w:t>
      </w:r>
    </w:p>
    <w:p w:rsidR="00000000" w:rsidRDefault="00E54EC0">
      <w:pPr>
        <w:ind w:firstLine="360"/>
        <w:divId w:val="1093402874"/>
        <w:rPr>
          <w:rFonts w:eastAsia="Times New Roman"/>
        </w:rPr>
      </w:pPr>
      <w:r>
        <w:rPr>
          <w:rFonts w:eastAsia="Times New Roman"/>
          <w:color w:val="000000"/>
          <w:sz w:val="20"/>
          <w:szCs w:val="20"/>
        </w:rPr>
        <w:t>DAC represents policy acquisition costs that</w:t>
      </w:r>
      <w:r>
        <w:rPr>
          <w:rFonts w:eastAsia="Times New Roman"/>
          <w:color w:val="000000"/>
          <w:sz w:val="20"/>
          <w:szCs w:val="20"/>
        </w:rPr>
        <w:t xml:space="preserve"> have been capitalized. Capitalized costs associated with DAC are amortized in proportion to actual and estimated gross profits, gross premiums or gross revenues depending on the type of contract. On an ongoing basis, we test the DAC recorded on our balanc</w:t>
      </w:r>
      <w:r>
        <w:rPr>
          <w:rFonts w:eastAsia="Times New Roman"/>
          <w:color w:val="000000"/>
          <w:sz w:val="20"/>
          <w:szCs w:val="20"/>
        </w:rPr>
        <w:t>e sheets to determine if the amount is recoverable under current assumptions. In addition, we regularly review the estimates and assumptions underlying DAC. The projection of estimated gross profits, gross premiums or gross revenues requires the use of cer</w:t>
      </w:r>
      <w:r>
        <w:rPr>
          <w:rFonts w:eastAsia="Times New Roman"/>
          <w:color w:val="000000"/>
          <w:sz w:val="20"/>
          <w:szCs w:val="20"/>
        </w:rPr>
        <w:t>tain assumptions, principally related to Separate Accounts fund returns in excess of amounts credited to policyholders, policyholder behavior such as surrender, lapse and annuitization rates, interest margin, expense margin, mortality, future impairments a</w:t>
      </w:r>
      <w:r>
        <w:rPr>
          <w:rFonts w:eastAsia="Times New Roman"/>
          <w:color w:val="000000"/>
          <w:sz w:val="20"/>
          <w:szCs w:val="20"/>
        </w:rPr>
        <w:t>nd hedging costs. Estimating future gross profits, gross premiums or gross revenues is a complex process requiring considerable judgment and the forecasting of events well into the future. If these assumptions prove to be inaccurate, if an estimation techn</w:t>
      </w:r>
      <w:r>
        <w:rPr>
          <w:rFonts w:eastAsia="Times New Roman"/>
          <w:color w:val="000000"/>
          <w:sz w:val="20"/>
          <w:szCs w:val="20"/>
        </w:rPr>
        <w:t>ique used to estimate future gross profits, gross premiums or gross revenues is changed, or if significant or sustained equity market declines occur or persist, we could be required to accelerate the amortization of DAC, which would result in a charge to e</w:t>
      </w:r>
      <w:r>
        <w:rPr>
          <w:rFonts w:eastAsia="Times New Roman"/>
          <w:color w:val="000000"/>
          <w:sz w:val="20"/>
          <w:szCs w:val="20"/>
        </w:rPr>
        <w:t>arnings. Such adjustments could have a material adverse effect on our business, results of operations or financial condition.</w:t>
      </w:r>
    </w:p>
    <w:p w:rsidR="00000000" w:rsidRDefault="00E54EC0">
      <w:pPr>
        <w:jc w:val="both"/>
        <w:divId w:val="137963102"/>
        <w:rPr>
          <w:rFonts w:eastAsia="Times New Roman"/>
        </w:rPr>
      </w:pPr>
      <w:r>
        <w:rPr>
          <w:rFonts w:eastAsia="Times New Roman"/>
          <w:b/>
          <w:bCs/>
          <w:i/>
          <w:iCs/>
          <w:color w:val="000000"/>
          <w:sz w:val="20"/>
          <w:szCs w:val="20"/>
        </w:rPr>
        <w:t>Our financial models rely on estimates, assumptions and projections.</w:t>
      </w:r>
    </w:p>
    <w:p w:rsidR="00000000" w:rsidRDefault="00E54EC0">
      <w:pPr>
        <w:ind w:firstLine="360"/>
        <w:divId w:val="1789156907"/>
        <w:rPr>
          <w:rFonts w:eastAsia="Times New Roman"/>
        </w:rPr>
      </w:pPr>
      <w:r>
        <w:rPr>
          <w:rFonts w:eastAsia="Times New Roman"/>
          <w:color w:val="000000"/>
          <w:sz w:val="20"/>
          <w:szCs w:val="20"/>
        </w:rPr>
        <w:t xml:space="preserve">We use models in our hedging programs and many other aspects </w:t>
      </w:r>
      <w:r>
        <w:rPr>
          <w:rFonts w:eastAsia="Times New Roman"/>
          <w:color w:val="000000"/>
          <w:sz w:val="20"/>
          <w:szCs w:val="20"/>
        </w:rPr>
        <w:t xml:space="preserve">of our operations including, but not limited to, product development and pricing, capital management, the estimation of actuarial reserves, the amortization of DAC, the fair value of the GMIB reinsurance contracts and the valuation of certain other assets </w:t>
      </w:r>
      <w:r>
        <w:rPr>
          <w:rFonts w:eastAsia="Times New Roman"/>
          <w:color w:val="000000"/>
          <w:sz w:val="20"/>
          <w:szCs w:val="20"/>
        </w:rPr>
        <w:t xml:space="preserve">and liabilities. These models rely on estimates, assumptions and projections that are inherently uncertain and involve the exercise of significant judgment. Due to the complexity of such models, it is possible that errors in the models could exist and our </w:t>
      </w:r>
      <w:r>
        <w:rPr>
          <w:rFonts w:eastAsia="Times New Roman"/>
          <w:color w:val="000000"/>
          <w:sz w:val="20"/>
          <w:szCs w:val="20"/>
        </w:rPr>
        <w:t>controls could fail to detect such errors. Failure to detect such errors could materially and adversely impact our business, results of operations or financial condition.</w:t>
      </w:r>
    </w:p>
    <w:p w:rsidR="00000000" w:rsidRDefault="00E54EC0">
      <w:pPr>
        <w:jc w:val="center"/>
        <w:divId w:val="1036657213"/>
        <w:rPr>
          <w:rFonts w:eastAsia="Times New Roman"/>
        </w:rPr>
      </w:pPr>
      <w:r>
        <w:rPr>
          <w:rFonts w:eastAsia="Times New Roman"/>
          <w:color w:val="000000"/>
          <w:sz w:val="20"/>
          <w:szCs w:val="20"/>
        </w:rPr>
        <w:t>65</w:t>
      </w:r>
    </w:p>
    <w:p w:rsidR="00000000" w:rsidRDefault="00E54EC0">
      <w:pPr>
        <w:rPr>
          <w:rFonts w:eastAsia="Times New Roman"/>
        </w:rPr>
      </w:pPr>
      <w:r>
        <w:rPr>
          <w:rFonts w:eastAsia="Times New Roman"/>
        </w:rPr>
        <w:pict>
          <v:rect id="_x0000_i1102" style="width:0;height:1.5pt" o:hralign="center" o:hrstd="t" o:hr="t" fillcolor="#a0a0a0" stroked="f"/>
        </w:pict>
      </w:r>
    </w:p>
    <w:p w:rsidR="00000000" w:rsidRDefault="00E54EC0">
      <w:pPr>
        <w:divId w:val="1878660884"/>
        <w:rPr>
          <w:rFonts w:eastAsia="Times New Roman"/>
        </w:rPr>
      </w:pPr>
    </w:p>
    <w:p w:rsidR="00000000" w:rsidRDefault="00E54EC0">
      <w:pPr>
        <w:jc w:val="both"/>
        <w:divId w:val="864364664"/>
        <w:rPr>
          <w:rFonts w:eastAsia="Times New Roman"/>
        </w:rPr>
      </w:pPr>
      <w:r>
        <w:rPr>
          <w:rFonts w:eastAsia="Times New Roman"/>
          <w:b/>
          <w:bCs/>
          <w:i/>
          <w:iCs/>
          <w:color w:val="000000"/>
          <w:sz w:val="20"/>
          <w:szCs w:val="20"/>
        </w:rPr>
        <w:t>Subjectivity of the determination of the amo</w:t>
      </w:r>
      <w:r>
        <w:rPr>
          <w:rFonts w:eastAsia="Times New Roman"/>
          <w:b/>
          <w:bCs/>
          <w:i/>
          <w:iCs/>
          <w:color w:val="000000"/>
          <w:sz w:val="20"/>
          <w:szCs w:val="20"/>
        </w:rPr>
        <w:t>unt of allowances and impairments taken on our investments.</w:t>
      </w:r>
    </w:p>
    <w:p w:rsidR="00000000" w:rsidRDefault="00E54EC0">
      <w:pPr>
        <w:ind w:firstLine="360"/>
        <w:divId w:val="347102585"/>
        <w:rPr>
          <w:rFonts w:eastAsia="Times New Roman"/>
        </w:rPr>
      </w:pPr>
      <w:r>
        <w:rPr>
          <w:rFonts w:eastAsia="Times New Roman"/>
          <w:color w:val="000000"/>
          <w:sz w:val="20"/>
          <w:szCs w:val="20"/>
        </w:rPr>
        <w:t>The determination of the amount of allowances and impairments varies by investment type and is based upon our evaluation of known and inherent risks associated with the respective asset class. Man</w:t>
      </w:r>
      <w:r>
        <w:rPr>
          <w:rFonts w:eastAsia="Times New Roman"/>
          <w:color w:val="000000"/>
          <w:sz w:val="20"/>
          <w:szCs w:val="20"/>
        </w:rPr>
        <w:t>agement updates its evaluations regularly and reflects changes in allowances and impairments in operations as such evaluations are revised. There can be no assurance that management’s judgments, as reflected in our financial statements, will ultimately pro</w:t>
      </w:r>
      <w:r>
        <w:rPr>
          <w:rFonts w:eastAsia="Times New Roman"/>
          <w:color w:val="000000"/>
          <w:sz w:val="20"/>
          <w:szCs w:val="20"/>
        </w:rPr>
        <w:t>ve to be an accurate estimate of the actual diminution in realized value. Historical trends may not be indicative of future impairments or allowances. Additional impairments may need to be taken or allowances provided for in the future that could have a ma</w:t>
      </w:r>
      <w:r>
        <w:rPr>
          <w:rFonts w:eastAsia="Times New Roman"/>
          <w:color w:val="000000"/>
          <w:sz w:val="20"/>
          <w:szCs w:val="20"/>
        </w:rPr>
        <w:t>terial adverse effect on our business, results of operations or financial condition. Further, rapidly changing and unprecedented credit and equity market conditions could materially impact the valuation of securities as reported within our financial statem</w:t>
      </w:r>
      <w:r>
        <w:rPr>
          <w:rFonts w:eastAsia="Times New Roman"/>
          <w:color w:val="000000"/>
          <w:sz w:val="20"/>
          <w:szCs w:val="20"/>
        </w:rPr>
        <w:t>ents and the period-to-period changes in estimated fair value could vary significantly. Decreases in the estimated fair value of securities we hold may have a material adverse effect on our business, results of operations or financial condition.</w:t>
      </w:r>
    </w:p>
    <w:p w:rsidR="00000000" w:rsidRDefault="00E54EC0">
      <w:pPr>
        <w:jc w:val="center"/>
        <w:divId w:val="135149587"/>
        <w:rPr>
          <w:rFonts w:eastAsia="Times New Roman"/>
        </w:rPr>
      </w:pPr>
      <w:r>
        <w:rPr>
          <w:rFonts w:eastAsia="Times New Roman"/>
          <w:b/>
          <w:bCs/>
          <w:color w:val="000000"/>
          <w:sz w:val="20"/>
          <w:szCs w:val="20"/>
        </w:rPr>
        <w:t>Risks Rela</w:t>
      </w:r>
      <w:r>
        <w:rPr>
          <w:rFonts w:eastAsia="Times New Roman"/>
          <w:b/>
          <w:bCs/>
          <w:color w:val="000000"/>
          <w:sz w:val="20"/>
          <w:szCs w:val="20"/>
        </w:rPr>
        <w:t>ting to Our Investment Management and Research Business</w:t>
      </w:r>
    </w:p>
    <w:p w:rsidR="00000000" w:rsidRDefault="00E54EC0">
      <w:pPr>
        <w:jc w:val="both"/>
        <w:divId w:val="1232038397"/>
        <w:rPr>
          <w:rFonts w:eastAsia="Times New Roman"/>
        </w:rPr>
      </w:pPr>
      <w:r>
        <w:rPr>
          <w:rFonts w:eastAsia="Times New Roman"/>
          <w:b/>
          <w:bCs/>
          <w:i/>
          <w:iCs/>
          <w:color w:val="000000"/>
          <w:sz w:val="20"/>
          <w:szCs w:val="20"/>
        </w:rPr>
        <w:t>AB’s revenues and results of operations depend on the market value and composition of AB’s AUM.</w:t>
      </w:r>
    </w:p>
    <w:p w:rsidR="00000000" w:rsidRDefault="00E54EC0">
      <w:pPr>
        <w:ind w:firstLine="360"/>
        <w:divId w:val="605891418"/>
        <w:rPr>
          <w:rFonts w:eastAsia="Times New Roman"/>
        </w:rPr>
      </w:pPr>
      <w:r>
        <w:rPr>
          <w:rFonts w:eastAsia="Times New Roman"/>
          <w:color w:val="000000"/>
          <w:sz w:val="20"/>
          <w:szCs w:val="20"/>
        </w:rPr>
        <w:t>AB derives most of its revenues from investment advisory and services fees, which typically are calculat</w:t>
      </w:r>
      <w:r>
        <w:rPr>
          <w:rFonts w:eastAsia="Times New Roman"/>
          <w:color w:val="000000"/>
          <w:sz w:val="20"/>
          <w:szCs w:val="20"/>
        </w:rPr>
        <w:t>ed as a percentage of the value of AUM as of a specified date, or as a percentage of the value of average AUM for the applicable billing period, and vary with the type of investment service, the size of the account and the total amount of assets AB manages</w:t>
      </w:r>
      <w:r>
        <w:rPr>
          <w:rFonts w:eastAsia="Times New Roman"/>
          <w:color w:val="000000"/>
          <w:sz w:val="20"/>
          <w:szCs w:val="20"/>
        </w:rPr>
        <w:t xml:space="preserve"> for a particular client. The value and composition of AB’s AUM can be adversely affected by several factors, including market factors, client preferences, AB’s investment performance, investing trends, service changes and interest rate changes. A decrease</w:t>
      </w:r>
      <w:r>
        <w:rPr>
          <w:rFonts w:eastAsia="Times New Roman"/>
          <w:color w:val="000000"/>
          <w:sz w:val="20"/>
          <w:szCs w:val="20"/>
        </w:rPr>
        <w:t xml:space="preserve"> in the value of AB’s AUM, a decrease in the amount of AUM AB manages, an adverse mix shift in its AUM and/or a reduction in the level of fees AB charges would adversely affect AB’s investment advisory fees and revenues. A reduction in revenues, without a </w:t>
      </w:r>
      <w:r>
        <w:rPr>
          <w:rFonts w:eastAsia="Times New Roman"/>
          <w:color w:val="000000"/>
          <w:sz w:val="20"/>
          <w:szCs w:val="20"/>
        </w:rPr>
        <w:t>commensurate reduction in expenses, adversely affects AB’s and our business, results of operations or financial condition.</w:t>
      </w:r>
    </w:p>
    <w:p w:rsidR="00000000" w:rsidRDefault="00E54EC0">
      <w:pPr>
        <w:jc w:val="both"/>
        <w:divId w:val="1123574921"/>
        <w:rPr>
          <w:rFonts w:eastAsia="Times New Roman"/>
        </w:rPr>
      </w:pPr>
      <w:r>
        <w:rPr>
          <w:rFonts w:eastAsia="Times New Roman"/>
          <w:b/>
          <w:bCs/>
          <w:i/>
          <w:iCs/>
          <w:color w:val="000000"/>
          <w:sz w:val="20"/>
          <w:szCs w:val="20"/>
        </w:rPr>
        <w:t>The industry-wide shift from actively-managed investment services to passive services.</w:t>
      </w:r>
    </w:p>
    <w:p w:rsidR="00000000" w:rsidRDefault="00E54EC0">
      <w:pPr>
        <w:ind w:firstLine="360"/>
        <w:divId w:val="194345653"/>
        <w:rPr>
          <w:rFonts w:eastAsia="Times New Roman"/>
        </w:rPr>
      </w:pPr>
      <w:r>
        <w:rPr>
          <w:rFonts w:eastAsia="Times New Roman"/>
          <w:color w:val="000000"/>
          <w:sz w:val="20"/>
          <w:szCs w:val="20"/>
        </w:rPr>
        <w:t>AB’s competitive environment has become increa</w:t>
      </w:r>
      <w:r>
        <w:rPr>
          <w:rFonts w:eastAsia="Times New Roman"/>
          <w:color w:val="000000"/>
          <w:sz w:val="20"/>
          <w:szCs w:val="20"/>
        </w:rPr>
        <w:t>singly difficult, as active managers, which invest based on individual security selection, have, on average, consistently underperformed passive services, which invest based on market indices. In this environment, organic growth through positive net inflow</w:t>
      </w:r>
      <w:r>
        <w:rPr>
          <w:rFonts w:eastAsia="Times New Roman"/>
          <w:color w:val="000000"/>
          <w:sz w:val="20"/>
          <w:szCs w:val="20"/>
        </w:rPr>
        <w:t>s is difficult to achieve for active managers, such as AB, and requires taking market share from other active managers. The significant shift from active services to passive services adversely affects Bernstein Research Services revenues as well. Instituti</w:t>
      </w:r>
      <w:r>
        <w:rPr>
          <w:rFonts w:eastAsia="Times New Roman"/>
          <w:color w:val="000000"/>
          <w:sz w:val="20"/>
          <w:szCs w:val="20"/>
        </w:rPr>
        <w:t xml:space="preserve">onal global market trading volumes continue to be pressured (notwithstanding the heightened market volatility and trading volume predominately relating to COVID-19 in the first half of 2020) by persistent active equity outflows and passive equity inflows. </w:t>
      </w:r>
      <w:r>
        <w:rPr>
          <w:rFonts w:eastAsia="Times New Roman"/>
          <w:color w:val="000000"/>
          <w:sz w:val="20"/>
          <w:szCs w:val="20"/>
        </w:rPr>
        <w:t>As a result, portfolio turnover has declined, and investors hold fewer shares that are actively traded by managers.</w:t>
      </w:r>
    </w:p>
    <w:p w:rsidR="00000000" w:rsidRDefault="00E54EC0">
      <w:pPr>
        <w:jc w:val="both"/>
        <w:divId w:val="462038016"/>
        <w:rPr>
          <w:rFonts w:eastAsia="Times New Roman"/>
        </w:rPr>
      </w:pPr>
      <w:r>
        <w:rPr>
          <w:rFonts w:eastAsia="Times New Roman"/>
          <w:b/>
          <w:bCs/>
          <w:i/>
          <w:iCs/>
          <w:color w:val="000000"/>
          <w:sz w:val="20"/>
          <w:szCs w:val="20"/>
        </w:rPr>
        <w:t>AB’s reputation could suffer if it is unable to deliver consistent, competitive investment performance.</w:t>
      </w:r>
    </w:p>
    <w:p w:rsidR="00000000" w:rsidRDefault="00E54EC0">
      <w:pPr>
        <w:ind w:firstLine="360"/>
        <w:divId w:val="388577716"/>
        <w:rPr>
          <w:rFonts w:eastAsia="Times New Roman"/>
        </w:rPr>
      </w:pPr>
      <w:r>
        <w:rPr>
          <w:rFonts w:eastAsia="Times New Roman"/>
          <w:color w:val="000000"/>
          <w:sz w:val="20"/>
          <w:szCs w:val="20"/>
        </w:rPr>
        <w:t xml:space="preserve">AB’s business is based on the trust </w:t>
      </w:r>
      <w:r>
        <w:rPr>
          <w:rFonts w:eastAsia="Times New Roman"/>
          <w:color w:val="000000"/>
          <w:sz w:val="20"/>
          <w:szCs w:val="20"/>
        </w:rPr>
        <w:t>and confidence of its clients. Damage to AB’s reputation, resulting from poor or inconsistent investment performance, among other factors, can reduce substantially AB’s AUM and impair its ability to maintain or grow its business.</w:t>
      </w:r>
    </w:p>
    <w:p w:rsidR="00000000" w:rsidRDefault="00E54EC0">
      <w:pPr>
        <w:jc w:val="both"/>
        <w:divId w:val="1419600984"/>
        <w:rPr>
          <w:rFonts w:eastAsia="Times New Roman"/>
        </w:rPr>
      </w:pPr>
      <w:r>
        <w:rPr>
          <w:rFonts w:eastAsia="Times New Roman"/>
          <w:b/>
          <w:bCs/>
          <w:i/>
          <w:iCs/>
          <w:color w:val="000000"/>
          <w:sz w:val="20"/>
          <w:szCs w:val="20"/>
        </w:rPr>
        <w:t>Performance-based fee arra</w:t>
      </w:r>
      <w:r>
        <w:rPr>
          <w:rFonts w:eastAsia="Times New Roman"/>
          <w:b/>
          <w:bCs/>
          <w:i/>
          <w:iCs/>
          <w:color w:val="000000"/>
          <w:sz w:val="20"/>
          <w:szCs w:val="20"/>
        </w:rPr>
        <w:t>ngements with AB’s clients cause greater fluctuations in its net revenues.</w:t>
      </w:r>
    </w:p>
    <w:p w:rsidR="00000000" w:rsidRDefault="00E54EC0">
      <w:pPr>
        <w:ind w:firstLine="360"/>
        <w:divId w:val="578514689"/>
        <w:rPr>
          <w:rFonts w:eastAsia="Times New Roman"/>
        </w:rPr>
      </w:pPr>
      <w:r>
        <w:rPr>
          <w:rFonts w:eastAsia="Times New Roman"/>
          <w:color w:val="000000"/>
          <w:sz w:val="20"/>
          <w:szCs w:val="20"/>
        </w:rPr>
        <w:t>AB sometimes charges its clients performance-based fees, whereby it charges a base advisory fee and is eligible to earn an additional performance-based fee or incentive allocation t</w:t>
      </w:r>
      <w:r>
        <w:rPr>
          <w:rFonts w:eastAsia="Times New Roman"/>
          <w:color w:val="000000"/>
          <w:sz w:val="20"/>
          <w:szCs w:val="20"/>
        </w:rPr>
        <w:t>hat is calculated as either a percentage of absolute investment results or a percentage of investment results in excess of a stated benchmark over a specified period of time. Some performance-based fees include a high-watermark provision, which generally p</w:t>
      </w:r>
      <w:r>
        <w:rPr>
          <w:rFonts w:eastAsia="Times New Roman"/>
          <w:color w:val="000000"/>
          <w:sz w:val="20"/>
          <w:szCs w:val="20"/>
        </w:rPr>
        <w:t>rovides that if a client account under-performs relative to its performance target (whether in absolute terms or relative to a specified benchmark), it must gain back such under-performance before AB can collect future performance-based fees. Therefore, if</w:t>
      </w:r>
      <w:r>
        <w:rPr>
          <w:rFonts w:eastAsia="Times New Roman"/>
          <w:color w:val="000000"/>
          <w:sz w:val="20"/>
          <w:szCs w:val="20"/>
        </w:rPr>
        <w:t xml:space="preserve"> AB fails to achieve the performance target for a particular period, AB will not earn a performance-based fee for that period and, for accounts with a high-watermark provision, AB’s ability to earn future performance-based fees will be impaired.</w:t>
      </w:r>
    </w:p>
    <w:p w:rsidR="00000000" w:rsidRDefault="00E54EC0">
      <w:pPr>
        <w:jc w:val="both"/>
        <w:divId w:val="502673137"/>
        <w:rPr>
          <w:rFonts w:eastAsia="Times New Roman"/>
        </w:rPr>
      </w:pPr>
      <w:r>
        <w:rPr>
          <w:rFonts w:eastAsia="Times New Roman"/>
          <w:b/>
          <w:bCs/>
          <w:i/>
          <w:iCs/>
          <w:color w:val="000000"/>
          <w:sz w:val="20"/>
          <w:szCs w:val="20"/>
        </w:rPr>
        <w:t>The revenu</w:t>
      </w:r>
      <w:r>
        <w:rPr>
          <w:rFonts w:eastAsia="Times New Roman"/>
          <w:b/>
          <w:bCs/>
          <w:i/>
          <w:iCs/>
          <w:color w:val="000000"/>
          <w:sz w:val="20"/>
          <w:szCs w:val="20"/>
        </w:rPr>
        <w:t>es generated by Bernstein Research Services and AB’s broker-dealers may be adversely affected by circumstances beyond our control.</w:t>
      </w:r>
    </w:p>
    <w:p w:rsidR="00000000" w:rsidRDefault="00E54EC0">
      <w:pPr>
        <w:ind w:firstLine="360"/>
        <w:divId w:val="2085757093"/>
        <w:rPr>
          <w:rFonts w:eastAsia="Times New Roman"/>
        </w:rPr>
      </w:pPr>
      <w:r>
        <w:rPr>
          <w:rFonts w:eastAsia="Times New Roman"/>
          <w:color w:val="000000"/>
          <w:sz w:val="20"/>
          <w:szCs w:val="20"/>
        </w:rPr>
        <w:t>Electronic, or “low-touch,” trading represents a significant percentage of buy-side trading activity and typically produces t</w:t>
      </w:r>
      <w:r>
        <w:rPr>
          <w:rFonts w:eastAsia="Times New Roman"/>
          <w:color w:val="000000"/>
          <w:sz w:val="20"/>
          <w:szCs w:val="20"/>
        </w:rPr>
        <w:t>ransaction fees that are significantly lower than the price of traditional full service fee rates. As a result, blended pricing throughout our industry is lower now than it was historically, and price declines may continue. In addition, fee rates we charge</w:t>
      </w:r>
      <w:r>
        <w:rPr>
          <w:rFonts w:eastAsia="Times New Roman"/>
          <w:color w:val="000000"/>
          <w:sz w:val="20"/>
          <w:szCs w:val="20"/>
        </w:rPr>
        <w:t xml:space="preserve"> and charged by other brokers for brokerage services have historically experienced price pressure, and we expect these trends to </w:t>
      </w:r>
    </w:p>
    <w:p w:rsidR="00000000" w:rsidRDefault="00E54EC0">
      <w:pPr>
        <w:jc w:val="center"/>
        <w:divId w:val="1571161319"/>
        <w:rPr>
          <w:rFonts w:eastAsia="Times New Roman"/>
        </w:rPr>
      </w:pPr>
      <w:r>
        <w:rPr>
          <w:rFonts w:eastAsia="Times New Roman"/>
          <w:color w:val="000000"/>
          <w:sz w:val="20"/>
          <w:szCs w:val="20"/>
        </w:rPr>
        <w:t>66</w:t>
      </w:r>
    </w:p>
    <w:p w:rsidR="00000000" w:rsidRDefault="00E54EC0">
      <w:pPr>
        <w:rPr>
          <w:rFonts w:eastAsia="Times New Roman"/>
        </w:rPr>
      </w:pPr>
      <w:r>
        <w:rPr>
          <w:rFonts w:eastAsia="Times New Roman"/>
        </w:rPr>
        <w:pict>
          <v:rect id="_x0000_i1103" style="width:0;height:1.5pt" o:hralign="center" o:hrstd="t" o:hr="t" fillcolor="#a0a0a0" stroked="f"/>
        </w:pict>
      </w:r>
    </w:p>
    <w:p w:rsidR="00000000" w:rsidRDefault="00E54EC0">
      <w:pPr>
        <w:divId w:val="1076241314"/>
        <w:rPr>
          <w:rFonts w:eastAsia="Times New Roman"/>
        </w:rPr>
      </w:pPr>
    </w:p>
    <w:p w:rsidR="00000000" w:rsidRDefault="00E54EC0">
      <w:pPr>
        <w:divId w:val="330110180"/>
        <w:rPr>
          <w:rFonts w:eastAsia="Times New Roman"/>
        </w:rPr>
      </w:pPr>
      <w:r>
        <w:rPr>
          <w:rFonts w:eastAsia="Times New Roman"/>
          <w:color w:val="000000"/>
          <w:sz w:val="20"/>
          <w:szCs w:val="20"/>
        </w:rPr>
        <w:t>continue. Also, while increases in transaction volume and market share often can offset decreases in rates, this may not continue. In addition, the failure or inability of any of AB’s broker-dealer’s significant counterparties to perform could expose AB to</w:t>
      </w:r>
      <w:r>
        <w:rPr>
          <w:rFonts w:eastAsia="Times New Roman"/>
          <w:color w:val="000000"/>
          <w:sz w:val="20"/>
          <w:szCs w:val="20"/>
        </w:rPr>
        <w:t xml:space="preserve"> substantial expenditures and adversely affect its revenues. For example, SCB LLC, as a member of clearing and settlement organizations, would be required to settle open trades of any non-performing counterparty. This exposes AB to the mark-to-market adjus</w:t>
      </w:r>
      <w:r>
        <w:rPr>
          <w:rFonts w:eastAsia="Times New Roman"/>
          <w:color w:val="000000"/>
          <w:sz w:val="20"/>
          <w:szCs w:val="20"/>
        </w:rPr>
        <w:t>tment on the trades between trade date and settlement date, which could be significant, especially during periods of severe market volatility. Also, AB’s ability to access liquidity in such situations may be limited by what its funding relationships are ab</w:t>
      </w:r>
      <w:r>
        <w:rPr>
          <w:rFonts w:eastAsia="Times New Roman"/>
          <w:color w:val="000000"/>
          <w:sz w:val="20"/>
          <w:szCs w:val="20"/>
        </w:rPr>
        <w:t>le to offer us at such times. Finally, extensive changes proposed by the SEC to the equity market</w:t>
      </w:r>
    </w:p>
    <w:p w:rsidR="00000000" w:rsidRDefault="00E54EC0">
      <w:pPr>
        <w:divId w:val="2100179401"/>
        <w:rPr>
          <w:rFonts w:eastAsia="Times New Roman"/>
        </w:rPr>
      </w:pPr>
      <w:r>
        <w:rPr>
          <w:rFonts w:eastAsia="Times New Roman"/>
          <w:color w:val="000000"/>
          <w:sz w:val="20"/>
          <w:szCs w:val="20"/>
        </w:rPr>
        <w:t>structure, including Regulation Best Execution, the proposed Order Competition Rule and proposed changes to Regulation</w:t>
      </w:r>
    </w:p>
    <w:p w:rsidR="00000000" w:rsidRDefault="00E54EC0">
      <w:pPr>
        <w:divId w:val="62799488"/>
        <w:rPr>
          <w:rFonts w:eastAsia="Times New Roman"/>
        </w:rPr>
      </w:pPr>
      <w:r>
        <w:rPr>
          <w:rFonts w:eastAsia="Times New Roman"/>
          <w:color w:val="000000"/>
          <w:sz w:val="20"/>
          <w:szCs w:val="20"/>
        </w:rPr>
        <w:t>NMS established, among other things, mi</w:t>
      </w:r>
      <w:r>
        <w:rPr>
          <w:rFonts w:eastAsia="Times New Roman"/>
          <w:color w:val="000000"/>
          <w:sz w:val="20"/>
          <w:szCs w:val="20"/>
        </w:rPr>
        <w:t>nimum pricing increments and requiring disclosures by larger broker-dealers and specified trading platforms, if adopted as proposed, could substantially increase the cost of conducting AB’s buy-side and broker-dealer operations and, possibly, adversely imp</w:t>
      </w:r>
      <w:r>
        <w:rPr>
          <w:rFonts w:eastAsia="Times New Roman"/>
          <w:color w:val="000000"/>
          <w:sz w:val="20"/>
          <w:szCs w:val="20"/>
        </w:rPr>
        <w:t>act trade execution quality.</w:t>
      </w:r>
    </w:p>
    <w:p w:rsidR="00000000" w:rsidRDefault="00E54EC0">
      <w:pPr>
        <w:jc w:val="both"/>
        <w:divId w:val="1519198914"/>
        <w:rPr>
          <w:rFonts w:eastAsia="Times New Roman"/>
        </w:rPr>
      </w:pPr>
      <w:r>
        <w:rPr>
          <w:rFonts w:eastAsia="Times New Roman"/>
          <w:b/>
          <w:bCs/>
          <w:i/>
          <w:iCs/>
          <w:color w:val="000000"/>
          <w:sz w:val="20"/>
          <w:szCs w:val="20"/>
        </w:rPr>
        <w:t>AB may be unable to develop new products and services, and the development of new products and services may expose AB to reputational harm, additional costs or operational risk.</w:t>
      </w:r>
    </w:p>
    <w:p w:rsidR="00000000" w:rsidRDefault="00E54EC0">
      <w:pPr>
        <w:ind w:firstLine="360"/>
        <w:jc w:val="both"/>
        <w:divId w:val="2015525303"/>
        <w:rPr>
          <w:rFonts w:eastAsia="Times New Roman"/>
        </w:rPr>
      </w:pPr>
      <w:r>
        <w:rPr>
          <w:rFonts w:eastAsia="Times New Roman"/>
          <w:color w:val="000000"/>
          <w:sz w:val="20"/>
          <w:szCs w:val="20"/>
        </w:rPr>
        <w:t>AB’s financial performance depends, in part, on i</w:t>
      </w:r>
      <w:r>
        <w:rPr>
          <w:rFonts w:eastAsia="Times New Roman"/>
          <w:color w:val="000000"/>
          <w:sz w:val="20"/>
          <w:szCs w:val="20"/>
        </w:rPr>
        <w:t>ts ability to react nimbly to changes in the asset management industry, respond to evolving client needs, and develop, market and manage new investment products and services. Conversely, the development and introduction of new products and services, includ</w:t>
      </w:r>
      <w:r>
        <w:rPr>
          <w:rFonts w:eastAsia="Times New Roman"/>
          <w:color w:val="000000"/>
          <w:sz w:val="20"/>
          <w:szCs w:val="20"/>
        </w:rPr>
        <w:t>ing the creation of products with concentrations in industries or sectors specific to individual client criteria, or with a focus on ESG, requires continuous innovative effort on AB’s part and may require significant time and resources as well as ongoing s</w:t>
      </w:r>
      <w:r>
        <w:rPr>
          <w:rFonts w:eastAsia="Times New Roman"/>
          <w:color w:val="000000"/>
          <w:sz w:val="20"/>
          <w:szCs w:val="20"/>
        </w:rPr>
        <w:t>upport and investment. Substantial risk and uncertainties are associated with the introduction of new products and services, including the implementation of new and appropriate operational controls and procedures, shifting client and market preferences, th</w:t>
      </w:r>
      <w:r>
        <w:rPr>
          <w:rFonts w:eastAsia="Times New Roman"/>
          <w:color w:val="000000"/>
          <w:sz w:val="20"/>
          <w:szCs w:val="20"/>
        </w:rPr>
        <w:t>e introduction of competing products or services, and compliance with regulatory and disclosure requirements.</w:t>
      </w:r>
    </w:p>
    <w:p w:rsidR="00000000" w:rsidRDefault="00E54EC0">
      <w:pPr>
        <w:jc w:val="both"/>
        <w:divId w:val="55586912"/>
        <w:rPr>
          <w:rFonts w:eastAsia="Times New Roman"/>
        </w:rPr>
      </w:pPr>
      <w:r>
        <w:rPr>
          <w:rFonts w:eastAsia="Times New Roman"/>
          <w:b/>
          <w:bCs/>
          <w:i/>
          <w:iCs/>
          <w:color w:val="000000"/>
          <w:sz w:val="20"/>
          <w:szCs w:val="20"/>
        </w:rPr>
        <w:t>AB’s seed capital investments are subject to market risk.</w:t>
      </w:r>
    </w:p>
    <w:p w:rsidR="00000000" w:rsidRDefault="00E54EC0">
      <w:pPr>
        <w:ind w:firstLine="360"/>
        <w:divId w:val="1991247839"/>
        <w:rPr>
          <w:rFonts w:eastAsia="Times New Roman"/>
        </w:rPr>
      </w:pPr>
      <w:r>
        <w:rPr>
          <w:rFonts w:eastAsia="Times New Roman"/>
          <w:color w:val="000000"/>
          <w:sz w:val="20"/>
          <w:szCs w:val="20"/>
        </w:rPr>
        <w:t>AB has a seed investment program for the purpose of building track records and assisting</w:t>
      </w:r>
      <w:r>
        <w:rPr>
          <w:rFonts w:eastAsia="Times New Roman"/>
          <w:color w:val="000000"/>
          <w:sz w:val="20"/>
          <w:szCs w:val="20"/>
        </w:rPr>
        <w:t xml:space="preserve"> with the marketing initiatives pertaining to its new products. These seed capital investments are subject to market risk. AB’s risk management team oversees a seed hedging program that attempts to minimize this risk, subject to practical and cost consider</w:t>
      </w:r>
      <w:r>
        <w:rPr>
          <w:rFonts w:eastAsia="Times New Roman"/>
          <w:color w:val="000000"/>
          <w:sz w:val="20"/>
          <w:szCs w:val="20"/>
        </w:rPr>
        <w:t>ations. Also, not all seed investments are deemed appropriate to hedge, and in those cases AB is exposed to market risk. In addition, AB may be subject to basis risk in that it cannot always hedge with precision its market exposure and, as a result, AB may</w:t>
      </w:r>
      <w:r>
        <w:rPr>
          <w:rFonts w:eastAsia="Times New Roman"/>
          <w:color w:val="000000"/>
          <w:sz w:val="20"/>
          <w:szCs w:val="20"/>
        </w:rPr>
        <w:t xml:space="preserve"> be subject to relative spreads between market sectors. As a result, volatility in the capital markets may cause significant changes in its period-to-period financial and operating results.</w:t>
      </w:r>
    </w:p>
    <w:p w:rsidR="00000000" w:rsidRDefault="00E54EC0">
      <w:pPr>
        <w:ind w:firstLine="360"/>
        <w:divId w:val="1990281904"/>
        <w:rPr>
          <w:rFonts w:eastAsia="Times New Roman"/>
        </w:rPr>
      </w:pPr>
      <w:r>
        <w:rPr>
          <w:rFonts w:eastAsia="Times New Roman"/>
          <w:color w:val="000000"/>
          <w:sz w:val="20"/>
          <w:szCs w:val="20"/>
        </w:rPr>
        <w:t>AB uses various derivative instruments in conjunction with its seed hedging program. While in most cases broad market risks are hedged, AB’s hedges are imperfect, and some market risk remains. In addition, AB’s use of derivatives results in counterparty ri</w:t>
      </w:r>
      <w:r>
        <w:rPr>
          <w:rFonts w:eastAsia="Times New Roman"/>
          <w:color w:val="000000"/>
          <w:sz w:val="20"/>
          <w:szCs w:val="20"/>
        </w:rPr>
        <w:t>sk (i.e., the risk that AB may be exposed to credit-related losses in the event of non-performance by counterparties to these derivative instruments), regulatory risk (e.g., short selling restrictions) and cash/synthetic basis risk (i.e., the risk that und</w:t>
      </w:r>
      <w:r>
        <w:rPr>
          <w:rFonts w:eastAsia="Times New Roman"/>
          <w:color w:val="000000"/>
          <w:sz w:val="20"/>
          <w:szCs w:val="20"/>
        </w:rPr>
        <w:t>erlying positions do not move identically to the related derivative instruments).</w:t>
      </w:r>
    </w:p>
    <w:p w:rsidR="00000000" w:rsidRDefault="00E54EC0">
      <w:pPr>
        <w:jc w:val="both"/>
        <w:divId w:val="1696422471"/>
        <w:rPr>
          <w:rFonts w:eastAsia="Times New Roman"/>
        </w:rPr>
      </w:pPr>
      <w:r>
        <w:rPr>
          <w:rFonts w:eastAsia="Times New Roman"/>
          <w:b/>
          <w:bCs/>
          <w:i/>
          <w:iCs/>
          <w:color w:val="000000"/>
          <w:sz w:val="20"/>
          <w:szCs w:val="20"/>
        </w:rPr>
        <w:t>AB may not accurately value the securities it holds on behalf of its clients or its company investments.</w:t>
      </w:r>
    </w:p>
    <w:p w:rsidR="00000000" w:rsidRDefault="00E54EC0">
      <w:pPr>
        <w:ind w:firstLine="360"/>
        <w:divId w:val="149180031"/>
        <w:rPr>
          <w:rFonts w:eastAsia="Times New Roman"/>
        </w:rPr>
      </w:pPr>
      <w:r>
        <w:rPr>
          <w:rFonts w:eastAsia="Times New Roman"/>
          <w:color w:val="000000"/>
          <w:sz w:val="20"/>
          <w:szCs w:val="20"/>
        </w:rPr>
        <w:t>In accordance with applicable regulatory requirements, contractual ob</w:t>
      </w:r>
      <w:r>
        <w:rPr>
          <w:rFonts w:eastAsia="Times New Roman"/>
          <w:color w:val="000000"/>
          <w:sz w:val="20"/>
          <w:szCs w:val="20"/>
        </w:rPr>
        <w:t>ligations or client direction, AB employs procedures for the pricing and valuation of securities and other positions held in client accounts or for company investments. AB has established a valuation committee, which oversees pricing controls and valuation</w:t>
      </w:r>
      <w:r>
        <w:rPr>
          <w:rFonts w:eastAsia="Times New Roman"/>
          <w:color w:val="000000"/>
          <w:sz w:val="20"/>
          <w:szCs w:val="20"/>
        </w:rPr>
        <w:t xml:space="preserve"> processes. If market quotations for a security are not readily available, the valuation committee determines a fair value for the security. </w:t>
      </w:r>
    </w:p>
    <w:p w:rsidR="00000000" w:rsidRDefault="00E54EC0">
      <w:pPr>
        <w:ind w:firstLine="360"/>
        <w:divId w:val="2141411039"/>
        <w:rPr>
          <w:rFonts w:eastAsia="Times New Roman"/>
        </w:rPr>
      </w:pPr>
      <w:r>
        <w:rPr>
          <w:rFonts w:eastAsia="Times New Roman"/>
          <w:color w:val="000000"/>
          <w:sz w:val="20"/>
          <w:szCs w:val="20"/>
        </w:rPr>
        <w:t>Extraordinary volatility in financial markets, significant liquidity constraints or AB’s failure to adequately con</w:t>
      </w:r>
      <w:r>
        <w:rPr>
          <w:rFonts w:eastAsia="Times New Roman"/>
          <w:color w:val="000000"/>
          <w:sz w:val="20"/>
          <w:szCs w:val="20"/>
        </w:rPr>
        <w:t>sider one or more factors when determining the fair value of a security based on information with limited market observability could result in AB failing to properly value securities AB holds for its clients or investments accounted for on its balance shee</w:t>
      </w:r>
      <w:r>
        <w:rPr>
          <w:rFonts w:eastAsia="Times New Roman"/>
          <w:color w:val="000000"/>
          <w:sz w:val="20"/>
          <w:szCs w:val="20"/>
        </w:rPr>
        <w:t>t. Improper valuation likely would result in AB basing fee calculations on inaccurate AUM figures, striking incorrect net asset values for company-sponsored mutual funds or hedge funds or, in the case of company investments, inaccurately calculating and re</w:t>
      </w:r>
      <w:r>
        <w:rPr>
          <w:rFonts w:eastAsia="Times New Roman"/>
          <w:color w:val="000000"/>
          <w:sz w:val="20"/>
          <w:szCs w:val="20"/>
        </w:rPr>
        <w:t>porting AB’s financial condition and operating results. Although the overall percentage of AB’s AUM that it fair values based on information with limited market observability is not significant, inaccurate fair value determinations can harm AB’s clients, c</w:t>
      </w:r>
      <w:r>
        <w:rPr>
          <w:rFonts w:eastAsia="Times New Roman"/>
          <w:color w:val="000000"/>
          <w:sz w:val="20"/>
          <w:szCs w:val="20"/>
        </w:rPr>
        <w:t>reate regulatory issues and damage its reputation.</w:t>
      </w:r>
    </w:p>
    <w:p w:rsidR="00000000" w:rsidRDefault="00E54EC0">
      <w:pPr>
        <w:jc w:val="both"/>
        <w:divId w:val="1162965467"/>
        <w:rPr>
          <w:rFonts w:eastAsia="Times New Roman"/>
        </w:rPr>
      </w:pPr>
      <w:r>
        <w:rPr>
          <w:rFonts w:eastAsia="Times New Roman"/>
          <w:b/>
          <w:bCs/>
          <w:i/>
          <w:iCs/>
          <w:color w:val="000000"/>
          <w:sz w:val="20"/>
          <w:szCs w:val="20"/>
        </w:rPr>
        <w:t>The quantitative and systematic models AB uses in certain of its investment services may contain errors.</w:t>
      </w:r>
    </w:p>
    <w:p w:rsidR="00000000" w:rsidRDefault="00E54EC0">
      <w:pPr>
        <w:ind w:firstLine="360"/>
        <w:divId w:val="228462333"/>
        <w:rPr>
          <w:rFonts w:eastAsia="Times New Roman"/>
        </w:rPr>
      </w:pPr>
      <w:r>
        <w:rPr>
          <w:rFonts w:eastAsia="Times New Roman"/>
          <w:color w:val="000000"/>
          <w:sz w:val="20"/>
          <w:szCs w:val="20"/>
        </w:rPr>
        <w:t>AB uses quantitative and systematic models in a variety of its investment services, generally in com</w:t>
      </w:r>
      <w:r>
        <w:rPr>
          <w:rFonts w:eastAsia="Times New Roman"/>
          <w:color w:val="000000"/>
          <w:sz w:val="20"/>
          <w:szCs w:val="20"/>
        </w:rPr>
        <w:t xml:space="preserve">bination with fundamental research. These models are developed by senior quantitative professionals and typically are implemented by IT </w:t>
      </w:r>
    </w:p>
    <w:p w:rsidR="00000000" w:rsidRDefault="00E54EC0">
      <w:pPr>
        <w:jc w:val="center"/>
        <w:divId w:val="263150978"/>
        <w:rPr>
          <w:rFonts w:eastAsia="Times New Roman"/>
        </w:rPr>
      </w:pPr>
      <w:r>
        <w:rPr>
          <w:rFonts w:eastAsia="Times New Roman"/>
          <w:color w:val="000000"/>
          <w:sz w:val="20"/>
          <w:szCs w:val="20"/>
        </w:rPr>
        <w:t>67</w:t>
      </w:r>
    </w:p>
    <w:p w:rsidR="00000000" w:rsidRDefault="00E54EC0">
      <w:pPr>
        <w:rPr>
          <w:rFonts w:eastAsia="Times New Roman"/>
        </w:rPr>
      </w:pPr>
      <w:r>
        <w:rPr>
          <w:rFonts w:eastAsia="Times New Roman"/>
        </w:rPr>
        <w:pict>
          <v:rect id="_x0000_i1104" style="width:0;height:1.5pt" o:hralign="center" o:hrstd="t" o:hr="t" fillcolor="#a0a0a0" stroked="f"/>
        </w:pict>
      </w:r>
    </w:p>
    <w:p w:rsidR="00000000" w:rsidRDefault="00E54EC0">
      <w:pPr>
        <w:divId w:val="2003193862"/>
        <w:rPr>
          <w:rFonts w:eastAsia="Times New Roman"/>
        </w:rPr>
      </w:pPr>
    </w:p>
    <w:p w:rsidR="00000000" w:rsidRDefault="00E54EC0">
      <w:pPr>
        <w:divId w:val="1455293164"/>
        <w:rPr>
          <w:rFonts w:eastAsia="Times New Roman"/>
        </w:rPr>
      </w:pPr>
      <w:r>
        <w:rPr>
          <w:rFonts w:eastAsia="Times New Roman"/>
          <w:color w:val="000000"/>
          <w:sz w:val="20"/>
          <w:szCs w:val="20"/>
        </w:rPr>
        <w:t>professionals. AB’s model risk oversight committee oversees the model governan</w:t>
      </w:r>
      <w:r>
        <w:rPr>
          <w:rFonts w:eastAsia="Times New Roman"/>
          <w:color w:val="000000"/>
          <w:sz w:val="20"/>
          <w:szCs w:val="20"/>
        </w:rPr>
        <w:t>ce framework and associated model review activities, which are then executed by AB’s model risk team. However, due to the complexity and large data dependency of such models, it is possible that errors in the models could exist and AB’s controls could fail</w:t>
      </w:r>
      <w:r>
        <w:rPr>
          <w:rFonts w:eastAsia="Times New Roman"/>
          <w:color w:val="000000"/>
          <w:sz w:val="20"/>
          <w:szCs w:val="20"/>
        </w:rPr>
        <w:t xml:space="preserve"> to detect such errors. Failure to detect errors could result in client losses and reputational damage.</w:t>
      </w:r>
    </w:p>
    <w:p w:rsidR="00000000" w:rsidRDefault="00E54EC0">
      <w:pPr>
        <w:jc w:val="both"/>
        <w:divId w:val="493379320"/>
        <w:rPr>
          <w:rFonts w:eastAsia="Times New Roman"/>
        </w:rPr>
      </w:pPr>
      <w:r>
        <w:rPr>
          <w:rFonts w:eastAsia="Times New Roman"/>
          <w:b/>
          <w:bCs/>
          <w:i/>
          <w:iCs/>
          <w:color w:val="000000"/>
          <w:sz w:val="20"/>
          <w:szCs w:val="20"/>
        </w:rPr>
        <w:t>AB may not successfully manage actual and potential conflicts of interest that arise in its business.</w:t>
      </w:r>
    </w:p>
    <w:p w:rsidR="00000000" w:rsidRDefault="00E54EC0">
      <w:pPr>
        <w:ind w:firstLine="360"/>
        <w:divId w:val="1758555975"/>
        <w:rPr>
          <w:rFonts w:eastAsia="Times New Roman"/>
        </w:rPr>
      </w:pPr>
      <w:r>
        <w:rPr>
          <w:rFonts w:eastAsia="Times New Roman"/>
          <w:color w:val="000000"/>
          <w:sz w:val="20"/>
          <w:szCs w:val="20"/>
        </w:rPr>
        <w:t xml:space="preserve">Increasingly, AB must manage actual and potential </w:t>
      </w:r>
      <w:r>
        <w:rPr>
          <w:rFonts w:eastAsia="Times New Roman"/>
          <w:color w:val="000000"/>
          <w:sz w:val="20"/>
          <w:szCs w:val="20"/>
        </w:rPr>
        <w:t>conflicts of interest, including situations where its services to a particular client conflict, or are perceived to conflict, with the interests of another client. Failure to adequately address potential conflicts of interest could adversely affect AB’s re</w:t>
      </w:r>
      <w:r>
        <w:rPr>
          <w:rFonts w:eastAsia="Times New Roman"/>
          <w:color w:val="000000"/>
          <w:sz w:val="20"/>
          <w:szCs w:val="20"/>
        </w:rPr>
        <w:t>putation, results of operations and business prospects. AB’s reputation could be damaged and the willingness of clients to enter into transactions in which such a conflict might arise may be affected if AB fails, or appears to fail, to deal appropriately w</w:t>
      </w:r>
      <w:r>
        <w:rPr>
          <w:rFonts w:eastAsia="Times New Roman"/>
          <w:color w:val="000000"/>
          <w:sz w:val="20"/>
          <w:szCs w:val="20"/>
        </w:rPr>
        <w:t>ith actual or perceived conflicts of interest. In addition, potential or perceived conflicts could give rise to litigation or regulatory enforcement actions.</w:t>
      </w:r>
    </w:p>
    <w:p w:rsidR="00000000" w:rsidRDefault="00E54EC0">
      <w:pPr>
        <w:jc w:val="both"/>
        <w:divId w:val="738939714"/>
        <w:rPr>
          <w:rFonts w:eastAsia="Times New Roman"/>
        </w:rPr>
      </w:pPr>
      <w:r>
        <w:rPr>
          <w:rFonts w:eastAsia="Times New Roman"/>
          <w:b/>
          <w:bCs/>
          <w:i/>
          <w:iCs/>
          <w:color w:val="000000"/>
          <w:sz w:val="20"/>
          <w:szCs w:val="20"/>
        </w:rPr>
        <w:t>Changes in the partnership structure of AB Holding and ABLP or changes in the tax law governing pa</w:t>
      </w:r>
      <w:r>
        <w:rPr>
          <w:rFonts w:eastAsia="Times New Roman"/>
          <w:b/>
          <w:bCs/>
          <w:i/>
          <w:iCs/>
          <w:color w:val="000000"/>
          <w:sz w:val="20"/>
          <w:szCs w:val="20"/>
        </w:rPr>
        <w:t>rtnerships would have significant tax ramifications.</w:t>
      </w:r>
    </w:p>
    <w:p w:rsidR="00000000" w:rsidRDefault="00E54EC0">
      <w:pPr>
        <w:ind w:firstLine="360"/>
        <w:divId w:val="710881998"/>
        <w:rPr>
          <w:rFonts w:eastAsia="Times New Roman"/>
        </w:rPr>
      </w:pPr>
      <w:r>
        <w:rPr>
          <w:rFonts w:eastAsia="Times New Roman"/>
          <w:color w:val="000000"/>
          <w:sz w:val="20"/>
          <w:szCs w:val="20"/>
        </w:rPr>
        <w:t xml:space="preserve">AB Holding is a publicly traded partnership (“PTP”) for federal income tax purposes. In order to preserve AB Holding’s status as a PTP for federal income tax purposes, management seeks to ensure that AB </w:t>
      </w:r>
      <w:r>
        <w:rPr>
          <w:rFonts w:eastAsia="Times New Roman"/>
          <w:color w:val="000000"/>
          <w:sz w:val="20"/>
          <w:szCs w:val="20"/>
        </w:rPr>
        <w:t>Holding does not directly or indirectly (through ABLP) enter into a substantial new line of business. A “new line of business” includes any business that is not closely related to AB’s historical business of providing research and diversified investment ma</w:t>
      </w:r>
      <w:r>
        <w:rPr>
          <w:rFonts w:eastAsia="Times New Roman"/>
          <w:color w:val="000000"/>
          <w:sz w:val="20"/>
          <w:szCs w:val="20"/>
        </w:rPr>
        <w:t>nagement and related services to its clients. A new line of business is “substantial” when a partnership derives more than 15% of its gross income from, or directly uses more than 15% of its total assets (by value) in, the new line of business.</w:t>
      </w:r>
    </w:p>
    <w:p w:rsidR="00000000" w:rsidRDefault="00E54EC0">
      <w:pPr>
        <w:ind w:firstLine="360"/>
        <w:divId w:val="631255654"/>
        <w:rPr>
          <w:rFonts w:eastAsia="Times New Roman"/>
        </w:rPr>
      </w:pPr>
      <w:r>
        <w:rPr>
          <w:rFonts w:eastAsia="Times New Roman"/>
          <w:color w:val="000000"/>
          <w:sz w:val="20"/>
          <w:szCs w:val="20"/>
        </w:rPr>
        <w:t>ABLP is a p</w:t>
      </w:r>
      <w:r>
        <w:rPr>
          <w:rFonts w:eastAsia="Times New Roman"/>
          <w:color w:val="000000"/>
          <w:sz w:val="20"/>
          <w:szCs w:val="20"/>
        </w:rPr>
        <w:t>rivate partnership for federal income tax purposes and, accordingly, is not subject to federal and state corporate income taxes. In order to preserve ABLP’s status as a private partnership for federal income tax purposes, AB Units must not be considered pu</w:t>
      </w:r>
      <w:r>
        <w:rPr>
          <w:rFonts w:eastAsia="Times New Roman"/>
          <w:color w:val="000000"/>
          <w:sz w:val="20"/>
          <w:szCs w:val="20"/>
        </w:rPr>
        <w:t>blicly traded. If such units were to be considered readily tradable, ABLP would become subject to federal and (applicable state and local) corporate income tax on its net income. Further, unitholders would be subject to federal (and applicable state and lo</w:t>
      </w:r>
      <w:r>
        <w:rPr>
          <w:rFonts w:eastAsia="Times New Roman"/>
          <w:color w:val="000000"/>
          <w:sz w:val="20"/>
          <w:szCs w:val="20"/>
        </w:rPr>
        <w:t xml:space="preserve">cal) taxes upon receipt of dividends. </w:t>
      </w:r>
    </w:p>
    <w:p w:rsidR="00000000" w:rsidRDefault="00E54EC0">
      <w:pPr>
        <w:jc w:val="center"/>
        <w:divId w:val="352658555"/>
        <w:rPr>
          <w:rFonts w:eastAsia="Times New Roman"/>
        </w:rPr>
      </w:pPr>
      <w:r>
        <w:rPr>
          <w:rFonts w:eastAsia="Times New Roman"/>
          <w:b/>
          <w:bCs/>
          <w:color w:val="000000"/>
          <w:sz w:val="20"/>
          <w:szCs w:val="20"/>
        </w:rPr>
        <w:t>Legal and Regulatory Risks</w:t>
      </w:r>
    </w:p>
    <w:p w:rsidR="00000000" w:rsidRDefault="00E54EC0">
      <w:pPr>
        <w:ind w:firstLine="360"/>
        <w:divId w:val="594674087"/>
        <w:rPr>
          <w:rFonts w:eastAsia="Times New Roman"/>
        </w:rPr>
      </w:pPr>
      <w:r>
        <w:rPr>
          <w:rFonts w:eastAsia="Times New Roman"/>
          <w:color w:val="000000"/>
          <w:sz w:val="20"/>
          <w:szCs w:val="20"/>
        </w:rPr>
        <w:t>We are heavily regulated, and regulators continue to increase their oversight over financial services companies. The adoption of new laws, regulations or standards and changes in the interpr</w:t>
      </w:r>
      <w:r>
        <w:rPr>
          <w:rFonts w:eastAsia="Times New Roman"/>
          <w:color w:val="000000"/>
          <w:sz w:val="20"/>
          <w:szCs w:val="20"/>
        </w:rPr>
        <w:t>etation or enforcement of existing laws, regulations or standards have directly affected, and will continue to affect, our business, including making our efforts to comply more expensive and time-consuming. For additional information on regulatory developm</w:t>
      </w:r>
      <w:r>
        <w:rPr>
          <w:rFonts w:eastAsia="Times New Roman"/>
          <w:color w:val="000000"/>
          <w:sz w:val="20"/>
          <w:szCs w:val="20"/>
        </w:rPr>
        <w:t>ents and the risks we face, including the Dodd-Frank Act and regulation by the NAIC, see “Business—Regulation”.</w:t>
      </w:r>
    </w:p>
    <w:p w:rsidR="00000000" w:rsidRDefault="00E54EC0">
      <w:pPr>
        <w:ind w:firstLine="360"/>
        <w:divId w:val="1581867391"/>
        <w:rPr>
          <w:rFonts w:eastAsia="Times New Roman"/>
        </w:rPr>
      </w:pPr>
      <w:r>
        <w:rPr>
          <w:rFonts w:eastAsia="Times New Roman"/>
          <w:color w:val="000000"/>
          <w:sz w:val="20"/>
          <w:szCs w:val="20"/>
        </w:rPr>
        <w:t xml:space="preserve">Our retirement and protection business is subject to a complex and extensive array of state and federal tax, securities, insurance and employee </w:t>
      </w:r>
      <w:r>
        <w:rPr>
          <w:rFonts w:eastAsia="Times New Roman"/>
          <w:color w:val="000000"/>
          <w:sz w:val="20"/>
          <w:szCs w:val="20"/>
        </w:rPr>
        <w:t>benefit plan laws and regulations, which are administered and enforced by a number of different governmental and self-regulatory authorities, including, among others, state insurance regulators, state securities administrators, state banking authorities, t</w:t>
      </w:r>
      <w:r>
        <w:rPr>
          <w:rFonts w:eastAsia="Times New Roman"/>
          <w:color w:val="000000"/>
          <w:sz w:val="20"/>
          <w:szCs w:val="20"/>
        </w:rPr>
        <w:t>he SEC, FINRA, the DOL and the IRS. Failure to administer our retirement and protections products in accordance with contract provisions or applicable law, or to meet any of these complex tax, securities or insurance requirements could subject us to admini</w:t>
      </w:r>
      <w:r>
        <w:rPr>
          <w:rFonts w:eastAsia="Times New Roman"/>
          <w:color w:val="000000"/>
          <w:sz w:val="20"/>
          <w:szCs w:val="20"/>
        </w:rPr>
        <w:t xml:space="preserve">strative penalties imposed by a governmental or self-regulatory authority, unanticipated costs associated with remedying such failure or other claims, litigation, harm to our reputation or interruption of our operations. </w:t>
      </w:r>
    </w:p>
    <w:p w:rsidR="00000000" w:rsidRDefault="00E54EC0">
      <w:pPr>
        <w:ind w:firstLine="360"/>
        <w:divId w:val="1787962031"/>
        <w:rPr>
          <w:rFonts w:eastAsia="Times New Roman"/>
        </w:rPr>
      </w:pPr>
      <w:r>
        <w:rPr>
          <w:rFonts w:eastAsia="Times New Roman"/>
          <w:color w:val="000000"/>
          <w:sz w:val="20"/>
          <w:szCs w:val="20"/>
        </w:rPr>
        <w:t>Certain of our insurance subsidiaries are required to file periodic and other reports within certain time periods imposed by U.S. federal securities laws, rules and regulations. Failure to file such reports within the designated time period or failure to a</w:t>
      </w:r>
      <w:r>
        <w:rPr>
          <w:rFonts w:eastAsia="Times New Roman"/>
          <w:color w:val="000000"/>
          <w:sz w:val="20"/>
          <w:szCs w:val="20"/>
        </w:rPr>
        <w:t>ccurately report our financial condition or results of operations could require these insurance subsidiaries to curtail or cease sales of certain of our products or delay the launch of new products or new features, which could cause a significant disruptio</w:t>
      </w:r>
      <w:r>
        <w:rPr>
          <w:rFonts w:eastAsia="Times New Roman"/>
          <w:color w:val="000000"/>
          <w:sz w:val="20"/>
          <w:szCs w:val="20"/>
        </w:rPr>
        <w:t>n in the business of our insurance subsidiaries. If our affiliated and third-party distribution platforms are required to curtail or cease sales of our products, we may lose shelf space for our products indefinitely, even once we are able to resume sales.</w:t>
      </w:r>
    </w:p>
    <w:p w:rsidR="00000000" w:rsidRDefault="00E54EC0">
      <w:pPr>
        <w:ind w:firstLine="360"/>
        <w:divId w:val="634799233"/>
        <w:rPr>
          <w:rFonts w:eastAsia="Times New Roman"/>
        </w:rPr>
      </w:pPr>
      <w:r>
        <w:rPr>
          <w:rFonts w:eastAsia="Times New Roman"/>
          <w:color w:val="000000"/>
          <w:sz w:val="20"/>
          <w:szCs w:val="20"/>
        </w:rPr>
        <w:t>Virtually all aspects of our investment management and research business are subject to federal and state laws and regulations, rules of securities regulators and exchanges, and laws and regulations certain foreign jurisdictions in which we conduct busines</w:t>
      </w:r>
      <w:r>
        <w:rPr>
          <w:rFonts w:eastAsia="Times New Roman"/>
          <w:color w:val="000000"/>
          <w:sz w:val="20"/>
          <w:szCs w:val="20"/>
        </w:rPr>
        <w:t>s. If we violate these laws or regulations, we could be subject to civil liability, criminal liability or sanction, including restriction or revocation of our professional licenses or registrations or our ability to serve as an investment adviser to regist</w:t>
      </w:r>
      <w:r>
        <w:rPr>
          <w:rFonts w:eastAsia="Times New Roman"/>
          <w:color w:val="000000"/>
          <w:sz w:val="20"/>
          <w:szCs w:val="20"/>
        </w:rPr>
        <w:t xml:space="preserve">ered investment companies or as a qualified professional asset manager for employee benefit plans, revocation of the licenses of our employees, censures, fines, restrictions from relying on the issuance safe harbor of Regulation D under the Securities Act </w:t>
      </w:r>
      <w:r>
        <w:rPr>
          <w:rFonts w:eastAsia="Times New Roman"/>
          <w:color w:val="000000"/>
          <w:sz w:val="20"/>
          <w:szCs w:val="20"/>
        </w:rPr>
        <w:t xml:space="preserve">when issuing securities or causing our clients not to be able to rely on Regulation D if we act as an investment </w:t>
      </w:r>
    </w:p>
    <w:p w:rsidR="00000000" w:rsidRDefault="00E54EC0">
      <w:pPr>
        <w:jc w:val="center"/>
        <w:divId w:val="351998256"/>
        <w:rPr>
          <w:rFonts w:eastAsia="Times New Roman"/>
        </w:rPr>
      </w:pPr>
      <w:r>
        <w:rPr>
          <w:rFonts w:eastAsia="Times New Roman"/>
          <w:color w:val="000000"/>
          <w:sz w:val="20"/>
          <w:szCs w:val="20"/>
        </w:rPr>
        <w:t>68</w:t>
      </w:r>
    </w:p>
    <w:p w:rsidR="00000000" w:rsidRDefault="00E54EC0">
      <w:pPr>
        <w:rPr>
          <w:rFonts w:eastAsia="Times New Roman"/>
        </w:rPr>
      </w:pPr>
      <w:r>
        <w:rPr>
          <w:rFonts w:eastAsia="Times New Roman"/>
        </w:rPr>
        <w:pict>
          <v:rect id="_x0000_i1105" style="width:0;height:1.5pt" o:hralign="center" o:hrstd="t" o:hr="t" fillcolor="#a0a0a0" stroked="f"/>
        </w:pict>
      </w:r>
    </w:p>
    <w:p w:rsidR="00000000" w:rsidRDefault="00E54EC0">
      <w:pPr>
        <w:divId w:val="468401543"/>
        <w:rPr>
          <w:rFonts w:eastAsia="Times New Roman"/>
        </w:rPr>
      </w:pPr>
    </w:p>
    <w:p w:rsidR="00000000" w:rsidRDefault="00E54EC0">
      <w:pPr>
        <w:divId w:val="1053039974"/>
        <w:rPr>
          <w:rFonts w:eastAsia="Times New Roman"/>
        </w:rPr>
      </w:pPr>
      <w:r>
        <w:rPr>
          <w:rFonts w:eastAsia="Times New Roman"/>
          <w:color w:val="000000"/>
          <w:sz w:val="20"/>
          <w:szCs w:val="20"/>
        </w:rPr>
        <w:t>adviser, placement agent or promoter for the client or to refers clients to private funds or tempora</w:t>
      </w:r>
      <w:r>
        <w:rPr>
          <w:rFonts w:eastAsia="Times New Roman"/>
          <w:color w:val="000000"/>
          <w:sz w:val="20"/>
          <w:szCs w:val="20"/>
        </w:rPr>
        <w:t>ry suspension or permanent bar from conducting business. Any such liability or sanction could have a material adverse effect on our business, results of operations or financial condition. A regulatory proceeding could require substantial expenditures of ti</w:t>
      </w:r>
      <w:r>
        <w:rPr>
          <w:rFonts w:eastAsia="Times New Roman"/>
          <w:color w:val="000000"/>
          <w:sz w:val="20"/>
          <w:szCs w:val="20"/>
        </w:rPr>
        <w:t>me and money, trigger termination or default rights under contracts to which we are a party and could potentially damage our reputation.</w:t>
      </w:r>
    </w:p>
    <w:p w:rsidR="00000000" w:rsidRDefault="00E54EC0">
      <w:pPr>
        <w:ind w:firstLine="360"/>
        <w:divId w:val="1769497093"/>
        <w:rPr>
          <w:rFonts w:eastAsia="Times New Roman"/>
        </w:rPr>
      </w:pPr>
      <w:r>
        <w:rPr>
          <w:rFonts w:eastAsia="Times New Roman"/>
          <w:color w:val="000000"/>
          <w:sz w:val="20"/>
          <w:szCs w:val="20"/>
        </w:rPr>
        <w:t xml:space="preserve">In addition, regulators have proposed, imposed and may continue to impose new requirements or issue new guidance aimed </w:t>
      </w:r>
      <w:r>
        <w:rPr>
          <w:rFonts w:eastAsia="Times New Roman"/>
          <w:color w:val="000000"/>
          <w:sz w:val="20"/>
          <w:szCs w:val="20"/>
        </w:rPr>
        <w:t>at addressing or mitigating climate change-related risks and further regulating the industries in which we operate. For example, the SEC recently proposed amendments to Rule 22e-4 under the Investment Company Act, which was itself only recently implemented</w:t>
      </w:r>
      <w:r>
        <w:rPr>
          <w:rFonts w:eastAsia="Times New Roman"/>
          <w:color w:val="000000"/>
          <w:sz w:val="20"/>
          <w:szCs w:val="20"/>
        </w:rPr>
        <w:t>, that would impose substantial new costs on top of those recently spent by us to comply with the rule. Other SEC proposals relating to registered funds, such as proposed amendments to Rule 22c-1 of the Investment Company Act, would require adoption of “sw</w:t>
      </w:r>
      <w:r>
        <w:rPr>
          <w:rFonts w:eastAsia="Times New Roman"/>
          <w:color w:val="000000"/>
          <w:sz w:val="20"/>
          <w:szCs w:val="20"/>
        </w:rPr>
        <w:t>ing pricing” and a “hard close” by all open-end funds other than money market funds, which could substantially increase the operating costs associated with our funds and potentially adversely impact the appeal of the products to certain investors.. These e</w:t>
      </w:r>
      <w:r>
        <w:rPr>
          <w:rFonts w:eastAsia="Times New Roman"/>
          <w:color w:val="000000"/>
          <w:sz w:val="20"/>
          <w:szCs w:val="20"/>
        </w:rPr>
        <w:t>merging regulatory initiatives could result in increased compliance cost to our businesses and changes to our corporate governance and risk management practices.</w:t>
      </w:r>
    </w:p>
    <w:p w:rsidR="00000000" w:rsidRDefault="00E54EC0">
      <w:pPr>
        <w:divId w:val="1824199598"/>
        <w:rPr>
          <w:rFonts w:eastAsia="Times New Roman"/>
        </w:rPr>
      </w:pPr>
    </w:p>
    <w:p w:rsidR="00000000" w:rsidRDefault="00E54EC0">
      <w:pPr>
        <w:jc w:val="both"/>
        <w:divId w:val="453444535"/>
        <w:rPr>
          <w:rFonts w:eastAsia="Times New Roman"/>
        </w:rPr>
      </w:pPr>
      <w:r>
        <w:rPr>
          <w:rFonts w:eastAsia="Times New Roman"/>
          <w:b/>
          <w:bCs/>
          <w:i/>
          <w:iCs/>
          <w:color w:val="000000"/>
          <w:sz w:val="20"/>
          <w:szCs w:val="20"/>
        </w:rPr>
        <w:t>Changes in U.S. tax laws and regulations or interpretations thereof.</w:t>
      </w:r>
    </w:p>
    <w:p w:rsidR="00000000" w:rsidRDefault="00E54EC0">
      <w:pPr>
        <w:ind w:firstLine="360"/>
        <w:divId w:val="482242075"/>
        <w:rPr>
          <w:rFonts w:eastAsia="Times New Roman"/>
        </w:rPr>
      </w:pPr>
      <w:r>
        <w:rPr>
          <w:rFonts w:eastAsia="Times New Roman"/>
          <w:color w:val="000000"/>
          <w:sz w:val="20"/>
          <w:szCs w:val="20"/>
        </w:rPr>
        <w:t>Changes in tax laws and</w:t>
      </w:r>
      <w:r>
        <w:rPr>
          <w:rFonts w:eastAsia="Times New Roman"/>
          <w:color w:val="000000"/>
          <w:sz w:val="20"/>
          <w:szCs w:val="20"/>
        </w:rPr>
        <w:t xml:space="preserve"> regulations or interpretations of such laws, including U.S. tax reform, could increase our corporate taxes and reduce our earnings. Changes may increase our effective tax rate or have implications that make our products less attractive to consumers. Tax a</w:t>
      </w:r>
      <w:r>
        <w:rPr>
          <w:rFonts w:eastAsia="Times New Roman"/>
          <w:color w:val="000000"/>
          <w:sz w:val="20"/>
          <w:szCs w:val="20"/>
        </w:rPr>
        <w:t>uthorities may enact laws, change regulations to increase existing taxes, or add new types of taxes and authorities who have not imposed taxes in the past, may impose additional taxes. Any such changes may harm our business, results of operations or financ</w:t>
      </w:r>
      <w:r>
        <w:rPr>
          <w:rFonts w:eastAsia="Times New Roman"/>
          <w:color w:val="000000"/>
          <w:sz w:val="20"/>
          <w:szCs w:val="20"/>
        </w:rPr>
        <w:t>ial condition.</w:t>
      </w:r>
    </w:p>
    <w:p w:rsidR="00000000" w:rsidRDefault="00E54EC0">
      <w:pPr>
        <w:jc w:val="both"/>
        <w:divId w:val="675768133"/>
        <w:rPr>
          <w:rFonts w:eastAsia="Times New Roman"/>
        </w:rPr>
      </w:pPr>
      <w:r>
        <w:rPr>
          <w:rFonts w:eastAsia="Times New Roman"/>
          <w:b/>
          <w:bCs/>
          <w:i/>
          <w:iCs/>
          <w:color w:val="000000"/>
          <w:sz w:val="20"/>
          <w:szCs w:val="20"/>
        </w:rPr>
        <w:t>Legal proceedings and regulatory actions.</w:t>
      </w:r>
    </w:p>
    <w:p w:rsidR="00000000" w:rsidRDefault="00E54EC0">
      <w:pPr>
        <w:ind w:firstLine="360"/>
        <w:divId w:val="1607231973"/>
        <w:rPr>
          <w:rFonts w:eastAsia="Times New Roman"/>
        </w:rPr>
      </w:pPr>
      <w:r>
        <w:rPr>
          <w:rFonts w:eastAsia="Times New Roman"/>
          <w:color w:val="000000"/>
          <w:sz w:val="20"/>
          <w:szCs w:val="20"/>
        </w:rPr>
        <w:t>A number of lawsuits and regulatory inquiries have been filed or commenced against us and other financial services companies in the jurisdictions in which we do business. Some of these matters have r</w:t>
      </w:r>
      <w:r>
        <w:rPr>
          <w:rFonts w:eastAsia="Times New Roman"/>
          <w:color w:val="000000"/>
          <w:sz w:val="20"/>
          <w:szCs w:val="20"/>
        </w:rPr>
        <w:t>esulted in the award of substantial fines and judgments, including material amounts of punitive damages, or in substantial settlements. We face a significant risk of, and from time to time we are involved in, such actions and proceedings, including class a</w:t>
      </w:r>
      <w:r>
        <w:rPr>
          <w:rFonts w:eastAsia="Times New Roman"/>
          <w:color w:val="000000"/>
          <w:sz w:val="20"/>
          <w:szCs w:val="20"/>
        </w:rPr>
        <w:t>ction lawsuits. The frequency of large damage awards, including large punitive damage awards and regulatory fines that bear little or no relation to actual economic damages incurred, continues to create the potential for an unpredictable judgment in any gi</w:t>
      </w:r>
      <w:r>
        <w:rPr>
          <w:rFonts w:eastAsia="Times New Roman"/>
          <w:color w:val="000000"/>
          <w:sz w:val="20"/>
          <w:szCs w:val="20"/>
        </w:rPr>
        <w:t>ven matter. In addition, investigations or examinations by federal and state regulators and other governmental and self-regulatory agencies could result in legal proceedings (including securities class actions and stockholder derivative litigation), advers</w:t>
      </w:r>
      <w:r>
        <w:rPr>
          <w:rFonts w:eastAsia="Times New Roman"/>
          <w:color w:val="000000"/>
          <w:sz w:val="20"/>
          <w:szCs w:val="20"/>
        </w:rPr>
        <w:t xml:space="preserve">e publicity, sanctions, fines and other costs. A substantial legal liability or a significant federal, state or other regulatory action against us, as well as regulatory inquiries or investigations, may divert management’s time and attention, could create </w:t>
      </w:r>
      <w:r>
        <w:rPr>
          <w:rFonts w:eastAsia="Times New Roman"/>
          <w:color w:val="000000"/>
          <w:sz w:val="20"/>
          <w:szCs w:val="20"/>
        </w:rPr>
        <w:t>adverse publicity and harm our reputation, result in material fines or penalties, result in significant expense, including legal and settlement costs, and otherwise have a material adverse effect on our business, results of operations or financial conditio</w:t>
      </w:r>
      <w:r>
        <w:rPr>
          <w:rFonts w:eastAsia="Times New Roman"/>
          <w:color w:val="000000"/>
          <w:sz w:val="20"/>
          <w:szCs w:val="20"/>
        </w:rPr>
        <w:t>n. For information regarding legal proceedings and regulatory actions pending against us, see Note 17 of the Notes to the Consolidated Financial Statements.</w:t>
      </w:r>
    </w:p>
    <w:p w:rsidR="00000000" w:rsidRDefault="00E54EC0">
      <w:pPr>
        <w:jc w:val="center"/>
        <w:divId w:val="358507544"/>
        <w:rPr>
          <w:rFonts w:eastAsia="Times New Roman"/>
        </w:rPr>
      </w:pPr>
      <w:r>
        <w:rPr>
          <w:rFonts w:eastAsia="Times New Roman"/>
          <w:b/>
          <w:bCs/>
          <w:color w:val="000000"/>
          <w:sz w:val="20"/>
          <w:szCs w:val="20"/>
        </w:rPr>
        <w:t>Risks Relating to Our Common Stock</w:t>
      </w:r>
    </w:p>
    <w:p w:rsidR="00000000" w:rsidRDefault="00E54EC0">
      <w:pPr>
        <w:jc w:val="both"/>
        <w:divId w:val="150758470"/>
        <w:rPr>
          <w:rFonts w:eastAsia="Times New Roman"/>
        </w:rPr>
      </w:pPr>
      <w:r>
        <w:rPr>
          <w:rFonts w:eastAsia="Times New Roman"/>
          <w:b/>
          <w:bCs/>
          <w:i/>
          <w:iCs/>
          <w:color w:val="000000"/>
          <w:sz w:val="20"/>
          <w:szCs w:val="20"/>
        </w:rPr>
        <w:t>Certain provisions in our certificate of incorporation and by-la</w:t>
      </w:r>
      <w:r>
        <w:rPr>
          <w:rFonts w:eastAsia="Times New Roman"/>
          <w:b/>
          <w:bCs/>
          <w:i/>
          <w:iCs/>
          <w:color w:val="000000"/>
          <w:sz w:val="20"/>
          <w:szCs w:val="20"/>
        </w:rPr>
        <w:t>ws.</w:t>
      </w:r>
    </w:p>
    <w:p w:rsidR="00000000" w:rsidRDefault="00E54EC0">
      <w:pPr>
        <w:ind w:firstLine="360"/>
        <w:divId w:val="1895971015"/>
        <w:rPr>
          <w:rFonts w:eastAsia="Times New Roman"/>
        </w:rPr>
      </w:pPr>
      <w:r>
        <w:rPr>
          <w:rFonts w:eastAsia="Times New Roman"/>
          <w:color w:val="000000"/>
          <w:sz w:val="20"/>
          <w:szCs w:val="20"/>
        </w:rPr>
        <w:t xml:space="preserve">Our second amended and restated certificate of incorporation and our sixth amended and restated by-laws include a number of provisions that may discourage, delay or prevent a change in our management or prevent a takeover attempt that stockholders may </w:t>
      </w:r>
      <w:r>
        <w:rPr>
          <w:rFonts w:eastAsia="Times New Roman"/>
          <w:color w:val="000000"/>
          <w:sz w:val="20"/>
          <w:szCs w:val="20"/>
        </w:rPr>
        <w:t>consider favorable. These provisions may prevent our stockholders from receiving the benefit from any premium to the market price of our common stock offered in a takeover context or may even adversely affect the price of our common stock if the provisions</w:t>
      </w:r>
      <w:r>
        <w:rPr>
          <w:rFonts w:eastAsia="Times New Roman"/>
          <w:color w:val="000000"/>
          <w:sz w:val="20"/>
          <w:szCs w:val="20"/>
        </w:rPr>
        <w:t xml:space="preserve"> discourage takeover attempts. Our second amended and restated certificate of incorporation and amended and sixth restated by-laws may also make it difficult for stockholders to replace or remove our management. </w:t>
      </w:r>
    </w:p>
    <w:p w:rsidR="00000000" w:rsidRDefault="00E54EC0">
      <w:pPr>
        <w:jc w:val="both"/>
        <w:divId w:val="841550475"/>
        <w:rPr>
          <w:rFonts w:eastAsia="Times New Roman"/>
        </w:rPr>
      </w:pPr>
      <w:r>
        <w:rPr>
          <w:rFonts w:eastAsia="Times New Roman"/>
          <w:b/>
          <w:bCs/>
          <w:i/>
          <w:iCs/>
          <w:color w:val="000000"/>
          <w:sz w:val="20"/>
          <w:szCs w:val="20"/>
        </w:rPr>
        <w:t>We have designated a sole and exclusive for</w:t>
      </w:r>
      <w:r>
        <w:rPr>
          <w:rFonts w:eastAsia="Times New Roman"/>
          <w:b/>
          <w:bCs/>
          <w:i/>
          <w:iCs/>
          <w:color w:val="000000"/>
          <w:sz w:val="20"/>
          <w:szCs w:val="20"/>
        </w:rPr>
        <w:t>um for certain litigation that may be initiated by our stockholders.</w:t>
      </w:r>
    </w:p>
    <w:p w:rsidR="00000000" w:rsidRDefault="00E54EC0">
      <w:pPr>
        <w:ind w:firstLine="360"/>
        <w:divId w:val="2126000983"/>
        <w:rPr>
          <w:rFonts w:eastAsia="Times New Roman"/>
        </w:rPr>
      </w:pPr>
      <w:r>
        <w:rPr>
          <w:rFonts w:eastAsia="Times New Roman"/>
          <w:color w:val="000000"/>
          <w:sz w:val="20"/>
          <w:szCs w:val="20"/>
        </w:rPr>
        <w:t>Our second amended and restated certificate of incorporation provides that, unless we consent in writing to the selection of an alternative forum, the Court of Chancery of the State of De</w:t>
      </w:r>
      <w:r>
        <w:rPr>
          <w:rFonts w:eastAsia="Times New Roman"/>
          <w:color w:val="000000"/>
          <w:sz w:val="20"/>
          <w:szCs w:val="20"/>
        </w:rPr>
        <w:t xml:space="preserve">laware is, to the fullest extent permitted by law, be the sole and exclusive forum for a number of actions. Notwithstanding the foregoing, the exclusive provision shall not preclude or contract the scope of exclusive federal or concurrent jurisdiction for </w:t>
      </w:r>
      <w:r>
        <w:rPr>
          <w:rFonts w:eastAsia="Times New Roman"/>
          <w:color w:val="000000"/>
          <w:sz w:val="20"/>
          <w:szCs w:val="20"/>
        </w:rPr>
        <w:t xml:space="preserve">actions brought under the Exchange Act or the Securities Act or the respective rules and regulations promulgated thereunder. </w:t>
      </w:r>
    </w:p>
    <w:p w:rsidR="00000000" w:rsidRDefault="00E54EC0">
      <w:pPr>
        <w:jc w:val="center"/>
        <w:divId w:val="607468397"/>
        <w:rPr>
          <w:rFonts w:eastAsia="Times New Roman"/>
        </w:rPr>
      </w:pPr>
      <w:r>
        <w:rPr>
          <w:rFonts w:eastAsia="Times New Roman"/>
          <w:b/>
          <w:bCs/>
          <w:color w:val="000000"/>
          <w:sz w:val="20"/>
          <w:szCs w:val="20"/>
        </w:rPr>
        <w:t>General Risks</w:t>
      </w:r>
    </w:p>
    <w:p w:rsidR="00000000" w:rsidRDefault="00E54EC0">
      <w:pPr>
        <w:jc w:val="center"/>
        <w:divId w:val="1840002277"/>
        <w:rPr>
          <w:rFonts w:eastAsia="Times New Roman"/>
        </w:rPr>
      </w:pPr>
      <w:r>
        <w:rPr>
          <w:rFonts w:eastAsia="Times New Roman"/>
          <w:color w:val="000000"/>
          <w:sz w:val="20"/>
          <w:szCs w:val="20"/>
        </w:rPr>
        <w:t>69</w:t>
      </w:r>
    </w:p>
    <w:p w:rsidR="00000000" w:rsidRDefault="00E54EC0">
      <w:pPr>
        <w:rPr>
          <w:rFonts w:eastAsia="Times New Roman"/>
        </w:rPr>
      </w:pPr>
      <w:r>
        <w:rPr>
          <w:rFonts w:eastAsia="Times New Roman"/>
        </w:rPr>
        <w:pict>
          <v:rect id="_x0000_i1106" style="width:0;height:1.5pt" o:hralign="center" o:hrstd="t" o:hr="t" fillcolor="#a0a0a0" stroked="f"/>
        </w:pict>
      </w:r>
    </w:p>
    <w:p w:rsidR="00000000" w:rsidRDefault="00E54EC0">
      <w:pPr>
        <w:divId w:val="642809807"/>
        <w:rPr>
          <w:rFonts w:eastAsia="Times New Roman"/>
        </w:rPr>
      </w:pPr>
    </w:p>
    <w:p w:rsidR="00000000" w:rsidRDefault="00E54EC0">
      <w:pPr>
        <w:jc w:val="both"/>
        <w:divId w:val="2107194017"/>
        <w:rPr>
          <w:rFonts w:eastAsia="Times New Roman"/>
        </w:rPr>
      </w:pPr>
      <w:r>
        <w:rPr>
          <w:rFonts w:eastAsia="Times New Roman"/>
          <w:b/>
          <w:bCs/>
          <w:i/>
          <w:iCs/>
          <w:color w:val="000000"/>
          <w:sz w:val="20"/>
          <w:szCs w:val="20"/>
        </w:rPr>
        <w:t>Competition from other insurance companies, banks, asset managers and othe</w:t>
      </w:r>
      <w:r>
        <w:rPr>
          <w:rFonts w:eastAsia="Times New Roman"/>
          <w:b/>
          <w:bCs/>
          <w:i/>
          <w:iCs/>
          <w:color w:val="000000"/>
          <w:sz w:val="20"/>
          <w:szCs w:val="20"/>
        </w:rPr>
        <w:t>r financial institutions.</w:t>
      </w:r>
    </w:p>
    <w:p w:rsidR="00000000" w:rsidRDefault="00E54EC0">
      <w:pPr>
        <w:ind w:firstLine="360"/>
        <w:divId w:val="1456410375"/>
        <w:rPr>
          <w:rFonts w:eastAsia="Times New Roman"/>
        </w:rPr>
      </w:pPr>
      <w:r>
        <w:rPr>
          <w:rFonts w:eastAsia="Times New Roman"/>
          <w:color w:val="000000"/>
          <w:sz w:val="20"/>
          <w:szCs w:val="20"/>
        </w:rPr>
        <w:t>We face strong competition from others offering the types of products and services we provide. It is difficult to provide unique retirement and protection or asset management products because, once such products are made available</w:t>
      </w:r>
      <w:r>
        <w:rPr>
          <w:rFonts w:eastAsia="Times New Roman"/>
          <w:color w:val="000000"/>
          <w:sz w:val="20"/>
          <w:szCs w:val="20"/>
        </w:rPr>
        <w:t xml:space="preserve"> to the public, they often are reproduced and offered by our competitors. If competitors charge lower fees for similar products or services, we may decide to reduce the fees on our own products or services in order to retain or attract customers.</w:t>
      </w:r>
    </w:p>
    <w:p w:rsidR="00000000" w:rsidRDefault="00E54EC0">
      <w:pPr>
        <w:ind w:firstLine="360"/>
        <w:divId w:val="369913000"/>
        <w:rPr>
          <w:rFonts w:eastAsia="Times New Roman"/>
        </w:rPr>
      </w:pPr>
      <w:r>
        <w:rPr>
          <w:rFonts w:eastAsia="Times New Roman"/>
          <w:color w:val="000000"/>
          <w:sz w:val="20"/>
          <w:szCs w:val="20"/>
        </w:rPr>
        <w:t>Competition may adversely impact our market share and profitability. Many of our competitors are large and well-established and some have greater market share or breadth of distribution, offer a broader range of products, services or features, assume a gre</w:t>
      </w:r>
      <w:r>
        <w:rPr>
          <w:rFonts w:eastAsia="Times New Roman"/>
          <w:color w:val="000000"/>
          <w:sz w:val="20"/>
          <w:szCs w:val="20"/>
        </w:rPr>
        <w:t>ater level of risk, have greater financial resources, have higher claims-paying or credit ratings, have better brand recognition or have more established relationships with clients than we do. We also face competition from new market entrants or non-tradit</w:t>
      </w:r>
      <w:r>
        <w:rPr>
          <w:rFonts w:eastAsia="Times New Roman"/>
          <w:color w:val="000000"/>
          <w:sz w:val="20"/>
          <w:szCs w:val="20"/>
        </w:rPr>
        <w:t>ional or online competitors, many of whom are leveraging digital technology that may challenge the position of traditional financial service companies. Due to the competitive nature of the financial services industry, there can be no assurance that we will</w:t>
      </w:r>
      <w:r>
        <w:rPr>
          <w:rFonts w:eastAsia="Times New Roman"/>
          <w:color w:val="000000"/>
          <w:sz w:val="20"/>
          <w:szCs w:val="20"/>
        </w:rPr>
        <w:t xml:space="preserve"> continue to effectively compete within the industry or that competition will not materially and adversely impact our business, results of operations or financial condition.</w:t>
      </w:r>
    </w:p>
    <w:p w:rsidR="00000000" w:rsidRDefault="00E54EC0">
      <w:pPr>
        <w:jc w:val="both"/>
        <w:divId w:val="290718177"/>
        <w:rPr>
          <w:rFonts w:eastAsia="Times New Roman"/>
        </w:rPr>
      </w:pPr>
      <w:r>
        <w:rPr>
          <w:rFonts w:eastAsia="Times New Roman"/>
          <w:b/>
          <w:bCs/>
          <w:i/>
          <w:iCs/>
          <w:color w:val="000000"/>
          <w:sz w:val="20"/>
          <w:szCs w:val="20"/>
        </w:rPr>
        <w:t>Our information systems may fail or their security may be compromised.</w:t>
      </w:r>
    </w:p>
    <w:p w:rsidR="00000000" w:rsidRDefault="00E54EC0">
      <w:pPr>
        <w:ind w:firstLine="360"/>
        <w:divId w:val="753015643"/>
        <w:rPr>
          <w:rFonts w:eastAsia="Times New Roman"/>
        </w:rPr>
      </w:pPr>
      <w:r>
        <w:rPr>
          <w:rFonts w:eastAsia="Times New Roman"/>
          <w:color w:val="000000"/>
          <w:sz w:val="20"/>
          <w:szCs w:val="20"/>
        </w:rPr>
        <w:t>Our busines</w:t>
      </w:r>
      <w:r>
        <w:rPr>
          <w:rFonts w:eastAsia="Times New Roman"/>
          <w:color w:val="000000"/>
          <w:sz w:val="20"/>
          <w:szCs w:val="20"/>
        </w:rPr>
        <w:t>s is highly dependent upon the effective operation of our information systems and those of our vendors on which our business operations rely. Although we have implemented a formal, risk-based data security and cybersecurity program to mitigate potential ri</w:t>
      </w:r>
      <w:r>
        <w:rPr>
          <w:rFonts w:eastAsia="Times New Roman"/>
          <w:color w:val="000000"/>
          <w:sz w:val="20"/>
          <w:szCs w:val="20"/>
        </w:rPr>
        <w:t>sk, our information systems and those of our vendors and service providers may nevertheless be vulnerable to physical or cyber-attacks, computer viruses and malicious code, or other computer related attacks, programming errors and similar disruptive proble</w:t>
      </w:r>
      <w:r>
        <w:rPr>
          <w:rFonts w:eastAsia="Times New Roman"/>
          <w:color w:val="000000"/>
          <w:sz w:val="20"/>
          <w:szCs w:val="20"/>
        </w:rPr>
        <w:t>ms which may not be immediately detected. The failure of these systems could cause significant interruptions to our operations, which could result in a material adverse effect on our business, results of operations or financial condition or reputational ha</w:t>
      </w:r>
      <w:r>
        <w:rPr>
          <w:rFonts w:eastAsia="Times New Roman"/>
          <w:color w:val="000000"/>
          <w:sz w:val="20"/>
          <w:szCs w:val="20"/>
        </w:rPr>
        <w:t xml:space="preserve">rm. In addition, a failure of these systems could lead to the possibility of litigation or regulatory investigations or actions, including regulatory actions by state and federal governmental authorities. </w:t>
      </w:r>
    </w:p>
    <w:p w:rsidR="00000000" w:rsidRDefault="00E54EC0">
      <w:pPr>
        <w:jc w:val="both"/>
        <w:divId w:val="161745815"/>
        <w:rPr>
          <w:rFonts w:eastAsia="Times New Roman"/>
        </w:rPr>
      </w:pPr>
      <w:r>
        <w:rPr>
          <w:rFonts w:eastAsia="Times New Roman"/>
          <w:b/>
          <w:bCs/>
          <w:i/>
          <w:iCs/>
          <w:color w:val="000000"/>
          <w:sz w:val="20"/>
          <w:szCs w:val="20"/>
        </w:rPr>
        <w:t>Protecting our intellectual property.</w:t>
      </w:r>
    </w:p>
    <w:p w:rsidR="00000000" w:rsidRDefault="00E54EC0">
      <w:pPr>
        <w:ind w:firstLine="360"/>
        <w:divId w:val="646326740"/>
        <w:rPr>
          <w:rFonts w:eastAsia="Times New Roman"/>
        </w:rPr>
      </w:pPr>
      <w:r>
        <w:rPr>
          <w:rFonts w:eastAsia="Times New Roman"/>
          <w:color w:val="000000"/>
          <w:sz w:val="20"/>
          <w:szCs w:val="20"/>
        </w:rPr>
        <w:t>We rely on a combination of contractual rights, copyright, trademark and trade secret laws to establish and protect our intellectual property. Third parties may infringe or misappropriate our intellectual property. The loss of intellectual property protect</w:t>
      </w:r>
      <w:r>
        <w:rPr>
          <w:rFonts w:eastAsia="Times New Roman"/>
          <w:color w:val="000000"/>
          <w:sz w:val="20"/>
          <w:szCs w:val="20"/>
        </w:rPr>
        <w:t xml:space="preserve">ion or the inability to secure or enforce the protection of our intellectual property assets could have a material adverse effect on our business and our ability to compete. Third parties may have, or may eventually be issued, patents or other protections </w:t>
      </w:r>
      <w:r>
        <w:rPr>
          <w:rFonts w:eastAsia="Times New Roman"/>
          <w:color w:val="000000"/>
          <w:sz w:val="20"/>
          <w:szCs w:val="20"/>
        </w:rPr>
        <w:t xml:space="preserve">that could be infringed by our products, methods, processes or services or could limit our ability to offer certain product features. If we were found to have infringed or misappropriated a third-party patent or other intellectual property right, we could </w:t>
      </w:r>
      <w:r>
        <w:rPr>
          <w:rFonts w:eastAsia="Times New Roman"/>
          <w:color w:val="000000"/>
          <w:sz w:val="20"/>
          <w:szCs w:val="20"/>
        </w:rPr>
        <w:t>in some circumstances be enjoined from providing certain products or services to our customers or from using and benefiting from certain patents, copyrights, trademarks, trade secrets or licenses. Alternatively, we could be required to enter into costly li</w:t>
      </w:r>
      <w:r>
        <w:rPr>
          <w:rFonts w:eastAsia="Times New Roman"/>
          <w:color w:val="000000"/>
          <w:sz w:val="20"/>
          <w:szCs w:val="20"/>
        </w:rPr>
        <w:t>censing arrangements with third parties or implement a costly alternative. Any of these scenarios could harm our reputation and have a material adverse effect on our business, results of operations or financial condition.</w:t>
      </w:r>
    </w:p>
    <w:p w:rsidR="00000000" w:rsidRDefault="00E54EC0">
      <w:pPr>
        <w:divId w:val="1076628933"/>
        <w:rPr>
          <w:rFonts w:eastAsia="Times New Roman"/>
        </w:rPr>
      </w:pPr>
      <w:r>
        <w:rPr>
          <w:rFonts w:eastAsia="Times New Roman"/>
          <w:b/>
          <w:bCs/>
          <w:color w:val="000000"/>
          <w:sz w:val="20"/>
          <w:szCs w:val="20"/>
        </w:rPr>
        <w:t xml:space="preserve">Part I, Item 1B. </w:t>
      </w:r>
    </w:p>
    <w:p w:rsidR="00000000" w:rsidRDefault="00E54EC0">
      <w:pPr>
        <w:jc w:val="center"/>
        <w:divId w:val="1395473525"/>
        <w:rPr>
          <w:rFonts w:eastAsia="Times New Roman"/>
        </w:rPr>
      </w:pPr>
      <w:r>
        <w:rPr>
          <w:rFonts w:eastAsia="Times New Roman"/>
          <w:b/>
          <w:bCs/>
          <w:color w:val="000000"/>
          <w:sz w:val="20"/>
          <w:szCs w:val="20"/>
        </w:rPr>
        <w:t>UNRESOLVED STAFF</w:t>
      </w:r>
      <w:r>
        <w:rPr>
          <w:rFonts w:eastAsia="Times New Roman"/>
          <w:b/>
          <w:bCs/>
          <w:color w:val="000000"/>
          <w:sz w:val="20"/>
          <w:szCs w:val="20"/>
        </w:rPr>
        <w:t xml:space="preserve"> COMMENTS </w:t>
      </w:r>
    </w:p>
    <w:p w:rsidR="00000000" w:rsidRDefault="00E54EC0">
      <w:pPr>
        <w:ind w:firstLine="360"/>
        <w:divId w:val="1599366667"/>
        <w:rPr>
          <w:rFonts w:eastAsia="Times New Roman"/>
        </w:rPr>
      </w:pPr>
      <w:r>
        <w:rPr>
          <w:rFonts w:eastAsia="Times New Roman"/>
          <w:color w:val="000000"/>
          <w:sz w:val="20"/>
          <w:szCs w:val="20"/>
        </w:rPr>
        <w:t>None.</w:t>
      </w:r>
    </w:p>
    <w:p w:rsidR="00000000" w:rsidRDefault="00E54EC0">
      <w:pPr>
        <w:ind w:firstLine="360"/>
        <w:divId w:val="1597325652"/>
        <w:rPr>
          <w:rFonts w:eastAsia="Times New Roman"/>
        </w:rPr>
      </w:pPr>
    </w:p>
    <w:p w:rsidR="00000000" w:rsidRDefault="00E54EC0">
      <w:pPr>
        <w:divId w:val="1266383323"/>
        <w:rPr>
          <w:rFonts w:eastAsia="Times New Roman"/>
        </w:rPr>
      </w:pPr>
      <w:r>
        <w:rPr>
          <w:rFonts w:eastAsia="Times New Roman"/>
          <w:b/>
          <w:bCs/>
          <w:color w:val="000000"/>
          <w:sz w:val="20"/>
          <w:szCs w:val="20"/>
        </w:rPr>
        <w:t xml:space="preserve">Part I, Item 2. </w:t>
      </w:r>
    </w:p>
    <w:p w:rsidR="00000000" w:rsidRDefault="00E54EC0">
      <w:pPr>
        <w:jc w:val="center"/>
        <w:divId w:val="2081053869"/>
        <w:rPr>
          <w:rFonts w:eastAsia="Times New Roman"/>
        </w:rPr>
      </w:pPr>
      <w:r>
        <w:rPr>
          <w:rFonts w:eastAsia="Times New Roman"/>
          <w:b/>
          <w:bCs/>
          <w:color w:val="000000"/>
          <w:sz w:val="20"/>
          <w:szCs w:val="20"/>
        </w:rPr>
        <w:t xml:space="preserve">PROPERTIES </w:t>
      </w:r>
    </w:p>
    <w:p w:rsidR="00000000" w:rsidRDefault="00E54EC0">
      <w:pPr>
        <w:ind w:firstLine="360"/>
        <w:divId w:val="182867461"/>
        <w:rPr>
          <w:rFonts w:eastAsia="Times New Roman"/>
        </w:rPr>
      </w:pPr>
      <w:r>
        <w:rPr>
          <w:rFonts w:eastAsia="Times New Roman"/>
          <w:color w:val="000000"/>
          <w:sz w:val="20"/>
          <w:szCs w:val="20"/>
        </w:rPr>
        <w:t xml:space="preserve">Our principal executive offices at 1290 Avenue of the Americas, New York, NY are occupied pursuant to a lease that extends through 2023. We have entered into a 15-year lease agreement in New York, NY at 1345 </w:t>
      </w:r>
      <w:r>
        <w:rPr>
          <w:rFonts w:eastAsia="Times New Roman"/>
          <w:color w:val="000000"/>
          <w:sz w:val="20"/>
          <w:szCs w:val="20"/>
        </w:rPr>
        <w:t>Avenue of the Americas that is expected to commence in 2023. We also have significant office space leases as follows: in Syracuse, NY, we occupy space under a lease that was scheduled to expire in 2023, but which was amended to extend a portion of the spac</w:t>
      </w:r>
      <w:r>
        <w:rPr>
          <w:rFonts w:eastAsia="Times New Roman"/>
          <w:color w:val="000000"/>
          <w:sz w:val="20"/>
          <w:szCs w:val="20"/>
        </w:rPr>
        <w:t xml:space="preserve">e through 2028; in Jersey City, NJ, we occupy space under a lease that expires in 2023 and will not be extended or replaced; and in Charlotte, NC, we occupy space under a lease that expires in 2028. </w:t>
      </w:r>
    </w:p>
    <w:p w:rsidR="00000000" w:rsidRDefault="00E54EC0">
      <w:pPr>
        <w:ind w:firstLine="360"/>
        <w:divId w:val="384451442"/>
        <w:rPr>
          <w:rFonts w:eastAsia="Times New Roman"/>
        </w:rPr>
      </w:pPr>
      <w:r>
        <w:rPr>
          <w:rFonts w:eastAsia="Times New Roman"/>
          <w:color w:val="000000"/>
          <w:sz w:val="20"/>
          <w:szCs w:val="20"/>
        </w:rPr>
        <w:t>AB’s principal executive offices at 501 Commerce Street,</w:t>
      </w:r>
      <w:r>
        <w:rPr>
          <w:rFonts w:eastAsia="Times New Roman"/>
          <w:color w:val="000000"/>
          <w:sz w:val="20"/>
          <w:szCs w:val="20"/>
        </w:rPr>
        <w:t xml:space="preserve"> Nashville, TN are occupied pursuant to a 15-year lease that commenced during the fourth quarter of 2020. In addition, AB leases office space at 1345 Avenue of the Americas, New York, </w:t>
      </w:r>
    </w:p>
    <w:p w:rsidR="00000000" w:rsidRDefault="00E54EC0">
      <w:pPr>
        <w:jc w:val="center"/>
        <w:divId w:val="2091390583"/>
        <w:rPr>
          <w:rFonts w:eastAsia="Times New Roman"/>
        </w:rPr>
      </w:pPr>
      <w:r>
        <w:rPr>
          <w:rFonts w:eastAsia="Times New Roman"/>
          <w:color w:val="000000"/>
          <w:sz w:val="20"/>
          <w:szCs w:val="20"/>
        </w:rPr>
        <w:t>70</w:t>
      </w:r>
    </w:p>
    <w:p w:rsidR="00000000" w:rsidRDefault="00E54EC0">
      <w:pPr>
        <w:rPr>
          <w:rFonts w:eastAsia="Times New Roman"/>
        </w:rPr>
      </w:pPr>
      <w:r>
        <w:rPr>
          <w:rFonts w:eastAsia="Times New Roman"/>
        </w:rPr>
        <w:pict>
          <v:rect id="_x0000_i1107" style="width:0;height:1.5pt" o:hralign="center" o:hrstd="t" o:hr="t" fillcolor="#a0a0a0" stroked="f"/>
        </w:pict>
      </w:r>
    </w:p>
    <w:p w:rsidR="00000000" w:rsidRDefault="00E54EC0">
      <w:pPr>
        <w:divId w:val="1417825242"/>
        <w:rPr>
          <w:rFonts w:eastAsia="Times New Roman"/>
        </w:rPr>
      </w:pPr>
    </w:p>
    <w:p w:rsidR="00000000" w:rsidRDefault="00E54EC0">
      <w:pPr>
        <w:divId w:val="72968923"/>
        <w:rPr>
          <w:rFonts w:eastAsia="Times New Roman"/>
        </w:rPr>
      </w:pPr>
      <w:r>
        <w:rPr>
          <w:rFonts w:eastAsia="Times New Roman"/>
          <w:color w:val="000000"/>
          <w:sz w:val="20"/>
          <w:szCs w:val="20"/>
        </w:rPr>
        <w:t>NY pursuant to a lease expirin</w:t>
      </w:r>
      <w:r>
        <w:rPr>
          <w:rFonts w:eastAsia="Times New Roman"/>
          <w:color w:val="000000"/>
          <w:sz w:val="20"/>
          <w:szCs w:val="20"/>
        </w:rPr>
        <w:t>g in 2024 that will be replaced by a 20-year lease agreement in New York, NY at 66 Hudson Boulevard that is expected to commence in 2024. AB also leases space in San Antonio, TX under a lease expiring in 2029.</w:t>
      </w:r>
    </w:p>
    <w:p w:rsidR="00000000" w:rsidRDefault="00E54EC0">
      <w:pPr>
        <w:divId w:val="104277495"/>
        <w:rPr>
          <w:rFonts w:eastAsia="Times New Roman"/>
        </w:rPr>
      </w:pPr>
      <w:r>
        <w:rPr>
          <w:rFonts w:eastAsia="Times New Roman"/>
          <w:b/>
          <w:bCs/>
          <w:color w:val="000000"/>
          <w:sz w:val="20"/>
          <w:szCs w:val="20"/>
        </w:rPr>
        <w:t xml:space="preserve">Part I, Item 3. </w:t>
      </w:r>
    </w:p>
    <w:p w:rsidR="00000000" w:rsidRDefault="00E54EC0">
      <w:pPr>
        <w:jc w:val="center"/>
        <w:divId w:val="2110850680"/>
        <w:rPr>
          <w:rFonts w:eastAsia="Times New Roman"/>
        </w:rPr>
      </w:pPr>
      <w:r>
        <w:rPr>
          <w:rFonts w:eastAsia="Times New Roman"/>
          <w:b/>
          <w:bCs/>
          <w:color w:val="000000"/>
          <w:sz w:val="20"/>
          <w:szCs w:val="20"/>
        </w:rPr>
        <w:t>LEGAL PROCEEDINGS</w:t>
      </w:r>
    </w:p>
    <w:p w:rsidR="00000000" w:rsidRDefault="00E54EC0">
      <w:pPr>
        <w:ind w:firstLine="360"/>
        <w:divId w:val="1092820404"/>
        <w:rPr>
          <w:rFonts w:eastAsia="Times New Roman"/>
        </w:rPr>
      </w:pPr>
      <w:r>
        <w:rPr>
          <w:rFonts w:eastAsia="Times New Roman"/>
          <w:color w:val="000000"/>
          <w:sz w:val="20"/>
          <w:szCs w:val="20"/>
        </w:rPr>
        <w:t>For informa</w:t>
      </w:r>
      <w:r>
        <w:rPr>
          <w:rFonts w:eastAsia="Times New Roman"/>
          <w:color w:val="000000"/>
          <w:sz w:val="20"/>
          <w:szCs w:val="20"/>
        </w:rPr>
        <w:t>tion regarding certain legal proceedings pending against us, see Note 17 of the Notes to the Consolidated Financial Statements. See “Risk Factors—Legal and Regulatory Risks—Legal proceedings and regulatory actions.”</w:t>
      </w:r>
    </w:p>
    <w:p w:rsidR="00000000" w:rsidRDefault="00E54EC0">
      <w:pPr>
        <w:divId w:val="529222739"/>
        <w:rPr>
          <w:rFonts w:eastAsia="Times New Roman"/>
        </w:rPr>
      </w:pPr>
      <w:r>
        <w:rPr>
          <w:rFonts w:eastAsia="Times New Roman"/>
          <w:b/>
          <w:bCs/>
          <w:color w:val="000000"/>
          <w:sz w:val="20"/>
          <w:szCs w:val="20"/>
        </w:rPr>
        <w:t>Part I, Item 4.</w:t>
      </w:r>
    </w:p>
    <w:p w:rsidR="00000000" w:rsidRDefault="00E54EC0">
      <w:pPr>
        <w:jc w:val="center"/>
        <w:divId w:val="572545173"/>
        <w:rPr>
          <w:rFonts w:eastAsia="Times New Roman"/>
        </w:rPr>
      </w:pPr>
      <w:r>
        <w:rPr>
          <w:rFonts w:eastAsia="Times New Roman"/>
          <w:b/>
          <w:bCs/>
          <w:color w:val="000000"/>
          <w:sz w:val="20"/>
          <w:szCs w:val="20"/>
        </w:rPr>
        <w:t>MINE SAFETY DISCLOSURES</w:t>
      </w:r>
    </w:p>
    <w:p w:rsidR="00000000" w:rsidRDefault="00E54EC0">
      <w:pPr>
        <w:ind w:firstLine="360"/>
        <w:divId w:val="1783265104"/>
        <w:rPr>
          <w:rFonts w:eastAsia="Times New Roman"/>
        </w:rPr>
      </w:pPr>
      <w:r>
        <w:rPr>
          <w:rFonts w:eastAsia="Times New Roman"/>
          <w:color w:val="000000"/>
          <w:sz w:val="20"/>
          <w:szCs w:val="20"/>
        </w:rPr>
        <w:t>Not Applicable.</w:t>
      </w:r>
    </w:p>
    <w:p w:rsidR="00000000" w:rsidRDefault="00E54EC0">
      <w:pPr>
        <w:ind w:firstLine="360"/>
        <w:divId w:val="1516142272"/>
        <w:rPr>
          <w:rFonts w:eastAsia="Times New Roman"/>
        </w:rPr>
      </w:pPr>
    </w:p>
    <w:p w:rsidR="00000000" w:rsidRDefault="00E54EC0">
      <w:pPr>
        <w:divId w:val="940724570"/>
        <w:rPr>
          <w:rFonts w:eastAsia="Times New Roman"/>
        </w:rPr>
      </w:pPr>
      <w:r>
        <w:rPr>
          <w:rFonts w:eastAsia="Times New Roman"/>
          <w:b/>
          <w:bCs/>
          <w:color w:val="000000"/>
          <w:sz w:val="20"/>
          <w:szCs w:val="20"/>
        </w:rPr>
        <w:t>Part II, Item 5.</w:t>
      </w:r>
      <w:r>
        <w:rPr>
          <w:rFonts w:eastAsia="Times New Roman"/>
          <w:color w:val="000000"/>
          <w:sz w:val="20"/>
          <w:szCs w:val="20"/>
        </w:rPr>
        <w:t xml:space="preserve"> </w:t>
      </w:r>
    </w:p>
    <w:p w:rsidR="00000000" w:rsidRDefault="00E54EC0">
      <w:pPr>
        <w:jc w:val="center"/>
        <w:divId w:val="332925702"/>
        <w:rPr>
          <w:rFonts w:eastAsia="Times New Roman"/>
        </w:rPr>
      </w:pPr>
      <w:r>
        <w:rPr>
          <w:rFonts w:eastAsia="Times New Roman"/>
          <w:b/>
          <w:bCs/>
          <w:color w:val="000000"/>
          <w:sz w:val="20"/>
          <w:szCs w:val="20"/>
        </w:rPr>
        <w:t>MARKET FOR REGISTRANT'S COMMON EQUITY, RELATED STOCKHOLDER MATTERS AND ISSUER PURCHASES OF EQUITY SECURITIES</w:t>
      </w:r>
      <w:r>
        <w:rPr>
          <w:rFonts w:eastAsia="Times New Roman"/>
          <w:color w:val="000000"/>
          <w:sz w:val="20"/>
          <w:szCs w:val="20"/>
        </w:rPr>
        <w:t xml:space="preserve"> </w:t>
      </w:r>
    </w:p>
    <w:p w:rsidR="00000000" w:rsidRDefault="00E54EC0">
      <w:pPr>
        <w:jc w:val="both"/>
        <w:divId w:val="2057121778"/>
        <w:rPr>
          <w:rFonts w:eastAsia="Times New Roman"/>
        </w:rPr>
      </w:pPr>
      <w:r>
        <w:rPr>
          <w:rFonts w:eastAsia="Times New Roman"/>
          <w:b/>
          <w:bCs/>
          <w:i/>
          <w:iCs/>
          <w:color w:val="000000"/>
          <w:sz w:val="20"/>
          <w:szCs w:val="20"/>
        </w:rPr>
        <w:t>General</w:t>
      </w:r>
    </w:p>
    <w:p w:rsidR="00000000" w:rsidRDefault="00E54EC0">
      <w:pPr>
        <w:ind w:firstLine="360"/>
        <w:divId w:val="1767841043"/>
        <w:rPr>
          <w:rFonts w:eastAsia="Times New Roman"/>
        </w:rPr>
      </w:pPr>
      <w:r>
        <w:rPr>
          <w:rFonts w:eastAsia="Times New Roman"/>
          <w:color w:val="000000"/>
          <w:sz w:val="20"/>
          <w:szCs w:val="20"/>
        </w:rPr>
        <w:t>Our common stock, par value $0.01 per share, began trading on the NYSE under the symbol “EQH” on May 1</w:t>
      </w:r>
      <w:r>
        <w:rPr>
          <w:rFonts w:eastAsia="Times New Roman"/>
          <w:color w:val="000000"/>
          <w:sz w:val="20"/>
          <w:szCs w:val="20"/>
        </w:rPr>
        <w:t xml:space="preserve">0, 2018. As of January 31, 2023, there were ten shareholders of record, which differs from the number of beneficial owners of our common stock. </w:t>
      </w:r>
    </w:p>
    <w:p w:rsidR="00000000" w:rsidRDefault="00E54EC0">
      <w:pPr>
        <w:jc w:val="both"/>
        <w:divId w:val="1993216909"/>
        <w:rPr>
          <w:rFonts w:eastAsia="Times New Roman"/>
        </w:rPr>
      </w:pPr>
      <w:r>
        <w:rPr>
          <w:rFonts w:eastAsia="Times New Roman"/>
          <w:b/>
          <w:bCs/>
          <w:i/>
          <w:iCs/>
          <w:color w:val="000000"/>
          <w:sz w:val="20"/>
          <w:szCs w:val="20"/>
        </w:rPr>
        <w:t>Dividends</w:t>
      </w:r>
    </w:p>
    <w:p w:rsidR="00000000" w:rsidRDefault="00E54EC0">
      <w:pPr>
        <w:ind w:firstLine="360"/>
        <w:divId w:val="524293278"/>
        <w:rPr>
          <w:rFonts w:eastAsia="Times New Roman"/>
        </w:rPr>
      </w:pPr>
      <w:r>
        <w:rPr>
          <w:rFonts w:eastAsia="Times New Roman"/>
          <w:color w:val="000000"/>
          <w:sz w:val="20"/>
          <w:szCs w:val="20"/>
        </w:rPr>
        <w:t xml:space="preserve">The declaration, payment and amount of future dividends is subject to the discretion of our Board of </w:t>
      </w:r>
      <w:r>
        <w:rPr>
          <w:rFonts w:eastAsia="Times New Roman"/>
          <w:color w:val="000000"/>
          <w:sz w:val="20"/>
          <w:szCs w:val="20"/>
        </w:rPr>
        <w:t>Directors and depends on our financial condition, results of operations, cash requirements, future prospects, regulatory restrictions on the payment of dividends by Holdings’ insurance subsidiaries and other factors deemed relevant by the Board. The paymen</w:t>
      </w:r>
      <w:r>
        <w:rPr>
          <w:rFonts w:eastAsia="Times New Roman"/>
          <w:color w:val="000000"/>
          <w:sz w:val="20"/>
          <w:szCs w:val="20"/>
        </w:rPr>
        <w:t>t of dividends will be substantially restricted in the event that we do not declare and pay (or set aside) dividends on the Series A Preferred Stock, Series B Preferred Stock and Series C Preferred Stock, for the last proceeding dividend period. See “Manag</w:t>
      </w:r>
      <w:r>
        <w:rPr>
          <w:rFonts w:eastAsia="Times New Roman"/>
          <w:color w:val="000000"/>
          <w:sz w:val="20"/>
          <w:szCs w:val="20"/>
        </w:rPr>
        <w:t>ement’s Discussion and Analysis of Financial Condition and Results of Operations—Liquidity and Capital Resources—Dividends Declared and Paid” for further information regarding common stock dividends.</w:t>
      </w:r>
    </w:p>
    <w:p w:rsidR="00000000" w:rsidRDefault="00E54EC0">
      <w:pPr>
        <w:jc w:val="both"/>
        <w:divId w:val="195393839"/>
        <w:rPr>
          <w:rFonts w:eastAsia="Times New Roman"/>
        </w:rPr>
      </w:pPr>
      <w:r>
        <w:rPr>
          <w:rFonts w:eastAsia="Times New Roman"/>
          <w:b/>
          <w:bCs/>
          <w:i/>
          <w:iCs/>
          <w:color w:val="000000"/>
          <w:sz w:val="20"/>
          <w:szCs w:val="20"/>
        </w:rPr>
        <w:t>Equity Compensation Plan</w:t>
      </w:r>
    </w:p>
    <w:p w:rsidR="00000000" w:rsidRDefault="00E54EC0">
      <w:pPr>
        <w:ind w:firstLine="360"/>
        <w:divId w:val="612513857"/>
        <w:rPr>
          <w:rFonts w:eastAsia="Times New Roman"/>
        </w:rPr>
      </w:pPr>
      <w:r>
        <w:rPr>
          <w:rFonts w:eastAsia="Times New Roman"/>
          <w:color w:val="000000"/>
          <w:sz w:val="20"/>
          <w:szCs w:val="20"/>
        </w:rPr>
        <w:t xml:space="preserve">For information regarding our equity compensation plan, see “Security Ownership of Certain Beneficial Owners and Related Stockholder Matters”—“Equity Compensation Plan Information.” </w:t>
      </w:r>
    </w:p>
    <w:p w:rsidR="00000000" w:rsidRDefault="00E54EC0">
      <w:pPr>
        <w:jc w:val="both"/>
        <w:divId w:val="587078907"/>
        <w:rPr>
          <w:rFonts w:eastAsia="Times New Roman"/>
        </w:rPr>
      </w:pPr>
      <w:r>
        <w:rPr>
          <w:rFonts w:eastAsia="Times New Roman"/>
          <w:b/>
          <w:bCs/>
          <w:i/>
          <w:iCs/>
          <w:color w:val="000000"/>
          <w:sz w:val="20"/>
          <w:szCs w:val="20"/>
        </w:rPr>
        <w:t>Purchases of Equity Securities by the Issuer</w:t>
      </w:r>
    </w:p>
    <w:p w:rsidR="00000000" w:rsidRDefault="00E54EC0">
      <w:pPr>
        <w:ind w:firstLine="360"/>
        <w:divId w:val="1782724913"/>
        <w:rPr>
          <w:rFonts w:eastAsia="Times New Roman"/>
        </w:rPr>
      </w:pPr>
      <w:r>
        <w:rPr>
          <w:rFonts w:eastAsia="Times New Roman"/>
          <w:color w:val="000000"/>
          <w:sz w:val="20"/>
          <w:szCs w:val="20"/>
        </w:rPr>
        <w:t>The following table summariz</w:t>
      </w:r>
      <w:r>
        <w:rPr>
          <w:rFonts w:eastAsia="Times New Roman"/>
          <w:color w:val="000000"/>
          <w:sz w:val="20"/>
          <w:szCs w:val="20"/>
        </w:rPr>
        <w:t xml:space="preserve">es Holdings’ repurchases of its common stock during the three months ended December 31, 2022. </w:t>
      </w:r>
    </w:p>
    <w:tbl>
      <w:tblPr>
        <w:tblW w:w="5000" w:type="pct"/>
        <w:tblCellMar>
          <w:top w:w="15" w:type="dxa"/>
          <w:left w:w="15" w:type="dxa"/>
          <w:bottom w:w="15" w:type="dxa"/>
          <w:right w:w="15" w:type="dxa"/>
        </w:tblCellMar>
        <w:tblLook w:val="04A0" w:firstRow="1" w:lastRow="0" w:firstColumn="1" w:lastColumn="0" w:noHBand="0" w:noVBand="1"/>
      </w:tblPr>
      <w:tblGrid>
        <w:gridCol w:w="48"/>
        <w:gridCol w:w="1902"/>
        <w:gridCol w:w="37"/>
        <w:gridCol w:w="48"/>
        <w:gridCol w:w="1417"/>
        <w:gridCol w:w="36"/>
        <w:gridCol w:w="36"/>
        <w:gridCol w:w="36"/>
        <w:gridCol w:w="36"/>
        <w:gridCol w:w="120"/>
        <w:gridCol w:w="1364"/>
        <w:gridCol w:w="36"/>
        <w:gridCol w:w="36"/>
        <w:gridCol w:w="36"/>
        <w:gridCol w:w="36"/>
        <w:gridCol w:w="48"/>
        <w:gridCol w:w="1366"/>
        <w:gridCol w:w="36"/>
        <w:gridCol w:w="36"/>
        <w:gridCol w:w="36"/>
        <w:gridCol w:w="36"/>
        <w:gridCol w:w="120"/>
        <w:gridCol w:w="1368"/>
        <w:gridCol w:w="36"/>
      </w:tblGrid>
      <w:tr w:rsidR="00000000">
        <w:trPr>
          <w:divId w:val="1810785334"/>
        </w:trPr>
        <w:tc>
          <w:tcPr>
            <w:tcW w:w="50" w:type="pct"/>
            <w:vAlign w:val="center"/>
            <w:hideMark/>
          </w:tcPr>
          <w:p w:rsidR="00000000" w:rsidRDefault="00E54EC0">
            <w:pPr>
              <w:ind w:firstLine="360"/>
              <w:rPr>
                <w:rFonts w:eastAsia="Times New Roman"/>
              </w:rPr>
            </w:pPr>
          </w:p>
        </w:tc>
        <w:tc>
          <w:tcPr>
            <w:tcW w:w="116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7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5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5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810785334"/>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Total Number of Shares (or Units) Purchased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Average Price Paid per Share (or Unit)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 Number of Shares (or Units) Purchased as Part of Publicly Announced Programs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Approximate Dollar Value of Shares (or Units) that May Yet Be Purchased Under the Program (1)</w:t>
            </w:r>
          </w:p>
        </w:tc>
      </w:tr>
      <w:tr w:rsidR="00000000">
        <w:trPr>
          <w:divId w:val="181078533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Month #1 (October 1-31)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526,909,756 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1078533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Month #2 (November 1-30)</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2,067,601 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2,067,601 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470,861,960 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1078533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Month #3 (December 1-31)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2,963,165 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29.23 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2,963,165 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372,048,651 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1078533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5,030,766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5,030,766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372,048,651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492913111"/>
        <w:rPr>
          <w:rFonts w:eastAsia="Times New Roman"/>
        </w:rPr>
      </w:pPr>
      <w:r>
        <w:rPr>
          <w:rFonts w:eastAsia="Times New Roman"/>
          <w:color w:val="000000"/>
          <w:sz w:val="18"/>
          <w:szCs w:val="18"/>
        </w:rPr>
        <w:t>_____________</w:t>
      </w:r>
    </w:p>
    <w:p w:rsidR="00000000" w:rsidRDefault="00E54EC0">
      <w:pPr>
        <w:ind w:hanging="360"/>
        <w:divId w:val="1882589683"/>
        <w:rPr>
          <w:rFonts w:eastAsia="Times New Roman"/>
        </w:rPr>
      </w:pPr>
      <w:r>
        <w:rPr>
          <w:rFonts w:eastAsia="Times New Roman"/>
          <w:color w:val="000000"/>
          <w:sz w:val="18"/>
          <w:szCs w:val="18"/>
        </w:rPr>
        <w:t>(1)See Note 20 of the Notes to the Consolidated Financial Statements for the Share Repurchase program.</w:t>
      </w:r>
    </w:p>
    <w:p w:rsidR="00000000" w:rsidRDefault="00E54EC0">
      <w:pPr>
        <w:ind w:firstLine="360"/>
        <w:divId w:val="1042097872"/>
        <w:rPr>
          <w:rFonts w:eastAsia="Times New Roman"/>
        </w:rPr>
      </w:pPr>
      <w:r>
        <w:rPr>
          <w:rFonts w:eastAsia="Times New Roman"/>
          <w:color w:val="000000"/>
          <w:sz w:val="20"/>
          <w:szCs w:val="20"/>
        </w:rPr>
        <w:t>Holdings may choose to suspend or discontinue</w:t>
      </w:r>
      <w:r>
        <w:rPr>
          <w:rFonts w:eastAsia="Times New Roman"/>
          <w:color w:val="000000"/>
          <w:sz w:val="20"/>
          <w:szCs w:val="20"/>
        </w:rPr>
        <w:t xml:space="preserve"> the repurchase program at any time. The repurchase program does not obligate Holdings to purchase any particular number of shares. During the three months ended December 31, 2022, the </w:t>
      </w:r>
    </w:p>
    <w:p w:rsidR="00000000" w:rsidRDefault="00E54EC0">
      <w:pPr>
        <w:jc w:val="center"/>
        <w:divId w:val="516622306"/>
        <w:rPr>
          <w:rFonts w:eastAsia="Times New Roman"/>
        </w:rPr>
      </w:pPr>
    </w:p>
    <w:p w:rsidR="00000000" w:rsidRDefault="00E54EC0">
      <w:pPr>
        <w:rPr>
          <w:rFonts w:eastAsia="Times New Roman"/>
        </w:rPr>
      </w:pPr>
      <w:r>
        <w:rPr>
          <w:rFonts w:eastAsia="Times New Roman"/>
        </w:rPr>
        <w:pict>
          <v:rect id="_x0000_i1108" style="width:0;height:1.5pt" o:hralign="center" o:hrstd="t" o:hr="t" fillcolor="#a0a0a0" stroked="f"/>
        </w:pict>
      </w:r>
    </w:p>
    <w:p w:rsidR="00000000" w:rsidRDefault="00E54EC0">
      <w:pPr>
        <w:divId w:val="1301686988"/>
        <w:rPr>
          <w:rFonts w:eastAsia="Times New Roman"/>
        </w:rPr>
      </w:pPr>
    </w:p>
    <w:p w:rsidR="00000000" w:rsidRDefault="00E54EC0">
      <w:pPr>
        <w:divId w:val="1069695709"/>
        <w:rPr>
          <w:rFonts w:eastAsia="Times New Roman"/>
        </w:rPr>
      </w:pPr>
      <w:r>
        <w:rPr>
          <w:rFonts w:eastAsia="Times New Roman"/>
          <w:color w:val="000000"/>
          <w:sz w:val="20"/>
          <w:szCs w:val="20"/>
        </w:rPr>
        <w:t xml:space="preserve">Company repurchased approximately 5 million shares of its common stock, at a total cost of approximately $149 million. The repurchased common stock was recorded as treasury stock in the consolidated balance sheets. </w:t>
      </w:r>
    </w:p>
    <w:p w:rsidR="00000000" w:rsidRDefault="00E54EC0">
      <w:pPr>
        <w:jc w:val="both"/>
        <w:divId w:val="586500789"/>
        <w:rPr>
          <w:rFonts w:eastAsia="Times New Roman"/>
        </w:rPr>
      </w:pPr>
      <w:r>
        <w:rPr>
          <w:rFonts w:eastAsia="Times New Roman"/>
          <w:b/>
          <w:bCs/>
          <w:i/>
          <w:iCs/>
          <w:color w:val="000000"/>
          <w:sz w:val="20"/>
          <w:szCs w:val="20"/>
        </w:rPr>
        <w:t>St</w:t>
      </w:r>
      <w:r>
        <w:rPr>
          <w:rFonts w:eastAsia="Times New Roman"/>
          <w:b/>
          <w:bCs/>
          <w:i/>
          <w:iCs/>
          <w:color w:val="000000"/>
          <w:sz w:val="20"/>
          <w:szCs w:val="20"/>
        </w:rPr>
        <w:t>ock Performance Graph</w:t>
      </w:r>
    </w:p>
    <w:p w:rsidR="00000000" w:rsidRDefault="00E54EC0">
      <w:pPr>
        <w:ind w:firstLine="360"/>
        <w:divId w:val="536089486"/>
        <w:rPr>
          <w:rFonts w:eastAsia="Times New Roman"/>
        </w:rPr>
      </w:pPr>
      <w:r>
        <w:rPr>
          <w:rFonts w:eastAsia="Times New Roman"/>
          <w:color w:val="000000"/>
          <w:sz w:val="20"/>
          <w:szCs w:val="20"/>
        </w:rPr>
        <w:t>The graph and table below present Holdings’ cumulative total shareholder return relative to the performance of: (1) the Standard &amp; Poor’s 500 Index; (2) the Standard &amp; Poor’s 500 Insurance Index; and (3) the Standard &amp; Poor’s 500 Fina</w:t>
      </w:r>
      <w:r>
        <w:rPr>
          <w:rFonts w:eastAsia="Times New Roman"/>
          <w:color w:val="000000"/>
          <w:sz w:val="20"/>
          <w:szCs w:val="20"/>
        </w:rPr>
        <w:t>ncials Index, respectively, for the year ended December 31, 2022, commencing May 14, 2018 (our initial day of “regular-way” trading on the NYSE). All values assume a $100 initial investment in the Holdings’ common stock on the NYSE and data for each of the</w:t>
      </w:r>
      <w:r>
        <w:rPr>
          <w:rFonts w:eastAsia="Times New Roman"/>
          <w:color w:val="000000"/>
          <w:sz w:val="20"/>
          <w:szCs w:val="20"/>
        </w:rPr>
        <w:t xml:space="preserve"> Standard &amp; Poor’s 500 Index, the Standard &amp; Poor’s 500 Insurance Index and the Standard &amp; Poor’s 500 Financials Index assume all dividends were reinvested on the date paid. The points on the graph and the values in the table represent quarter-end values b</w:t>
      </w:r>
      <w:r>
        <w:rPr>
          <w:rFonts w:eastAsia="Times New Roman"/>
          <w:color w:val="000000"/>
          <w:sz w:val="20"/>
          <w:szCs w:val="20"/>
        </w:rPr>
        <w:t>ased on the last trading day of each quarter. The comparisons are based on historical data and are not indicative of, nor intended to forecast, the future performance of our common stock.</w:t>
      </w:r>
    </w:p>
    <w:p w:rsidR="00000000" w:rsidRDefault="00E54EC0">
      <w:pPr>
        <w:spacing w:after="240"/>
        <w:ind w:firstLine="360"/>
        <w:jc w:val="center"/>
        <w:divId w:val="786313597"/>
        <w:rPr>
          <w:rFonts w:eastAsia="Times New Roman"/>
        </w:rPr>
      </w:pPr>
      <w:r>
        <w:rPr>
          <w:rFonts w:eastAsia="Times New Roman"/>
          <w:noProof/>
        </w:rPr>
        <w:drawing>
          <wp:inline distT="0" distB="0" distL="0" distR="0">
            <wp:extent cx="304800" cy="3048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3859" w:type="pct"/>
        <w:jc w:val="center"/>
        <w:tblCellMar>
          <w:top w:w="15" w:type="dxa"/>
          <w:left w:w="15" w:type="dxa"/>
          <w:bottom w:w="15" w:type="dxa"/>
          <w:right w:w="15" w:type="dxa"/>
        </w:tblCellMar>
        <w:tblLook w:val="04A0" w:firstRow="1" w:lastRow="0" w:firstColumn="1" w:lastColumn="0" w:noHBand="0" w:noVBand="1"/>
      </w:tblPr>
      <w:tblGrid>
        <w:gridCol w:w="37"/>
        <w:gridCol w:w="1885"/>
        <w:gridCol w:w="36"/>
        <w:gridCol w:w="95"/>
        <w:gridCol w:w="546"/>
        <w:gridCol w:w="36"/>
        <w:gridCol w:w="36"/>
        <w:gridCol w:w="36"/>
        <w:gridCol w:w="36"/>
        <w:gridCol w:w="95"/>
        <w:gridCol w:w="495"/>
        <w:gridCol w:w="36"/>
        <w:gridCol w:w="36"/>
        <w:gridCol w:w="36"/>
        <w:gridCol w:w="36"/>
        <w:gridCol w:w="95"/>
        <w:gridCol w:w="496"/>
        <w:gridCol w:w="36"/>
        <w:gridCol w:w="36"/>
        <w:gridCol w:w="36"/>
        <w:gridCol w:w="36"/>
        <w:gridCol w:w="95"/>
        <w:gridCol w:w="547"/>
        <w:gridCol w:w="36"/>
        <w:gridCol w:w="36"/>
        <w:gridCol w:w="36"/>
        <w:gridCol w:w="36"/>
        <w:gridCol w:w="95"/>
        <w:gridCol w:w="496"/>
        <w:gridCol w:w="36"/>
        <w:gridCol w:w="36"/>
        <w:gridCol w:w="36"/>
        <w:gridCol w:w="36"/>
        <w:gridCol w:w="95"/>
        <w:gridCol w:w="547"/>
        <w:gridCol w:w="36"/>
      </w:tblGrid>
      <w:tr w:rsidR="00000000">
        <w:trPr>
          <w:divId w:val="1594051863"/>
          <w:jc w:val="center"/>
        </w:trPr>
        <w:tc>
          <w:tcPr>
            <w:tcW w:w="50" w:type="pct"/>
            <w:vAlign w:val="center"/>
            <w:hideMark/>
          </w:tcPr>
          <w:p w:rsidR="00000000" w:rsidRDefault="00E54EC0">
            <w:pPr>
              <w:ind w:firstLine="360"/>
              <w:jc w:val="center"/>
              <w:rPr>
                <w:rFonts w:eastAsia="Times New Roman"/>
              </w:rPr>
            </w:pPr>
          </w:p>
        </w:tc>
        <w:tc>
          <w:tcPr>
            <w:tcW w:w="15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94051863"/>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5"/>
                <w:szCs w:val="15"/>
              </w:rPr>
              <w:t>May 14, 2018</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5"/>
                <w:szCs w:val="15"/>
              </w:rPr>
              <w:t>Dec 31, 2018</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5"/>
                <w:szCs w:val="15"/>
              </w:rPr>
              <w:t>Dec 31, 2019</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5"/>
                <w:szCs w:val="15"/>
              </w:rPr>
              <w:t>Dec 31,</w:t>
            </w:r>
            <w:r>
              <w:rPr>
                <w:rFonts w:eastAsia="Times New Roman"/>
                <w:b/>
                <w:bCs/>
                <w:color w:val="000000"/>
                <w:sz w:val="15"/>
                <w:szCs w:val="15"/>
              </w:rPr>
              <w:br/>
              <w:t>2020</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5"/>
                <w:szCs w:val="15"/>
              </w:rPr>
              <w:t>Dec 31,</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5"/>
                <w:szCs w:val="15"/>
              </w:rPr>
              <w:t>Dec 31, 2022</w:t>
            </w:r>
          </w:p>
        </w:tc>
      </w:tr>
      <w:tr w:rsidR="00000000">
        <w:trPr>
          <w:divId w:val="1594051863"/>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5"/>
                <w:szCs w:val="15"/>
              </w:rPr>
              <w:t> </w:t>
            </w:r>
            <w:r>
              <w:rPr>
                <w:rFonts w:eastAsia="Times New Roman"/>
                <w:color w:val="000000"/>
                <w:sz w:val="15"/>
                <w:szCs w:val="15"/>
              </w:rPr>
              <w:t xml:space="preserve">Equitable Holdings, Inc.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78.71 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120.53 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127.79 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169.33 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151.10 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94051863"/>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5"/>
                <w:szCs w:val="15"/>
              </w:rPr>
              <w:t>S&amp;P 500</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100.00 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93.08 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122.39 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144.74 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183.22 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152.62 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94051863"/>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5"/>
                <w:szCs w:val="15"/>
              </w:rPr>
              <w:t xml:space="preserve">S&amp;P 500 Financials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100.00 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85.59 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113.09 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111.13 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150.98 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133.96 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94051863"/>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5"/>
                <w:szCs w:val="15"/>
              </w:rPr>
              <w:t xml:space="preserve">S&amp;P 500 Insurance </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100.00 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91.70 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118.64 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118.38 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155.02 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5"/>
                <w:szCs w:val="15"/>
              </w:rPr>
              <w:t>170.53 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319424804"/>
        <w:rPr>
          <w:rFonts w:eastAsia="Times New Roman"/>
        </w:rPr>
      </w:pPr>
    </w:p>
    <w:p w:rsidR="00000000" w:rsidRDefault="00E54EC0">
      <w:pPr>
        <w:jc w:val="center"/>
        <w:divId w:val="1181317666"/>
        <w:rPr>
          <w:rFonts w:eastAsia="Times New Roman"/>
        </w:rPr>
      </w:pPr>
      <w:r>
        <w:rPr>
          <w:rFonts w:eastAsia="Times New Roman"/>
          <w:color w:val="000000"/>
          <w:sz w:val="20"/>
          <w:szCs w:val="20"/>
        </w:rPr>
        <w:t>72</w:t>
      </w:r>
    </w:p>
    <w:p w:rsidR="00000000" w:rsidRDefault="00E54EC0">
      <w:pPr>
        <w:rPr>
          <w:rFonts w:eastAsia="Times New Roman"/>
        </w:rPr>
      </w:pPr>
      <w:r>
        <w:rPr>
          <w:rFonts w:eastAsia="Times New Roman"/>
        </w:rPr>
        <w:pict>
          <v:rect id="_x0000_i1110" style="width:0;height:1.5pt" o:hralign="center" o:hrstd="t" o:hr="t" fillcolor="#a0a0a0" stroked="f"/>
        </w:pict>
      </w:r>
    </w:p>
    <w:p w:rsidR="00000000" w:rsidRDefault="00E54EC0">
      <w:pPr>
        <w:divId w:val="1278833222"/>
        <w:rPr>
          <w:rFonts w:eastAsia="Times New Roman"/>
        </w:rPr>
      </w:pPr>
    </w:p>
    <w:p w:rsidR="00000000" w:rsidRDefault="00E54EC0">
      <w:pPr>
        <w:divId w:val="436366508"/>
        <w:rPr>
          <w:rFonts w:eastAsia="Times New Roman"/>
        </w:rPr>
      </w:pPr>
      <w:r>
        <w:rPr>
          <w:rFonts w:eastAsia="Times New Roman"/>
          <w:b/>
          <w:bCs/>
          <w:color w:val="000000"/>
          <w:sz w:val="20"/>
          <w:szCs w:val="20"/>
        </w:rPr>
        <w:t>Part II, Item 6.                     RESERVED</w:t>
      </w:r>
    </w:p>
    <w:p w:rsidR="00000000" w:rsidRDefault="00E54EC0">
      <w:pPr>
        <w:divId w:val="758794075"/>
        <w:rPr>
          <w:rFonts w:eastAsia="Times New Roman"/>
        </w:rPr>
      </w:pPr>
    </w:p>
    <w:p w:rsidR="00000000" w:rsidRDefault="00E54EC0">
      <w:pPr>
        <w:divId w:val="474446163"/>
        <w:rPr>
          <w:rFonts w:eastAsia="Times New Roman"/>
        </w:rPr>
      </w:pPr>
      <w:r>
        <w:rPr>
          <w:rFonts w:eastAsia="Times New Roman"/>
          <w:b/>
          <w:bCs/>
          <w:color w:val="000000"/>
          <w:sz w:val="20"/>
          <w:szCs w:val="20"/>
        </w:rPr>
        <w:t>Part II, Item 7.     MANAGEMENT'S DISCUSSION AND ANALYSIS OF FINANCIAL CONDITION AND RESULTS OF OPERATIONS</w:t>
      </w:r>
    </w:p>
    <w:p w:rsidR="00000000" w:rsidRDefault="00E54EC0">
      <w:pPr>
        <w:ind w:firstLine="360"/>
        <w:divId w:val="246233251"/>
        <w:rPr>
          <w:rFonts w:eastAsia="Times New Roman"/>
        </w:rPr>
      </w:pPr>
      <w:r>
        <w:rPr>
          <w:rFonts w:eastAsia="Times New Roman"/>
          <w:i/>
          <w:iCs/>
          <w:color w:val="000000"/>
          <w:sz w:val="20"/>
          <w:szCs w:val="20"/>
        </w:rPr>
        <w:t>The fol</w:t>
      </w:r>
      <w:r>
        <w:rPr>
          <w:rFonts w:eastAsia="Times New Roman"/>
          <w:i/>
          <w:iCs/>
          <w:color w:val="000000"/>
          <w:sz w:val="20"/>
          <w:szCs w:val="20"/>
        </w:rPr>
        <w:t>lowing discussion and analysis of our financial condition and results of operations should be read in conjunction with our annual financial statements included elsewhere herein. In addition to historical data, this discussion contains forward-looking state</w:t>
      </w:r>
      <w:r>
        <w:rPr>
          <w:rFonts w:eastAsia="Times New Roman"/>
          <w:i/>
          <w:iCs/>
          <w:color w:val="000000"/>
          <w:sz w:val="20"/>
          <w:szCs w:val="20"/>
        </w:rPr>
        <w:t>ments about our business, operations and financial performance based on current expectations that involve risks, uncertainties and assumptions. Actual results may differ materially from those discussed in the forward-looking statements as a result of vario</w:t>
      </w:r>
      <w:r>
        <w:rPr>
          <w:rFonts w:eastAsia="Times New Roman"/>
          <w:i/>
          <w:iCs/>
          <w:color w:val="000000"/>
          <w:sz w:val="20"/>
          <w:szCs w:val="20"/>
        </w:rPr>
        <w:t xml:space="preserve">us factors. Factors that could or do contribute to these differences include those factors discussed below and elsewhere in this Form 10-K, particularly under the captions “Risk Factors” and “Note Regarding Forward-Looking Statements and Information.” </w:t>
      </w:r>
    </w:p>
    <w:p w:rsidR="00000000" w:rsidRDefault="00E54EC0">
      <w:pPr>
        <w:divId w:val="1758403009"/>
        <w:rPr>
          <w:rFonts w:eastAsia="Times New Roman"/>
        </w:rPr>
      </w:pPr>
      <w:r>
        <w:rPr>
          <w:rFonts w:eastAsia="Times New Roman"/>
          <w:b/>
          <w:bCs/>
          <w:color w:val="000000"/>
          <w:sz w:val="20"/>
          <w:szCs w:val="20"/>
        </w:rPr>
        <w:t>Exe</w:t>
      </w:r>
      <w:r>
        <w:rPr>
          <w:rFonts w:eastAsia="Times New Roman"/>
          <w:b/>
          <w:bCs/>
          <w:color w:val="000000"/>
          <w:sz w:val="20"/>
          <w:szCs w:val="20"/>
        </w:rPr>
        <w:t>cutive Summary</w:t>
      </w:r>
    </w:p>
    <w:p w:rsidR="00000000" w:rsidRDefault="00E54EC0">
      <w:pPr>
        <w:jc w:val="both"/>
        <w:divId w:val="317346421"/>
        <w:rPr>
          <w:rFonts w:eastAsia="Times New Roman"/>
        </w:rPr>
      </w:pPr>
      <w:r>
        <w:rPr>
          <w:rFonts w:eastAsia="Times New Roman"/>
          <w:b/>
          <w:bCs/>
          <w:i/>
          <w:iCs/>
          <w:color w:val="000000"/>
          <w:sz w:val="20"/>
          <w:szCs w:val="20"/>
        </w:rPr>
        <w:t xml:space="preserve">Overview </w:t>
      </w:r>
    </w:p>
    <w:p w:rsidR="00000000" w:rsidRDefault="00E54EC0">
      <w:pPr>
        <w:ind w:firstLine="360"/>
        <w:divId w:val="2074228483"/>
        <w:rPr>
          <w:rFonts w:eastAsia="Times New Roman"/>
        </w:rPr>
      </w:pPr>
      <w:r>
        <w:rPr>
          <w:rFonts w:eastAsia="Times New Roman"/>
          <w:color w:val="000000"/>
          <w:sz w:val="20"/>
          <w:szCs w:val="20"/>
        </w:rPr>
        <w:t>We are one of America’s leading financial services companies, providing: (i) advice and solutions for helping Americans set and meet their retirement goals and protect and transfer their wealth across generations; and (ii) a wide r</w:t>
      </w:r>
      <w:r>
        <w:rPr>
          <w:rFonts w:eastAsia="Times New Roman"/>
          <w:color w:val="000000"/>
          <w:sz w:val="20"/>
          <w:szCs w:val="20"/>
        </w:rPr>
        <w:t xml:space="preserve">ange of investment management insights, expertise and innovations to drive better investment decisions and outcomes for clients worldwide. </w:t>
      </w:r>
    </w:p>
    <w:p w:rsidR="00000000" w:rsidRDefault="00E54EC0">
      <w:pPr>
        <w:ind w:firstLine="360"/>
        <w:divId w:val="176622313"/>
        <w:rPr>
          <w:rFonts w:eastAsia="Times New Roman"/>
        </w:rPr>
      </w:pPr>
      <w:r>
        <w:rPr>
          <w:rFonts w:eastAsia="Times New Roman"/>
          <w:color w:val="000000"/>
          <w:sz w:val="20"/>
          <w:szCs w:val="20"/>
        </w:rPr>
        <w:t xml:space="preserve">We manage our business through four segments: Individual Retirement, Group Retirement, Investment Management and Research, and Protection Solutions. We report certain activities and items that are not included in these segments in Corporate and Other. See </w:t>
      </w:r>
      <w:r>
        <w:rPr>
          <w:rFonts w:eastAsia="Times New Roman"/>
          <w:color w:val="000000"/>
          <w:sz w:val="20"/>
          <w:szCs w:val="20"/>
        </w:rPr>
        <w:t xml:space="preserve">Note 19 of the Notes to the Consolidated Financial Statements for further information on our segments. </w:t>
      </w:r>
    </w:p>
    <w:p w:rsidR="00000000" w:rsidRDefault="00E54EC0">
      <w:pPr>
        <w:ind w:firstLine="360"/>
        <w:divId w:val="207764880"/>
        <w:rPr>
          <w:rFonts w:eastAsia="Times New Roman"/>
        </w:rPr>
      </w:pPr>
      <w:r>
        <w:rPr>
          <w:rFonts w:eastAsia="Times New Roman"/>
          <w:color w:val="000000"/>
          <w:sz w:val="20"/>
          <w:szCs w:val="20"/>
        </w:rPr>
        <w:t>We benefit from our complementary mix of businesses. This business mix provides diversity in our earnings sources, which helps offset fluctuations in ma</w:t>
      </w:r>
      <w:r>
        <w:rPr>
          <w:rFonts w:eastAsia="Times New Roman"/>
          <w:color w:val="000000"/>
          <w:sz w:val="20"/>
          <w:szCs w:val="20"/>
        </w:rPr>
        <w:t>rket conditions and variability in business results, while offering growth opportunities.</w:t>
      </w:r>
    </w:p>
    <w:p w:rsidR="00000000" w:rsidRDefault="00E54EC0">
      <w:pPr>
        <w:jc w:val="both"/>
        <w:divId w:val="1316060105"/>
        <w:rPr>
          <w:rFonts w:eastAsia="Times New Roman"/>
        </w:rPr>
      </w:pPr>
      <w:r>
        <w:rPr>
          <w:rFonts w:eastAsia="Times New Roman"/>
          <w:b/>
          <w:bCs/>
          <w:i/>
          <w:iCs/>
          <w:color w:val="000000"/>
          <w:sz w:val="20"/>
          <w:szCs w:val="20"/>
        </w:rPr>
        <w:t xml:space="preserve">Global Atlantic Reinsurance Transaction </w:t>
      </w:r>
    </w:p>
    <w:p w:rsidR="00000000" w:rsidRDefault="00E54EC0">
      <w:pPr>
        <w:ind w:firstLine="360"/>
        <w:divId w:val="1856309423"/>
        <w:rPr>
          <w:rFonts w:eastAsia="Times New Roman"/>
        </w:rPr>
      </w:pPr>
      <w:r>
        <w:rPr>
          <w:rFonts w:eastAsia="Times New Roman"/>
          <w:color w:val="000000"/>
          <w:sz w:val="20"/>
          <w:szCs w:val="20"/>
        </w:rPr>
        <w:t>On October 3, 2022, Equitable Financial completed the transactions (the “Global Atlantic Transaction”) contemplated by the pr</w:t>
      </w:r>
      <w:r>
        <w:rPr>
          <w:rFonts w:eastAsia="Times New Roman"/>
          <w:color w:val="000000"/>
          <w:sz w:val="20"/>
          <w:szCs w:val="20"/>
        </w:rPr>
        <w:t>eviously announced Master Transaction Agreement, dated August 16, 2022, by and between Equitable Financial and First Allmerica Financial Life Insurance Company, a Massachusetts-domiciled insurance company (the “Reinsurer”), a wholly owned subsidiary of Glo</w:t>
      </w:r>
      <w:r>
        <w:rPr>
          <w:rFonts w:eastAsia="Times New Roman"/>
          <w:color w:val="000000"/>
          <w:sz w:val="20"/>
          <w:szCs w:val="20"/>
        </w:rPr>
        <w:t>bal Atlantic Financial Group.</w:t>
      </w:r>
    </w:p>
    <w:p w:rsidR="00000000" w:rsidRDefault="00E54EC0">
      <w:pPr>
        <w:ind w:firstLine="360"/>
        <w:divId w:val="593829658"/>
        <w:rPr>
          <w:rFonts w:eastAsia="Times New Roman"/>
        </w:rPr>
      </w:pPr>
      <w:r>
        <w:rPr>
          <w:rFonts w:eastAsia="Times New Roman"/>
          <w:color w:val="000000"/>
          <w:sz w:val="20"/>
          <w:szCs w:val="20"/>
        </w:rPr>
        <w:t>At the closing of the Global Atlantic Transaction, Equitable Financial and the Reinsurer entered into a Coinsurance and Modified Coinsurance Agreement (the “EQUI-VEST Reinsurance Agreement”), pursuant to which Equitable Financ</w:t>
      </w:r>
      <w:r>
        <w:rPr>
          <w:rFonts w:eastAsia="Times New Roman"/>
          <w:color w:val="000000"/>
          <w:sz w:val="20"/>
          <w:szCs w:val="20"/>
        </w:rPr>
        <w:t>ial ceded to the Reinsurer, on a combined coinsurance and modified coinsurance basis, a 50% quota share of approximately 360,000 legacy Group EQUI-VEST deferred variable annuity contracts issued by Equitable Financial between 1980 and 2008, which predomina</w:t>
      </w:r>
      <w:r>
        <w:rPr>
          <w:rFonts w:eastAsia="Times New Roman"/>
          <w:color w:val="000000"/>
          <w:sz w:val="20"/>
          <w:szCs w:val="20"/>
        </w:rPr>
        <w:t xml:space="preserve">tely include Equitable Financial’s highest guaranteed general account crediting rates of 3%, supported by general account assets of approximately $4 billion and $5 billion of separate account value (the “Reinsured Contracts”). At the closing of the Global </w:t>
      </w:r>
      <w:r>
        <w:rPr>
          <w:rFonts w:eastAsia="Times New Roman"/>
          <w:color w:val="000000"/>
          <w:sz w:val="20"/>
          <w:szCs w:val="20"/>
        </w:rPr>
        <w:t>Atlantic Transaction, Reinsurer deposited assets supporting the general account liabilities relating to the Reinsured Contracts into a trust account for the benefit of Equitable Financial, which assets will secure its obligations to Equitable Financial und</w:t>
      </w:r>
      <w:r>
        <w:rPr>
          <w:rFonts w:eastAsia="Times New Roman"/>
          <w:color w:val="000000"/>
          <w:sz w:val="20"/>
          <w:szCs w:val="20"/>
        </w:rPr>
        <w:t>er the EQUI-VEST Reinsurance Agreement. Commonwealth Annuity and Life Insurance Company, an insurance company domiciled in the Commonwealth of Massachusetts and affiliate of Reinsurer (“Commonwealth”), provided a guarantee of Reinsurer’s payment obligation</w:t>
      </w:r>
      <w:r>
        <w:rPr>
          <w:rFonts w:eastAsia="Times New Roman"/>
          <w:color w:val="000000"/>
          <w:sz w:val="20"/>
          <w:szCs w:val="20"/>
        </w:rPr>
        <w:t xml:space="preserve"> to Equitable Financial under the EQUI-VEST Reinsurance Agreement.</w:t>
      </w:r>
    </w:p>
    <w:p w:rsidR="00000000" w:rsidRDefault="00E54EC0">
      <w:pPr>
        <w:divId w:val="753209590"/>
        <w:rPr>
          <w:rFonts w:eastAsia="Times New Roman"/>
        </w:rPr>
      </w:pPr>
      <w:r>
        <w:rPr>
          <w:rFonts w:eastAsia="Times New Roman"/>
          <w:b/>
          <w:bCs/>
          <w:color w:val="000000"/>
          <w:sz w:val="20"/>
          <w:szCs w:val="20"/>
        </w:rPr>
        <w:t>Macroeconomic and Industry Trends</w:t>
      </w:r>
    </w:p>
    <w:p w:rsidR="00000000" w:rsidRDefault="00E54EC0">
      <w:pPr>
        <w:ind w:firstLine="360"/>
        <w:divId w:val="983125458"/>
        <w:rPr>
          <w:rFonts w:eastAsia="Times New Roman"/>
        </w:rPr>
      </w:pPr>
      <w:r>
        <w:rPr>
          <w:rFonts w:eastAsia="Times New Roman"/>
          <w:color w:val="000000"/>
          <w:sz w:val="20"/>
          <w:szCs w:val="20"/>
        </w:rPr>
        <w:t>Our business and consolidated results of operations are significantly affected by economic conditions and consumer confidence, conditions in the global cap</w:t>
      </w:r>
      <w:r>
        <w:rPr>
          <w:rFonts w:eastAsia="Times New Roman"/>
          <w:color w:val="000000"/>
          <w:sz w:val="20"/>
          <w:szCs w:val="20"/>
        </w:rPr>
        <w:t>ital markets and the interest rate environment.</w:t>
      </w:r>
    </w:p>
    <w:p w:rsidR="00000000" w:rsidRDefault="00E54EC0">
      <w:pPr>
        <w:jc w:val="both"/>
        <w:divId w:val="130640751"/>
        <w:rPr>
          <w:rFonts w:eastAsia="Times New Roman"/>
        </w:rPr>
      </w:pPr>
      <w:r>
        <w:rPr>
          <w:rFonts w:eastAsia="Times New Roman"/>
          <w:b/>
          <w:bCs/>
          <w:i/>
          <w:iCs/>
          <w:color w:val="000000"/>
          <w:sz w:val="20"/>
          <w:szCs w:val="20"/>
        </w:rPr>
        <w:t>Financial and Economic Environment</w:t>
      </w:r>
    </w:p>
    <w:p w:rsidR="00000000" w:rsidRDefault="00E54EC0">
      <w:pPr>
        <w:ind w:firstLine="360"/>
        <w:divId w:val="570891708"/>
        <w:rPr>
          <w:rFonts w:eastAsia="Times New Roman"/>
        </w:rPr>
      </w:pPr>
      <w:r>
        <w:rPr>
          <w:rFonts w:eastAsia="Times New Roman"/>
          <w:color w:val="000000"/>
          <w:sz w:val="20"/>
          <w:szCs w:val="20"/>
        </w:rPr>
        <w:t xml:space="preserve">A wide variety of factors continue to impact global financial and economic conditions. These factors include, among others, concerns over resurgences of COVID-19, increased </w:t>
      </w:r>
      <w:r>
        <w:rPr>
          <w:rFonts w:eastAsia="Times New Roman"/>
          <w:color w:val="000000"/>
          <w:sz w:val="20"/>
          <w:szCs w:val="20"/>
        </w:rPr>
        <w:t>volatility in the capital markets, equity market declines, rising interest rates, inflationary pressures fueling concerns of a potential recession, plateauing or decreasing economic growth, high fuel and energy costs, changes in fiscal or monetary policy a</w:t>
      </w:r>
      <w:r>
        <w:rPr>
          <w:rFonts w:eastAsia="Times New Roman"/>
          <w:color w:val="000000"/>
          <w:sz w:val="20"/>
          <w:szCs w:val="20"/>
        </w:rPr>
        <w:t>nd geopolitical tensions. The invasion of the Ukraine by Russian and the sanctions and other measures imposed in response to this conflict significantly increased the level of volatility in the financial markets and have increased the level of economic and</w:t>
      </w:r>
      <w:r>
        <w:rPr>
          <w:rFonts w:eastAsia="Times New Roman"/>
          <w:color w:val="000000"/>
          <w:sz w:val="20"/>
          <w:szCs w:val="20"/>
        </w:rPr>
        <w:t xml:space="preserve"> political uncertainty.</w:t>
      </w:r>
    </w:p>
    <w:p w:rsidR="00000000" w:rsidRDefault="00E54EC0">
      <w:pPr>
        <w:jc w:val="center"/>
        <w:divId w:val="918054548"/>
        <w:rPr>
          <w:rFonts w:eastAsia="Times New Roman"/>
        </w:rPr>
      </w:pPr>
      <w:r>
        <w:rPr>
          <w:rFonts w:eastAsia="Times New Roman"/>
          <w:color w:val="000000"/>
          <w:sz w:val="20"/>
          <w:szCs w:val="20"/>
        </w:rPr>
        <w:t>73</w:t>
      </w:r>
    </w:p>
    <w:p w:rsidR="00000000" w:rsidRDefault="00E54EC0">
      <w:pPr>
        <w:rPr>
          <w:rFonts w:eastAsia="Times New Roman"/>
        </w:rPr>
      </w:pPr>
      <w:r>
        <w:rPr>
          <w:rFonts w:eastAsia="Times New Roman"/>
        </w:rPr>
        <w:pict>
          <v:rect id="_x0000_i1111" style="width:0;height:1.5pt" o:hralign="center" o:hrstd="t" o:hr="t" fillcolor="#a0a0a0" stroked="f"/>
        </w:pict>
      </w:r>
    </w:p>
    <w:p w:rsidR="00000000" w:rsidRDefault="00E54EC0">
      <w:pPr>
        <w:divId w:val="120466940"/>
        <w:rPr>
          <w:rFonts w:eastAsia="Times New Roman"/>
        </w:rPr>
      </w:pPr>
    </w:p>
    <w:p w:rsidR="00000000" w:rsidRDefault="00E54EC0">
      <w:pPr>
        <w:ind w:firstLine="360"/>
        <w:divId w:val="287783242"/>
        <w:rPr>
          <w:rFonts w:eastAsia="Times New Roman"/>
        </w:rPr>
      </w:pPr>
      <w:r>
        <w:rPr>
          <w:rFonts w:eastAsia="Times New Roman"/>
          <w:color w:val="000000"/>
          <w:sz w:val="20"/>
          <w:szCs w:val="20"/>
        </w:rPr>
        <w:t>Stressed conditions, volatility and disruptions in the capital markets, particular markets, or financial asset classes can have an adverse effect on us, in part because we have a large investment portfolio. In addition, our insurance liabilities and deriva</w:t>
      </w:r>
      <w:r>
        <w:rPr>
          <w:rFonts w:eastAsia="Times New Roman"/>
          <w:color w:val="000000"/>
          <w:sz w:val="20"/>
          <w:szCs w:val="20"/>
        </w:rPr>
        <w:t>tives are sensitive to changing market factors, including equity market performance and interest rates, which are anticipated to continue to rise in 2023 based on statements of members of the Board of Governors of the Federal Reserve System. An increase in</w:t>
      </w:r>
      <w:r>
        <w:rPr>
          <w:rFonts w:eastAsia="Times New Roman"/>
          <w:color w:val="000000"/>
          <w:sz w:val="20"/>
          <w:szCs w:val="20"/>
        </w:rPr>
        <w:t xml:space="preserve"> market volatility could continue to affect our business, including through effects on the yields we earn on invested assets, changes in required reserves and capital and fluctuations in the value of our AUM, AV or AUA from which we derive our fee income. </w:t>
      </w:r>
      <w:r>
        <w:rPr>
          <w:rFonts w:eastAsia="Times New Roman"/>
          <w:color w:val="000000"/>
          <w:sz w:val="20"/>
          <w:szCs w:val="20"/>
        </w:rPr>
        <w:t>These effects could be exacerbated by uncertainty about future fiscal policy, changes in tax policy, the scope of potential deregulation and levels of global trade.</w:t>
      </w:r>
    </w:p>
    <w:p w:rsidR="00000000" w:rsidRDefault="00E54EC0">
      <w:pPr>
        <w:ind w:firstLine="360"/>
        <w:divId w:val="1576088729"/>
        <w:rPr>
          <w:rFonts w:eastAsia="Times New Roman"/>
        </w:rPr>
      </w:pPr>
      <w:r>
        <w:rPr>
          <w:rFonts w:eastAsia="Times New Roman"/>
          <w:color w:val="000000"/>
          <w:sz w:val="20"/>
          <w:szCs w:val="20"/>
        </w:rPr>
        <w:t>The potential for increased volatility could pressure sales and reduce demand for our produ</w:t>
      </w:r>
      <w:r>
        <w:rPr>
          <w:rFonts w:eastAsia="Times New Roman"/>
          <w:color w:val="000000"/>
          <w:sz w:val="20"/>
          <w:szCs w:val="20"/>
        </w:rPr>
        <w:t xml:space="preserve">cts as consumers consider purchasing alternative products to meet their objectives. In addition, this environment could make it difficult to consistently develop products that are attractive to customers. Financial performance can be adversely affected by </w:t>
      </w:r>
      <w:r>
        <w:rPr>
          <w:rFonts w:eastAsia="Times New Roman"/>
          <w:color w:val="000000"/>
          <w:sz w:val="20"/>
          <w:szCs w:val="20"/>
        </w:rPr>
        <w:t>market volatility and equity market declines as fees driven by AV and AUM fluctuate, hedging costs increase and revenues decline due to reduced sales and increased outflows.</w:t>
      </w:r>
    </w:p>
    <w:p w:rsidR="00000000" w:rsidRDefault="00E54EC0">
      <w:pPr>
        <w:ind w:firstLine="360"/>
        <w:divId w:val="1780489401"/>
        <w:rPr>
          <w:rFonts w:eastAsia="Times New Roman"/>
        </w:rPr>
      </w:pPr>
      <w:r>
        <w:rPr>
          <w:rFonts w:eastAsia="Times New Roman"/>
          <w:color w:val="000000"/>
          <w:sz w:val="20"/>
          <w:szCs w:val="20"/>
        </w:rPr>
        <w:t>We monitor the behavior of our customers and other factors, including mortality ra</w:t>
      </w:r>
      <w:r>
        <w:rPr>
          <w:rFonts w:eastAsia="Times New Roman"/>
          <w:color w:val="000000"/>
          <w:sz w:val="20"/>
          <w:szCs w:val="20"/>
        </w:rPr>
        <w:t>tes, morbidity rates, annuitization rates and lapse and surrender rates, which change in response to changes in capital market conditions, to ensure that our products and solutions remain attractive and profitable. For additional information on our sensiti</w:t>
      </w:r>
      <w:r>
        <w:rPr>
          <w:rFonts w:eastAsia="Times New Roman"/>
          <w:color w:val="000000"/>
          <w:sz w:val="20"/>
          <w:szCs w:val="20"/>
        </w:rPr>
        <w:t>vity to interest rates and capital market prices, see “Risk Factors - Risks Relating to Conditions in the Financial Markets and Economy” and “Quantitative and Qualitative Disclosures About Market Risk.”</w:t>
      </w:r>
    </w:p>
    <w:p w:rsidR="00000000" w:rsidRDefault="00E54EC0">
      <w:pPr>
        <w:jc w:val="both"/>
        <w:divId w:val="1820462915"/>
        <w:rPr>
          <w:rFonts w:eastAsia="Times New Roman"/>
        </w:rPr>
      </w:pPr>
      <w:r>
        <w:rPr>
          <w:rFonts w:eastAsia="Times New Roman"/>
          <w:b/>
          <w:bCs/>
          <w:i/>
          <w:iCs/>
          <w:color w:val="000000"/>
          <w:sz w:val="20"/>
          <w:szCs w:val="20"/>
        </w:rPr>
        <w:t>COVID-19 Impact</w:t>
      </w:r>
    </w:p>
    <w:p w:rsidR="00000000" w:rsidRDefault="00E54EC0">
      <w:pPr>
        <w:ind w:firstLine="360"/>
        <w:divId w:val="7949896"/>
        <w:rPr>
          <w:rFonts w:eastAsia="Times New Roman"/>
        </w:rPr>
      </w:pPr>
      <w:r>
        <w:rPr>
          <w:rFonts w:eastAsia="Times New Roman"/>
          <w:color w:val="000000"/>
          <w:sz w:val="20"/>
          <w:szCs w:val="20"/>
        </w:rPr>
        <w:t xml:space="preserve">COVID-19 continues to evolve, and we </w:t>
      </w:r>
      <w:r>
        <w:rPr>
          <w:rFonts w:eastAsia="Times New Roman"/>
          <w:color w:val="000000"/>
          <w:sz w:val="20"/>
          <w:szCs w:val="20"/>
        </w:rPr>
        <w:t>continue to closely monitor developments and the impact on our business, operations and investment portfolio. Although COVID-19 restrictions, including temporary business and school closures have been lifted in many places, resurgences of COVID-19 in vario</w:t>
      </w:r>
      <w:r>
        <w:rPr>
          <w:rFonts w:eastAsia="Times New Roman"/>
          <w:color w:val="000000"/>
          <w:sz w:val="20"/>
          <w:szCs w:val="20"/>
        </w:rPr>
        <w:t>us regions and appearances of new variants of the virus, has resulted, and may continue to result, in their full or partial reinstitution. In addition, although many countries have vaccinated large segments of their population, COVID-19 continues to interr</w:t>
      </w:r>
      <w:r>
        <w:rPr>
          <w:rFonts w:eastAsia="Times New Roman"/>
          <w:color w:val="000000"/>
          <w:sz w:val="20"/>
          <w:szCs w:val="20"/>
        </w:rPr>
        <w:t xml:space="preserve">upt business activities and trade in many countries, which has caused a significant impact on the economies and financial markets of many countries including an economic downturn. We expect these impacts to continue for the foreseeable future, which could </w:t>
      </w:r>
      <w:r>
        <w:rPr>
          <w:rFonts w:eastAsia="Times New Roman"/>
          <w:color w:val="000000"/>
          <w:sz w:val="20"/>
          <w:szCs w:val="20"/>
        </w:rPr>
        <w:t>adversely affect demand for our products and services and our investment returns. Indeed, the profitability of many of our retirement, protection and investment products depends in part on the value of the AUM supporting them, which could decline substanti</w:t>
      </w:r>
      <w:r>
        <w:rPr>
          <w:rFonts w:eastAsia="Times New Roman"/>
          <w:color w:val="000000"/>
          <w:sz w:val="20"/>
          <w:szCs w:val="20"/>
        </w:rPr>
        <w:t>ally depending on factors such as the volatility and strength of equity markets, interest rates, consumer spending, and government debt and spending.</w:t>
      </w:r>
    </w:p>
    <w:p w:rsidR="00000000" w:rsidRDefault="00E54EC0">
      <w:pPr>
        <w:ind w:firstLine="360"/>
        <w:divId w:val="1382634674"/>
        <w:rPr>
          <w:rFonts w:eastAsia="Times New Roman"/>
        </w:rPr>
      </w:pPr>
      <w:r>
        <w:rPr>
          <w:rFonts w:eastAsia="Times New Roman"/>
          <w:color w:val="000000"/>
          <w:sz w:val="20"/>
          <w:szCs w:val="20"/>
        </w:rPr>
        <w:t>In response to the various pandemic related restrictions over the last few years we have adapted our proce</w:t>
      </w:r>
      <w:r>
        <w:rPr>
          <w:rFonts w:eastAsia="Times New Roman"/>
          <w:color w:val="000000"/>
          <w:sz w:val="20"/>
          <w:szCs w:val="20"/>
        </w:rPr>
        <w:t>sses to meet client needs. For example, we offer our modified underwriting policies with a fluid-less, touchless process to help more clients access the protection they need. In addition, we accelerated our digital adoption programs, leading to improved ou</w:t>
      </w:r>
      <w:r>
        <w:rPr>
          <w:rFonts w:eastAsia="Times New Roman"/>
          <w:color w:val="000000"/>
          <w:sz w:val="20"/>
          <w:szCs w:val="20"/>
        </w:rPr>
        <w:t xml:space="preserve">tcomes for clients, advisors, and the Company. We further developed digital tools and enhanced our remote engagement, which is resulting in improved retention and increases in retirement plan contributions. As businesses and the economy continue to return </w:t>
      </w:r>
      <w:r>
        <w:rPr>
          <w:rFonts w:eastAsia="Times New Roman"/>
          <w:color w:val="000000"/>
          <w:sz w:val="20"/>
          <w:szCs w:val="20"/>
        </w:rPr>
        <w:t>to pre-pandemic activity levels, we believe we can continue to leverage our digital enhancements to continue to grow our business, even as we return to in-person engagement and sales.</w:t>
      </w:r>
    </w:p>
    <w:p w:rsidR="00000000" w:rsidRDefault="00E54EC0">
      <w:pPr>
        <w:ind w:firstLine="360"/>
        <w:divId w:val="1385064303"/>
        <w:rPr>
          <w:rFonts w:eastAsia="Times New Roman"/>
        </w:rPr>
      </w:pPr>
      <w:r>
        <w:rPr>
          <w:rFonts w:eastAsia="Times New Roman"/>
          <w:color w:val="000000"/>
          <w:sz w:val="20"/>
          <w:szCs w:val="20"/>
        </w:rPr>
        <w:t>While COVID-19 significantly affected the capital markets and economy, w</w:t>
      </w:r>
      <w:r>
        <w:rPr>
          <w:rFonts w:eastAsia="Times New Roman"/>
          <w:color w:val="000000"/>
          <w:sz w:val="20"/>
          <w:szCs w:val="20"/>
        </w:rPr>
        <w:t>e believe we have taken the appropriate actions to help assure that our economic balance sheet is protected from equity declines. These actions include redesigning our product portfolio to concentrate on offering less capital intensive products and impleme</w:t>
      </w:r>
      <w:r>
        <w:rPr>
          <w:rFonts w:eastAsia="Times New Roman"/>
          <w:color w:val="000000"/>
          <w:sz w:val="20"/>
          <w:szCs w:val="20"/>
        </w:rPr>
        <w:t>nting a hedging strategy that manages and protects against the economic risks associated with our in-force GMxB products. In addition to our hedging strategy, we employ various other methods to manage the risks of our in-force variable annuity products, in</w:t>
      </w:r>
      <w:r>
        <w:rPr>
          <w:rFonts w:eastAsia="Times New Roman"/>
          <w:color w:val="000000"/>
          <w:sz w:val="20"/>
          <w:szCs w:val="20"/>
        </w:rPr>
        <w:t xml:space="preserve">cluding reinsurance, asset-liability matching, volatility management tools within the Separate Accounts and an active in-force management program, including buyout offers for certain products. Due to the General Account’s exposure to U.S. government bonds </w:t>
      </w:r>
      <w:r>
        <w:rPr>
          <w:rFonts w:eastAsia="Times New Roman"/>
          <w:color w:val="000000"/>
          <w:sz w:val="20"/>
          <w:szCs w:val="20"/>
        </w:rPr>
        <w:t xml:space="preserve">and credit quality of the portfolio, we feel that our balance sheet is well positioned to withstand the extreme volatility in the capital markets. </w:t>
      </w:r>
    </w:p>
    <w:p w:rsidR="00000000" w:rsidRDefault="00E54EC0">
      <w:pPr>
        <w:ind w:firstLine="360"/>
        <w:divId w:val="757604668"/>
        <w:rPr>
          <w:rFonts w:eastAsia="Times New Roman"/>
        </w:rPr>
      </w:pPr>
      <w:r>
        <w:rPr>
          <w:rFonts w:eastAsia="Times New Roman"/>
          <w:color w:val="000000"/>
          <w:sz w:val="20"/>
          <w:szCs w:val="20"/>
        </w:rPr>
        <w:t>The extent and nature of COVID-19’s full negative financial impact on our business cannot reasonably be esti</w:t>
      </w:r>
      <w:r>
        <w:rPr>
          <w:rFonts w:eastAsia="Times New Roman"/>
          <w:color w:val="000000"/>
          <w:sz w:val="20"/>
          <w:szCs w:val="20"/>
        </w:rPr>
        <w:t>mated at this time due to developments that are still highly uncertain, including the severity and duration of future outbreaks, actions taken by governmental authorities and other third parties in response to such outbreaks and the availability and effica</w:t>
      </w:r>
      <w:r>
        <w:rPr>
          <w:rFonts w:eastAsia="Times New Roman"/>
          <w:color w:val="000000"/>
          <w:sz w:val="20"/>
          <w:szCs w:val="20"/>
        </w:rPr>
        <w:t>cy of vaccines against COVID-19 and its variants. For additional information regarding the potential impacts of COVID-19, see “Risk Factors—Risks Relating to Conditions in the Financial Markets and Economy—The coronavirus (COVID-19) pandemic.”</w:t>
      </w:r>
    </w:p>
    <w:p w:rsidR="00000000" w:rsidRDefault="00E54EC0">
      <w:pPr>
        <w:jc w:val="center"/>
        <w:divId w:val="379860685"/>
        <w:rPr>
          <w:rFonts w:eastAsia="Times New Roman"/>
        </w:rPr>
      </w:pPr>
      <w:r>
        <w:rPr>
          <w:rFonts w:eastAsia="Times New Roman"/>
          <w:color w:val="000000"/>
          <w:sz w:val="20"/>
          <w:szCs w:val="20"/>
        </w:rPr>
        <w:t>74</w:t>
      </w:r>
    </w:p>
    <w:p w:rsidR="00000000" w:rsidRDefault="00E54EC0">
      <w:pPr>
        <w:rPr>
          <w:rFonts w:eastAsia="Times New Roman"/>
        </w:rPr>
      </w:pPr>
      <w:r>
        <w:rPr>
          <w:rFonts w:eastAsia="Times New Roman"/>
        </w:rPr>
        <w:pict>
          <v:rect id="_x0000_i1112" style="width:0;height:1.5pt" o:hralign="center" o:hrstd="t" o:hr="t" fillcolor="#a0a0a0" stroked="f"/>
        </w:pict>
      </w:r>
    </w:p>
    <w:p w:rsidR="00000000" w:rsidRDefault="00E54EC0">
      <w:pPr>
        <w:divId w:val="1676376020"/>
        <w:rPr>
          <w:rFonts w:eastAsia="Times New Roman"/>
        </w:rPr>
      </w:pPr>
    </w:p>
    <w:p w:rsidR="00000000" w:rsidRDefault="00E54EC0">
      <w:pPr>
        <w:jc w:val="both"/>
        <w:divId w:val="1696886968"/>
        <w:rPr>
          <w:rFonts w:eastAsia="Times New Roman"/>
        </w:rPr>
      </w:pPr>
      <w:r>
        <w:rPr>
          <w:rFonts w:eastAsia="Times New Roman"/>
          <w:b/>
          <w:bCs/>
          <w:i/>
          <w:iCs/>
          <w:color w:val="000000"/>
          <w:sz w:val="20"/>
          <w:szCs w:val="20"/>
        </w:rPr>
        <w:t>Regulatory Developments</w:t>
      </w:r>
    </w:p>
    <w:p w:rsidR="00000000" w:rsidRDefault="00E54EC0">
      <w:pPr>
        <w:ind w:firstLine="360"/>
        <w:divId w:val="1569145262"/>
        <w:rPr>
          <w:rFonts w:eastAsia="Times New Roman"/>
        </w:rPr>
      </w:pPr>
      <w:r>
        <w:rPr>
          <w:rFonts w:eastAsia="Times New Roman"/>
          <w:color w:val="000000"/>
          <w:sz w:val="20"/>
          <w:szCs w:val="20"/>
        </w:rPr>
        <w:t>Our life insurance subsidiaries are regulated primarily at the state level, with some policies and products also subject to federal regulation. In addition, Holdings and its insurance subsidiaries are s</w:t>
      </w:r>
      <w:r>
        <w:rPr>
          <w:rFonts w:eastAsia="Times New Roman"/>
          <w:color w:val="000000"/>
          <w:sz w:val="20"/>
          <w:szCs w:val="20"/>
        </w:rPr>
        <w:t>ubject to regulation under the insurance holding company laws of various U.S. jurisdictions. Furthermore, on an ongoing basis, regulators refine capital requirements and introduce new reserving standards. Regulations recently adopted or currently under rev</w:t>
      </w:r>
      <w:r>
        <w:rPr>
          <w:rFonts w:eastAsia="Times New Roman"/>
          <w:color w:val="000000"/>
          <w:sz w:val="20"/>
          <w:szCs w:val="20"/>
        </w:rPr>
        <w:t>iew can potentially impact our statutory reserve, capital requirements and profitability of the industry and result in increased regulation and oversight for the industry. For additional information on regulatory developments and the risks we face, see “Bu</w:t>
      </w:r>
      <w:r>
        <w:rPr>
          <w:rFonts w:eastAsia="Times New Roman"/>
          <w:color w:val="000000"/>
          <w:sz w:val="20"/>
          <w:szCs w:val="20"/>
        </w:rPr>
        <w:t>siness—Regulation” and “Risk Factors—Legal and Regulatory Risks.”</w:t>
      </w:r>
    </w:p>
    <w:p w:rsidR="00000000" w:rsidRDefault="00E54EC0">
      <w:pPr>
        <w:jc w:val="both"/>
        <w:divId w:val="1053770114"/>
        <w:rPr>
          <w:rFonts w:eastAsia="Times New Roman"/>
        </w:rPr>
      </w:pPr>
      <w:r>
        <w:rPr>
          <w:rFonts w:eastAsia="Times New Roman"/>
          <w:b/>
          <w:bCs/>
          <w:i/>
          <w:iCs/>
          <w:color w:val="000000"/>
          <w:sz w:val="20"/>
          <w:szCs w:val="20"/>
        </w:rPr>
        <w:t>Revenues</w:t>
      </w:r>
    </w:p>
    <w:p w:rsidR="00000000" w:rsidRDefault="00E54EC0">
      <w:pPr>
        <w:ind w:firstLine="360"/>
        <w:divId w:val="850338030"/>
        <w:rPr>
          <w:rFonts w:eastAsia="Times New Roman"/>
        </w:rPr>
      </w:pPr>
      <w:r>
        <w:rPr>
          <w:rFonts w:eastAsia="Times New Roman"/>
          <w:color w:val="000000"/>
          <w:sz w:val="20"/>
          <w:szCs w:val="20"/>
        </w:rPr>
        <w:t>Our revenues come from three principal sources:</w:t>
      </w:r>
    </w:p>
    <w:p w:rsidR="00000000" w:rsidRDefault="00E54EC0">
      <w:pPr>
        <w:ind w:hanging="360"/>
        <w:jc w:val="both"/>
        <w:divId w:val="1249849553"/>
        <w:rPr>
          <w:rFonts w:eastAsia="Times New Roman"/>
        </w:rPr>
      </w:pPr>
      <w:r>
        <w:rPr>
          <w:rFonts w:eastAsia="Times New Roman"/>
          <w:color w:val="000000"/>
          <w:sz w:val="20"/>
          <w:szCs w:val="20"/>
        </w:rPr>
        <w:t>•fee income derived from our retirement and protection products and our investment management and research services;</w:t>
      </w:r>
    </w:p>
    <w:p w:rsidR="00000000" w:rsidRDefault="00E54EC0">
      <w:pPr>
        <w:ind w:hanging="360"/>
        <w:jc w:val="both"/>
        <w:divId w:val="1726219467"/>
        <w:rPr>
          <w:rFonts w:eastAsia="Times New Roman"/>
        </w:rPr>
      </w:pPr>
      <w:r>
        <w:rPr>
          <w:rFonts w:eastAsia="Times New Roman"/>
          <w:color w:val="000000"/>
          <w:sz w:val="20"/>
          <w:szCs w:val="20"/>
        </w:rPr>
        <w:t>•premiums from o</w:t>
      </w:r>
      <w:r>
        <w:rPr>
          <w:rFonts w:eastAsia="Times New Roman"/>
          <w:color w:val="000000"/>
          <w:sz w:val="20"/>
          <w:szCs w:val="20"/>
        </w:rPr>
        <w:t>ur traditional life insurance and annuity products; and</w:t>
      </w:r>
    </w:p>
    <w:p w:rsidR="00000000" w:rsidRDefault="00E54EC0">
      <w:pPr>
        <w:ind w:hanging="360"/>
        <w:divId w:val="1552426071"/>
        <w:rPr>
          <w:rFonts w:eastAsia="Times New Roman"/>
        </w:rPr>
      </w:pPr>
      <w:r>
        <w:rPr>
          <w:rFonts w:eastAsia="Times New Roman"/>
          <w:color w:val="000000"/>
          <w:sz w:val="20"/>
          <w:szCs w:val="20"/>
        </w:rPr>
        <w:t>•investment income from our General Account investment portfolio.</w:t>
      </w:r>
    </w:p>
    <w:p w:rsidR="00000000" w:rsidRDefault="00E54EC0">
      <w:pPr>
        <w:ind w:firstLine="360"/>
        <w:divId w:val="986132389"/>
        <w:rPr>
          <w:rFonts w:eastAsia="Times New Roman"/>
        </w:rPr>
      </w:pPr>
      <w:r>
        <w:rPr>
          <w:rFonts w:eastAsia="Times New Roman"/>
          <w:color w:val="000000"/>
          <w:sz w:val="20"/>
          <w:szCs w:val="20"/>
        </w:rPr>
        <w:t>Our fee income varies directly in relation to the amount of the underlying AV or benefit base of our retirement and protection product</w:t>
      </w:r>
      <w:r>
        <w:rPr>
          <w:rFonts w:eastAsia="Times New Roman"/>
          <w:color w:val="000000"/>
          <w:sz w:val="20"/>
          <w:szCs w:val="20"/>
        </w:rPr>
        <w:t>s and the amount of AUM of our Investment Management and Research business. AV and AUM, each as defined in “Key Operating Measures,” are influenced by changes in economic conditions, primarily equity market returns, as well as net flows. Our premium income</w:t>
      </w:r>
      <w:r>
        <w:rPr>
          <w:rFonts w:eastAsia="Times New Roman"/>
          <w:color w:val="000000"/>
          <w:sz w:val="20"/>
          <w:szCs w:val="20"/>
        </w:rPr>
        <w:t xml:space="preserve"> is driven by the growth in new policies written and the persistency of our in-force policies, both of which are influenced by a combination of factors, including our efforts to attract and retain customers and market conditions that influence demand for o</w:t>
      </w:r>
      <w:r>
        <w:rPr>
          <w:rFonts w:eastAsia="Times New Roman"/>
          <w:color w:val="000000"/>
          <w:sz w:val="20"/>
          <w:szCs w:val="20"/>
        </w:rPr>
        <w:t>ur products. Our investment income is driven by the yield on our General Account investment portfolio and is impacted by the prevailing level of interest rates as we reinvest cash associated with maturing investments and net flows to the portfolio.</w:t>
      </w:r>
    </w:p>
    <w:p w:rsidR="00000000" w:rsidRDefault="00E54EC0">
      <w:pPr>
        <w:jc w:val="both"/>
        <w:divId w:val="1808549392"/>
        <w:rPr>
          <w:rFonts w:eastAsia="Times New Roman"/>
        </w:rPr>
      </w:pPr>
      <w:r>
        <w:rPr>
          <w:rFonts w:eastAsia="Times New Roman"/>
          <w:b/>
          <w:bCs/>
          <w:i/>
          <w:iCs/>
          <w:color w:val="000000"/>
          <w:sz w:val="20"/>
          <w:szCs w:val="20"/>
        </w:rPr>
        <w:t>Benefit</w:t>
      </w:r>
      <w:r>
        <w:rPr>
          <w:rFonts w:eastAsia="Times New Roman"/>
          <w:b/>
          <w:bCs/>
          <w:i/>
          <w:iCs/>
          <w:color w:val="000000"/>
          <w:sz w:val="20"/>
          <w:szCs w:val="20"/>
        </w:rPr>
        <w:t>s and Other Deductions</w:t>
      </w:r>
    </w:p>
    <w:p w:rsidR="00000000" w:rsidRDefault="00E54EC0">
      <w:pPr>
        <w:ind w:firstLine="360"/>
        <w:divId w:val="42868353"/>
        <w:rPr>
          <w:rFonts w:eastAsia="Times New Roman"/>
        </w:rPr>
      </w:pPr>
      <w:r>
        <w:rPr>
          <w:rFonts w:eastAsia="Times New Roman"/>
          <w:color w:val="000000"/>
          <w:sz w:val="20"/>
          <w:szCs w:val="20"/>
        </w:rPr>
        <w:t>Our primary expenses are:</w:t>
      </w:r>
    </w:p>
    <w:p w:rsidR="00000000" w:rsidRDefault="00E54EC0">
      <w:pPr>
        <w:ind w:hanging="360"/>
        <w:jc w:val="both"/>
        <w:divId w:val="1464812141"/>
        <w:rPr>
          <w:rFonts w:eastAsia="Times New Roman"/>
        </w:rPr>
      </w:pPr>
      <w:r>
        <w:rPr>
          <w:rFonts w:eastAsia="Times New Roman"/>
          <w:color w:val="000000"/>
          <w:sz w:val="20"/>
          <w:szCs w:val="20"/>
        </w:rPr>
        <w:t>•policyholders’ benefits and interest credited to policyholders’ account balances;</w:t>
      </w:r>
    </w:p>
    <w:p w:rsidR="00000000" w:rsidRDefault="00E54EC0">
      <w:pPr>
        <w:ind w:hanging="360"/>
        <w:jc w:val="both"/>
        <w:divId w:val="1858352224"/>
        <w:rPr>
          <w:rFonts w:eastAsia="Times New Roman"/>
        </w:rPr>
      </w:pPr>
      <w:r>
        <w:rPr>
          <w:rFonts w:eastAsia="Times New Roman"/>
          <w:color w:val="000000"/>
          <w:sz w:val="20"/>
          <w:szCs w:val="20"/>
        </w:rPr>
        <w:t>•sales commissions and compensation paid to intermediaries and advisors that distribute our products and services; and</w:t>
      </w:r>
    </w:p>
    <w:p w:rsidR="00000000" w:rsidRDefault="00E54EC0">
      <w:pPr>
        <w:ind w:hanging="360"/>
        <w:divId w:val="1787001805"/>
        <w:rPr>
          <w:rFonts w:eastAsia="Times New Roman"/>
        </w:rPr>
      </w:pPr>
      <w:r>
        <w:rPr>
          <w:rFonts w:eastAsia="Times New Roman"/>
          <w:color w:val="000000"/>
          <w:sz w:val="20"/>
          <w:szCs w:val="20"/>
        </w:rPr>
        <w:t>•comp</w:t>
      </w:r>
      <w:r>
        <w:rPr>
          <w:rFonts w:eastAsia="Times New Roman"/>
          <w:color w:val="000000"/>
          <w:sz w:val="20"/>
          <w:szCs w:val="20"/>
        </w:rPr>
        <w:t>ensation and benefits provided to our employees and other operating expenses.</w:t>
      </w:r>
    </w:p>
    <w:p w:rsidR="00000000" w:rsidRDefault="00E54EC0">
      <w:pPr>
        <w:ind w:firstLine="360"/>
        <w:divId w:val="443576994"/>
        <w:rPr>
          <w:rFonts w:eastAsia="Times New Roman"/>
        </w:rPr>
      </w:pPr>
      <w:r>
        <w:rPr>
          <w:rFonts w:eastAsia="Times New Roman"/>
          <w:color w:val="000000"/>
          <w:sz w:val="20"/>
          <w:szCs w:val="20"/>
        </w:rPr>
        <w:t xml:space="preserve">Policyholders’ benefits are driven primarily by mortality, customer withdrawals, and benefits which change in response to changes in capital market conditions. In addition, some </w:t>
      </w:r>
      <w:r>
        <w:rPr>
          <w:rFonts w:eastAsia="Times New Roman"/>
          <w:color w:val="000000"/>
          <w:sz w:val="20"/>
          <w:szCs w:val="20"/>
        </w:rPr>
        <w:t xml:space="preserve">of our policyholders’ benefits are directly tied to the AV and benefit base of our variable annuity products. Interest credited to policyholders varies in relation to the amount of the underlying AV or benefit base. Sales commissions and compensation paid </w:t>
      </w:r>
      <w:r>
        <w:rPr>
          <w:rFonts w:eastAsia="Times New Roman"/>
          <w:color w:val="000000"/>
          <w:sz w:val="20"/>
          <w:szCs w:val="20"/>
        </w:rPr>
        <w:t xml:space="preserve">to intermediaries and advisors vary in relation to premium and fee income generated from these sources, whereas compensation and benefits to our employees are more constant and impacted by market wages and decline with increases in efficiency. Our ability </w:t>
      </w:r>
      <w:r>
        <w:rPr>
          <w:rFonts w:eastAsia="Times New Roman"/>
          <w:color w:val="000000"/>
          <w:sz w:val="20"/>
          <w:szCs w:val="20"/>
        </w:rPr>
        <w:t>to manage these expenses across various economic cycles and products is critical to the profitability of our company.</w:t>
      </w:r>
    </w:p>
    <w:p w:rsidR="00000000" w:rsidRDefault="00E54EC0">
      <w:pPr>
        <w:jc w:val="both"/>
        <w:divId w:val="1286157882"/>
        <w:rPr>
          <w:rFonts w:eastAsia="Times New Roman"/>
        </w:rPr>
      </w:pPr>
      <w:r>
        <w:rPr>
          <w:rFonts w:eastAsia="Times New Roman"/>
          <w:b/>
          <w:bCs/>
          <w:i/>
          <w:iCs/>
          <w:color w:val="000000"/>
          <w:sz w:val="20"/>
          <w:szCs w:val="20"/>
        </w:rPr>
        <w:t>Net Income Volatility</w:t>
      </w:r>
    </w:p>
    <w:p w:rsidR="00000000" w:rsidRDefault="00E54EC0">
      <w:pPr>
        <w:ind w:firstLine="360"/>
        <w:divId w:val="1892964158"/>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ograms designed to mitigate the economic exposure to us from these features due to equity market and interest rate movements. Changes in the values of the derivatives associated with these programs due to equity market and interest rate movements are recog</w:t>
      </w:r>
      <w:r>
        <w:rPr>
          <w:rFonts w:eastAsia="Times New Roman"/>
          <w:color w:val="000000"/>
          <w:sz w:val="20"/>
          <w:szCs w:val="20"/>
        </w:rPr>
        <w:t>nized in the periods in which they occur while corresponding changes in offsetting liabilities not measured at fair value are recognized over time. This results in net income volatility as further described below. See “—Significant Factors Impacting Our Re</w:t>
      </w:r>
      <w:r>
        <w:rPr>
          <w:rFonts w:eastAsia="Times New Roman"/>
          <w:color w:val="000000"/>
          <w:sz w:val="20"/>
          <w:szCs w:val="20"/>
        </w:rPr>
        <w:t>sults—Impact of Hedging and GMxB Reinsurance on Results.”</w:t>
      </w:r>
    </w:p>
    <w:p w:rsidR="00000000" w:rsidRDefault="00E54EC0">
      <w:pPr>
        <w:ind w:firstLine="360"/>
        <w:divId w:val="10689391"/>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w:t>
      </w:r>
      <w:r>
        <w:rPr>
          <w:rFonts w:eastAsia="Times New Roman"/>
          <w:color w:val="000000"/>
          <w:sz w:val="20"/>
          <w:szCs w:val="20"/>
        </w:rPr>
        <w:t xml:space="preserve">ll continue to preserve the economic value of </w:t>
      </w:r>
    </w:p>
    <w:p w:rsidR="00000000" w:rsidRDefault="00E54EC0">
      <w:pPr>
        <w:jc w:val="center"/>
        <w:divId w:val="133301734"/>
        <w:rPr>
          <w:rFonts w:eastAsia="Times New Roman"/>
        </w:rPr>
      </w:pPr>
      <w:r>
        <w:rPr>
          <w:rFonts w:eastAsia="Times New Roman"/>
          <w:color w:val="000000"/>
          <w:sz w:val="20"/>
          <w:szCs w:val="20"/>
        </w:rPr>
        <w:t>75</w:t>
      </w:r>
    </w:p>
    <w:p w:rsidR="00000000" w:rsidRDefault="00E54EC0">
      <w:pPr>
        <w:rPr>
          <w:rFonts w:eastAsia="Times New Roman"/>
        </w:rPr>
      </w:pPr>
      <w:r>
        <w:rPr>
          <w:rFonts w:eastAsia="Times New Roman"/>
        </w:rPr>
        <w:pict>
          <v:rect id="_x0000_i1113" style="width:0;height:1.5pt" o:hralign="center" o:hrstd="t" o:hr="t" fillcolor="#a0a0a0" stroked="f"/>
        </w:pict>
      </w:r>
    </w:p>
    <w:p w:rsidR="00000000" w:rsidRDefault="00E54EC0">
      <w:pPr>
        <w:divId w:val="1322077226"/>
        <w:rPr>
          <w:rFonts w:eastAsia="Times New Roman"/>
        </w:rPr>
      </w:pPr>
    </w:p>
    <w:p w:rsidR="00000000" w:rsidRDefault="00E54EC0">
      <w:pPr>
        <w:divId w:val="1947807118"/>
        <w:rPr>
          <w:rFonts w:eastAsia="Times New Roman"/>
        </w:rPr>
      </w:pPr>
      <w:r>
        <w:rPr>
          <w:rFonts w:eastAsia="Times New Roman"/>
          <w:color w:val="000000"/>
          <w:sz w:val="20"/>
          <w:szCs w:val="20"/>
        </w:rPr>
        <w:t>our variable annuity contracts and better protect our target variable annuity asset level. However, these static hedge positions increase the size of our derivative positions and may result in higher net income volatility on a period-over-period basis.</w:t>
      </w:r>
    </w:p>
    <w:p w:rsidR="00000000" w:rsidRDefault="00E54EC0">
      <w:pPr>
        <w:ind w:firstLine="360"/>
        <w:divId w:val="1115515941"/>
        <w:rPr>
          <w:rFonts w:eastAsia="Times New Roman"/>
        </w:rPr>
      </w:pPr>
      <w:r>
        <w:rPr>
          <w:rFonts w:eastAsia="Times New Roman"/>
          <w:color w:val="000000"/>
          <w:sz w:val="20"/>
          <w:szCs w:val="20"/>
        </w:rPr>
        <w:t>Due</w:t>
      </w:r>
      <w:r>
        <w:rPr>
          <w:rFonts w:eastAsia="Times New Roman"/>
          <w:color w:val="000000"/>
          <w:sz w:val="20"/>
          <w:szCs w:val="20"/>
        </w:rPr>
        <w:t xml:space="preserve"> to the impacts on our net income of equity market and interest rate movements and other items that are not part of the underlying profitability drivers of our business, we evaluate and manage our business performance using Non-GAAP Operating Earnings, a n</w:t>
      </w:r>
      <w:r>
        <w:rPr>
          <w:rFonts w:eastAsia="Times New Roman"/>
          <w:color w:val="000000"/>
          <w:sz w:val="20"/>
          <w:szCs w:val="20"/>
        </w:rPr>
        <w:t>on-GAAP financial measure that is intended to remove these impacts from our results. See “—Key Operating Measures—Non-GAAP Operating Earnings.”</w:t>
      </w:r>
    </w:p>
    <w:p w:rsidR="00000000" w:rsidRDefault="00E54EC0">
      <w:pPr>
        <w:divId w:val="1955793748"/>
        <w:rPr>
          <w:rFonts w:eastAsia="Times New Roman"/>
        </w:rPr>
      </w:pPr>
      <w:r>
        <w:rPr>
          <w:rFonts w:eastAsia="Times New Roman"/>
          <w:b/>
          <w:bCs/>
          <w:color w:val="000000"/>
          <w:sz w:val="20"/>
          <w:szCs w:val="20"/>
        </w:rPr>
        <w:t xml:space="preserve">Significant Factors Impacting Our Results </w:t>
      </w:r>
    </w:p>
    <w:p w:rsidR="00000000" w:rsidRDefault="00E54EC0">
      <w:pPr>
        <w:ind w:firstLine="360"/>
        <w:divId w:val="256259615"/>
        <w:rPr>
          <w:rFonts w:eastAsia="Times New Roman"/>
        </w:rPr>
      </w:pPr>
      <w:r>
        <w:rPr>
          <w:rFonts w:eastAsia="Times New Roman"/>
          <w:color w:val="000000"/>
          <w:sz w:val="20"/>
          <w:szCs w:val="20"/>
        </w:rPr>
        <w:t>The following significant factors have impacted, and may in the futur</w:t>
      </w:r>
      <w:r>
        <w:rPr>
          <w:rFonts w:eastAsia="Times New Roman"/>
          <w:color w:val="000000"/>
          <w:sz w:val="20"/>
          <w:szCs w:val="20"/>
        </w:rPr>
        <w:t xml:space="preserve">e impact, our financial condition, results of operations or cash flows. </w:t>
      </w:r>
    </w:p>
    <w:p w:rsidR="00000000" w:rsidRDefault="00E54EC0">
      <w:pPr>
        <w:jc w:val="both"/>
        <w:divId w:val="1326473790"/>
        <w:rPr>
          <w:rFonts w:eastAsia="Times New Roman"/>
        </w:rPr>
      </w:pPr>
      <w:r>
        <w:rPr>
          <w:rFonts w:eastAsia="Times New Roman"/>
          <w:b/>
          <w:bCs/>
          <w:i/>
          <w:iCs/>
          <w:color w:val="000000"/>
          <w:sz w:val="20"/>
          <w:szCs w:val="20"/>
        </w:rPr>
        <w:t xml:space="preserve">Impact of Hedging and GMxB Reinsurance on Results </w:t>
      </w:r>
    </w:p>
    <w:p w:rsidR="00000000" w:rsidRDefault="00E54EC0">
      <w:pPr>
        <w:ind w:firstLine="360"/>
        <w:divId w:val="2019236846"/>
        <w:rPr>
          <w:rFonts w:eastAsia="Times New Roman"/>
        </w:rPr>
      </w:pPr>
      <w:r>
        <w:rPr>
          <w:rFonts w:eastAsia="Times New Roman"/>
          <w:color w:val="000000"/>
          <w:sz w:val="20"/>
          <w:szCs w:val="20"/>
        </w:rPr>
        <w:t xml:space="preserve">We have offered and continue to offer variable annuity products with GMxB features. The future claims exposure on these features is </w:t>
      </w:r>
      <w:r>
        <w:rPr>
          <w:rFonts w:eastAsia="Times New Roman"/>
          <w:color w:val="000000"/>
          <w:sz w:val="20"/>
          <w:szCs w:val="20"/>
        </w:rPr>
        <w:t xml:space="preserve">sensitive to movements in the equity markets and interest rates. Accordingly, we have implemented hedging and reinsurance programs designed to mitigate the economic exposure to us from these features due to equity market and interest rate movements. These </w:t>
      </w:r>
      <w:r>
        <w:rPr>
          <w:rFonts w:eastAsia="Times New Roman"/>
          <w:color w:val="000000"/>
          <w:sz w:val="20"/>
          <w:szCs w:val="20"/>
        </w:rPr>
        <w:t xml:space="preserve">programs include: </w:t>
      </w:r>
    </w:p>
    <w:p w:rsidR="00000000" w:rsidRDefault="00E54EC0">
      <w:pPr>
        <w:ind w:hanging="360"/>
        <w:jc w:val="both"/>
        <w:divId w:val="254634652"/>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 xml:space="preserve">We use a dynamic hedging program (within this program, generally, we reevaluate our economic exposure at least daily and rebalance our hedge positions accordingly) to mitigate certain risks associated </w:t>
      </w:r>
      <w:r>
        <w:rPr>
          <w:rFonts w:eastAsia="Times New Roman"/>
          <w:color w:val="000000"/>
          <w:sz w:val="20"/>
          <w:szCs w:val="20"/>
        </w:rPr>
        <w:t>with the GMxB features that are embedded in our liabilities for our variable annuity products. This program utilizes various derivative instruments that are managed in an effort to reduce the economic impact of unfavorable changes in GMxB features’ exposur</w:t>
      </w:r>
      <w:r>
        <w:rPr>
          <w:rFonts w:eastAsia="Times New Roman"/>
          <w:color w:val="000000"/>
          <w:sz w:val="20"/>
          <w:szCs w:val="20"/>
        </w:rPr>
        <w:t>es attributable to movements in the equity markets and interest rates. Although this program is designed to provide a measure of economic protection against the impact of adverse market conditions, it does not qualify for hedge accounting treatment. Accord</w:t>
      </w:r>
      <w:r>
        <w:rPr>
          <w:rFonts w:eastAsia="Times New Roman"/>
          <w:color w:val="000000"/>
          <w:sz w:val="20"/>
          <w:szCs w:val="20"/>
        </w:rPr>
        <w:t xml:space="preserve">ingly, changes in value of the derivatives will be recognized in the period in which they occur with offsetting changes in reserves partially recognized in the current period, resulting in net income volatility. In addition to our dynamic hedging program, </w:t>
      </w:r>
      <w:r>
        <w:rPr>
          <w:rFonts w:eastAsia="Times New Roman"/>
          <w:color w:val="000000"/>
          <w:sz w:val="20"/>
          <w:szCs w:val="20"/>
        </w:rPr>
        <w:t xml:space="preserve">we have a hedging program using static hedge positions (derivative positions intended to be HTM with less frequent re-balancing) to protect our statutory capital against stress scenarios. This program in addition to our dynamic hedge program has increased </w:t>
      </w:r>
      <w:r>
        <w:rPr>
          <w:rFonts w:eastAsia="Times New Roman"/>
          <w:color w:val="000000"/>
          <w:sz w:val="20"/>
          <w:szCs w:val="20"/>
        </w:rPr>
        <w:t xml:space="preserve">the size of our derivative positions, resulting in an increase in net income volatility. The impacts are most pronounced for variable annuity products in our Individual Retirement segment. </w:t>
      </w:r>
    </w:p>
    <w:p w:rsidR="00000000" w:rsidRDefault="00E54EC0">
      <w:pPr>
        <w:ind w:hanging="450"/>
        <w:jc w:val="both"/>
        <w:divId w:val="259879757"/>
        <w:rPr>
          <w:rFonts w:eastAsia="Times New Roman"/>
        </w:rPr>
      </w:pPr>
      <w:r>
        <w:rPr>
          <w:rFonts w:eastAsia="Times New Roman"/>
          <w:color w:val="000000"/>
          <w:sz w:val="20"/>
          <w:szCs w:val="20"/>
        </w:rPr>
        <w:t>•</w:t>
      </w:r>
      <w:r>
        <w:rPr>
          <w:rFonts w:eastAsia="Times New Roman"/>
          <w:i/>
          <w:iCs/>
          <w:color w:val="000000"/>
          <w:sz w:val="20"/>
          <w:szCs w:val="20"/>
        </w:rPr>
        <w:t>GMxB reinsurance contracts.</w:t>
      </w:r>
      <w:r>
        <w:rPr>
          <w:rFonts w:eastAsia="Times New Roman"/>
          <w:color w:val="000000"/>
          <w:sz w:val="20"/>
          <w:szCs w:val="20"/>
        </w:rPr>
        <w:t xml:space="preserve"> Historically, GMIB reinsurance contra</w:t>
      </w:r>
      <w:r>
        <w:rPr>
          <w:rFonts w:eastAsia="Times New Roman"/>
          <w:color w:val="000000"/>
          <w:sz w:val="20"/>
          <w:szCs w:val="20"/>
        </w:rPr>
        <w:t>cts were used to cede to non-affiliated reinsurers a portion of our exposure to variable annuity products that offer a GMIB feature. We account for the GMIB reinsurance contracts as derivatives and report them at fair value. Gross GMIB reserves are calcula</w:t>
      </w:r>
      <w:r>
        <w:rPr>
          <w:rFonts w:eastAsia="Times New Roman"/>
          <w:color w:val="000000"/>
          <w:sz w:val="20"/>
          <w:szCs w:val="20"/>
        </w:rPr>
        <w:t>ted on the basis of assumptions related to projected benefits and related contract charges over the lives of the contracts. Accordingly, our gross reserves will not immediately reflect the offsetting impact on future claims exposure resulting from the same</w:t>
      </w:r>
      <w:r>
        <w:rPr>
          <w:rFonts w:eastAsia="Times New Roman"/>
          <w:color w:val="000000"/>
          <w:sz w:val="20"/>
          <w:szCs w:val="20"/>
        </w:rPr>
        <w:t xml:space="preserve"> capital market or interest rate fluctuations that cause gains or losses on the fair value of the GMIB reinsurance contracts. Because changes in the fair value of the GMIB reinsurance contracts are recorded in the period in which they occur and a majority </w:t>
      </w:r>
      <w:r>
        <w:rPr>
          <w:rFonts w:eastAsia="Times New Roman"/>
          <w:color w:val="000000"/>
          <w:sz w:val="20"/>
          <w:szCs w:val="20"/>
        </w:rPr>
        <w:t xml:space="preserve">of the changes in gross reserves for GMIB are recognized over time, net income will be more volatile. In addition, on June 1, 2021, we ceded legacy variable annuity policies sold by Equitable Financial between 2006-2008 (the “Block”), comprised of non-New </w:t>
      </w:r>
      <w:r>
        <w:rPr>
          <w:rFonts w:eastAsia="Times New Roman"/>
          <w:color w:val="000000"/>
          <w:sz w:val="20"/>
          <w:szCs w:val="20"/>
        </w:rPr>
        <w:t xml:space="preserve">York “Accumulator” policies containing fixed rate GMIB and/or GMDB guarantees. As this contract provides full risk transfer and thus has the same risk attributes as the underlying direct contracts, the benefits of this treaty are accounted for in the same </w:t>
      </w:r>
      <w:r>
        <w:rPr>
          <w:rFonts w:eastAsia="Times New Roman"/>
          <w:color w:val="000000"/>
          <w:sz w:val="20"/>
          <w:szCs w:val="20"/>
        </w:rPr>
        <w:t xml:space="preserve">manner as the underlying gross reserves. </w:t>
      </w:r>
    </w:p>
    <w:p w:rsidR="00000000" w:rsidRDefault="00E54EC0">
      <w:pPr>
        <w:jc w:val="both"/>
        <w:divId w:val="1911228701"/>
        <w:rPr>
          <w:rFonts w:eastAsia="Times New Roman"/>
        </w:rPr>
      </w:pPr>
      <w:r>
        <w:rPr>
          <w:rFonts w:eastAsia="Times New Roman"/>
          <w:b/>
          <w:bCs/>
          <w:i/>
          <w:iCs/>
          <w:color w:val="000000"/>
          <w:sz w:val="20"/>
          <w:szCs w:val="20"/>
        </w:rPr>
        <w:t xml:space="preserve">Effect of Assumption Updates on Operating Results </w:t>
      </w:r>
    </w:p>
    <w:p w:rsidR="00000000" w:rsidRDefault="00E54EC0">
      <w:pPr>
        <w:ind w:firstLine="360"/>
        <w:divId w:val="441268892"/>
        <w:rPr>
          <w:rFonts w:eastAsia="Times New Roman"/>
        </w:rPr>
      </w:pPr>
      <w:r>
        <w:rPr>
          <w:rFonts w:eastAsia="Times New Roman"/>
          <w:color w:val="000000"/>
          <w:sz w:val="20"/>
          <w:szCs w:val="20"/>
        </w:rPr>
        <w:t xml:space="preserve">During the third quarter of each year, we conduct our annual review of the assumptions underlying the valuation of DAC, deferred sales inducement assets, unearned </w:t>
      </w:r>
      <w:r>
        <w:rPr>
          <w:rFonts w:eastAsia="Times New Roman"/>
          <w:color w:val="000000"/>
          <w:sz w:val="20"/>
          <w:szCs w:val="20"/>
        </w:rPr>
        <w:t>revenue liabilities, liabilities for future policyholder benefits and embedded derivatives for our Individual Retirement, Group Retirement, and Protection Solution segments (assumption reviews are not relevant for the Investment Management and Research seg</w:t>
      </w:r>
      <w:r>
        <w:rPr>
          <w:rFonts w:eastAsia="Times New Roman"/>
          <w:color w:val="000000"/>
          <w:sz w:val="20"/>
          <w:szCs w:val="20"/>
        </w:rPr>
        <w:t xml:space="preserve">ment). Assumptions are based on a combination of Company experience, industry experience, management actions and expert judgment and reflect our best estimate as of the date of the applicable financial statements. </w:t>
      </w:r>
    </w:p>
    <w:p w:rsidR="00000000" w:rsidRDefault="00E54EC0">
      <w:pPr>
        <w:ind w:firstLine="360"/>
        <w:divId w:val="7290389"/>
        <w:rPr>
          <w:rFonts w:eastAsia="Times New Roman"/>
        </w:rPr>
      </w:pPr>
      <w:r>
        <w:rPr>
          <w:rFonts w:eastAsia="Times New Roman"/>
          <w:color w:val="000000"/>
          <w:sz w:val="20"/>
          <w:szCs w:val="20"/>
        </w:rPr>
        <w:t>Most of the variable annuity products, va</w:t>
      </w:r>
      <w:r>
        <w:rPr>
          <w:rFonts w:eastAsia="Times New Roman"/>
          <w:color w:val="000000"/>
          <w:sz w:val="20"/>
          <w:szCs w:val="20"/>
        </w:rPr>
        <w:t>riable universal life insurance and universal life insurance products we offer maintain policyholder deposits that are reported as liabilities and classified within either Separate Accounts liabilities or policyholder account balances. Our products and rid</w:t>
      </w:r>
      <w:r>
        <w:rPr>
          <w:rFonts w:eastAsia="Times New Roman"/>
          <w:color w:val="000000"/>
          <w:sz w:val="20"/>
          <w:szCs w:val="20"/>
        </w:rPr>
        <w:t xml:space="preserve">ers also impact liabilities for future policyholder benefits and unearned revenues and assets for DAC and DSI. The valuation of these assets and liabilities (other than deposits) is based on differing </w:t>
      </w:r>
    </w:p>
    <w:p w:rsidR="00000000" w:rsidRDefault="00E54EC0">
      <w:pPr>
        <w:jc w:val="center"/>
        <w:divId w:val="1293291955"/>
        <w:rPr>
          <w:rFonts w:eastAsia="Times New Roman"/>
        </w:rPr>
      </w:pPr>
      <w:r>
        <w:rPr>
          <w:rFonts w:eastAsia="Times New Roman"/>
          <w:color w:val="000000"/>
          <w:sz w:val="20"/>
          <w:szCs w:val="20"/>
        </w:rPr>
        <w:t>76</w:t>
      </w:r>
    </w:p>
    <w:p w:rsidR="00000000" w:rsidRDefault="00E54EC0">
      <w:pPr>
        <w:rPr>
          <w:rFonts w:eastAsia="Times New Roman"/>
        </w:rPr>
      </w:pPr>
      <w:r>
        <w:rPr>
          <w:rFonts w:eastAsia="Times New Roman"/>
        </w:rPr>
        <w:pict>
          <v:rect id="_x0000_i1114" style="width:0;height:1.5pt" o:hralign="center" o:hrstd="t" o:hr="t" fillcolor="#a0a0a0" stroked="f"/>
        </w:pict>
      </w:r>
    </w:p>
    <w:p w:rsidR="00000000" w:rsidRDefault="00E54EC0">
      <w:pPr>
        <w:divId w:val="2102220452"/>
        <w:rPr>
          <w:rFonts w:eastAsia="Times New Roman"/>
        </w:rPr>
      </w:pPr>
    </w:p>
    <w:p w:rsidR="00000000" w:rsidRDefault="00E54EC0">
      <w:pPr>
        <w:divId w:val="1889562289"/>
        <w:rPr>
          <w:rFonts w:eastAsia="Times New Roman"/>
        </w:rPr>
      </w:pPr>
      <w:r>
        <w:rPr>
          <w:rFonts w:eastAsia="Times New Roman"/>
          <w:color w:val="000000"/>
          <w:sz w:val="20"/>
          <w:szCs w:val="20"/>
        </w:rPr>
        <w:t>accounting m</w:t>
      </w:r>
      <w:r>
        <w:rPr>
          <w:rFonts w:eastAsia="Times New Roman"/>
          <w:color w:val="000000"/>
          <w:sz w:val="20"/>
          <w:szCs w:val="20"/>
        </w:rPr>
        <w:t>ethods depending on the product, each of which requires numerous assumptions and considerable judgment. The accounting guidance applied in the valuation of these assets and liabilities includes, but is not limited to, the following: (i) traditional life in</w:t>
      </w:r>
      <w:r>
        <w:rPr>
          <w:rFonts w:eastAsia="Times New Roman"/>
          <w:color w:val="000000"/>
          <w:sz w:val="20"/>
          <w:szCs w:val="20"/>
        </w:rPr>
        <w:t>surance products for which assumptions are locked in at inception; (ii) universal life insurance and variable life insurance secondary guarantees for which benefit liabilities are determined by estimating the expected value of death benefits payable when t</w:t>
      </w:r>
      <w:r>
        <w:rPr>
          <w:rFonts w:eastAsia="Times New Roman"/>
          <w:color w:val="000000"/>
          <w:sz w:val="20"/>
          <w:szCs w:val="20"/>
        </w:rPr>
        <w:t xml:space="preserve">he account balance is projected to be zero and recognizing those benefits ratably over the accumulation period based on total expected assessments; (iii) certain product guarantees for which benefit liabilities are accrued over the life of the contract in </w:t>
      </w:r>
      <w:r>
        <w:rPr>
          <w:rFonts w:eastAsia="Times New Roman"/>
          <w:color w:val="000000"/>
          <w:sz w:val="20"/>
          <w:szCs w:val="20"/>
        </w:rPr>
        <w:t xml:space="preserve">proportion to actual and future expected policy assessments; and (iv) certain product guarantees reported as embedded derivatives at fair value. </w:t>
      </w:r>
    </w:p>
    <w:p w:rsidR="00000000" w:rsidRDefault="00E54EC0">
      <w:pPr>
        <w:ind w:firstLine="360"/>
        <w:divId w:val="885525574"/>
        <w:rPr>
          <w:rFonts w:eastAsia="Times New Roman"/>
        </w:rPr>
      </w:pPr>
      <w:r>
        <w:rPr>
          <w:rFonts w:eastAsia="Times New Roman"/>
          <w:color w:val="000000"/>
          <w:sz w:val="20"/>
          <w:szCs w:val="20"/>
        </w:rPr>
        <w:t>For further details of our accounting policies and related judgments pertaining to assumption updates, see Not</w:t>
      </w:r>
      <w:r>
        <w:rPr>
          <w:rFonts w:eastAsia="Times New Roman"/>
          <w:color w:val="000000"/>
          <w:sz w:val="20"/>
          <w:szCs w:val="20"/>
        </w:rPr>
        <w:t>e 2 of the Notes to the Consolidated Financial Statements and “—Summary of Critical Accounting Estimates—Liability for Future Policy Benefits.”</w:t>
      </w:r>
    </w:p>
    <w:p w:rsidR="00000000" w:rsidRDefault="00E54EC0">
      <w:pPr>
        <w:jc w:val="both"/>
        <w:divId w:val="1979339602"/>
        <w:rPr>
          <w:rFonts w:eastAsia="Times New Roman"/>
        </w:rPr>
      </w:pPr>
      <w:r>
        <w:rPr>
          <w:rFonts w:eastAsia="Times New Roman"/>
          <w:b/>
          <w:bCs/>
          <w:i/>
          <w:iCs/>
          <w:color w:val="000000"/>
          <w:sz w:val="20"/>
          <w:szCs w:val="20"/>
        </w:rPr>
        <w:t>Assumption Updates and Model Changes</w:t>
      </w:r>
    </w:p>
    <w:p w:rsidR="00000000" w:rsidRDefault="00E54EC0">
      <w:pPr>
        <w:ind w:firstLine="360"/>
        <w:divId w:val="58401374"/>
        <w:rPr>
          <w:rFonts w:eastAsia="Times New Roman"/>
        </w:rPr>
      </w:pPr>
      <w:r>
        <w:rPr>
          <w:rFonts w:eastAsia="Times New Roman"/>
          <w:color w:val="000000"/>
          <w:sz w:val="20"/>
          <w:szCs w:val="20"/>
        </w:rPr>
        <w:t>We conduct our annual review of our assumptions and models during the third</w:t>
      </w:r>
      <w:r>
        <w:rPr>
          <w:rFonts w:eastAsia="Times New Roman"/>
          <w:color w:val="000000"/>
          <w:sz w:val="20"/>
          <w:szCs w:val="20"/>
        </w:rPr>
        <w:t xml:space="preserve"> quarter of each year. We also update our assumptions as needed in the event we become aware of economic conditions or events that could require a change in our assumptions that we believe may have a significant impact to the carrying value of product liab</w:t>
      </w:r>
      <w:r>
        <w:rPr>
          <w:rFonts w:eastAsia="Times New Roman"/>
          <w:color w:val="000000"/>
          <w:sz w:val="20"/>
          <w:szCs w:val="20"/>
        </w:rPr>
        <w:t xml:space="preserve">ilities and assets and consequently materially impact our earnings in the period of the change. </w:t>
      </w:r>
    </w:p>
    <w:p w:rsidR="00000000" w:rsidRDefault="00E54EC0">
      <w:pPr>
        <w:divId w:val="135997495"/>
        <w:rPr>
          <w:rFonts w:eastAsia="Times New Roman"/>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E54EC0">
      <w:pPr>
        <w:ind w:firstLine="360"/>
        <w:divId w:val="1602375132"/>
        <w:rPr>
          <w:rFonts w:eastAsia="Times New Roman"/>
        </w:rPr>
      </w:pPr>
      <w:r>
        <w:rPr>
          <w:rFonts w:eastAsia="Times New Roman"/>
          <w:color w:val="000000"/>
          <w:sz w:val="20"/>
          <w:szCs w:val="20"/>
        </w:rPr>
        <w:t>The table below presents the impact of our actuarial assumption update during years ended December 31, 2022, 2021 and 2020 to our income (loss) from continuing operations, before income taxes and net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0"/>
        <w:gridCol w:w="37"/>
        <w:gridCol w:w="36"/>
        <w:gridCol w:w="36"/>
        <w:gridCol w:w="36"/>
        <w:gridCol w:w="36"/>
        <w:gridCol w:w="120"/>
        <w:gridCol w:w="807"/>
        <w:gridCol w:w="36"/>
        <w:gridCol w:w="36"/>
        <w:gridCol w:w="36"/>
        <w:gridCol w:w="36"/>
        <w:gridCol w:w="120"/>
        <w:gridCol w:w="808"/>
        <w:gridCol w:w="36"/>
        <w:gridCol w:w="36"/>
        <w:gridCol w:w="36"/>
        <w:gridCol w:w="36"/>
        <w:gridCol w:w="120"/>
        <w:gridCol w:w="808"/>
        <w:gridCol w:w="36"/>
      </w:tblGrid>
      <w:tr w:rsidR="00000000">
        <w:trPr>
          <w:divId w:val="311297240"/>
        </w:trPr>
        <w:tc>
          <w:tcPr>
            <w:tcW w:w="50" w:type="pct"/>
            <w:vAlign w:val="center"/>
            <w:hideMark/>
          </w:tcPr>
          <w:p w:rsidR="00000000" w:rsidRDefault="00E54EC0">
            <w:pPr>
              <w:ind w:firstLine="360"/>
              <w:rPr>
                <w:rFonts w:eastAsia="Times New Roman"/>
              </w:rPr>
            </w:pPr>
          </w:p>
        </w:tc>
        <w:tc>
          <w:tcPr>
            <w:tcW w:w="311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112972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31129724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1129724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1129724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Impact of assumption update on Net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1129724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2113624718"/>
              <w:rPr>
                <w:rFonts w:eastAsia="Times New Roman"/>
              </w:rPr>
            </w:pPr>
            <w:r>
              <w:rPr>
                <w:rFonts w:eastAsia="Times New Roman"/>
                <w:color w:val="000000"/>
                <w:sz w:val="20"/>
                <w:szCs w:val="20"/>
              </w:rPr>
              <w:t>Variable annuity product features related assumption update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1129724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699628236"/>
              <w:rPr>
                <w:rFonts w:eastAsia="Times New Roman"/>
              </w:rPr>
            </w:pPr>
            <w:r>
              <w:rPr>
                <w:rFonts w:eastAsia="Times New Roman"/>
                <w:color w:val="000000"/>
                <w:sz w:val="20"/>
                <w:szCs w:val="20"/>
              </w:rPr>
              <w:t>Assumption updates for other business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11297240"/>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Impact of assumption updates on Income (loss) from continuing operations, before income tax</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(2,591)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1129724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Income tax benefit on assumption update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1129724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474447439"/>
              <w:rPr>
                <w:rFonts w:eastAsia="Times New Roman"/>
              </w:rPr>
            </w:pPr>
            <w:r>
              <w:rPr>
                <w:rFonts w:eastAsia="Times New Roman"/>
                <w:color w:val="000000"/>
                <w:sz w:val="20"/>
                <w:szCs w:val="20"/>
              </w:rPr>
              <w:t>Net income (loss) impact of assumption update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(2,047)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468936635"/>
        <w:rPr>
          <w:rFonts w:eastAsia="Times New Roman"/>
        </w:rPr>
      </w:pPr>
      <w:r>
        <w:rPr>
          <w:rFonts w:eastAsia="Times New Roman"/>
          <w:b/>
          <w:bCs/>
          <w:color w:val="000000"/>
          <w:sz w:val="20"/>
          <w:szCs w:val="20"/>
        </w:rPr>
        <w:t>2022 Assumption Updates</w:t>
      </w:r>
    </w:p>
    <w:p w:rsidR="00000000" w:rsidRDefault="00E54EC0">
      <w:pPr>
        <w:ind w:firstLine="360"/>
        <w:divId w:val="1790973932"/>
        <w:rPr>
          <w:rFonts w:eastAsia="Times New Roman"/>
        </w:rPr>
      </w:pPr>
      <w:r>
        <w:rPr>
          <w:rFonts w:eastAsia="Times New Roman"/>
          <w:color w:val="000000"/>
          <w:sz w:val="20"/>
          <w:szCs w:val="20"/>
        </w:rPr>
        <w:t>The impac</w:t>
      </w:r>
      <w:r>
        <w:rPr>
          <w:rFonts w:eastAsia="Times New Roman"/>
          <w:color w:val="000000"/>
          <w:sz w:val="20"/>
          <w:szCs w:val="20"/>
        </w:rPr>
        <w:t>t of the economic assumption update during 2022 was an increase of $182 million to income (loss) from continuing operations, before income taxes and an increase to net income (loss) of $144 million.</w:t>
      </w:r>
    </w:p>
    <w:p w:rsidR="00000000" w:rsidRDefault="00E54EC0">
      <w:pPr>
        <w:ind w:firstLine="360"/>
        <w:divId w:val="1065878638"/>
        <w:rPr>
          <w:rFonts w:eastAsia="Times New Roman"/>
        </w:rPr>
      </w:pPr>
      <w:r>
        <w:rPr>
          <w:rFonts w:eastAsia="Times New Roman"/>
          <w:color w:val="000000"/>
          <w:sz w:val="20"/>
          <w:szCs w:val="20"/>
        </w:rPr>
        <w:t>The net impact of this assumption update on income (loss)</w:t>
      </w:r>
      <w:r>
        <w:rPr>
          <w:rFonts w:eastAsia="Times New Roman"/>
          <w:color w:val="000000"/>
          <w:sz w:val="20"/>
          <w:szCs w:val="20"/>
        </w:rPr>
        <w:t xml:space="preserve"> from continuing operations, before income taxes of $182 million, consisted of a decrease in policy charges and fee income of $23 million, a decrease in policyholders’ benefits of $243 million, an increase in interest credited to policyholder account balan</w:t>
      </w:r>
      <w:r>
        <w:rPr>
          <w:rFonts w:eastAsia="Times New Roman"/>
          <w:color w:val="000000"/>
          <w:sz w:val="20"/>
          <w:szCs w:val="20"/>
        </w:rPr>
        <w:t>ces of $1 million, an increase in net derivative losses of $80 million and a decrease in the amortization of DAC of $43 million.</w:t>
      </w:r>
    </w:p>
    <w:p w:rsidR="00000000" w:rsidRDefault="00E54EC0">
      <w:pPr>
        <w:divId w:val="1759523306"/>
        <w:rPr>
          <w:rFonts w:eastAsia="Times New Roman"/>
        </w:rPr>
      </w:pPr>
      <w:r>
        <w:rPr>
          <w:rFonts w:eastAsia="Times New Roman"/>
          <w:b/>
          <w:bCs/>
          <w:color w:val="000000"/>
          <w:sz w:val="20"/>
          <w:szCs w:val="20"/>
        </w:rPr>
        <w:t>2021 Assumption Updates</w:t>
      </w:r>
    </w:p>
    <w:p w:rsidR="00000000" w:rsidRDefault="00E54EC0">
      <w:pPr>
        <w:ind w:firstLine="360"/>
        <w:divId w:val="1995258173"/>
        <w:rPr>
          <w:rFonts w:eastAsia="Times New Roman"/>
        </w:rPr>
      </w:pPr>
      <w:r>
        <w:rPr>
          <w:rFonts w:eastAsia="Times New Roman"/>
          <w:color w:val="000000"/>
          <w:sz w:val="20"/>
          <w:szCs w:val="20"/>
        </w:rPr>
        <w:t>The impact of the economic assumption update during 2021 was a decrease of $108 million to income (loss</w:t>
      </w:r>
      <w:r>
        <w:rPr>
          <w:rFonts w:eastAsia="Times New Roman"/>
          <w:color w:val="000000"/>
          <w:sz w:val="20"/>
          <w:szCs w:val="20"/>
        </w:rPr>
        <w:t xml:space="preserve">) from continuing operations, before income taxes and a decrease to net income (loss) of $85 million. As part of this annual update, the reference interest rate utilized in our U.S. GAAP fair value calculations was updated from the LIBOR swap curve to the </w:t>
      </w:r>
      <w:r>
        <w:rPr>
          <w:rFonts w:eastAsia="Times New Roman"/>
          <w:color w:val="000000"/>
          <w:sz w:val="20"/>
          <w:szCs w:val="20"/>
        </w:rPr>
        <w:t>US Treasury curve due to the impending cessation of LIBOR and our U.S. GAAP fair value liability risk margins were increased, resulting in little impact to overall valuation as our view regarding market participant pricing of our guarantees has not changed</w:t>
      </w:r>
      <w:r>
        <w:rPr>
          <w:rFonts w:eastAsia="Times New Roman"/>
          <w:color w:val="000000"/>
          <w:sz w:val="20"/>
          <w:szCs w:val="20"/>
        </w:rPr>
        <w:t xml:space="preserve"> at this time. </w:t>
      </w:r>
    </w:p>
    <w:p w:rsidR="00000000" w:rsidRDefault="00E54EC0">
      <w:pPr>
        <w:jc w:val="center"/>
        <w:divId w:val="1742293876"/>
        <w:rPr>
          <w:rFonts w:eastAsia="Times New Roman"/>
        </w:rPr>
      </w:pPr>
      <w:r>
        <w:rPr>
          <w:rFonts w:eastAsia="Times New Roman"/>
          <w:color w:val="000000"/>
          <w:sz w:val="20"/>
          <w:szCs w:val="20"/>
        </w:rPr>
        <w:t>77</w:t>
      </w:r>
    </w:p>
    <w:p w:rsidR="00000000" w:rsidRDefault="00E54EC0">
      <w:pPr>
        <w:rPr>
          <w:rFonts w:eastAsia="Times New Roman"/>
        </w:rPr>
      </w:pPr>
      <w:r>
        <w:rPr>
          <w:rFonts w:eastAsia="Times New Roman"/>
        </w:rPr>
        <w:pict>
          <v:rect id="_x0000_i1115" style="width:0;height:1.5pt" o:hralign="center" o:hrstd="t" o:hr="t" fillcolor="#a0a0a0" stroked="f"/>
        </w:pict>
      </w:r>
    </w:p>
    <w:p w:rsidR="00000000" w:rsidRDefault="00E54EC0">
      <w:pPr>
        <w:divId w:val="665592685"/>
        <w:rPr>
          <w:rFonts w:eastAsia="Times New Roman"/>
        </w:rPr>
      </w:pPr>
    </w:p>
    <w:p w:rsidR="00000000" w:rsidRDefault="00E54EC0">
      <w:pPr>
        <w:ind w:firstLine="360"/>
        <w:divId w:val="1517688662"/>
        <w:rPr>
          <w:rFonts w:eastAsia="Times New Roman"/>
        </w:rPr>
      </w:pPr>
      <w:r>
        <w:rPr>
          <w:rFonts w:eastAsia="Times New Roman"/>
          <w:color w:val="000000"/>
          <w:sz w:val="20"/>
          <w:szCs w:val="20"/>
        </w:rPr>
        <w:t>The net impact of this assumption update on income (loss) from continuing operations, before income taxes of $108 million consisted of a decrease in policy charges and fee income of $28 million, a d</w:t>
      </w:r>
      <w:r>
        <w:rPr>
          <w:rFonts w:eastAsia="Times New Roman"/>
          <w:color w:val="000000"/>
          <w:sz w:val="20"/>
          <w:szCs w:val="20"/>
        </w:rPr>
        <w:t>ecrease in policyholders’ benefits of $62 million, an increase in net derivative losses of $200 million and a decrease in the amortization of DAC of $58 million.</w:t>
      </w:r>
    </w:p>
    <w:p w:rsidR="00000000" w:rsidRDefault="00E54EC0">
      <w:pPr>
        <w:divId w:val="1528329090"/>
        <w:rPr>
          <w:rFonts w:eastAsia="Times New Roman"/>
        </w:rPr>
      </w:pPr>
      <w:r>
        <w:rPr>
          <w:rFonts w:eastAsia="Times New Roman"/>
          <w:b/>
          <w:bCs/>
          <w:color w:val="000000"/>
          <w:sz w:val="20"/>
          <w:szCs w:val="20"/>
        </w:rPr>
        <w:t>2020 Assumption Updates</w:t>
      </w:r>
      <w:r>
        <w:rPr>
          <w:rFonts w:eastAsia="Times New Roman"/>
          <w:color w:val="000000"/>
          <w:sz w:val="20"/>
          <w:szCs w:val="20"/>
        </w:rPr>
        <w:t xml:space="preserve"> </w:t>
      </w:r>
    </w:p>
    <w:p w:rsidR="00000000" w:rsidRDefault="00E54EC0">
      <w:pPr>
        <w:ind w:firstLine="360"/>
        <w:divId w:val="2119131959"/>
        <w:rPr>
          <w:rFonts w:eastAsia="Times New Roman"/>
        </w:rPr>
      </w:pPr>
      <w:r>
        <w:rPr>
          <w:rFonts w:eastAsia="Times New Roman"/>
          <w:color w:val="000000"/>
          <w:sz w:val="20"/>
          <w:szCs w:val="20"/>
        </w:rPr>
        <w:t>Our annual review in 2020 resulted in the removal of the credit risk adjustment from our fair value scenario calibration to reflect our revised view of market participant practices, offset by updates to our mortality and policyholder behavior assumptions t</w:t>
      </w:r>
      <w:r>
        <w:rPr>
          <w:rFonts w:eastAsia="Times New Roman"/>
          <w:color w:val="000000"/>
          <w:sz w:val="20"/>
          <w:szCs w:val="20"/>
        </w:rPr>
        <w:t>o reflect emerging experience.</w:t>
      </w:r>
    </w:p>
    <w:p w:rsidR="00000000" w:rsidRDefault="00E54EC0">
      <w:pPr>
        <w:ind w:firstLine="360"/>
        <w:divId w:val="1674649681"/>
        <w:rPr>
          <w:rFonts w:eastAsia="Times New Roman"/>
        </w:rPr>
      </w:pPr>
      <w:r>
        <w:rPr>
          <w:rFonts w:eastAsia="Times New Roman"/>
          <w:color w:val="000000"/>
          <w:sz w:val="20"/>
          <w:szCs w:val="20"/>
        </w:rPr>
        <w:t>In 2020, in addition to the annual review, we updated our assumptions in the first quarter due to the extraordinary economic conditions driven by the COVID-19 pandemic. The first quarter update included an update to the inter</w:t>
      </w:r>
      <w:r>
        <w:rPr>
          <w:rFonts w:eastAsia="Times New Roman"/>
          <w:color w:val="000000"/>
          <w:sz w:val="20"/>
          <w:szCs w:val="20"/>
        </w:rPr>
        <w:t xml:space="preserve">est rate assumption to grade from the current interest rate environment at that time to an ultimate five-year historical average over a 10-year period. As such, the 10-year U.S. Treasury yield grades from the current level to an ultimate 5-year average of </w:t>
      </w:r>
      <w:r>
        <w:rPr>
          <w:rFonts w:eastAsia="Times New Roman"/>
          <w:color w:val="000000"/>
          <w:sz w:val="20"/>
          <w:szCs w:val="20"/>
        </w:rPr>
        <w:t>2.25%.</w:t>
      </w:r>
    </w:p>
    <w:p w:rsidR="00000000" w:rsidRDefault="00E54EC0">
      <w:pPr>
        <w:ind w:firstLine="360"/>
        <w:divId w:val="1734229573"/>
        <w:rPr>
          <w:rFonts w:eastAsia="Times New Roman"/>
        </w:rPr>
      </w:pPr>
      <w:r>
        <w:rPr>
          <w:rFonts w:eastAsia="Times New Roman"/>
          <w:color w:val="000000"/>
          <w:sz w:val="20"/>
          <w:szCs w:val="20"/>
        </w:rPr>
        <w:t>The low interest rate environment and update to the interest rate assumption caused a loss recognition event for our life interest-sensitive products, as well as to certain run-off business included in Corporate and Other. This loss recognition even</w:t>
      </w:r>
      <w:r>
        <w:rPr>
          <w:rFonts w:eastAsia="Times New Roman"/>
          <w:color w:val="000000"/>
          <w:sz w:val="20"/>
          <w:szCs w:val="20"/>
        </w:rPr>
        <w:t>t caused an acceleration of DAC amortization on our life interest-sensitive products and an increase in the premium deficiency reserve on the run-off business in the first quarter of 2020.</w:t>
      </w:r>
    </w:p>
    <w:p w:rsidR="00000000" w:rsidRDefault="00E54EC0">
      <w:pPr>
        <w:ind w:firstLine="360"/>
        <w:divId w:val="1992442346"/>
        <w:rPr>
          <w:rFonts w:eastAsia="Times New Roman"/>
        </w:rPr>
      </w:pPr>
      <w:r>
        <w:rPr>
          <w:rFonts w:eastAsia="Times New Roman"/>
          <w:color w:val="000000"/>
          <w:sz w:val="20"/>
          <w:szCs w:val="20"/>
        </w:rPr>
        <w:t>The net impact of assumption changes during 2020 was an increase in</w:t>
      </w:r>
      <w:r>
        <w:rPr>
          <w:rFonts w:eastAsia="Times New Roman"/>
          <w:color w:val="000000"/>
          <w:sz w:val="20"/>
          <w:szCs w:val="20"/>
        </w:rPr>
        <w:t xml:space="preserve"> policy charges and fee income of $23 million, an increased policyholders’ benefits by $1.6 billion, decreased interest credited to policyholders’ account balances by $1 million, increased net derivative gains (losses) by $112 million and increased amortiz</w:t>
      </w:r>
      <w:r>
        <w:rPr>
          <w:rFonts w:eastAsia="Times New Roman"/>
          <w:color w:val="000000"/>
          <w:sz w:val="20"/>
          <w:szCs w:val="20"/>
        </w:rPr>
        <w:t>ation of DAC by $1.1 billion. This resulted in a decrease in income (loss) from operations, before income taxes of $2.6 billion and decreased net income (loss) by $2.0 billion. The 2020 impacts related to assumption updates were primarily driven by the fir</w:t>
      </w:r>
      <w:r>
        <w:rPr>
          <w:rFonts w:eastAsia="Times New Roman"/>
          <w:color w:val="000000"/>
          <w:sz w:val="20"/>
          <w:szCs w:val="20"/>
        </w:rPr>
        <w:t>st quarter updates.</w:t>
      </w:r>
    </w:p>
    <w:p w:rsidR="00000000" w:rsidRDefault="00E54EC0">
      <w:pPr>
        <w:divId w:val="1104954441"/>
        <w:rPr>
          <w:rFonts w:eastAsia="Times New Roman"/>
        </w:rPr>
      </w:pPr>
      <w:r>
        <w:rPr>
          <w:rFonts w:eastAsia="Times New Roman"/>
          <w:b/>
          <w:bCs/>
          <w:color w:val="000000"/>
          <w:sz w:val="20"/>
          <w:szCs w:val="20"/>
        </w:rPr>
        <w:t>Model Changes</w:t>
      </w:r>
    </w:p>
    <w:p w:rsidR="00000000" w:rsidRDefault="00E54EC0">
      <w:pPr>
        <w:ind w:firstLine="360"/>
        <w:divId w:val="1200554532"/>
        <w:rPr>
          <w:rFonts w:eastAsia="Times New Roman"/>
        </w:rPr>
      </w:pPr>
      <w:r>
        <w:rPr>
          <w:rFonts w:eastAsia="Times New Roman"/>
          <w:color w:val="000000"/>
          <w:sz w:val="20"/>
          <w:szCs w:val="20"/>
        </w:rPr>
        <w:t xml:space="preserve">There were no material model changes during 2022 and 2021. </w:t>
      </w:r>
    </w:p>
    <w:p w:rsidR="00000000" w:rsidRDefault="00E54EC0">
      <w:pPr>
        <w:divId w:val="413163989"/>
        <w:rPr>
          <w:rFonts w:eastAsia="Times New Roman"/>
        </w:rPr>
      </w:pPr>
      <w:r>
        <w:rPr>
          <w:rFonts w:eastAsia="Times New Roman"/>
          <w:b/>
          <w:bCs/>
          <w:color w:val="000000"/>
          <w:sz w:val="20"/>
          <w:szCs w:val="20"/>
        </w:rPr>
        <w:t>2020 Model Changes</w:t>
      </w:r>
    </w:p>
    <w:p w:rsidR="00000000" w:rsidRDefault="00E54EC0">
      <w:pPr>
        <w:ind w:firstLine="360"/>
        <w:divId w:val="1482192329"/>
        <w:rPr>
          <w:rFonts w:eastAsia="Times New Roman"/>
        </w:rPr>
      </w:pPr>
      <w:r>
        <w:rPr>
          <w:rFonts w:eastAsia="Times New Roman"/>
          <w:color w:val="000000"/>
          <w:sz w:val="20"/>
          <w:szCs w:val="20"/>
        </w:rPr>
        <w:t>In the first quarter of 2020, we adopted a new economic scenario generator to calculate the fair value of the GMIB reinsurance contract asset a</w:t>
      </w:r>
      <w:r>
        <w:rPr>
          <w:rFonts w:eastAsia="Times New Roman"/>
          <w:color w:val="000000"/>
          <w:sz w:val="20"/>
          <w:szCs w:val="20"/>
        </w:rPr>
        <w:t>nd GMxB derivative features liability, eliminating reliance on AXA for scenario production. The new economic scenario generator allows for a tighter calibration of U.S. indices, better reflecting our actual portfolio. The net impact of the new economic sce</w:t>
      </w:r>
      <w:r>
        <w:rPr>
          <w:rFonts w:eastAsia="Times New Roman"/>
          <w:color w:val="000000"/>
          <w:sz w:val="20"/>
          <w:szCs w:val="20"/>
        </w:rPr>
        <w:t>nario generator resulted in an increase in income (loss) from continuing operations, before income taxes of $201 million, and an increase to net income (loss) of $159 million for the year ended December 31, 2020. There were no other model changes that made</w:t>
      </w:r>
      <w:r>
        <w:rPr>
          <w:rFonts w:eastAsia="Times New Roman"/>
          <w:color w:val="000000"/>
          <w:sz w:val="20"/>
          <w:szCs w:val="20"/>
        </w:rPr>
        <w:t xml:space="preserve"> a material impact to our income (loss) from continuing operations, before income taxes or net income (loss). </w:t>
      </w:r>
    </w:p>
    <w:p w:rsidR="00000000" w:rsidRDefault="00E54EC0">
      <w:pPr>
        <w:divId w:val="1457523236"/>
        <w:rPr>
          <w:rFonts w:eastAsia="Times New Roman"/>
        </w:rPr>
      </w:pPr>
      <w:r>
        <w:rPr>
          <w:rFonts w:eastAsia="Times New Roman"/>
          <w:i/>
          <w:iCs/>
          <w:color w:val="000000"/>
          <w:sz w:val="20"/>
          <w:szCs w:val="20"/>
          <w:u w:val="single"/>
        </w:rPr>
        <w:t>Impact of Assumption Updates and Model Changes on Pre-tax Non-GAAP Operating Earnings Adjustments</w:t>
      </w:r>
    </w:p>
    <w:p w:rsidR="00000000" w:rsidRDefault="00E54EC0">
      <w:pPr>
        <w:divId w:val="364644248"/>
        <w:rPr>
          <w:rFonts w:eastAsia="Times New Roman"/>
        </w:rPr>
      </w:pPr>
      <w:r>
        <w:rPr>
          <w:rFonts w:eastAsia="Times New Roman"/>
          <w:color w:val="000000"/>
          <w:sz w:val="20"/>
          <w:szCs w:val="20"/>
        </w:rPr>
        <w:t xml:space="preserve">The table below presents the impact on pre-tax </w:t>
      </w:r>
      <w:r>
        <w:rPr>
          <w:rFonts w:eastAsia="Times New Roman"/>
          <w:color w:val="000000"/>
          <w:sz w:val="20"/>
          <w:szCs w:val="20"/>
        </w:rPr>
        <w:t>Non-GAAP operating earnings of our actuarial assumption updates during 2022, 2021 and 2020 by segment and Corporate and Other.</w:t>
      </w:r>
    </w:p>
    <w:tbl>
      <w:tblPr>
        <w:tblW w:w="4890" w:type="pct"/>
        <w:jc w:val="center"/>
        <w:tblCellMar>
          <w:top w:w="15" w:type="dxa"/>
          <w:left w:w="15" w:type="dxa"/>
          <w:bottom w:w="15" w:type="dxa"/>
          <w:right w:w="15" w:type="dxa"/>
        </w:tblCellMar>
        <w:tblLook w:val="04A0" w:firstRow="1" w:lastRow="0" w:firstColumn="1" w:lastColumn="0" w:noHBand="0" w:noVBand="1"/>
      </w:tblPr>
      <w:tblGrid>
        <w:gridCol w:w="38"/>
        <w:gridCol w:w="5457"/>
        <w:gridCol w:w="37"/>
        <w:gridCol w:w="36"/>
        <w:gridCol w:w="46"/>
        <w:gridCol w:w="46"/>
        <w:gridCol w:w="120"/>
        <w:gridCol w:w="593"/>
        <w:gridCol w:w="36"/>
        <w:gridCol w:w="36"/>
        <w:gridCol w:w="36"/>
        <w:gridCol w:w="36"/>
        <w:gridCol w:w="120"/>
        <w:gridCol w:w="593"/>
        <w:gridCol w:w="36"/>
        <w:gridCol w:w="36"/>
        <w:gridCol w:w="36"/>
        <w:gridCol w:w="36"/>
        <w:gridCol w:w="120"/>
        <w:gridCol w:w="593"/>
        <w:gridCol w:w="36"/>
      </w:tblGrid>
      <w:tr w:rsidR="00000000">
        <w:trPr>
          <w:jc w:val="center"/>
        </w:trPr>
        <w:tc>
          <w:tcPr>
            <w:tcW w:w="50" w:type="pct"/>
            <w:vAlign w:val="center"/>
            <w:hideMark/>
          </w:tcPr>
          <w:p w:rsidR="00000000" w:rsidRDefault="00E54EC0">
            <w:pPr>
              <w:rPr>
                <w:rFonts w:eastAsia="Times New Roman"/>
              </w:rPr>
            </w:pPr>
          </w:p>
        </w:tc>
        <w:tc>
          <w:tcPr>
            <w:tcW w:w="347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 (1)</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Impact of assumption updates by segment: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Individual Retirement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Group Retirement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Protection Solutions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Impact of assumption updates on Corporate and Other</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impact on pre-tax Non-GAAP 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006786854"/>
        <w:rPr>
          <w:rFonts w:eastAsia="Times New Roman"/>
        </w:rPr>
      </w:pPr>
      <w:r>
        <w:rPr>
          <w:rFonts w:eastAsia="Times New Roman"/>
          <w:b/>
          <w:bCs/>
          <w:color w:val="000000"/>
          <w:sz w:val="20"/>
          <w:szCs w:val="20"/>
        </w:rPr>
        <w:t>2022 Assumption Updates</w:t>
      </w:r>
    </w:p>
    <w:p w:rsidR="00000000" w:rsidRDefault="00E54EC0">
      <w:pPr>
        <w:ind w:firstLine="360"/>
        <w:divId w:val="597179707"/>
        <w:rPr>
          <w:rFonts w:eastAsia="Times New Roman"/>
        </w:rPr>
      </w:pPr>
      <w:r>
        <w:rPr>
          <w:rFonts w:eastAsia="Times New Roman"/>
          <w:color w:val="000000"/>
          <w:sz w:val="20"/>
          <w:szCs w:val="20"/>
        </w:rPr>
        <w:t>The impact of our 2022 annual review on Non-GAAP operating earnings was favorable by $28 million before taking into consider</w:t>
      </w:r>
      <w:r>
        <w:rPr>
          <w:rFonts w:eastAsia="Times New Roman"/>
          <w:color w:val="000000"/>
          <w:sz w:val="20"/>
          <w:szCs w:val="20"/>
        </w:rPr>
        <w:t xml:space="preserve">ation the tax impacts or $22 million after tax. For Individual Retirement segment, the impacts primarily reflect updated </w:t>
      </w:r>
    </w:p>
    <w:p w:rsidR="00000000" w:rsidRDefault="00E54EC0">
      <w:pPr>
        <w:jc w:val="center"/>
        <w:divId w:val="172842732"/>
        <w:rPr>
          <w:rFonts w:eastAsia="Times New Roman"/>
        </w:rPr>
      </w:pPr>
      <w:r>
        <w:rPr>
          <w:rFonts w:eastAsia="Times New Roman"/>
          <w:color w:val="000000"/>
          <w:sz w:val="20"/>
          <w:szCs w:val="20"/>
        </w:rPr>
        <w:t>78</w:t>
      </w:r>
    </w:p>
    <w:p w:rsidR="00000000" w:rsidRDefault="00E54EC0">
      <w:pPr>
        <w:rPr>
          <w:rFonts w:eastAsia="Times New Roman"/>
        </w:rPr>
      </w:pPr>
      <w:r>
        <w:rPr>
          <w:rFonts w:eastAsia="Times New Roman"/>
        </w:rPr>
        <w:pict>
          <v:rect id="_x0000_i1116" style="width:0;height:1.5pt" o:hralign="center" o:hrstd="t" o:hr="t" fillcolor="#a0a0a0" stroked="f"/>
        </w:pict>
      </w:r>
    </w:p>
    <w:p w:rsidR="00000000" w:rsidRDefault="00E54EC0">
      <w:pPr>
        <w:divId w:val="1339650502"/>
        <w:rPr>
          <w:rFonts w:eastAsia="Times New Roman"/>
        </w:rPr>
      </w:pPr>
    </w:p>
    <w:p w:rsidR="00000000" w:rsidRDefault="00E54EC0">
      <w:pPr>
        <w:divId w:val="484395080"/>
        <w:rPr>
          <w:rFonts w:eastAsia="Times New Roman"/>
        </w:rPr>
      </w:pPr>
      <w:r>
        <w:rPr>
          <w:rFonts w:eastAsia="Times New Roman"/>
          <w:color w:val="000000"/>
          <w:sz w:val="20"/>
          <w:szCs w:val="20"/>
        </w:rPr>
        <w:t>mortality on our older payout business. For Group Retirement segment, the impacts reflect up</w:t>
      </w:r>
      <w:r>
        <w:rPr>
          <w:rFonts w:eastAsia="Times New Roman"/>
          <w:color w:val="000000"/>
          <w:sz w:val="20"/>
          <w:szCs w:val="20"/>
        </w:rPr>
        <w:t>dated economic assumptions. The annual update for Protection Solutions segment reflects favorable economic conditions and surrenders primarily on the VUL line. This, in turn, creates future profits and lowers the accrual on our PFBL reserve.</w:t>
      </w:r>
    </w:p>
    <w:p w:rsidR="00000000" w:rsidRDefault="00E54EC0">
      <w:pPr>
        <w:ind w:firstLine="360"/>
        <w:divId w:val="39524925"/>
        <w:rPr>
          <w:rFonts w:eastAsia="Times New Roman"/>
        </w:rPr>
      </w:pPr>
      <w:r>
        <w:rPr>
          <w:rFonts w:eastAsia="Times New Roman"/>
          <w:color w:val="000000"/>
          <w:sz w:val="20"/>
          <w:szCs w:val="20"/>
        </w:rPr>
        <w:t>The net impact</w:t>
      </w:r>
      <w:r>
        <w:rPr>
          <w:rFonts w:eastAsia="Times New Roman"/>
          <w:color w:val="000000"/>
          <w:sz w:val="20"/>
          <w:szCs w:val="20"/>
        </w:rPr>
        <w:t xml:space="preserve"> of assumption changes on Non-GAAP Operating Earnings decreased Policy charges and fee income by $23 million, decreased Policyholders’ benefits by $9 million, and decreased Amortization of DAC by $43 million. Non-GAAP Operating Earnings excludes items rela</w:t>
      </w:r>
      <w:r>
        <w:rPr>
          <w:rFonts w:eastAsia="Times New Roman"/>
          <w:color w:val="000000"/>
          <w:sz w:val="20"/>
          <w:szCs w:val="20"/>
        </w:rPr>
        <w:t>ted to Variable annuity product features, such as changes in the fair value of the embedded derivatives associated with the GMIBNLG liability and the effect of benefit ratio unlock adjustments.</w:t>
      </w:r>
    </w:p>
    <w:p w:rsidR="00000000" w:rsidRDefault="00E54EC0">
      <w:pPr>
        <w:divId w:val="675887533"/>
        <w:rPr>
          <w:rFonts w:eastAsia="Times New Roman"/>
        </w:rPr>
      </w:pPr>
      <w:r>
        <w:rPr>
          <w:rFonts w:eastAsia="Times New Roman"/>
          <w:b/>
          <w:bCs/>
          <w:color w:val="000000"/>
          <w:sz w:val="20"/>
          <w:szCs w:val="20"/>
        </w:rPr>
        <w:t>2021 Assumption Updates</w:t>
      </w:r>
    </w:p>
    <w:p w:rsidR="00000000" w:rsidRDefault="00E54EC0">
      <w:pPr>
        <w:ind w:firstLine="360"/>
        <w:divId w:val="708068481"/>
        <w:rPr>
          <w:rFonts w:eastAsia="Times New Roman"/>
        </w:rPr>
      </w:pPr>
      <w:r>
        <w:rPr>
          <w:rFonts w:eastAsia="Times New Roman"/>
          <w:color w:val="000000"/>
          <w:sz w:val="20"/>
          <w:szCs w:val="20"/>
        </w:rPr>
        <w:t>The impact of our 2021 annual review o</w:t>
      </w:r>
      <w:r>
        <w:rPr>
          <w:rFonts w:eastAsia="Times New Roman"/>
          <w:color w:val="000000"/>
          <w:sz w:val="20"/>
          <w:szCs w:val="20"/>
        </w:rPr>
        <w:t>n Non-GAAP operating earnings was favorable by $8 million before taking into consideration the tax impacts or $6 million after tax. For Individual Retirement segment, the impacts primarily reflect updated mortality on our older payout business. For Group R</w:t>
      </w:r>
      <w:r>
        <w:rPr>
          <w:rFonts w:eastAsia="Times New Roman"/>
          <w:color w:val="000000"/>
          <w:sz w:val="20"/>
          <w:szCs w:val="20"/>
        </w:rPr>
        <w:t>etirement segment, the impacts reflect updated economic assumptions. The annual update for Protection Solutions segment reflects favorable economic conditions and surrenders primarily on the VUL line. This, in turn, creates future profits and lowers the ac</w:t>
      </w:r>
      <w:r>
        <w:rPr>
          <w:rFonts w:eastAsia="Times New Roman"/>
          <w:color w:val="000000"/>
          <w:sz w:val="20"/>
          <w:szCs w:val="20"/>
        </w:rPr>
        <w:t>crual on our PFBL reserve.</w:t>
      </w:r>
    </w:p>
    <w:p w:rsidR="00000000" w:rsidRDefault="00E54EC0">
      <w:pPr>
        <w:ind w:firstLine="360"/>
        <w:divId w:val="886599843"/>
        <w:rPr>
          <w:rFonts w:eastAsia="Times New Roman"/>
        </w:rPr>
      </w:pPr>
      <w:r>
        <w:rPr>
          <w:rFonts w:eastAsia="Times New Roman"/>
          <w:color w:val="000000"/>
          <w:sz w:val="20"/>
          <w:szCs w:val="20"/>
        </w:rPr>
        <w:t xml:space="preserve">The net impact of assumption changes on Non-GAAP Operating Earnings decreased Policy charges and fee income by $28 million, increased Policyholders’ </w:t>
      </w:r>
      <w:r>
        <w:rPr>
          <w:rFonts w:eastAsia="Times New Roman"/>
          <w:color w:val="000000"/>
          <w:sz w:val="20"/>
          <w:szCs w:val="20"/>
        </w:rPr>
        <w:t>benefits by $22 million, and decreased Amortization of DAC by $58 million. Non-GAAP Operating Earnings excludes items related to Variable annuity product features, such as changes in the fair value of the embedded derivatives associated with the GMIBNLG li</w:t>
      </w:r>
      <w:r>
        <w:rPr>
          <w:rFonts w:eastAsia="Times New Roman"/>
          <w:color w:val="000000"/>
          <w:sz w:val="20"/>
          <w:szCs w:val="20"/>
        </w:rPr>
        <w:t>ability and the effect of benefit ratio unlock adjustments.</w:t>
      </w:r>
    </w:p>
    <w:p w:rsidR="00000000" w:rsidRDefault="00E54EC0">
      <w:pPr>
        <w:divId w:val="1290823983"/>
        <w:rPr>
          <w:rFonts w:eastAsia="Times New Roman"/>
        </w:rPr>
      </w:pPr>
      <w:r>
        <w:rPr>
          <w:rFonts w:eastAsia="Times New Roman"/>
          <w:b/>
          <w:bCs/>
          <w:color w:val="000000"/>
          <w:sz w:val="20"/>
          <w:szCs w:val="20"/>
        </w:rPr>
        <w:t>2020 Assumption Updates</w:t>
      </w:r>
    </w:p>
    <w:p w:rsidR="00000000" w:rsidRDefault="00E54EC0">
      <w:pPr>
        <w:ind w:firstLine="360"/>
        <w:divId w:val="1256474788"/>
        <w:rPr>
          <w:rFonts w:eastAsia="Times New Roman"/>
        </w:rPr>
      </w:pPr>
      <w:r>
        <w:rPr>
          <w:rFonts w:eastAsia="Times New Roman"/>
          <w:color w:val="000000"/>
          <w:sz w:val="20"/>
          <w:szCs w:val="20"/>
        </w:rPr>
        <w:t>The impact of our 2020 annual review on Non-GAAP Operating Earnings was unfavorable by $39 million before taking into consideration the tax impacts or $31 million after tax</w:t>
      </w:r>
      <w:r>
        <w:rPr>
          <w:rFonts w:eastAsia="Times New Roman"/>
          <w:color w:val="000000"/>
          <w:sz w:val="20"/>
          <w:szCs w:val="20"/>
        </w:rPr>
        <w:t>. For the Individual Retirement segment, the impacts primarily reflect higher surrenders at the end of the surrender charge period on Retirement Cornerstone policies. The impact of our 2020 annual review was not material for our Group Retirement and Protec</w:t>
      </w:r>
      <w:r>
        <w:rPr>
          <w:rFonts w:eastAsia="Times New Roman"/>
          <w:color w:val="000000"/>
          <w:sz w:val="20"/>
          <w:szCs w:val="20"/>
        </w:rPr>
        <w:t>tion Solutions segments.</w:t>
      </w:r>
    </w:p>
    <w:p w:rsidR="00000000" w:rsidRDefault="00E54EC0">
      <w:pPr>
        <w:ind w:firstLine="360"/>
        <w:divId w:val="1339848119"/>
        <w:rPr>
          <w:rFonts w:eastAsia="Times New Roman"/>
        </w:rPr>
      </w:pPr>
      <w:r>
        <w:rPr>
          <w:rFonts w:eastAsia="Times New Roman"/>
          <w:color w:val="000000"/>
          <w:sz w:val="20"/>
          <w:szCs w:val="20"/>
        </w:rPr>
        <w:t>The net impact of assumption changes on Non-GAAP Operating Earnings decreased Policy charges and fee income by $23 million, increased Policyholders’ benefits by $46 million, increased Interest credited to policyholders’ account bal</w:t>
      </w:r>
      <w:r>
        <w:rPr>
          <w:rFonts w:eastAsia="Times New Roman"/>
          <w:color w:val="000000"/>
          <w:sz w:val="20"/>
          <w:szCs w:val="20"/>
        </w:rPr>
        <w:t>ances by $5 million and decreased Amortization of DAC by $35 million. Non-GAAP Operating Earnings excludes items related to Variable annuity product features and the impact of COVID-19, such as changes in the fair value of the embedded derivatives associat</w:t>
      </w:r>
      <w:r>
        <w:rPr>
          <w:rFonts w:eastAsia="Times New Roman"/>
          <w:color w:val="000000"/>
          <w:sz w:val="20"/>
          <w:szCs w:val="20"/>
        </w:rPr>
        <w:t>ed with the GMIBNLG liability and the effect of benefit ratio unlock adjustments.</w:t>
      </w:r>
    </w:p>
    <w:p w:rsidR="00000000" w:rsidRDefault="00E54EC0">
      <w:pPr>
        <w:jc w:val="both"/>
        <w:divId w:val="458303110"/>
        <w:rPr>
          <w:rFonts w:eastAsia="Times New Roman"/>
        </w:rPr>
      </w:pPr>
      <w:r>
        <w:rPr>
          <w:rFonts w:eastAsia="Times New Roman"/>
          <w:b/>
          <w:bCs/>
          <w:color w:val="000000"/>
          <w:sz w:val="20"/>
          <w:szCs w:val="20"/>
        </w:rPr>
        <w:t>Productivity Strategies</w:t>
      </w:r>
    </w:p>
    <w:p w:rsidR="00000000" w:rsidRDefault="00E54EC0">
      <w:pPr>
        <w:divId w:val="1980722504"/>
        <w:rPr>
          <w:rFonts w:eastAsia="Times New Roman"/>
        </w:rPr>
      </w:pPr>
      <w:r>
        <w:rPr>
          <w:rFonts w:eastAsia="Times New Roman"/>
          <w:i/>
          <w:iCs/>
          <w:color w:val="000000"/>
          <w:sz w:val="20"/>
          <w:szCs w:val="20"/>
          <w:u w:val="single"/>
        </w:rPr>
        <w:t>Retirement and Protection Businesses</w:t>
      </w:r>
    </w:p>
    <w:p w:rsidR="00000000" w:rsidRDefault="00E54EC0">
      <w:pPr>
        <w:ind w:firstLine="360"/>
        <w:divId w:val="110175203"/>
        <w:rPr>
          <w:rFonts w:eastAsia="Times New Roman"/>
        </w:rPr>
      </w:pPr>
      <w:r>
        <w:rPr>
          <w:rFonts w:eastAsia="Times New Roman"/>
          <w:color w:val="000000"/>
          <w:sz w:val="20"/>
          <w:szCs w:val="20"/>
        </w:rPr>
        <w:t>As part of our continuing efforts to drive productivity improvements, in January 2021, we began a new program exp</w:t>
      </w:r>
      <w:r>
        <w:rPr>
          <w:rFonts w:eastAsia="Times New Roman"/>
          <w:color w:val="000000"/>
          <w:sz w:val="20"/>
          <w:szCs w:val="20"/>
        </w:rPr>
        <w:t>ected to achieve $80 million of targeted run-rate expense savings by 2023, of which $50 million has been achieved as of December 31, 2022. We expect to achieve these savings by shifting our workforce into an agile working model, leveraging technology-enabl</w:t>
      </w:r>
      <w:r>
        <w:rPr>
          <w:rFonts w:eastAsia="Times New Roman"/>
          <w:color w:val="000000"/>
          <w:sz w:val="20"/>
          <w:szCs w:val="20"/>
        </w:rPr>
        <w:t>ed capabilities, optimizing our real estate footprint, and continuing to realize a portion of COVID-19 related savings.</w:t>
      </w:r>
    </w:p>
    <w:p w:rsidR="00000000" w:rsidRDefault="00E54EC0">
      <w:pPr>
        <w:divId w:val="992177708"/>
        <w:rPr>
          <w:rFonts w:eastAsia="Times New Roman"/>
        </w:rPr>
      </w:pPr>
      <w:r>
        <w:rPr>
          <w:rFonts w:eastAsia="Times New Roman"/>
          <w:i/>
          <w:iCs/>
          <w:color w:val="000000"/>
          <w:sz w:val="20"/>
          <w:szCs w:val="20"/>
          <w:u w:val="single"/>
        </w:rPr>
        <w:t>Investment Management and Research Business</w:t>
      </w:r>
    </w:p>
    <w:p w:rsidR="00000000" w:rsidRDefault="00E54EC0">
      <w:pPr>
        <w:ind w:firstLine="360"/>
        <w:divId w:val="885411727"/>
        <w:rPr>
          <w:rFonts w:eastAsia="Times New Roman"/>
        </w:rPr>
      </w:pPr>
      <w:r>
        <w:rPr>
          <w:rFonts w:eastAsia="Times New Roman"/>
          <w:color w:val="000000"/>
          <w:sz w:val="20"/>
          <w:szCs w:val="20"/>
        </w:rPr>
        <w:t>As previously announced, AB has established its corporate headquarters in Nashville, Tenness</w:t>
      </w:r>
      <w:r>
        <w:rPr>
          <w:rFonts w:eastAsia="Times New Roman"/>
          <w:color w:val="000000"/>
          <w:sz w:val="20"/>
          <w:szCs w:val="20"/>
        </w:rPr>
        <w:t>ee and relocated approximately 1,063 jobs from the New York metro area. Beginning in 2025, AB estimates ongoing annual expense savings of approximately $75 million to $80 million, which will result from a combination of occupancy and compensation-related s</w:t>
      </w:r>
      <w:r>
        <w:rPr>
          <w:rFonts w:eastAsia="Times New Roman"/>
          <w:color w:val="000000"/>
          <w:sz w:val="20"/>
          <w:szCs w:val="20"/>
        </w:rPr>
        <w:t xml:space="preserve">avings. </w:t>
      </w:r>
    </w:p>
    <w:p w:rsidR="00000000" w:rsidRDefault="00E54EC0">
      <w:pPr>
        <w:ind w:firstLine="360"/>
        <w:divId w:val="991715328"/>
        <w:rPr>
          <w:rFonts w:eastAsia="Times New Roman"/>
        </w:rPr>
      </w:pPr>
    </w:p>
    <w:p w:rsidR="00000000" w:rsidRDefault="00E54EC0">
      <w:pPr>
        <w:jc w:val="center"/>
        <w:divId w:val="338579673"/>
        <w:rPr>
          <w:rFonts w:eastAsia="Times New Roman"/>
        </w:rPr>
      </w:pPr>
      <w:r>
        <w:rPr>
          <w:rFonts w:eastAsia="Times New Roman"/>
          <w:color w:val="000000"/>
          <w:sz w:val="20"/>
          <w:szCs w:val="20"/>
        </w:rPr>
        <w:t>79</w:t>
      </w:r>
    </w:p>
    <w:p w:rsidR="00000000" w:rsidRDefault="00E54EC0">
      <w:pPr>
        <w:rPr>
          <w:rFonts w:eastAsia="Times New Roman"/>
        </w:rPr>
      </w:pPr>
      <w:r>
        <w:rPr>
          <w:rFonts w:eastAsia="Times New Roman"/>
        </w:rPr>
        <w:pict>
          <v:rect id="_x0000_i1117" style="width:0;height:1.5pt" o:hralign="center" o:hrstd="t" o:hr="t" fillcolor="#a0a0a0" stroked="f"/>
        </w:pict>
      </w:r>
    </w:p>
    <w:p w:rsidR="00000000" w:rsidRDefault="00E54EC0">
      <w:pPr>
        <w:divId w:val="1272787171"/>
        <w:rPr>
          <w:rFonts w:eastAsia="Times New Roman"/>
        </w:rPr>
      </w:pPr>
    </w:p>
    <w:p w:rsidR="00000000" w:rsidRDefault="00E54EC0">
      <w:pPr>
        <w:divId w:val="2096508149"/>
        <w:rPr>
          <w:rFonts w:eastAsia="Times New Roman"/>
        </w:rPr>
      </w:pPr>
      <w:r>
        <w:rPr>
          <w:rFonts w:eastAsia="Times New Roman"/>
          <w:b/>
          <w:bCs/>
          <w:color w:val="000000"/>
          <w:sz w:val="20"/>
          <w:szCs w:val="20"/>
        </w:rPr>
        <w:t>Key Operating Measures</w:t>
      </w:r>
    </w:p>
    <w:p w:rsidR="00000000" w:rsidRDefault="00E54EC0">
      <w:pPr>
        <w:ind w:firstLine="360"/>
        <w:divId w:val="1522236110"/>
        <w:rPr>
          <w:rFonts w:eastAsia="Times New Roman"/>
        </w:rPr>
      </w:pPr>
      <w:r>
        <w:rPr>
          <w:rFonts w:eastAsia="Times New Roman"/>
          <w:color w:val="000000"/>
          <w:sz w:val="20"/>
          <w:szCs w:val="20"/>
        </w:rPr>
        <w:t xml:space="preserve">In addition to our results presented in accordance with U.S. GAAP, we report Non-GAAP Operating Earnings, Non-GAAP Operating ROE, and Non-GAAP operating common EPS, each of which is a measure that is not determined in accordance with U.S. GAAP. Management </w:t>
      </w:r>
      <w:r>
        <w:rPr>
          <w:rFonts w:eastAsia="Times New Roman"/>
          <w:color w:val="000000"/>
          <w:sz w:val="20"/>
          <w:szCs w:val="20"/>
        </w:rPr>
        <w:t xml:space="preserve">principally uses these non-GAAP financial measures in evaluating performance because they present a clearer picture of our operating performance and they allow management to allocate resources. Similarly, management believes that the use of these Non-GAAP </w:t>
      </w:r>
      <w:r>
        <w:rPr>
          <w:rFonts w:eastAsia="Times New Roman"/>
          <w:color w:val="000000"/>
          <w:sz w:val="20"/>
          <w:szCs w:val="20"/>
        </w:rPr>
        <w:t>financial measures, together with relevant U.S. GAAP measures, provide investors with a better understanding of our results of operations and the underlying profitability drivers and trends of our business. These non-GAAP financial measures are intended to</w:t>
      </w:r>
      <w:r>
        <w:rPr>
          <w:rFonts w:eastAsia="Times New Roman"/>
          <w:color w:val="000000"/>
          <w:sz w:val="20"/>
          <w:szCs w:val="20"/>
        </w:rPr>
        <w:t xml:space="preserve"> remove from our results of operations the impact of market changes (where there is mismatch in the valuation of assets and liabilities) as well as certain other expenses which are not part of our underlying profitability drivers or likely to re-occur in t</w:t>
      </w:r>
      <w:r>
        <w:rPr>
          <w:rFonts w:eastAsia="Times New Roman"/>
          <w:color w:val="000000"/>
          <w:sz w:val="20"/>
          <w:szCs w:val="20"/>
        </w:rPr>
        <w:t>he foreseeable future, as such items fluctuate from period-to-period in a manner inconsistent with these drivers. These measures should be considered supplementary to our results that are presented in accordance with U.S. GAAP and should not be viewed as a</w:t>
      </w:r>
      <w:r>
        <w:rPr>
          <w:rFonts w:eastAsia="Times New Roman"/>
          <w:color w:val="000000"/>
          <w:sz w:val="20"/>
          <w:szCs w:val="20"/>
        </w:rPr>
        <w:t xml:space="preserve"> substitute for the U.S. GAAP measures. Other companies may use similarly titled non-GAAP financial measures that are calculated differently from the way we calculate such measures. Consequently, our non-GAAP financial measures may not be comparable to sim</w:t>
      </w:r>
      <w:r>
        <w:rPr>
          <w:rFonts w:eastAsia="Times New Roman"/>
          <w:color w:val="000000"/>
          <w:sz w:val="20"/>
          <w:szCs w:val="20"/>
        </w:rPr>
        <w:t>ilar measures used by other companies.</w:t>
      </w:r>
    </w:p>
    <w:p w:rsidR="00000000" w:rsidRDefault="00E54EC0">
      <w:pPr>
        <w:ind w:firstLine="360"/>
        <w:divId w:val="1573347826"/>
        <w:rPr>
          <w:rFonts w:eastAsia="Times New Roman"/>
        </w:rPr>
      </w:pPr>
      <w:r>
        <w:rPr>
          <w:rFonts w:eastAsia="Times New Roman"/>
          <w:color w:val="000000"/>
          <w:sz w:val="20"/>
          <w:szCs w:val="20"/>
        </w:rPr>
        <w:t>We also discuss certain operating measures, including AUM, AUA, AV, Protection Solutions Reserves and certain other operating measures, which management believes provide useful information about our businesses and the</w:t>
      </w:r>
      <w:r>
        <w:rPr>
          <w:rFonts w:eastAsia="Times New Roman"/>
          <w:color w:val="000000"/>
          <w:sz w:val="20"/>
          <w:szCs w:val="20"/>
        </w:rPr>
        <w:t xml:space="preserve"> operational factors underlying our financial performance.</w:t>
      </w:r>
    </w:p>
    <w:p w:rsidR="00000000" w:rsidRDefault="00E54EC0">
      <w:pPr>
        <w:jc w:val="both"/>
        <w:divId w:val="368073842"/>
        <w:rPr>
          <w:rFonts w:eastAsia="Times New Roman"/>
        </w:rPr>
      </w:pPr>
      <w:r>
        <w:rPr>
          <w:rFonts w:eastAsia="Times New Roman"/>
          <w:b/>
          <w:bCs/>
          <w:i/>
          <w:iCs/>
          <w:color w:val="000000"/>
          <w:sz w:val="20"/>
          <w:szCs w:val="20"/>
        </w:rPr>
        <w:t>Non-GAAP Operating Earnings</w:t>
      </w:r>
    </w:p>
    <w:p w:rsidR="00000000" w:rsidRDefault="00E54EC0">
      <w:pPr>
        <w:ind w:firstLine="360"/>
        <w:divId w:val="699359164"/>
        <w:rPr>
          <w:rFonts w:eastAsia="Times New Roman"/>
        </w:rPr>
      </w:pPr>
      <w:r>
        <w:rPr>
          <w:rFonts w:eastAsia="Times New Roman"/>
          <w:color w:val="000000"/>
          <w:sz w:val="20"/>
          <w:szCs w:val="20"/>
        </w:rPr>
        <w:t>Non-GAAP Operating Earnings is an after-tax non-GAAP financial measure used to evaluate our financial performance on a consolidated basis that is determined by making ce</w:t>
      </w:r>
      <w:r>
        <w:rPr>
          <w:rFonts w:eastAsia="Times New Roman"/>
          <w:color w:val="000000"/>
          <w:sz w:val="20"/>
          <w:szCs w:val="20"/>
        </w:rPr>
        <w:t>rtain adjustments to our consolidated after-tax net income attributable to Holdings. The most significant of such adjustments relates to our derivative positions, which protect economic value and statutory capital, and are more sensitive to changes in mark</w:t>
      </w:r>
      <w:r>
        <w:rPr>
          <w:rFonts w:eastAsia="Times New Roman"/>
          <w:color w:val="000000"/>
          <w:sz w:val="20"/>
          <w:szCs w:val="20"/>
        </w:rPr>
        <w:t xml:space="preserve">et conditions than the variable annuity product liabilities as valued under U.S. GAAP. This is a large source of volatility in net income. </w:t>
      </w:r>
    </w:p>
    <w:p w:rsidR="00000000" w:rsidRDefault="00E54EC0">
      <w:pPr>
        <w:ind w:firstLine="360"/>
        <w:divId w:val="1411469028"/>
        <w:rPr>
          <w:rFonts w:eastAsia="Times New Roman"/>
        </w:rPr>
      </w:pPr>
      <w:r>
        <w:rPr>
          <w:rFonts w:eastAsia="Times New Roman"/>
          <w:color w:val="000000"/>
          <w:sz w:val="20"/>
          <w:szCs w:val="20"/>
        </w:rPr>
        <w:t>Non-GAAP Operating Earnings equals our consolidated after-tax net income attributable to Holdings adjusted to elimin</w:t>
      </w:r>
      <w:r>
        <w:rPr>
          <w:rFonts w:eastAsia="Times New Roman"/>
          <w:color w:val="000000"/>
          <w:sz w:val="20"/>
          <w:szCs w:val="20"/>
        </w:rPr>
        <w:t xml:space="preserve">ate the impact of the following items: </w:t>
      </w:r>
    </w:p>
    <w:p w:rsidR="00000000" w:rsidRDefault="00E54EC0">
      <w:pPr>
        <w:ind w:hanging="360"/>
        <w:jc w:val="both"/>
        <w:divId w:val="347293250"/>
        <w:rPr>
          <w:rFonts w:eastAsia="Times New Roman"/>
        </w:rPr>
      </w:pP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w:t>
      </w:r>
      <w:r>
        <w:rPr>
          <w:rFonts w:eastAsia="Times New Roman"/>
          <w:color w:val="000000"/>
          <w:sz w:val="20"/>
          <w:szCs w:val="20"/>
        </w:rPr>
        <w:t>k adjustments, including extraordinary economic conditions or events such as COVID-19; (iii) changes in the fair value of the embedded derivatives reflected within variable annuity products’ net derivative results and the impact of these items on DAC amort</w:t>
      </w:r>
      <w:r>
        <w:rPr>
          <w:rFonts w:eastAsia="Times New Roman"/>
          <w:color w:val="000000"/>
          <w:sz w:val="20"/>
          <w:szCs w:val="20"/>
        </w:rPr>
        <w:t xml:space="preserve">ization on our SCS product; and (iv) DAC amortization for the SCS variable annuity product arising from near-term fluctuations in index segment returns; </w:t>
      </w:r>
    </w:p>
    <w:p w:rsidR="00000000" w:rsidRDefault="00E54EC0">
      <w:pPr>
        <w:ind w:hanging="360"/>
        <w:jc w:val="both"/>
        <w:divId w:val="1642077718"/>
        <w:rPr>
          <w:rFonts w:eastAsia="Times New Roman"/>
        </w:rPr>
      </w:pPr>
      <w:r>
        <w:rPr>
          <w:rFonts w:eastAsia="Times New Roman"/>
          <w:color w:val="000000"/>
          <w:sz w:val="20"/>
          <w:szCs w:val="20"/>
        </w:rPr>
        <w:t>•Investment (gains) losses, which includes credit loss impairments of securities/investments, sales or</w:t>
      </w:r>
      <w:r>
        <w:rPr>
          <w:rFonts w:eastAsia="Times New Roman"/>
          <w:color w:val="000000"/>
          <w:sz w:val="20"/>
          <w:szCs w:val="20"/>
        </w:rPr>
        <w:t xml:space="preserve"> disposals of securities/investments, realized capital gains/losses and valuation allowances; </w:t>
      </w:r>
    </w:p>
    <w:p w:rsidR="00000000" w:rsidRDefault="00E54EC0">
      <w:pPr>
        <w:ind w:hanging="360"/>
        <w:jc w:val="both"/>
        <w:divId w:val="864756071"/>
        <w:rPr>
          <w:rFonts w:eastAsia="Times New Roman"/>
        </w:rPr>
      </w:pPr>
      <w:r>
        <w:rPr>
          <w:rFonts w:eastAsia="Times New Roman"/>
          <w:color w:val="000000"/>
          <w:sz w:val="20"/>
          <w:szCs w:val="20"/>
        </w:rPr>
        <w:t>•Net actuarial (gains) losses, which includes actuarial gains and losses as a result of differences between actual and expected experience on pension plan assets</w:t>
      </w:r>
      <w:r>
        <w:rPr>
          <w:rFonts w:eastAsia="Times New Roman"/>
          <w:color w:val="000000"/>
          <w:sz w:val="20"/>
          <w:szCs w:val="20"/>
        </w:rPr>
        <w:t xml:space="preserve"> or projected benefit obligation during a given period related to pension, other postretirement benefit obligations, and the one-time impact of the settlement of the defined benefit obligation; </w:t>
      </w:r>
    </w:p>
    <w:p w:rsidR="00000000" w:rsidRDefault="00E54EC0">
      <w:pPr>
        <w:ind w:hanging="360"/>
        <w:jc w:val="both"/>
        <w:divId w:val="194274781"/>
        <w:rPr>
          <w:rFonts w:eastAsia="Times New Roman"/>
        </w:rPr>
      </w:pPr>
      <w:r>
        <w:rPr>
          <w:rFonts w:eastAsia="Times New Roman"/>
          <w:color w:val="000000"/>
          <w:sz w:val="20"/>
          <w:szCs w:val="20"/>
        </w:rPr>
        <w:t>•Other adjustments, which primarily include restructuring cos</w:t>
      </w:r>
      <w:r>
        <w:rPr>
          <w:rFonts w:eastAsia="Times New Roman"/>
          <w:color w:val="000000"/>
          <w:sz w:val="20"/>
          <w:szCs w:val="20"/>
        </w:rPr>
        <w:t>ts related to severance and separation, lease write-offs related to non-recurring restructuring activities, COVID-19 related impacts, net derivative gains (losses) on certain Non-GMxB der</w:t>
      </w:r>
      <w:r>
        <w:rPr>
          <w:rFonts w:eastAsia="Times New Roman"/>
          <w:color w:val="000000"/>
          <w:sz w:val="20"/>
          <w:szCs w:val="20"/>
          <w:shd w:val="clear" w:color="auto" w:fill="FFFFFF"/>
        </w:rPr>
        <w:t>ivatives, net investment income from certain items including consolid</w:t>
      </w:r>
      <w:r>
        <w:rPr>
          <w:rFonts w:eastAsia="Times New Roman"/>
          <w:color w:val="000000"/>
          <w:sz w:val="20"/>
          <w:szCs w:val="20"/>
          <w:shd w:val="clear" w:color="auto" w:fill="FFFFFF"/>
        </w:rPr>
        <w:t xml:space="preserve">ated VIE investments, seed capital mark-to-market adjustments, unrealized gain/losses and realized capital gains/losses from sales or disposals of select securities, certain legal accruals; and a bespoke deal to repurchase UL policies from one entity that </w:t>
      </w:r>
      <w:r>
        <w:rPr>
          <w:rFonts w:eastAsia="Times New Roman"/>
          <w:color w:val="000000"/>
          <w:sz w:val="20"/>
          <w:szCs w:val="20"/>
          <w:shd w:val="clear" w:color="auto" w:fill="FFFFFF"/>
        </w:rPr>
        <w:t>had invested in numerous policies p</w:t>
      </w:r>
      <w:r>
        <w:rPr>
          <w:rFonts w:eastAsia="Times New Roman"/>
          <w:color w:val="000000"/>
          <w:sz w:val="20"/>
          <w:szCs w:val="20"/>
        </w:rPr>
        <w:t xml:space="preserve">urchased in the life settlement market, which disposed of the risk of additional COI litigation by that entity related to those UL policies; and </w:t>
      </w:r>
    </w:p>
    <w:p w:rsidR="00000000" w:rsidRDefault="00E54EC0">
      <w:pPr>
        <w:ind w:hanging="360"/>
        <w:jc w:val="both"/>
        <w:divId w:val="2034263073"/>
        <w:rPr>
          <w:rFonts w:eastAsia="Times New Roman"/>
        </w:rPr>
      </w:pPr>
      <w:r>
        <w:rPr>
          <w:rFonts w:eastAsia="Times New Roman"/>
          <w:color w:val="000000"/>
          <w:sz w:val="20"/>
          <w:szCs w:val="20"/>
        </w:rPr>
        <w:t xml:space="preserve">•Income tax expense (benefit) related to the above items and non-recurring </w:t>
      </w:r>
      <w:r>
        <w:rPr>
          <w:rFonts w:eastAsia="Times New Roman"/>
          <w:color w:val="000000"/>
          <w:sz w:val="20"/>
          <w:szCs w:val="20"/>
        </w:rPr>
        <w:t>tax items, which includes the effect of uncertain tax positions for a given audit period.</w:t>
      </w:r>
    </w:p>
    <w:p w:rsidR="00000000" w:rsidRDefault="00E54EC0">
      <w:pPr>
        <w:ind w:firstLine="360"/>
        <w:divId w:val="2046976434"/>
        <w:rPr>
          <w:rFonts w:eastAsia="Times New Roman"/>
        </w:rPr>
      </w:pPr>
      <w:r>
        <w:rPr>
          <w:rFonts w:eastAsia="Times New Roman"/>
          <w:color w:val="000000"/>
          <w:sz w:val="20"/>
          <w:szCs w:val="20"/>
        </w:rPr>
        <w:t>Because Non-GAAP Operating Earnings excludes the foregoing items that can be distortive or unpredictable, management believes that this measure enhances the understan</w:t>
      </w:r>
      <w:r>
        <w:rPr>
          <w:rFonts w:eastAsia="Times New Roman"/>
          <w:color w:val="000000"/>
          <w:sz w:val="20"/>
          <w:szCs w:val="20"/>
        </w:rPr>
        <w:t xml:space="preserve">ding of the Company’s underlying drivers of profitability and trends in our business, thereby allowing management to make decisions that will positively impact our business. </w:t>
      </w:r>
    </w:p>
    <w:p w:rsidR="00000000" w:rsidRDefault="00E54EC0">
      <w:pPr>
        <w:jc w:val="center"/>
        <w:divId w:val="403991561"/>
        <w:rPr>
          <w:rFonts w:eastAsia="Times New Roman"/>
        </w:rPr>
      </w:pPr>
      <w:r>
        <w:rPr>
          <w:rFonts w:eastAsia="Times New Roman"/>
          <w:color w:val="000000"/>
          <w:sz w:val="20"/>
          <w:szCs w:val="20"/>
        </w:rPr>
        <w:t>80</w:t>
      </w:r>
    </w:p>
    <w:p w:rsidR="00000000" w:rsidRDefault="00E54EC0">
      <w:pPr>
        <w:rPr>
          <w:rFonts w:eastAsia="Times New Roman"/>
        </w:rPr>
      </w:pPr>
      <w:r>
        <w:rPr>
          <w:rFonts w:eastAsia="Times New Roman"/>
        </w:rPr>
        <w:pict>
          <v:rect id="_x0000_i1118" style="width:0;height:1.5pt" o:hralign="center" o:hrstd="t" o:hr="t" fillcolor="#a0a0a0" stroked="f"/>
        </w:pict>
      </w:r>
    </w:p>
    <w:p w:rsidR="00000000" w:rsidRDefault="00E54EC0">
      <w:pPr>
        <w:divId w:val="811992400"/>
        <w:rPr>
          <w:rFonts w:eastAsia="Times New Roman"/>
        </w:rPr>
      </w:pPr>
    </w:p>
    <w:p w:rsidR="00000000" w:rsidRDefault="00E54EC0">
      <w:pPr>
        <w:ind w:firstLine="360"/>
        <w:divId w:val="1912500169"/>
        <w:rPr>
          <w:rFonts w:eastAsia="Times New Roman"/>
        </w:rPr>
      </w:pPr>
      <w:r>
        <w:rPr>
          <w:rFonts w:eastAsia="Times New Roman"/>
          <w:color w:val="000000"/>
          <w:sz w:val="20"/>
          <w:szCs w:val="20"/>
        </w:rPr>
        <w:t xml:space="preserve">We use the prevailing corporate federal </w:t>
      </w:r>
      <w:r>
        <w:rPr>
          <w:rFonts w:eastAsia="Times New Roman"/>
          <w:color w:val="000000"/>
          <w:sz w:val="20"/>
          <w:szCs w:val="20"/>
        </w:rPr>
        <w:t>income tax rate of 21% while taking into account any non-recurring differences for events recognized differently in our financial statements and federal income tax returns as well as partnership income taxed at lower rates when reconciling Net income (loss</w:t>
      </w:r>
      <w:r>
        <w:rPr>
          <w:rFonts w:eastAsia="Times New Roman"/>
          <w:color w:val="000000"/>
          <w:sz w:val="20"/>
          <w:szCs w:val="20"/>
        </w:rPr>
        <w:t xml:space="preserve">) attributable to Holdings to Non-GAAP Operating Earnings. </w:t>
      </w:r>
    </w:p>
    <w:p w:rsidR="00000000" w:rsidRDefault="00E54EC0">
      <w:pPr>
        <w:divId w:val="358438000"/>
        <w:rPr>
          <w:rFonts w:eastAsia="Times New Roman"/>
        </w:rPr>
      </w:pPr>
      <w:r>
        <w:rPr>
          <w:rFonts w:eastAsia="Times New Roman"/>
          <w:color w:val="000000"/>
          <w:sz w:val="20"/>
          <w:szCs w:val="20"/>
        </w:rPr>
        <w:t>The table below presents a reconciliation of net income (loss) attributable to Holdings to Non-GAAP Operating Earnings for the years ended December 31, 2022, 2021 and 2020:</w:t>
      </w:r>
    </w:p>
    <w:tbl>
      <w:tblPr>
        <w:tblW w:w="4978" w:type="pct"/>
        <w:tblCellMar>
          <w:top w:w="15" w:type="dxa"/>
          <w:left w:w="15" w:type="dxa"/>
          <w:bottom w:w="15" w:type="dxa"/>
          <w:right w:w="15" w:type="dxa"/>
        </w:tblCellMar>
        <w:tblLook w:val="04A0" w:firstRow="1" w:lastRow="0" w:firstColumn="1" w:lastColumn="0" w:noHBand="0" w:noVBand="1"/>
      </w:tblPr>
      <w:tblGrid>
        <w:gridCol w:w="40"/>
        <w:gridCol w:w="4224"/>
        <w:gridCol w:w="39"/>
        <w:gridCol w:w="120"/>
        <w:gridCol w:w="980"/>
        <w:gridCol w:w="36"/>
        <w:gridCol w:w="36"/>
        <w:gridCol w:w="36"/>
        <w:gridCol w:w="36"/>
        <w:gridCol w:w="120"/>
        <w:gridCol w:w="935"/>
        <w:gridCol w:w="36"/>
        <w:gridCol w:w="36"/>
        <w:gridCol w:w="36"/>
        <w:gridCol w:w="36"/>
        <w:gridCol w:w="120"/>
        <w:gridCol w:w="935"/>
        <w:gridCol w:w="36"/>
        <w:gridCol w:w="36"/>
        <w:gridCol w:w="36"/>
        <w:gridCol w:w="36"/>
        <w:gridCol w:w="36"/>
        <w:gridCol w:w="36"/>
        <w:gridCol w:w="36"/>
        <w:gridCol w:w="36"/>
        <w:gridCol w:w="36"/>
        <w:gridCol w:w="36"/>
        <w:gridCol w:w="36"/>
        <w:gridCol w:w="36"/>
        <w:gridCol w:w="36"/>
      </w:tblGrid>
      <w:tr w:rsidR="00000000">
        <w:trPr>
          <w:divId w:val="285308394"/>
        </w:trPr>
        <w:tc>
          <w:tcPr>
            <w:tcW w:w="50" w:type="pct"/>
            <w:vAlign w:val="center"/>
            <w:hideMark/>
          </w:tcPr>
          <w:p w:rsidR="00000000" w:rsidRDefault="00E54EC0">
            <w:pPr>
              <w:rPr>
                <w:rFonts w:eastAsia="Times New Roman"/>
              </w:rPr>
            </w:pPr>
          </w:p>
        </w:tc>
        <w:tc>
          <w:tcPr>
            <w:tcW w:w="27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(439)</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annuity product features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adjustments (2) (3) (4) (5)</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 expense (benefit) related to above adjustments (6)</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Non-recurring tax items (7)</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85308394"/>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990477848"/>
        <w:rPr>
          <w:rFonts w:eastAsia="Times New Roman"/>
        </w:rPr>
      </w:pPr>
      <w:r>
        <w:rPr>
          <w:rFonts w:eastAsia="Times New Roman"/>
          <w:color w:val="000000"/>
          <w:sz w:val="18"/>
          <w:szCs w:val="18"/>
        </w:rPr>
        <w:t>___________</w:t>
      </w:r>
    </w:p>
    <w:p w:rsidR="00000000" w:rsidRDefault="00E54EC0">
      <w:pPr>
        <w:ind w:hanging="540"/>
        <w:divId w:val="247664179"/>
        <w:rPr>
          <w:rFonts w:eastAsia="Times New Roman"/>
        </w:rPr>
      </w:pPr>
      <w:r>
        <w:rPr>
          <w:rFonts w:eastAsia="Times New Roman"/>
          <w:color w:val="000000"/>
          <w:sz w:val="18"/>
          <w:szCs w:val="18"/>
        </w:rPr>
        <w:t>(1)Includes COVID-19 impact on Variable annuity product features due to a first quarter 2020 assumption update of $1.5 billion and other COVID-19 related impacts of $35 million for the y</w:t>
      </w:r>
      <w:r>
        <w:rPr>
          <w:rFonts w:eastAsia="Times New Roman"/>
          <w:color w:val="000000"/>
          <w:sz w:val="18"/>
          <w:szCs w:val="18"/>
        </w:rPr>
        <w:t xml:space="preserve">ear ended December 31, 2020. </w:t>
      </w:r>
    </w:p>
    <w:p w:rsidR="00000000" w:rsidRDefault="00E54EC0">
      <w:pPr>
        <w:ind w:hanging="540"/>
        <w:divId w:val="1021005715"/>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$86 million for the year ended December 31, 2020.</w:t>
      </w:r>
    </w:p>
    <w:p w:rsidR="00000000" w:rsidRDefault="00E54EC0">
      <w:pPr>
        <w:ind w:hanging="540"/>
        <w:divId w:val="1452284640"/>
        <w:rPr>
          <w:rFonts w:eastAsia="Times New Roman"/>
        </w:rPr>
      </w:pPr>
      <w:r>
        <w:rPr>
          <w:rFonts w:eastAsia="Times New Roman"/>
          <w:color w:val="000000"/>
          <w:sz w:val="18"/>
          <w:szCs w:val="18"/>
        </w:rPr>
        <w:t>(3)Includes separation cost</w:t>
      </w:r>
      <w:r>
        <w:rPr>
          <w:rFonts w:eastAsia="Times New Roman"/>
          <w:color w:val="000000"/>
          <w:sz w:val="18"/>
          <w:szCs w:val="18"/>
        </w:rPr>
        <w:t>s of $82 million and $108 million for the years ended December 31, 2021 and 2020, respectively. Separation costs were completed during 2021.</w:t>
      </w:r>
    </w:p>
    <w:p w:rsidR="00000000" w:rsidRDefault="00E54EC0">
      <w:pPr>
        <w:ind w:hanging="540"/>
        <w:divId w:val="354430079"/>
        <w:rPr>
          <w:rFonts w:eastAsia="Times New Roman"/>
        </w:rPr>
      </w:pPr>
      <w:r>
        <w:rPr>
          <w:rFonts w:eastAsia="Times New Roman"/>
          <w:color w:val="000000"/>
          <w:sz w:val="18"/>
          <w:szCs w:val="18"/>
        </w:rPr>
        <w:t>(4)Includes Non-GMxB related derivative hedge losses of ($34) million, $65 million and ($404) million for the years</w:t>
      </w:r>
      <w:r>
        <w:rPr>
          <w:rFonts w:eastAsia="Times New Roman"/>
          <w:color w:val="000000"/>
          <w:sz w:val="18"/>
          <w:szCs w:val="18"/>
        </w:rPr>
        <w:t xml:space="preserve"> ended December 31, 2022, 2021 and 2020, respectively.</w:t>
      </w:r>
    </w:p>
    <w:p w:rsidR="00000000" w:rsidRDefault="00E54EC0">
      <w:pPr>
        <w:ind w:hanging="540"/>
        <w:divId w:val="314837898"/>
        <w:rPr>
          <w:rFonts w:eastAsia="Times New Roman"/>
        </w:rPr>
      </w:pPr>
      <w:r>
        <w:rPr>
          <w:rFonts w:eastAsia="Times New Roman"/>
          <w:color w:val="000000"/>
          <w:sz w:val="18"/>
          <w:szCs w:val="18"/>
        </w:rPr>
        <w:t>(5)Includes certain gross legal expenses related to the cost of insurance litigation and claims related to a commercial relationship of $218 million and $207 million for the year ended December 31, 202</w:t>
      </w:r>
      <w:r>
        <w:rPr>
          <w:rFonts w:eastAsia="Times New Roman"/>
          <w:color w:val="000000"/>
          <w:sz w:val="18"/>
          <w:szCs w:val="18"/>
        </w:rPr>
        <w:t>2 and 2021, respectively. Includes policyholder benefit costs of $75 million for the year ended December 31, 2022.</w:t>
      </w:r>
    </w:p>
    <w:p w:rsidR="00000000" w:rsidRDefault="00E54EC0">
      <w:pPr>
        <w:ind w:hanging="540"/>
        <w:divId w:val="1098523692"/>
        <w:rPr>
          <w:rFonts w:eastAsia="Times New Roman"/>
        </w:rPr>
      </w:pPr>
      <w:r>
        <w:rPr>
          <w:rFonts w:eastAsia="Times New Roman"/>
          <w:color w:val="000000"/>
          <w:sz w:val="18"/>
          <w:szCs w:val="18"/>
        </w:rPr>
        <w:t xml:space="preserve">(6)Includes income taxes of ($554) million for the above related COVID-19 items for the year ended December 31, 2020. </w:t>
      </w:r>
    </w:p>
    <w:p w:rsidR="00000000" w:rsidRDefault="00E54EC0">
      <w:pPr>
        <w:ind w:hanging="540"/>
        <w:divId w:val="1295408893"/>
        <w:rPr>
          <w:rFonts w:eastAsia="Times New Roman"/>
        </w:rPr>
      </w:pPr>
      <w:r>
        <w:rPr>
          <w:rFonts w:eastAsia="Times New Roman"/>
          <w:color w:val="000000"/>
          <w:sz w:val="18"/>
          <w:szCs w:val="18"/>
        </w:rPr>
        <w:t>(7)Includes a reductio</w:t>
      </w:r>
      <w:r>
        <w:rPr>
          <w:rFonts w:eastAsia="Times New Roman"/>
          <w:color w:val="000000"/>
          <w:sz w:val="18"/>
          <w:szCs w:val="18"/>
        </w:rPr>
        <w:t>n in the reserve for uncertain tax positions resulting from the completion of an IRS examination in the year ended December 31, 2020.</w:t>
      </w:r>
    </w:p>
    <w:p w:rsidR="00000000" w:rsidRDefault="00E54EC0">
      <w:pPr>
        <w:jc w:val="both"/>
        <w:divId w:val="643706103"/>
        <w:rPr>
          <w:rFonts w:eastAsia="Times New Roman"/>
        </w:rPr>
      </w:pPr>
      <w:r>
        <w:rPr>
          <w:rFonts w:eastAsia="Times New Roman"/>
          <w:b/>
          <w:bCs/>
          <w:i/>
          <w:iCs/>
          <w:color w:val="000000"/>
          <w:sz w:val="20"/>
          <w:szCs w:val="20"/>
        </w:rPr>
        <w:t>Non-GAAP Operating ROE     </w:t>
      </w:r>
    </w:p>
    <w:p w:rsidR="00000000" w:rsidRDefault="00E54EC0">
      <w:pPr>
        <w:ind w:firstLine="360"/>
        <w:divId w:val="94978417"/>
        <w:rPr>
          <w:rFonts w:eastAsia="Times New Roman"/>
        </w:rPr>
      </w:pPr>
      <w:r>
        <w:rPr>
          <w:rFonts w:eastAsia="Times New Roman"/>
          <w:color w:val="000000"/>
          <w:sz w:val="20"/>
          <w:szCs w:val="20"/>
        </w:rPr>
        <w:t>We calculate Non-GAAP Operating ROE by dividing Non-GAAP Operating Earnings for the previous t</w:t>
      </w:r>
      <w:r>
        <w:rPr>
          <w:rFonts w:eastAsia="Times New Roman"/>
          <w:color w:val="000000"/>
          <w:sz w:val="20"/>
          <w:szCs w:val="20"/>
        </w:rPr>
        <w:t>welve calendar months by consolidated average equity attributable to Holdings’ common shareholders, excluding AOCI. AOCI fluctuates period-to-period in a manner inconsistent with our underlying profitability drivers as the majority of such fluctuation is r</w:t>
      </w:r>
      <w:r>
        <w:rPr>
          <w:rFonts w:eastAsia="Times New Roman"/>
          <w:color w:val="000000"/>
          <w:sz w:val="20"/>
          <w:szCs w:val="20"/>
        </w:rPr>
        <w:t xml:space="preserve">elated to the market volatility of the unrealized gains and losses associated with our AFS securities. Therefore, we believe excluding AOCI is more effective for analyzing the trends of our operations. </w:t>
      </w:r>
    </w:p>
    <w:p w:rsidR="00000000" w:rsidRDefault="00E54EC0">
      <w:pPr>
        <w:ind w:firstLine="360"/>
        <w:divId w:val="562525401"/>
        <w:rPr>
          <w:rFonts w:eastAsia="Times New Roman"/>
        </w:rPr>
      </w:pPr>
      <w:r>
        <w:rPr>
          <w:rFonts w:eastAsia="Times New Roman"/>
          <w:color w:val="000000"/>
          <w:sz w:val="20"/>
          <w:szCs w:val="20"/>
        </w:rPr>
        <w:t>The following table presents return on average equity attributable to Holdings’ common shareholders, excluding AOCI and Non-GAAP Operating ROE for the year ended December 31, 2022.</w:t>
      </w:r>
    </w:p>
    <w:tbl>
      <w:tblPr>
        <w:tblW w:w="5000" w:type="pct"/>
        <w:tblCellMar>
          <w:top w:w="15" w:type="dxa"/>
          <w:left w:w="15" w:type="dxa"/>
          <w:bottom w:w="15" w:type="dxa"/>
          <w:right w:w="15" w:type="dxa"/>
        </w:tblCellMar>
        <w:tblLook w:val="04A0" w:firstRow="1" w:lastRow="0" w:firstColumn="1" w:lastColumn="0" w:noHBand="0" w:noVBand="1"/>
      </w:tblPr>
      <w:tblGrid>
        <w:gridCol w:w="37"/>
        <w:gridCol w:w="6560"/>
        <w:gridCol w:w="36"/>
        <w:gridCol w:w="120"/>
        <w:gridCol w:w="1333"/>
        <w:gridCol w:w="220"/>
      </w:tblGrid>
      <w:tr w:rsidR="00000000">
        <w:trPr>
          <w:divId w:val="591935265"/>
        </w:trPr>
        <w:tc>
          <w:tcPr>
            <w:tcW w:w="50" w:type="pct"/>
            <w:vAlign w:val="center"/>
            <w:hideMark/>
          </w:tcPr>
          <w:p w:rsidR="00000000" w:rsidRDefault="00E54EC0">
            <w:pPr>
              <w:ind w:firstLine="360"/>
              <w:rPr>
                <w:rFonts w:eastAsia="Times New Roman"/>
              </w:rPr>
            </w:pPr>
          </w:p>
        </w:tc>
        <w:tc>
          <w:tcPr>
            <w:tcW w:w="403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5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9193526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 2022</w:t>
            </w:r>
          </w:p>
        </w:tc>
      </w:tr>
      <w:tr w:rsidR="00000000">
        <w:trPr>
          <w:divId w:val="59193526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919352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9193526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9,088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919352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b/>
                <w:bCs/>
                <w:color w:val="000000"/>
                <w:sz w:val="20"/>
                <w:szCs w:val="20"/>
              </w:rPr>
              <w:t>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591935265"/>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919352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9193526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9,088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919352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bl>
    <w:p w:rsidR="00000000" w:rsidRDefault="00E54EC0">
      <w:pPr>
        <w:ind w:firstLine="360"/>
        <w:divId w:val="341705607"/>
        <w:rPr>
          <w:rFonts w:eastAsia="Times New Roman"/>
        </w:rPr>
      </w:pPr>
    </w:p>
    <w:p w:rsidR="00000000" w:rsidRDefault="00E54EC0">
      <w:pPr>
        <w:jc w:val="center"/>
        <w:divId w:val="1654531558"/>
        <w:rPr>
          <w:rFonts w:eastAsia="Times New Roman"/>
        </w:rPr>
      </w:pPr>
      <w:r>
        <w:rPr>
          <w:rFonts w:eastAsia="Times New Roman"/>
          <w:color w:val="000000"/>
          <w:sz w:val="20"/>
          <w:szCs w:val="20"/>
        </w:rPr>
        <w:t>81</w:t>
      </w:r>
    </w:p>
    <w:p w:rsidR="00000000" w:rsidRDefault="00E54EC0">
      <w:pPr>
        <w:rPr>
          <w:rFonts w:eastAsia="Times New Roman"/>
        </w:rPr>
      </w:pPr>
      <w:r>
        <w:rPr>
          <w:rFonts w:eastAsia="Times New Roman"/>
        </w:rPr>
        <w:pict>
          <v:rect id="_x0000_i1119" style="width:0;height:1.5pt" o:hralign="center" o:hrstd="t" o:hr="t" fillcolor="#a0a0a0" stroked="f"/>
        </w:pict>
      </w:r>
    </w:p>
    <w:p w:rsidR="00000000" w:rsidRDefault="00E54EC0">
      <w:pPr>
        <w:divId w:val="1817457765"/>
        <w:rPr>
          <w:rFonts w:eastAsia="Times New Roman"/>
        </w:rPr>
      </w:pPr>
    </w:p>
    <w:p w:rsidR="00000000" w:rsidRDefault="00E54EC0">
      <w:pPr>
        <w:ind w:hanging="360"/>
        <w:divId w:val="1970934513"/>
        <w:rPr>
          <w:rFonts w:eastAsia="Times New Roman"/>
        </w:rPr>
      </w:pPr>
    </w:p>
    <w:p w:rsidR="00000000" w:rsidRDefault="00E54EC0">
      <w:pPr>
        <w:jc w:val="both"/>
        <w:divId w:val="1035622650"/>
        <w:rPr>
          <w:rFonts w:eastAsia="Times New Roman"/>
        </w:rPr>
      </w:pPr>
      <w:r>
        <w:rPr>
          <w:rFonts w:eastAsia="Times New Roman"/>
          <w:b/>
          <w:bCs/>
          <w:i/>
          <w:iCs/>
          <w:color w:val="000000"/>
          <w:sz w:val="20"/>
          <w:szCs w:val="20"/>
        </w:rPr>
        <w:t>Non-GAAP Operating Common EPS</w:t>
      </w:r>
    </w:p>
    <w:p w:rsidR="00000000" w:rsidRDefault="00E54EC0">
      <w:pPr>
        <w:ind w:firstLine="360"/>
        <w:divId w:val="329406808"/>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operating common EPS for</w:t>
      </w:r>
      <w:r>
        <w:rPr>
          <w:rFonts w:eastAsia="Times New Roman"/>
          <w:color w:val="000000"/>
          <w:sz w:val="20"/>
          <w:szCs w:val="20"/>
        </w:rPr>
        <w:t xml:space="preserve"> the years ended December 31, 2022, 2021 and 2020.</w:t>
      </w:r>
    </w:p>
    <w:tbl>
      <w:tblPr>
        <w:tblW w:w="4978" w:type="pct"/>
        <w:tblCellMar>
          <w:top w:w="15" w:type="dxa"/>
          <w:left w:w="15" w:type="dxa"/>
          <w:bottom w:w="15" w:type="dxa"/>
          <w:right w:w="15" w:type="dxa"/>
        </w:tblCellMar>
        <w:tblLook w:val="04A0" w:firstRow="1" w:lastRow="0" w:firstColumn="1" w:lastColumn="0" w:noHBand="0" w:noVBand="1"/>
      </w:tblPr>
      <w:tblGrid>
        <w:gridCol w:w="40"/>
        <w:gridCol w:w="4471"/>
        <w:gridCol w:w="39"/>
        <w:gridCol w:w="120"/>
        <w:gridCol w:w="1039"/>
        <w:gridCol w:w="36"/>
        <w:gridCol w:w="36"/>
        <w:gridCol w:w="36"/>
        <w:gridCol w:w="36"/>
        <w:gridCol w:w="120"/>
        <w:gridCol w:w="998"/>
        <w:gridCol w:w="36"/>
        <w:gridCol w:w="36"/>
        <w:gridCol w:w="36"/>
        <w:gridCol w:w="36"/>
        <w:gridCol w:w="120"/>
        <w:gridCol w:w="998"/>
        <w:gridCol w:w="36"/>
      </w:tblGrid>
      <w:tr w:rsidR="00000000">
        <w:trPr>
          <w:divId w:val="1164471463"/>
        </w:trPr>
        <w:tc>
          <w:tcPr>
            <w:tcW w:w="50" w:type="pct"/>
            <w:vAlign w:val="center"/>
            <w:hideMark/>
          </w:tcPr>
          <w:p w:rsidR="00000000" w:rsidRDefault="00E54EC0">
            <w:pPr>
              <w:ind w:firstLine="360"/>
              <w:rPr>
                <w:rFonts w:eastAsia="Times New Roman"/>
              </w:rPr>
            </w:pPr>
          </w:p>
        </w:tc>
        <w:tc>
          <w:tcPr>
            <w:tcW w:w="27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6447146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16447146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16447146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(per share amounts)</w:t>
            </w:r>
          </w:p>
        </w:tc>
      </w:tr>
      <w:tr w:rsidR="00000000">
        <w:trPr>
          <w:divId w:val="116447146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attributable to Holdings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available to Holdings’ common shareholders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6447146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annuity product features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adjustments (3) (4) (5) (6)</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Income tax expense (benefit) related to above adjustments (7)</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(0.15)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Non-recurring tax items (8)</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(0.87)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6447146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659069804"/>
        <w:rPr>
          <w:rFonts w:eastAsia="Times New Roman"/>
        </w:rPr>
      </w:pPr>
      <w:r>
        <w:rPr>
          <w:rFonts w:eastAsia="Times New Roman"/>
          <w:color w:val="000000"/>
          <w:sz w:val="18"/>
          <w:szCs w:val="18"/>
        </w:rPr>
        <w:t>______________</w:t>
      </w:r>
    </w:p>
    <w:p w:rsidR="00000000" w:rsidRDefault="00E54EC0">
      <w:pPr>
        <w:ind w:hanging="360"/>
        <w:divId w:val="175731171"/>
        <w:rPr>
          <w:rFonts w:eastAsia="Times New Roman"/>
        </w:rPr>
      </w:pPr>
      <w:r>
        <w:rPr>
          <w:rFonts w:eastAsia="Times New Roman"/>
          <w:color w:val="000000"/>
          <w:sz w:val="18"/>
          <w:szCs w:val="18"/>
        </w:rPr>
        <w:t>(1)</w:t>
      </w:r>
      <w:r>
        <w:rPr>
          <w:rFonts w:eastAsia="Times New Roman"/>
          <w:color w:val="000000"/>
          <w:sz w:val="18"/>
          <w:szCs w:val="18"/>
        </w:rPr>
        <w:t>For periods presented with a net loss, basic shares was used for the years ended December 31, 2022, 2021 and 2020.</w:t>
      </w:r>
    </w:p>
    <w:p w:rsidR="00000000" w:rsidRDefault="00E54EC0">
      <w:pPr>
        <w:ind w:hanging="360"/>
        <w:divId w:val="1048451236"/>
        <w:rPr>
          <w:rFonts w:eastAsia="Times New Roman"/>
        </w:rPr>
      </w:pPr>
      <w:r>
        <w:rPr>
          <w:rFonts w:eastAsia="Times New Roman"/>
          <w:color w:val="000000"/>
          <w:sz w:val="18"/>
          <w:szCs w:val="18"/>
        </w:rPr>
        <w:t>(2)Includes COVID-19 impact on Variable annuity product features due to a first quarter 2020 assumption update of $3.26 and other COVID-19 re</w:t>
      </w:r>
      <w:r>
        <w:rPr>
          <w:rFonts w:eastAsia="Times New Roman"/>
          <w:color w:val="000000"/>
          <w:sz w:val="18"/>
          <w:szCs w:val="18"/>
        </w:rPr>
        <w:t xml:space="preserve">lated impacts of $0.08 for the year ended December 31, 2020. </w:t>
      </w:r>
    </w:p>
    <w:p w:rsidR="00000000" w:rsidRDefault="00E54EC0">
      <w:pPr>
        <w:ind w:hanging="360"/>
        <w:divId w:val="1545753894"/>
        <w:rPr>
          <w:rFonts w:eastAsia="Times New Roman"/>
        </w:rPr>
      </w:pPr>
      <w:r>
        <w:rPr>
          <w:rFonts w:eastAsia="Times New Roman"/>
          <w:color w:val="000000"/>
          <w:sz w:val="18"/>
          <w:szCs w:val="18"/>
        </w:rPr>
        <w:t>(3)Includes COVID-19 impact on Other adjustments due to a first quarter 2020 assumption update of $2.33 for the year ended December 31, 2020 and other COVID-19 related impacts of $0.19 for the y</w:t>
      </w:r>
      <w:r>
        <w:rPr>
          <w:rFonts w:eastAsia="Times New Roman"/>
          <w:color w:val="000000"/>
          <w:sz w:val="18"/>
          <w:szCs w:val="18"/>
        </w:rPr>
        <w:t>ear ended December 31, 2020.</w:t>
      </w:r>
    </w:p>
    <w:p w:rsidR="00000000" w:rsidRDefault="00E54EC0">
      <w:pPr>
        <w:ind w:hanging="360"/>
        <w:divId w:val="1135567297"/>
        <w:rPr>
          <w:rFonts w:eastAsia="Times New Roman"/>
        </w:rPr>
      </w:pPr>
      <w:r>
        <w:rPr>
          <w:rFonts w:eastAsia="Times New Roman"/>
          <w:color w:val="000000"/>
          <w:sz w:val="18"/>
          <w:szCs w:val="18"/>
        </w:rPr>
        <w:t>(4)Includes separation costs of $0.20 and $0.24 for the years ended December 31, 2021 and 2020, respectively. Separation costs were completed during 2021.</w:t>
      </w:r>
    </w:p>
    <w:p w:rsidR="00000000" w:rsidRDefault="00E54EC0">
      <w:pPr>
        <w:ind w:hanging="360"/>
        <w:divId w:val="1588071659"/>
        <w:rPr>
          <w:rFonts w:eastAsia="Times New Roman"/>
        </w:rPr>
      </w:pPr>
      <w:r>
        <w:rPr>
          <w:rFonts w:eastAsia="Times New Roman"/>
          <w:color w:val="000000"/>
          <w:sz w:val="18"/>
          <w:szCs w:val="18"/>
        </w:rPr>
        <w:t>(5)Includes Non-GMxB related derivative hedge losses of ($0.09), $0.14 a</w:t>
      </w:r>
      <w:r>
        <w:rPr>
          <w:rFonts w:eastAsia="Times New Roman"/>
          <w:color w:val="000000"/>
          <w:sz w:val="18"/>
          <w:szCs w:val="18"/>
        </w:rPr>
        <w:t>nd ($0.90) for the years ended December 31, 2022 and 2021, respectively.</w:t>
      </w:r>
    </w:p>
    <w:p w:rsidR="00000000" w:rsidRDefault="00E54EC0">
      <w:pPr>
        <w:ind w:hanging="360"/>
        <w:divId w:val="553809509"/>
        <w:rPr>
          <w:rFonts w:eastAsia="Times New Roman"/>
        </w:rPr>
      </w:pPr>
      <w:r>
        <w:rPr>
          <w:rFonts w:eastAsia="Times New Roman"/>
          <w:color w:val="000000"/>
          <w:sz w:val="18"/>
          <w:szCs w:val="18"/>
        </w:rPr>
        <w:t>(6)Includes certain gross legal expenses related to the cost of insurance litigation and claims related to a commercial relationship of $0.57 and $0.50 for the years ended December 31</w:t>
      </w:r>
      <w:r>
        <w:rPr>
          <w:rFonts w:eastAsia="Times New Roman"/>
          <w:color w:val="000000"/>
          <w:sz w:val="18"/>
          <w:szCs w:val="18"/>
        </w:rPr>
        <w:t xml:space="preserve">, 2022 and 2021, respectively. Includes policyholder benefit costs of $0.20 for the year ended December 31, 2022 stemming from a deal to repurchase UL policies from one entity that had invested in numerous policies purchased in the life settlement market. </w:t>
      </w:r>
      <w:r>
        <w:rPr>
          <w:rFonts w:eastAsia="Times New Roman"/>
          <w:color w:val="000000"/>
          <w:sz w:val="18"/>
          <w:szCs w:val="18"/>
        </w:rPr>
        <w:t>No adjustments were made to prior period non-GAAP operating EPS as the impact was immaterial.</w:t>
      </w:r>
    </w:p>
    <w:p w:rsidR="00000000" w:rsidRDefault="00E54EC0">
      <w:pPr>
        <w:ind w:hanging="360"/>
        <w:divId w:val="956525488"/>
        <w:rPr>
          <w:rFonts w:eastAsia="Times New Roman"/>
        </w:rPr>
      </w:pPr>
      <w:r>
        <w:rPr>
          <w:rFonts w:eastAsia="Times New Roman"/>
          <w:color w:val="000000"/>
          <w:sz w:val="18"/>
          <w:szCs w:val="18"/>
        </w:rPr>
        <w:t>(7)Includes income taxes of ($1.23) for the above related COVID-19 items for the year ended December 31, 2020.</w:t>
      </w:r>
    </w:p>
    <w:p w:rsidR="00000000" w:rsidRDefault="00E54EC0">
      <w:pPr>
        <w:ind w:hanging="360"/>
        <w:divId w:val="1851602224"/>
        <w:rPr>
          <w:rFonts w:eastAsia="Times New Roman"/>
        </w:rPr>
      </w:pPr>
      <w:r>
        <w:rPr>
          <w:rFonts w:eastAsia="Times New Roman"/>
          <w:color w:val="000000"/>
          <w:sz w:val="18"/>
          <w:szCs w:val="18"/>
        </w:rPr>
        <w:t>(8)Includes a reduction in the reserve for uncertai</w:t>
      </w:r>
      <w:r>
        <w:rPr>
          <w:rFonts w:eastAsia="Times New Roman"/>
          <w:color w:val="000000"/>
          <w:sz w:val="18"/>
          <w:szCs w:val="18"/>
        </w:rPr>
        <w:t>n tax positions resulting from the completion of an IRS examination in the year ended December 31, 2020.</w:t>
      </w:r>
    </w:p>
    <w:p w:rsidR="00000000" w:rsidRDefault="00E54EC0">
      <w:pPr>
        <w:ind w:firstLine="360"/>
        <w:jc w:val="both"/>
        <w:divId w:val="2110853281"/>
        <w:rPr>
          <w:rFonts w:eastAsia="Times New Roman"/>
        </w:rPr>
      </w:pPr>
      <w:r>
        <w:rPr>
          <w:rFonts w:eastAsia="Times New Roman"/>
          <w:b/>
          <w:bCs/>
          <w:i/>
          <w:iCs/>
          <w:color w:val="000000"/>
          <w:sz w:val="20"/>
          <w:szCs w:val="20"/>
        </w:rPr>
        <w:t xml:space="preserve">Assets Under Management </w:t>
      </w:r>
    </w:p>
    <w:p w:rsidR="00000000" w:rsidRDefault="00E54EC0">
      <w:pPr>
        <w:ind w:firstLine="360"/>
        <w:divId w:val="1805153608"/>
        <w:rPr>
          <w:rFonts w:eastAsia="Times New Roman"/>
        </w:rPr>
      </w:pPr>
      <w:r>
        <w:rPr>
          <w:rFonts w:eastAsia="Times New Roman"/>
          <w:color w:val="000000"/>
          <w:sz w:val="20"/>
          <w:szCs w:val="20"/>
        </w:rPr>
        <w:t>AUM means investment assets that are managed by one of our subsidiaries and includes: (i) assets managed by AB; (ii) the asset</w:t>
      </w:r>
      <w:r>
        <w:rPr>
          <w:rFonts w:eastAsia="Times New Roman"/>
          <w:color w:val="000000"/>
          <w:sz w:val="20"/>
          <w:szCs w:val="20"/>
        </w:rPr>
        <w:t xml:space="preserve">s in our General Account investment portfolio; and (iii) the Separate Accounts assets of our Individual Retirement, Group Retirement and Protection Solutions businesses. Total AUM reflects exclusions between segments to avoid double counting. </w:t>
      </w:r>
    </w:p>
    <w:p w:rsidR="00000000" w:rsidRDefault="00E54EC0">
      <w:pPr>
        <w:jc w:val="both"/>
        <w:divId w:val="2012297508"/>
        <w:rPr>
          <w:rFonts w:eastAsia="Times New Roman"/>
        </w:rPr>
      </w:pPr>
      <w:r>
        <w:rPr>
          <w:rFonts w:eastAsia="Times New Roman"/>
          <w:b/>
          <w:bCs/>
          <w:i/>
          <w:iCs/>
          <w:color w:val="000000"/>
          <w:sz w:val="20"/>
          <w:szCs w:val="20"/>
        </w:rPr>
        <w:t>Assets Under</w:t>
      </w:r>
      <w:r>
        <w:rPr>
          <w:rFonts w:eastAsia="Times New Roman"/>
          <w:b/>
          <w:bCs/>
          <w:i/>
          <w:iCs/>
          <w:color w:val="000000"/>
          <w:sz w:val="20"/>
          <w:szCs w:val="20"/>
        </w:rPr>
        <w:t xml:space="preserve"> Administration</w:t>
      </w:r>
    </w:p>
    <w:p w:rsidR="00000000" w:rsidRDefault="00E54EC0">
      <w:pPr>
        <w:ind w:firstLine="360"/>
        <w:divId w:val="869336908"/>
        <w:rPr>
          <w:rFonts w:eastAsia="Times New Roman"/>
        </w:rPr>
      </w:pPr>
      <w:r>
        <w:rPr>
          <w:rFonts w:eastAsia="Times New Roman"/>
          <w:color w:val="000000"/>
          <w:sz w:val="20"/>
          <w:szCs w:val="20"/>
        </w:rPr>
        <w:t>AUA includes non-insurance client assets that are invested in our savings and investment products or serviced by our Equitable Advisors platform. We provide administrative services for these assets and generally record the revenues received</w:t>
      </w:r>
      <w:r>
        <w:rPr>
          <w:rFonts w:eastAsia="Times New Roman"/>
          <w:color w:val="000000"/>
          <w:sz w:val="20"/>
          <w:szCs w:val="20"/>
        </w:rPr>
        <w:t xml:space="preserve"> as distribution fees. </w:t>
      </w:r>
    </w:p>
    <w:p w:rsidR="00000000" w:rsidRDefault="00E54EC0">
      <w:pPr>
        <w:jc w:val="both"/>
        <w:divId w:val="1780565021"/>
        <w:rPr>
          <w:rFonts w:eastAsia="Times New Roman"/>
        </w:rPr>
      </w:pPr>
      <w:r>
        <w:rPr>
          <w:rFonts w:eastAsia="Times New Roman"/>
          <w:b/>
          <w:bCs/>
          <w:i/>
          <w:iCs/>
          <w:color w:val="000000"/>
          <w:sz w:val="20"/>
          <w:szCs w:val="20"/>
        </w:rPr>
        <w:t xml:space="preserve">Account Value </w:t>
      </w:r>
    </w:p>
    <w:p w:rsidR="00000000" w:rsidRDefault="00E54EC0">
      <w:pPr>
        <w:ind w:firstLine="360"/>
        <w:divId w:val="476996916"/>
        <w:rPr>
          <w:rFonts w:eastAsia="Times New Roman"/>
        </w:rPr>
      </w:pPr>
      <w:r>
        <w:rPr>
          <w:rFonts w:eastAsia="Times New Roman"/>
          <w:color w:val="000000"/>
          <w:sz w:val="20"/>
          <w:szCs w:val="20"/>
        </w:rPr>
        <w:t xml:space="preserve">AV generally equals the aggregate policy account value of our retirement products. General Account AV refers to account balances in investment options that are backed by the General Account while Separate Accounts AV </w:t>
      </w:r>
      <w:r>
        <w:rPr>
          <w:rFonts w:eastAsia="Times New Roman"/>
          <w:color w:val="000000"/>
          <w:sz w:val="20"/>
          <w:szCs w:val="20"/>
        </w:rPr>
        <w:t xml:space="preserve">refers to Separate Accounts investment assets </w:t>
      </w:r>
    </w:p>
    <w:p w:rsidR="00000000" w:rsidRDefault="00E54EC0">
      <w:pPr>
        <w:jc w:val="center"/>
        <w:divId w:val="717703812"/>
        <w:rPr>
          <w:rFonts w:eastAsia="Times New Roman"/>
        </w:rPr>
      </w:pPr>
      <w:r>
        <w:rPr>
          <w:rFonts w:eastAsia="Times New Roman"/>
          <w:color w:val="000000"/>
          <w:sz w:val="20"/>
          <w:szCs w:val="20"/>
        </w:rPr>
        <w:t>82</w:t>
      </w:r>
    </w:p>
    <w:p w:rsidR="00000000" w:rsidRDefault="00E54EC0">
      <w:pPr>
        <w:rPr>
          <w:rFonts w:eastAsia="Times New Roman"/>
        </w:rPr>
      </w:pPr>
      <w:r>
        <w:rPr>
          <w:rFonts w:eastAsia="Times New Roman"/>
        </w:rPr>
        <w:pict>
          <v:rect id="_x0000_i1120" style="width:0;height:1.5pt" o:hralign="center" o:hrstd="t" o:hr="t" fillcolor="#a0a0a0" stroked="f"/>
        </w:pict>
      </w:r>
    </w:p>
    <w:p w:rsidR="00000000" w:rsidRDefault="00E54EC0">
      <w:pPr>
        <w:divId w:val="536700407"/>
        <w:rPr>
          <w:rFonts w:eastAsia="Times New Roman"/>
        </w:rPr>
      </w:pPr>
    </w:p>
    <w:p w:rsidR="00000000" w:rsidRDefault="00E54EC0">
      <w:pPr>
        <w:jc w:val="both"/>
        <w:divId w:val="1901405215"/>
        <w:rPr>
          <w:rFonts w:eastAsia="Times New Roman"/>
        </w:rPr>
      </w:pPr>
      <w:r>
        <w:rPr>
          <w:rFonts w:eastAsia="Times New Roman"/>
          <w:b/>
          <w:bCs/>
          <w:i/>
          <w:iCs/>
          <w:color w:val="000000"/>
          <w:sz w:val="20"/>
          <w:szCs w:val="20"/>
        </w:rPr>
        <w:t xml:space="preserve">Protection Solutions Reserves </w:t>
      </w:r>
    </w:p>
    <w:p w:rsidR="00000000" w:rsidRDefault="00E54EC0">
      <w:pPr>
        <w:ind w:firstLine="360"/>
        <w:divId w:val="1111707469"/>
        <w:rPr>
          <w:rFonts w:eastAsia="Times New Roman"/>
        </w:rPr>
      </w:pPr>
      <w:r>
        <w:rPr>
          <w:rFonts w:eastAsia="Times New Roman"/>
          <w:color w:val="000000"/>
          <w:sz w:val="20"/>
          <w:szCs w:val="20"/>
        </w:rPr>
        <w:t>Protection Solutions reserves equals the aggregate value of policyholders’ account balances and future policy benefits for policies in ou</w:t>
      </w:r>
      <w:r>
        <w:rPr>
          <w:rFonts w:eastAsia="Times New Roman"/>
          <w:color w:val="000000"/>
          <w:sz w:val="20"/>
          <w:szCs w:val="20"/>
        </w:rPr>
        <w:t xml:space="preserve">r Protection Solutions segment. </w:t>
      </w:r>
    </w:p>
    <w:p w:rsidR="00000000" w:rsidRDefault="00E54EC0">
      <w:pPr>
        <w:divId w:val="1497115456"/>
        <w:rPr>
          <w:rFonts w:eastAsia="Times New Roman"/>
        </w:rPr>
      </w:pPr>
      <w:r>
        <w:rPr>
          <w:rFonts w:eastAsia="Times New Roman"/>
          <w:b/>
          <w:bCs/>
          <w:color w:val="000000"/>
          <w:sz w:val="20"/>
          <w:szCs w:val="20"/>
        </w:rPr>
        <w:t xml:space="preserve">Consolidated Results of Operations </w:t>
      </w:r>
    </w:p>
    <w:p w:rsidR="00000000" w:rsidRDefault="00E54EC0">
      <w:pPr>
        <w:ind w:firstLine="360"/>
        <w:divId w:val="1551725790"/>
        <w:rPr>
          <w:rFonts w:eastAsia="Times New Roman"/>
        </w:rPr>
      </w:pPr>
      <w:r>
        <w:rPr>
          <w:rFonts w:eastAsia="Times New Roman"/>
          <w:color w:val="000000"/>
          <w:sz w:val="20"/>
          <w:szCs w:val="20"/>
        </w:rPr>
        <w:t>Our consolidated results of operations are significantly affected by conditions in the capital markets and the economy because we offer market sensitive products. These products have been</w:t>
      </w:r>
      <w:r>
        <w:rPr>
          <w:rFonts w:eastAsia="Times New Roman"/>
          <w:color w:val="000000"/>
          <w:sz w:val="20"/>
          <w:szCs w:val="20"/>
        </w:rPr>
        <w:t xml:space="preserve"> a significant driver of our results of operations. Because the future claims exposure on these products is sensitive to movements in the equity markets and interest rates, we have in place various hedging and reinsurance programs that are designed to miti</w:t>
      </w:r>
      <w:r>
        <w:rPr>
          <w:rFonts w:eastAsia="Times New Roman"/>
          <w:color w:val="000000"/>
          <w:sz w:val="20"/>
          <w:szCs w:val="20"/>
        </w:rPr>
        <w:t>gate the economic risk of movements in the equity markets and interest rates. The volatility in net income attributable to Holdings for the periods presented below results from the mismatch between: (i) the change in carrying value of the reserves for GMDB</w:t>
      </w:r>
      <w:r>
        <w:rPr>
          <w:rFonts w:eastAsia="Times New Roman"/>
          <w:color w:val="000000"/>
          <w:sz w:val="20"/>
          <w:szCs w:val="20"/>
        </w:rPr>
        <w:t xml:space="preserve"> and certain GMIB features that do not fully and immediately reflect the impact of equity and interest market fluctuations; (ii) the change in fair value of products with the GMIB feature that have a no-lapse guarantee; and (iii) our hedging and reinsuranc</w:t>
      </w:r>
      <w:r>
        <w:rPr>
          <w:rFonts w:eastAsia="Times New Roman"/>
          <w:color w:val="000000"/>
          <w:sz w:val="20"/>
          <w:szCs w:val="20"/>
        </w:rPr>
        <w:t xml:space="preserve">e programs. </w:t>
      </w:r>
    </w:p>
    <w:p w:rsidR="00000000" w:rsidRDefault="00E54EC0">
      <w:pPr>
        <w:jc w:val="both"/>
        <w:divId w:val="283733664"/>
        <w:rPr>
          <w:rFonts w:eastAsia="Times New Roman"/>
        </w:rPr>
      </w:pPr>
      <w:r>
        <w:rPr>
          <w:rFonts w:eastAsia="Times New Roman"/>
          <w:b/>
          <w:bCs/>
          <w:i/>
          <w:iCs/>
          <w:color w:val="000000"/>
          <w:sz w:val="20"/>
          <w:szCs w:val="20"/>
        </w:rPr>
        <w:t xml:space="preserve">Ownership and Consolidation of AllianceBernstein </w:t>
      </w:r>
    </w:p>
    <w:p w:rsidR="00000000" w:rsidRDefault="00E54EC0">
      <w:pPr>
        <w:ind w:firstLine="360"/>
        <w:divId w:val="300382581"/>
        <w:rPr>
          <w:rFonts w:eastAsia="Times New Roman"/>
        </w:rPr>
      </w:pPr>
      <w:r>
        <w:rPr>
          <w:rFonts w:eastAsia="Times New Roman"/>
          <w:color w:val="000000"/>
          <w:sz w:val="20"/>
          <w:szCs w:val="20"/>
        </w:rPr>
        <w:t xml:space="preserve">Our indirect, wholly-owned subsidiary, AllianceBernstein Corporation, is the General Partner of AB. Accordingly, AB’s results are fully reflected in our consolidated financial statements. </w:t>
      </w:r>
    </w:p>
    <w:p w:rsidR="00000000" w:rsidRDefault="00E54EC0">
      <w:pPr>
        <w:ind w:firstLine="360"/>
        <w:divId w:val="860968325"/>
        <w:rPr>
          <w:rFonts w:eastAsia="Times New Roman"/>
        </w:rPr>
      </w:pPr>
      <w:r>
        <w:rPr>
          <w:rFonts w:eastAsia="Times New Roman"/>
          <w:color w:val="000000"/>
          <w:sz w:val="20"/>
          <w:szCs w:val="20"/>
        </w:rPr>
        <w:t xml:space="preserve">Our </w:t>
      </w:r>
      <w:r>
        <w:rPr>
          <w:rFonts w:eastAsia="Times New Roman"/>
          <w:color w:val="000000"/>
          <w:sz w:val="20"/>
          <w:szCs w:val="20"/>
        </w:rPr>
        <w:t>average economic interest in AB was approximately 64%, 65% and 65% for the years ended December 31, 2022, 2021 and 2020 respectively. The slight decrease was due to the issuance of AB Units relating to AB’s 100% acquisition of CarVal Investments L.P. (“Car</w:t>
      </w:r>
      <w:r>
        <w:rPr>
          <w:rFonts w:eastAsia="Times New Roman"/>
          <w:color w:val="000000"/>
          <w:sz w:val="20"/>
          <w:szCs w:val="20"/>
        </w:rPr>
        <w:t>Val”). On July 1, 2022, AB issued 3.2 million AB Units (with a fair value of $133 million) with the remaining 12.1 million AB units (with a fair value of $456 million) issued on November 1, 2022. AB also recorded a contingent consideration payable of $229 </w:t>
      </w:r>
      <w:r>
        <w:rPr>
          <w:rFonts w:eastAsia="Times New Roman"/>
          <w:color w:val="000000"/>
          <w:sz w:val="20"/>
          <w:szCs w:val="20"/>
        </w:rPr>
        <w:t>million (to be paid predominantly in AB Units) based on CarVal achieving certain performance objectives over a six-year period ending December 31, 2027.</w:t>
      </w:r>
    </w:p>
    <w:p w:rsidR="00000000" w:rsidRDefault="00E54EC0">
      <w:pPr>
        <w:ind w:firstLine="360"/>
        <w:divId w:val="1606109083"/>
        <w:rPr>
          <w:rFonts w:eastAsia="Times New Roman"/>
        </w:rPr>
      </w:pPr>
    </w:p>
    <w:p w:rsidR="00000000" w:rsidRDefault="00E54EC0">
      <w:pPr>
        <w:jc w:val="both"/>
        <w:divId w:val="556086723"/>
        <w:rPr>
          <w:rFonts w:eastAsia="Times New Roman"/>
        </w:rPr>
      </w:pPr>
      <w:r>
        <w:rPr>
          <w:rFonts w:eastAsia="Times New Roman"/>
          <w:b/>
          <w:bCs/>
          <w:i/>
          <w:iCs/>
          <w:color w:val="000000"/>
          <w:sz w:val="20"/>
          <w:szCs w:val="20"/>
        </w:rPr>
        <w:t>Consolidated Results of Operations</w:t>
      </w:r>
    </w:p>
    <w:p w:rsidR="00000000" w:rsidRDefault="00E54EC0">
      <w:pPr>
        <w:ind w:firstLine="360"/>
        <w:divId w:val="183713172"/>
        <w:rPr>
          <w:rFonts w:eastAsia="Times New Roman"/>
        </w:rPr>
      </w:pPr>
      <w:r>
        <w:rPr>
          <w:rFonts w:eastAsia="Times New Roman"/>
          <w:color w:val="000000"/>
          <w:sz w:val="20"/>
          <w:szCs w:val="20"/>
        </w:rPr>
        <w:t>The following table summarizes our consolidated statements of income (loss) for the years ended December 31, 2022, 2021 and 2020:</w:t>
      </w:r>
    </w:p>
    <w:p w:rsidR="00000000" w:rsidRDefault="00E54EC0">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5646"/>
        <w:gridCol w:w="37"/>
        <w:gridCol w:w="36"/>
        <w:gridCol w:w="36"/>
        <w:gridCol w:w="36"/>
        <w:gridCol w:w="36"/>
        <w:gridCol w:w="120"/>
        <w:gridCol w:w="613"/>
        <w:gridCol w:w="36"/>
        <w:gridCol w:w="36"/>
        <w:gridCol w:w="36"/>
        <w:gridCol w:w="36"/>
        <w:gridCol w:w="120"/>
        <w:gridCol w:w="572"/>
        <w:gridCol w:w="36"/>
        <w:gridCol w:w="36"/>
        <w:gridCol w:w="36"/>
        <w:gridCol w:w="36"/>
        <w:gridCol w:w="120"/>
        <w:gridCol w:w="572"/>
        <w:gridCol w:w="36"/>
      </w:tblGrid>
      <w:tr w:rsidR="00000000">
        <w:trPr>
          <w:divId w:val="2105952179"/>
        </w:trPr>
        <w:tc>
          <w:tcPr>
            <w:tcW w:w="50" w:type="pct"/>
            <w:vAlign w:val="center"/>
            <w:hideMark/>
          </w:tcPr>
          <w:p w:rsidR="00000000" w:rsidRDefault="00E54EC0">
            <w:pPr>
              <w:jc w:val="center"/>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10595217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10595217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210595217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per share data)</w:t>
            </w:r>
          </w:p>
        </w:tc>
      </w:tr>
      <w:tr w:rsidR="00000000">
        <w:trPr>
          <w:divId w:val="21059521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059521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and fee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(4,465)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05952179"/>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Credit losses on available-for-sale debt securities and loans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5,395 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05952179"/>
          <w:trHeight w:val="24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922372937"/>
        <w:rPr>
          <w:rFonts w:eastAsia="Times New Roman"/>
        </w:rPr>
      </w:pPr>
      <w:r>
        <w:rPr>
          <w:rFonts w:eastAsia="Times New Roman"/>
          <w:color w:val="000000"/>
          <w:sz w:val="20"/>
          <w:szCs w:val="20"/>
        </w:rPr>
        <w:t>83</w:t>
      </w:r>
    </w:p>
    <w:p w:rsidR="00000000" w:rsidRDefault="00E54EC0">
      <w:pPr>
        <w:rPr>
          <w:rFonts w:eastAsia="Times New Roman"/>
        </w:rPr>
      </w:pPr>
      <w:r>
        <w:rPr>
          <w:rFonts w:eastAsia="Times New Roman"/>
        </w:rPr>
        <w:pict>
          <v:rect id="_x0000_i1121" style="width:0;height:1.5pt" o:hralign="center" o:hrstd="t" o:hr="t" fillcolor="#a0a0a0" stroked="f"/>
        </w:pict>
      </w:r>
    </w:p>
    <w:p w:rsidR="00000000" w:rsidRDefault="00E54EC0">
      <w:pPr>
        <w:divId w:val="362070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645"/>
        <w:gridCol w:w="37"/>
        <w:gridCol w:w="36"/>
        <w:gridCol w:w="36"/>
        <w:gridCol w:w="36"/>
        <w:gridCol w:w="36"/>
        <w:gridCol w:w="120"/>
        <w:gridCol w:w="612"/>
        <w:gridCol w:w="36"/>
        <w:gridCol w:w="36"/>
        <w:gridCol w:w="36"/>
        <w:gridCol w:w="36"/>
        <w:gridCol w:w="121"/>
        <w:gridCol w:w="572"/>
        <w:gridCol w:w="36"/>
        <w:gridCol w:w="36"/>
        <w:gridCol w:w="36"/>
        <w:gridCol w:w="36"/>
        <w:gridCol w:w="121"/>
        <w:gridCol w:w="572"/>
        <w:gridCol w:w="36"/>
      </w:tblGrid>
      <w:tr w:rsidR="00000000">
        <w:trPr>
          <w:divId w:val="1247223053"/>
        </w:trPr>
        <w:tc>
          <w:tcPr>
            <w:tcW w:w="50" w:type="pct"/>
            <w:vAlign w:val="center"/>
            <w:hideMark/>
          </w:tcPr>
          <w:p w:rsidR="00000000" w:rsidRDefault="00E54EC0">
            <w:pPr>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24722305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per share data)</w:t>
            </w:r>
          </w:p>
        </w:tc>
      </w:tr>
      <w:tr w:rsidR="00000000">
        <w:trPr>
          <w:divId w:val="124722305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3,218 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and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2,525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 (expense) benefit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Less: Preferred stock dividends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Height w:val="240"/>
        </w:trPr>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Basic</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7223053"/>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Basic</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722305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379.9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797"/>
        <w:gridCol w:w="144"/>
        <w:gridCol w:w="480"/>
        <w:gridCol w:w="1440"/>
        <w:gridCol w:w="1440"/>
        <w:gridCol w:w="144"/>
        <w:gridCol w:w="672"/>
        <w:gridCol w:w="144"/>
        <w:gridCol w:w="144"/>
        <w:gridCol w:w="144"/>
        <w:gridCol w:w="144"/>
        <w:gridCol w:w="144"/>
        <w:gridCol w:w="672"/>
        <w:gridCol w:w="144"/>
        <w:gridCol w:w="144"/>
        <w:gridCol w:w="144"/>
        <w:gridCol w:w="144"/>
        <w:gridCol w:w="144"/>
        <w:gridCol w:w="672"/>
        <w:gridCol w:w="144"/>
      </w:tblGrid>
      <w:tr w:rsidR="00000000">
        <w:tc>
          <w:tcPr>
            <w:tcW w:w="50" w:type="pct"/>
            <w:vAlign w:val="center"/>
            <w:hideMark/>
          </w:tcPr>
          <w:p w:rsidR="00000000" w:rsidRDefault="00E54EC0">
            <w:pPr>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2,009</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2,825 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563440932"/>
        <w:rPr>
          <w:rFonts w:eastAsia="Times New Roman"/>
        </w:rPr>
      </w:pPr>
    </w:p>
    <w:p w:rsidR="00000000" w:rsidRDefault="00E54EC0">
      <w:pPr>
        <w:ind w:firstLine="360"/>
        <w:divId w:val="1974091129"/>
        <w:rPr>
          <w:rFonts w:eastAsia="Times New Roman"/>
        </w:rPr>
      </w:pPr>
      <w:r>
        <w:rPr>
          <w:rFonts w:eastAsia="Times New Roman"/>
          <w:color w:val="000000"/>
          <w:sz w:val="20"/>
          <w:szCs w:val="20"/>
        </w:rPr>
        <w:t>The following table summarizes our Non-GAAP Operating Earnings per common share for the 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5161"/>
        <w:gridCol w:w="36"/>
        <w:gridCol w:w="36"/>
        <w:gridCol w:w="36"/>
        <w:gridCol w:w="36"/>
        <w:gridCol w:w="480"/>
        <w:gridCol w:w="400"/>
        <w:gridCol w:w="36"/>
        <w:gridCol w:w="36"/>
        <w:gridCol w:w="36"/>
        <w:gridCol w:w="36"/>
        <w:gridCol w:w="480"/>
        <w:gridCol w:w="400"/>
        <w:gridCol w:w="36"/>
        <w:gridCol w:w="36"/>
        <w:gridCol w:w="36"/>
        <w:gridCol w:w="36"/>
        <w:gridCol w:w="480"/>
        <w:gridCol w:w="400"/>
        <w:gridCol w:w="36"/>
      </w:tblGrid>
      <w:tr w:rsidR="00000000">
        <w:trPr>
          <w:divId w:val="1671254109"/>
        </w:trPr>
        <w:tc>
          <w:tcPr>
            <w:tcW w:w="50" w:type="pct"/>
            <w:vAlign w:val="center"/>
            <w:hideMark/>
          </w:tcPr>
          <w:p w:rsidR="00000000" w:rsidRDefault="00E54EC0">
            <w:pPr>
              <w:ind w:firstLine="360"/>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7125410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shd w:val="clear" w:color="auto" w:fill="FFFFFF"/>
            <w:tcMar>
              <w:top w:w="30" w:type="dxa"/>
              <w:left w:w="20" w:type="dxa"/>
              <w:bottom w:w="30" w:type="dxa"/>
              <w:right w:w="20" w:type="dxa"/>
            </w:tcMar>
            <w:vAlign w:val="bottom"/>
            <w:hideMark/>
          </w:tcPr>
          <w:p w:rsidR="00000000" w:rsidRDefault="00E54EC0">
            <w:pPr>
              <w:spacing w:after="100"/>
              <w:ind w:firstLine="36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71254109"/>
        </w:trPr>
        <w:tc>
          <w:tcPr>
            <w:tcW w:w="0" w:type="auto"/>
            <w:gridSpan w:val="3"/>
            <w:tcMar>
              <w:top w:w="0" w:type="dxa"/>
              <w:left w:w="20" w:type="dxa"/>
              <w:bottom w:w="0" w:type="dxa"/>
              <w:right w:w="20" w:type="dxa"/>
            </w:tcMar>
            <w:vAlign w:val="center"/>
            <w:hideMark/>
          </w:tcPr>
          <w:p w:rsidR="00000000" w:rsidRDefault="00E54EC0">
            <w:pPr>
              <w:spacing w:after="100"/>
              <w:ind w:firstLine="36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ind w:firstLine="36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ind w:firstLine="360"/>
              <w:jc w:val="center"/>
              <w:rPr>
                <w:rFonts w:eastAsia="Times New Roman"/>
              </w:rPr>
            </w:pPr>
            <w:r>
              <w:rPr>
                <w:rFonts w:eastAsia="Times New Roman"/>
                <w:color w:val="000000"/>
                <w:sz w:val="18"/>
                <w:szCs w:val="18"/>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ind w:firstLine="360"/>
              <w:jc w:val="center"/>
              <w:rPr>
                <w:rFonts w:eastAsia="Times New Roman"/>
              </w:rPr>
            </w:pPr>
            <w:r>
              <w:rPr>
                <w:rFonts w:eastAsia="Times New Roman"/>
                <w:color w:val="000000"/>
                <w:sz w:val="18"/>
                <w:szCs w:val="18"/>
              </w:rPr>
              <w:t>2020</w:t>
            </w:r>
          </w:p>
        </w:tc>
      </w:tr>
      <w:tr w:rsidR="00000000">
        <w:trPr>
          <w:divId w:val="1671254109"/>
          <w:trHeight w:val="220"/>
        </w:trPr>
        <w:tc>
          <w:tcPr>
            <w:tcW w:w="0" w:type="auto"/>
            <w:gridSpan w:val="3"/>
            <w:tcMar>
              <w:top w:w="0" w:type="dxa"/>
              <w:left w:w="20" w:type="dxa"/>
              <w:bottom w:w="0" w:type="dxa"/>
              <w:right w:w="20" w:type="dxa"/>
            </w:tcMar>
            <w:vAlign w:val="center"/>
            <w:hideMark/>
          </w:tcPr>
          <w:p w:rsidR="00000000" w:rsidRDefault="00E54EC0">
            <w:pPr>
              <w:spacing w:after="100"/>
              <w:ind w:firstLine="36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71254109"/>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Non-GAAP operating earnings per common share: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7125410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Basic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125410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828835387"/>
        <w:rPr>
          <w:rFonts w:eastAsia="Times New Roman"/>
        </w:rPr>
      </w:pPr>
    </w:p>
    <w:p w:rsidR="00000000" w:rsidRDefault="00E54EC0">
      <w:pPr>
        <w:jc w:val="center"/>
        <w:divId w:val="341670576"/>
        <w:rPr>
          <w:rFonts w:eastAsia="Times New Roman"/>
        </w:rPr>
      </w:pPr>
      <w:r>
        <w:rPr>
          <w:rFonts w:eastAsia="Times New Roman"/>
          <w:color w:val="000000"/>
          <w:sz w:val="20"/>
          <w:szCs w:val="20"/>
        </w:rPr>
        <w:t>84</w:t>
      </w:r>
    </w:p>
    <w:p w:rsidR="00000000" w:rsidRDefault="00E54EC0">
      <w:pPr>
        <w:rPr>
          <w:rFonts w:eastAsia="Times New Roman"/>
        </w:rPr>
      </w:pPr>
      <w:r>
        <w:rPr>
          <w:rFonts w:eastAsia="Times New Roman"/>
        </w:rPr>
        <w:pict>
          <v:rect id="_x0000_i1122" style="width:0;height:1.5pt" o:hralign="center" o:hrstd="t" o:hr="t" fillcolor="#a0a0a0" stroked="f"/>
        </w:pict>
      </w:r>
    </w:p>
    <w:p w:rsidR="00000000" w:rsidRDefault="00E54EC0">
      <w:pPr>
        <w:divId w:val="1357192801"/>
        <w:rPr>
          <w:rFonts w:eastAsia="Times New Roman"/>
        </w:rPr>
      </w:pPr>
    </w:p>
    <w:p w:rsidR="00000000" w:rsidRDefault="00E54EC0">
      <w:pPr>
        <w:divId w:val="786512865"/>
        <w:rPr>
          <w:rFonts w:eastAsia="Times New Roman"/>
        </w:rPr>
      </w:pPr>
      <w:r>
        <w:rPr>
          <w:rFonts w:eastAsia="Times New Roman"/>
          <w:b/>
          <w:bCs/>
          <w:color w:val="000000"/>
          <w:sz w:val="20"/>
          <w:szCs w:val="20"/>
          <w:shd w:val="clear" w:color="auto" w:fill="FFFFFF"/>
        </w:rPr>
        <w:t>Year Ended December 31, 2022 Compared to the Year Ended December 31, 2021</w:t>
      </w:r>
    </w:p>
    <w:p w:rsidR="00000000" w:rsidRDefault="00E54EC0">
      <w:pPr>
        <w:jc w:val="both"/>
        <w:divId w:val="1046951366"/>
        <w:rPr>
          <w:rFonts w:eastAsia="Times New Roman"/>
        </w:rPr>
      </w:pPr>
      <w:r>
        <w:rPr>
          <w:rFonts w:eastAsia="Times New Roman"/>
          <w:b/>
          <w:bCs/>
          <w:i/>
          <w:iCs/>
          <w:color w:val="000000"/>
          <w:sz w:val="20"/>
          <w:szCs w:val="20"/>
          <w:shd w:val="clear" w:color="auto" w:fill="FFFFFF"/>
        </w:rPr>
        <w:t>Net Income Attributable to Holdings</w:t>
      </w:r>
    </w:p>
    <w:p w:rsidR="00000000" w:rsidRDefault="00E54EC0">
      <w:pPr>
        <w:ind w:firstLine="360"/>
        <w:divId w:val="1957907112"/>
        <w:rPr>
          <w:rFonts w:eastAsia="Times New Roman"/>
        </w:rPr>
      </w:pPr>
      <w:r>
        <w:rPr>
          <w:rFonts w:eastAsia="Times New Roman"/>
          <w:color w:val="000000"/>
          <w:sz w:val="20"/>
          <w:szCs w:val="20"/>
          <w:shd w:val="clear" w:color="auto" w:fill="FFFFFF"/>
        </w:rPr>
        <w:t>Net income attributable to Holdings increased by $2.2 billion to a net income of $1.8 billion for the year ended December 31, 2022 from a net loss of $439 million for the year ended December 31, 2021. The following notable items were the primary drivers fo</w:t>
      </w:r>
      <w:r>
        <w:rPr>
          <w:rFonts w:eastAsia="Times New Roman"/>
          <w:color w:val="000000"/>
          <w:sz w:val="20"/>
          <w:szCs w:val="20"/>
          <w:shd w:val="clear" w:color="auto" w:fill="FFFFFF"/>
        </w:rPr>
        <w:t>r the change in net income (loss):</w:t>
      </w:r>
    </w:p>
    <w:p w:rsidR="00000000" w:rsidRDefault="00E54EC0">
      <w:pPr>
        <w:divId w:val="998994474"/>
        <w:rPr>
          <w:rFonts w:eastAsia="Times New Roman"/>
        </w:rPr>
      </w:pPr>
      <w:r>
        <w:rPr>
          <w:rFonts w:eastAsia="Times New Roman"/>
          <w:color w:val="000000"/>
          <w:sz w:val="20"/>
          <w:szCs w:val="20"/>
          <w:shd w:val="clear" w:color="auto" w:fill="FFFFFF"/>
        </w:rPr>
        <w:t>Favorable items included:</w:t>
      </w:r>
    </w:p>
    <w:p w:rsidR="00000000" w:rsidRDefault="00E54EC0">
      <w:pPr>
        <w:ind w:hanging="360"/>
        <w:divId w:val="1367439649"/>
        <w:rPr>
          <w:rFonts w:eastAsia="Times New Roman"/>
        </w:rPr>
      </w:pPr>
      <w:r>
        <w:rPr>
          <w:rFonts w:eastAsia="Times New Roman"/>
          <w:color w:val="000000"/>
          <w:sz w:val="20"/>
          <w:szCs w:val="20"/>
        </w:rPr>
        <w:t>•Net derivative gains increased $6.2 billion from a $4.5 billion loss in prior period driven by reduced interest rate derivative positions and equity market depreciation during 2022 as compared t</w:t>
      </w:r>
      <w:r>
        <w:rPr>
          <w:rFonts w:eastAsia="Times New Roman"/>
          <w:color w:val="000000"/>
          <w:sz w:val="20"/>
          <w:szCs w:val="20"/>
        </w:rPr>
        <w:t>o equity market appreciation in 2021.</w:t>
      </w:r>
    </w:p>
    <w:p w:rsidR="00000000" w:rsidRDefault="00E54EC0">
      <w:pPr>
        <w:ind w:hanging="360"/>
        <w:divId w:val="316809106"/>
        <w:rPr>
          <w:rFonts w:eastAsia="Times New Roman"/>
        </w:rPr>
      </w:pPr>
      <w:r>
        <w:rPr>
          <w:rFonts w:eastAsia="Times New Roman"/>
          <w:color w:val="000000"/>
          <w:sz w:val="20"/>
          <w:szCs w:val="20"/>
        </w:rPr>
        <w:t>•Compensation, benefits and other operating expenses decreased by $81 million mainly due to lower fund expenses as a result of lower average assets due to the Venerable Transaction, lower separation expenses, lower leg</w:t>
      </w:r>
      <w:r>
        <w:rPr>
          <w:rFonts w:eastAsia="Times New Roman"/>
          <w:color w:val="000000"/>
          <w:sz w:val="20"/>
          <w:szCs w:val="20"/>
        </w:rPr>
        <w:t>al reserve accruals, reduced compensation &amp; benefits and continued improvement from our efficiency program partially offset by higher general and administrative expenses in our Investment Management and Research segment and unfavorable COLI impacts related</w:t>
      </w:r>
      <w:r>
        <w:rPr>
          <w:rFonts w:eastAsia="Times New Roman"/>
          <w:color w:val="000000"/>
          <w:sz w:val="20"/>
          <w:szCs w:val="20"/>
        </w:rPr>
        <w:t xml:space="preserve"> to 2022 equity market depreciation.</w:t>
      </w:r>
    </w:p>
    <w:p w:rsidR="00000000" w:rsidRDefault="00E54EC0">
      <w:pPr>
        <w:ind w:hanging="360"/>
        <w:divId w:val="1198394634"/>
        <w:rPr>
          <w:rFonts w:eastAsia="Times New Roman"/>
        </w:rPr>
      </w:pPr>
      <w:r>
        <w:rPr>
          <w:rFonts w:eastAsia="Times New Roman"/>
          <w:color w:val="000000"/>
          <w:sz w:val="20"/>
          <w:szCs w:val="20"/>
          <w:shd w:val="clear" w:color="auto" w:fill="FFFFFF"/>
        </w:rPr>
        <w:t>•Commissions and distribution-related payments decreased by $95 million mainly due to lower payments to financial intermediaries for the distribution of AB mutual funds in our Investment Management and Research segment,</w:t>
      </w:r>
      <w:r>
        <w:rPr>
          <w:rFonts w:eastAsia="Times New Roman"/>
          <w:color w:val="000000"/>
          <w:sz w:val="20"/>
          <w:szCs w:val="20"/>
          <w:shd w:val="clear" w:color="auto" w:fill="FFFFFF"/>
        </w:rPr>
        <w:t xml:space="preserve"> lower AV in our Individual Retirement segment related to equity market depreciation during 2022 partially offset by higher sales of Employee Benefits products in our Protection Solutions segment.</w:t>
      </w:r>
    </w:p>
    <w:p w:rsidR="00000000" w:rsidRDefault="00E54EC0">
      <w:pPr>
        <w:ind w:hanging="360"/>
        <w:divId w:val="1276524403"/>
        <w:rPr>
          <w:rFonts w:eastAsia="Times New Roman"/>
        </w:rPr>
      </w:pPr>
      <w:r>
        <w:rPr>
          <w:rFonts w:eastAsia="Times New Roman"/>
          <w:color w:val="000000"/>
          <w:sz w:val="20"/>
          <w:szCs w:val="20"/>
          <w:shd w:val="clear" w:color="auto" w:fill="FFFFFF"/>
        </w:rPr>
        <w:t>•Net income attributable to noncontrolling interest decreas</w:t>
      </w:r>
      <w:r>
        <w:rPr>
          <w:rFonts w:eastAsia="Times New Roman"/>
          <w:color w:val="000000"/>
          <w:sz w:val="20"/>
          <w:szCs w:val="20"/>
          <w:shd w:val="clear" w:color="auto" w:fill="FFFFFF"/>
        </w:rPr>
        <w:t>ed by $174 million mainly due to losses from AB’s consolidated VIEs and lower AB pre-tax income.</w:t>
      </w:r>
    </w:p>
    <w:p w:rsidR="00000000" w:rsidRDefault="00E54EC0">
      <w:pPr>
        <w:divId w:val="1495684322"/>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E54EC0">
      <w:pPr>
        <w:ind w:hanging="360"/>
        <w:divId w:val="226888999"/>
        <w:rPr>
          <w:rFonts w:eastAsia="Times New Roman"/>
        </w:rPr>
      </w:pPr>
      <w:r>
        <w:rPr>
          <w:rFonts w:eastAsia="Times New Roman"/>
          <w:color w:val="000000"/>
          <w:sz w:val="20"/>
          <w:szCs w:val="20"/>
          <w:shd w:val="clear" w:color="auto" w:fill="FFFFFF"/>
        </w:rPr>
        <w:t>•Investment gains decreased by $1.8 billion mainly due to rebalancing in the Genera</w:t>
      </w:r>
      <w:r>
        <w:rPr>
          <w:rFonts w:eastAsia="Times New Roman"/>
          <w:color w:val="000000"/>
          <w:sz w:val="20"/>
          <w:szCs w:val="20"/>
        </w:rPr>
        <w:t>l Account po</w:t>
      </w:r>
      <w:r>
        <w:rPr>
          <w:rFonts w:eastAsia="Times New Roman"/>
          <w:color w:val="000000"/>
          <w:sz w:val="20"/>
          <w:szCs w:val="20"/>
        </w:rPr>
        <w:t>rtfolio associated with the Venerable Transaction in 2021 and Global Atlantic Transaction in 2022 and the duration program durin</w:t>
      </w:r>
      <w:r>
        <w:rPr>
          <w:rFonts w:eastAsia="Times New Roman"/>
          <w:color w:val="000000"/>
          <w:sz w:val="20"/>
          <w:szCs w:val="20"/>
          <w:shd w:val="clear" w:color="auto" w:fill="FFFFFF"/>
        </w:rPr>
        <w:t>g 2022.</w:t>
      </w:r>
    </w:p>
    <w:p w:rsidR="00000000" w:rsidRDefault="00E54EC0">
      <w:pPr>
        <w:ind w:hanging="360"/>
        <w:divId w:val="550650988"/>
        <w:rPr>
          <w:rFonts w:eastAsia="Times New Roman"/>
        </w:rPr>
      </w:pPr>
      <w:r>
        <w:rPr>
          <w:rFonts w:eastAsia="Times New Roman"/>
          <w:color w:val="000000"/>
          <w:sz w:val="20"/>
          <w:szCs w:val="20"/>
          <w:shd w:val="clear" w:color="auto" w:fill="FFFFFF"/>
        </w:rPr>
        <w:t>•Fee-type revenue decreased by $836 million mainly driven by lower fees primarily from our Individual Retirement segment</w:t>
      </w:r>
      <w:r>
        <w:rPr>
          <w:rFonts w:eastAsia="Times New Roman"/>
          <w:color w:val="000000"/>
          <w:sz w:val="20"/>
          <w:szCs w:val="20"/>
          <w:shd w:val="clear" w:color="auto" w:fill="FFFFFF"/>
        </w:rPr>
        <w:t xml:space="preserve"> as a result of lower average Separate Accounts AV due to lower equity markets and the impact of AV ceded to Venerable and lower fees in our Investment Management and Research segment.</w:t>
      </w:r>
    </w:p>
    <w:p w:rsidR="00000000" w:rsidRDefault="00E54EC0">
      <w:pPr>
        <w:ind w:hanging="360"/>
        <w:divId w:val="243877481"/>
        <w:rPr>
          <w:rFonts w:eastAsia="Times New Roman"/>
        </w:rPr>
      </w:pPr>
      <w:r>
        <w:rPr>
          <w:rFonts w:eastAsia="Times New Roman"/>
          <w:color w:val="000000"/>
          <w:sz w:val="20"/>
          <w:szCs w:val="20"/>
          <w:shd w:val="clear" w:color="auto" w:fill="FFFFFF"/>
        </w:rPr>
        <w:t>•Net investment income decreased by $531 million mainly due to lower al</w:t>
      </w:r>
      <w:r>
        <w:rPr>
          <w:rFonts w:eastAsia="Times New Roman"/>
          <w:color w:val="000000"/>
          <w:sz w:val="20"/>
          <w:szCs w:val="20"/>
          <w:shd w:val="clear" w:color="auto" w:fill="FFFFFF"/>
        </w:rPr>
        <w:t>ternative investment income, lower assets due to the Venerable and Global Atlantic transactions, and lower income from seed capital investments (offset by hedging gains in derivatives), partially offset by higher income from floating rate securities, highe</w:t>
      </w:r>
      <w:r>
        <w:rPr>
          <w:rFonts w:eastAsia="Times New Roman"/>
          <w:color w:val="000000"/>
          <w:sz w:val="20"/>
          <w:szCs w:val="20"/>
          <w:shd w:val="clear" w:color="auto" w:fill="FFFFFF"/>
        </w:rPr>
        <w:t xml:space="preserve">r SCS asset balances and GA optimization. </w:t>
      </w:r>
    </w:p>
    <w:p w:rsidR="00000000" w:rsidRDefault="00E54EC0">
      <w:pPr>
        <w:ind w:hanging="360"/>
        <w:divId w:val="990913259"/>
        <w:rPr>
          <w:rFonts w:eastAsia="Times New Roman"/>
        </w:rPr>
      </w:pPr>
      <w:r>
        <w:rPr>
          <w:rFonts w:eastAsia="Times New Roman"/>
          <w:color w:val="000000"/>
          <w:sz w:val="20"/>
          <w:szCs w:val="20"/>
          <w:shd w:val="clear" w:color="auto" w:fill="FFFFFF"/>
        </w:rPr>
        <w:t>•Interest credited to policyholders’ account balances increased by $190 million mainly due to increased interest rates and average outstanding amounts of funding agreements and growth of SCS AV during 2022.</w:t>
      </w:r>
    </w:p>
    <w:p w:rsidR="00000000" w:rsidRDefault="00E54EC0">
      <w:pPr>
        <w:ind w:hanging="360"/>
        <w:divId w:val="856390182"/>
        <w:rPr>
          <w:rFonts w:eastAsia="Times New Roman"/>
        </w:rPr>
      </w:pPr>
      <w:r>
        <w:rPr>
          <w:rFonts w:eastAsia="Times New Roman"/>
          <w:color w:val="000000"/>
          <w:sz w:val="20"/>
          <w:szCs w:val="20"/>
          <w:shd w:val="clear" w:color="auto" w:fill="FFFFFF"/>
        </w:rPr>
        <w:t>•Polic</w:t>
      </w:r>
      <w:r>
        <w:rPr>
          <w:rFonts w:eastAsia="Times New Roman"/>
          <w:color w:val="000000"/>
          <w:sz w:val="20"/>
          <w:szCs w:val="20"/>
          <w:shd w:val="clear" w:color="auto" w:fill="FFFFFF"/>
        </w:rPr>
        <w:t xml:space="preserve">yholders’ benefits increased by $167 million mainly due to equity market depreciation during 2022 compared to equity market appreciation during 2021 (offset in Net Derivative gains), higher claims in Individual Retirement segment and higher life mortality </w:t>
      </w:r>
      <w:r>
        <w:rPr>
          <w:rFonts w:eastAsia="Times New Roman"/>
          <w:color w:val="000000"/>
          <w:sz w:val="20"/>
          <w:szCs w:val="20"/>
          <w:shd w:val="clear" w:color="auto" w:fill="FFFFFF"/>
        </w:rPr>
        <w:t>net of PFBL reserve accruals partially offset by the impact of the Venerable Transaction on the GMxB reserve accrual.</w:t>
      </w:r>
    </w:p>
    <w:p w:rsidR="00000000" w:rsidRDefault="00E54EC0">
      <w:pPr>
        <w:ind w:hanging="360"/>
        <w:divId w:val="628097741"/>
        <w:rPr>
          <w:rFonts w:eastAsia="Times New Roman"/>
        </w:rPr>
      </w:pPr>
      <w:r>
        <w:rPr>
          <w:rFonts w:eastAsia="Times New Roman"/>
          <w:color w:val="000000"/>
          <w:sz w:val="20"/>
          <w:szCs w:val="20"/>
          <w:shd w:val="clear" w:color="auto" w:fill="FFFFFF"/>
        </w:rPr>
        <w:t xml:space="preserve">•Amortization of DAC increased by $149 million mainly due to equity market depreciation and less favorable assumption updates during 2022 </w:t>
      </w:r>
      <w:r>
        <w:rPr>
          <w:rFonts w:eastAsia="Times New Roman"/>
          <w:color w:val="000000"/>
          <w:sz w:val="20"/>
          <w:szCs w:val="20"/>
          <w:shd w:val="clear" w:color="auto" w:fill="FFFFFF"/>
        </w:rPr>
        <w:t xml:space="preserve">compared to 2021. </w:t>
      </w:r>
    </w:p>
    <w:p w:rsidR="00000000" w:rsidRDefault="00E54EC0">
      <w:pPr>
        <w:ind w:hanging="360"/>
        <w:jc w:val="both"/>
        <w:divId w:val="1964967260"/>
        <w:rPr>
          <w:rFonts w:eastAsia="Times New Roman"/>
        </w:rPr>
      </w:pPr>
      <w:r>
        <w:rPr>
          <w:rFonts w:eastAsia="Times New Roman"/>
          <w:color w:val="000000"/>
          <w:sz w:val="20"/>
          <w:szCs w:val="20"/>
        </w:rPr>
        <w:t>•Income tax expense increased by $644 million primarily due to pre-tax income in the year ended 2022 compared to a pre-tax loss in the year ended 2021, and a higher effective tax rate in the year ended 2022.</w:t>
      </w:r>
    </w:p>
    <w:p w:rsidR="00000000" w:rsidRDefault="00E54EC0">
      <w:pPr>
        <w:ind w:firstLine="360"/>
        <w:divId w:val="555507346"/>
        <w:rPr>
          <w:rFonts w:eastAsia="Times New Roman"/>
        </w:rPr>
      </w:pPr>
      <w:r>
        <w:rPr>
          <w:rFonts w:eastAsia="Times New Roman"/>
          <w:color w:val="000000"/>
          <w:sz w:val="20"/>
          <w:szCs w:val="20"/>
          <w:shd w:val="clear" w:color="auto" w:fill="FFFFFF"/>
        </w:rPr>
        <w:t>See “—Significant Factors Imp</w:t>
      </w:r>
      <w:r>
        <w:rPr>
          <w:rFonts w:eastAsia="Times New Roman"/>
          <w:color w:val="000000"/>
          <w:sz w:val="20"/>
          <w:szCs w:val="20"/>
          <w:shd w:val="clear" w:color="auto" w:fill="FFFFFF"/>
        </w:rPr>
        <w:t xml:space="preserve">acting Our Results—Effect of Assumption Updates on Operating Results” for more information regarding assumption updates. </w:t>
      </w:r>
    </w:p>
    <w:p w:rsidR="00000000" w:rsidRDefault="00E54EC0">
      <w:pPr>
        <w:jc w:val="both"/>
        <w:divId w:val="772018316"/>
        <w:rPr>
          <w:rFonts w:eastAsia="Times New Roman"/>
        </w:rPr>
      </w:pPr>
      <w:r>
        <w:rPr>
          <w:rFonts w:eastAsia="Times New Roman"/>
          <w:b/>
          <w:bCs/>
          <w:i/>
          <w:iCs/>
          <w:color w:val="000000"/>
          <w:sz w:val="20"/>
          <w:szCs w:val="20"/>
          <w:shd w:val="clear" w:color="auto" w:fill="FFFFFF"/>
        </w:rPr>
        <w:t>Non-GAAP Operating Earnings</w:t>
      </w:r>
    </w:p>
    <w:p w:rsidR="00000000" w:rsidRDefault="00E54EC0">
      <w:pPr>
        <w:ind w:firstLine="360"/>
        <w:divId w:val="1186941897"/>
        <w:rPr>
          <w:rFonts w:eastAsia="Times New Roman"/>
        </w:rPr>
      </w:pPr>
      <w:r>
        <w:rPr>
          <w:rFonts w:eastAsia="Times New Roman"/>
          <w:color w:val="000000"/>
          <w:sz w:val="20"/>
          <w:szCs w:val="20"/>
          <w:shd w:val="clear" w:color="auto" w:fill="FFFFFF"/>
        </w:rPr>
        <w:t>Non-GAAP Operating Earnings decreased by $816 million to $2.0 billion for the year ended December 31, 2022</w:t>
      </w:r>
      <w:r>
        <w:rPr>
          <w:rFonts w:eastAsia="Times New Roman"/>
          <w:color w:val="000000"/>
          <w:sz w:val="20"/>
          <w:szCs w:val="20"/>
          <w:shd w:val="clear" w:color="auto" w:fill="FFFFFF"/>
        </w:rPr>
        <w:t xml:space="preserve"> from $2.8 billion in the year ended December 31, 2021. The following notable items were the primary drivers for the change in Non-GAAP Operating Earnings.</w:t>
      </w:r>
    </w:p>
    <w:p w:rsidR="00000000" w:rsidRDefault="00E54EC0">
      <w:pPr>
        <w:jc w:val="center"/>
        <w:divId w:val="214003575"/>
        <w:rPr>
          <w:rFonts w:eastAsia="Times New Roman"/>
        </w:rPr>
      </w:pPr>
      <w:r>
        <w:rPr>
          <w:rFonts w:eastAsia="Times New Roman"/>
          <w:color w:val="000000"/>
          <w:sz w:val="20"/>
          <w:szCs w:val="20"/>
        </w:rPr>
        <w:t>85</w:t>
      </w:r>
    </w:p>
    <w:p w:rsidR="00000000" w:rsidRDefault="00E54EC0">
      <w:pPr>
        <w:rPr>
          <w:rFonts w:eastAsia="Times New Roman"/>
        </w:rPr>
      </w:pPr>
      <w:r>
        <w:rPr>
          <w:rFonts w:eastAsia="Times New Roman"/>
        </w:rPr>
        <w:pict>
          <v:rect id="_x0000_i1123" style="width:0;height:1.5pt" o:hralign="center" o:hrstd="t" o:hr="t" fillcolor="#a0a0a0" stroked="f"/>
        </w:pict>
      </w:r>
    </w:p>
    <w:p w:rsidR="00000000" w:rsidRDefault="00E54EC0">
      <w:pPr>
        <w:divId w:val="909315296"/>
        <w:rPr>
          <w:rFonts w:eastAsia="Times New Roman"/>
        </w:rPr>
      </w:pPr>
    </w:p>
    <w:p w:rsidR="00000000" w:rsidRDefault="00E54EC0">
      <w:pPr>
        <w:divId w:val="1724794704"/>
        <w:rPr>
          <w:rFonts w:eastAsia="Times New Roman"/>
        </w:rPr>
      </w:pPr>
      <w:r>
        <w:rPr>
          <w:rFonts w:eastAsia="Times New Roman"/>
          <w:color w:val="000000"/>
          <w:sz w:val="20"/>
          <w:szCs w:val="20"/>
          <w:shd w:val="clear" w:color="auto" w:fill="FFFFFF"/>
        </w:rPr>
        <w:t>Unfavorable items included:</w:t>
      </w:r>
    </w:p>
    <w:p w:rsidR="00000000" w:rsidRDefault="00E54EC0">
      <w:pPr>
        <w:ind w:hanging="180"/>
        <w:divId w:val="1779910289"/>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 xml:space="preserve">Fee-type revenue decreased by $852 million mainly driven by lower fees primarily from our Individual Retirement segment as a result of lower average Separate Accounts AV due to lower equity markets and the impact of AV ceded to Venerable and lower fees in </w:t>
      </w:r>
      <w:r>
        <w:rPr>
          <w:rFonts w:eastAsia="Times New Roman"/>
          <w:color w:val="000000"/>
          <w:sz w:val="20"/>
          <w:szCs w:val="20"/>
          <w:shd w:val="clear" w:color="auto" w:fill="FFFFFF"/>
        </w:rPr>
        <w:t xml:space="preserve">our Investment Management and Research segment. </w:t>
      </w:r>
    </w:p>
    <w:p w:rsidR="00000000" w:rsidRDefault="00E54EC0">
      <w:pPr>
        <w:ind w:hanging="180"/>
        <w:divId w:val="977612696"/>
        <w:rPr>
          <w:rFonts w:eastAsia="Times New Roman"/>
        </w:rPr>
      </w:pPr>
      <w:r>
        <w:rPr>
          <w:rFonts w:eastAsia="Times New Roman"/>
          <w:color w:val="000000"/>
          <w:sz w:val="20"/>
          <w:szCs w:val="20"/>
          <w:shd w:val="clear" w:color="auto" w:fill="FFFFFF"/>
        </w:rPr>
        <w:t>•Net investment income decreased by $410 million mainly due to lower alternative investment income, lower assets due to the Venerable and Global Atlantic transactions, and lower income from seed capital inve</w:t>
      </w:r>
      <w:r>
        <w:rPr>
          <w:rFonts w:eastAsia="Times New Roman"/>
          <w:color w:val="000000"/>
          <w:sz w:val="20"/>
          <w:szCs w:val="20"/>
          <w:shd w:val="clear" w:color="auto" w:fill="FFFFFF"/>
        </w:rPr>
        <w:t xml:space="preserve">stments (offset by hedging gains in derivatives) partially offset by higher income from floating rate securities, higher SCS asset balances and GA optimization. </w:t>
      </w:r>
    </w:p>
    <w:p w:rsidR="00000000" w:rsidRDefault="00E54EC0">
      <w:pPr>
        <w:ind w:hanging="180"/>
        <w:divId w:val="7562865"/>
        <w:rPr>
          <w:rFonts w:eastAsia="Times New Roman"/>
        </w:rPr>
      </w:pPr>
      <w:r>
        <w:rPr>
          <w:rFonts w:eastAsia="Times New Roman"/>
          <w:color w:val="000000"/>
          <w:sz w:val="20"/>
          <w:szCs w:val="20"/>
          <w:shd w:val="clear" w:color="auto" w:fill="FFFFFF"/>
        </w:rPr>
        <w:t>•Policyholders’ benefits increased by $412 million mainly due to the equity market depreciatio</w:t>
      </w:r>
      <w:r>
        <w:rPr>
          <w:rFonts w:eastAsia="Times New Roman"/>
          <w:color w:val="000000"/>
          <w:sz w:val="20"/>
          <w:szCs w:val="20"/>
          <w:shd w:val="clear" w:color="auto" w:fill="FFFFFF"/>
        </w:rPr>
        <w:t>n during 2022 compared to equity market appreciation during 2021 (offset in Net Derivative gains), higher claims in Individual Retirement segment and higher life mortality net of PFBL reserve accruals, partially offset by the impact of the Venerable Transa</w:t>
      </w:r>
      <w:r>
        <w:rPr>
          <w:rFonts w:eastAsia="Times New Roman"/>
          <w:color w:val="000000"/>
          <w:sz w:val="20"/>
          <w:szCs w:val="20"/>
          <w:shd w:val="clear" w:color="auto" w:fill="FFFFFF"/>
        </w:rPr>
        <w:t>ction on the GMxB reserve accrual.</w:t>
      </w:r>
    </w:p>
    <w:p w:rsidR="00000000" w:rsidRDefault="00E54EC0">
      <w:pPr>
        <w:ind w:hanging="180"/>
        <w:divId w:val="315452864"/>
        <w:rPr>
          <w:rFonts w:eastAsia="Times New Roman"/>
        </w:rPr>
      </w:pPr>
      <w:r>
        <w:rPr>
          <w:rFonts w:eastAsia="Times New Roman"/>
          <w:color w:val="000000"/>
          <w:sz w:val="20"/>
          <w:szCs w:val="20"/>
          <w:shd w:val="clear" w:color="auto" w:fill="FFFFFF"/>
        </w:rPr>
        <w:t>•Interest credited to policyholders’ account balances increased by $190 million mainly due to increased interest rates and average outstanding amounts of funding agreements and growth of SCS AV during 2022.</w:t>
      </w:r>
    </w:p>
    <w:p w:rsidR="00000000" w:rsidRDefault="00E54EC0">
      <w:pPr>
        <w:ind w:hanging="180"/>
        <w:jc w:val="both"/>
        <w:divId w:val="284164209"/>
        <w:rPr>
          <w:rFonts w:eastAsia="Times New Roman"/>
        </w:rPr>
      </w:pPr>
      <w:r>
        <w:rPr>
          <w:rFonts w:eastAsia="Times New Roman"/>
          <w:color w:val="000000"/>
          <w:sz w:val="20"/>
          <w:szCs w:val="20"/>
        </w:rPr>
        <w:t xml:space="preserve">•Amortization </w:t>
      </w:r>
      <w:r>
        <w:rPr>
          <w:rFonts w:eastAsia="Times New Roman"/>
          <w:color w:val="000000"/>
          <w:sz w:val="20"/>
          <w:szCs w:val="20"/>
        </w:rPr>
        <w:t xml:space="preserve">of DAC increased by $98 million mainly due to equity market depreciation and less favorable assumption updates during 2022 compared to 2021. </w:t>
      </w:r>
    </w:p>
    <w:p w:rsidR="00000000" w:rsidRDefault="00E54EC0">
      <w:pPr>
        <w:divId w:val="46799924"/>
        <w:rPr>
          <w:rFonts w:eastAsia="Times New Roman"/>
        </w:rPr>
      </w:pPr>
      <w:r>
        <w:rPr>
          <w:rFonts w:eastAsia="Times New Roman"/>
          <w:color w:val="000000"/>
          <w:sz w:val="20"/>
          <w:szCs w:val="20"/>
          <w:shd w:val="clear" w:color="auto" w:fill="FFFFFF"/>
        </w:rPr>
        <w:t>These were partially offset by the following favorable items:</w:t>
      </w:r>
    </w:p>
    <w:p w:rsidR="00000000" w:rsidRDefault="00E54EC0">
      <w:pPr>
        <w:ind w:hanging="180"/>
        <w:divId w:val="121773489"/>
        <w:rPr>
          <w:rFonts w:eastAsia="Times New Roman"/>
        </w:rPr>
      </w:pPr>
      <w:r>
        <w:rPr>
          <w:rFonts w:eastAsia="Times New Roman"/>
          <w:color w:val="000000"/>
          <w:sz w:val="20"/>
          <w:szCs w:val="20"/>
        </w:rPr>
        <w:t xml:space="preserve">•Net derivative gains increased $742 million from a </w:t>
      </w:r>
      <w:r>
        <w:rPr>
          <w:rFonts w:eastAsia="Times New Roman"/>
          <w:color w:val="000000"/>
          <w:sz w:val="20"/>
          <w:szCs w:val="20"/>
        </w:rPr>
        <w:t>$208 million loss in the prior period mainly due to equity market depreciation (offset in Policyholders’ benefits) during 2022.</w:t>
      </w:r>
    </w:p>
    <w:p w:rsidR="00000000" w:rsidRDefault="00E54EC0">
      <w:pPr>
        <w:ind w:hanging="180"/>
        <w:jc w:val="both"/>
        <w:divId w:val="339235377"/>
        <w:rPr>
          <w:rFonts w:eastAsia="Times New Roman"/>
        </w:rPr>
      </w:pPr>
      <w:r>
        <w:rPr>
          <w:rFonts w:eastAsia="Times New Roman"/>
          <w:color w:val="000000"/>
          <w:sz w:val="20"/>
          <w:szCs w:val="20"/>
          <w:shd w:val="clear" w:color="auto" w:fill="FFFFFF"/>
        </w:rPr>
        <w:t>•Commissions and distribution-related payments decreased by $95 million mainly due to lower payments to financial intermediaries</w:t>
      </w:r>
      <w:r>
        <w:rPr>
          <w:rFonts w:eastAsia="Times New Roman"/>
          <w:color w:val="000000"/>
          <w:sz w:val="20"/>
          <w:szCs w:val="20"/>
          <w:shd w:val="clear" w:color="auto" w:fill="FFFFFF"/>
        </w:rPr>
        <w:t xml:space="preserve"> for the distribution of AB mutual funds in our Investment Management and Research segment, lower AV in our Individual Retirement segment related to equity market depreciation during 2022 partially offset by higher sales of Employee Benefits products in ou</w:t>
      </w:r>
      <w:r>
        <w:rPr>
          <w:rFonts w:eastAsia="Times New Roman"/>
          <w:color w:val="000000"/>
          <w:sz w:val="20"/>
          <w:szCs w:val="20"/>
          <w:shd w:val="clear" w:color="auto" w:fill="FFFFFF"/>
        </w:rPr>
        <w:t>r Protection Solutions segment.</w:t>
      </w:r>
    </w:p>
    <w:p w:rsidR="00000000" w:rsidRDefault="00E54EC0">
      <w:pPr>
        <w:ind w:hanging="180"/>
        <w:divId w:val="859466895"/>
        <w:rPr>
          <w:rFonts w:eastAsia="Times New Roman"/>
        </w:rPr>
      </w:pPr>
      <w:r>
        <w:rPr>
          <w:rFonts w:eastAsia="Times New Roman"/>
          <w:color w:val="000000"/>
          <w:sz w:val="20"/>
          <w:szCs w:val="20"/>
          <w:shd w:val="clear" w:color="auto" w:fill="FFFFFF"/>
        </w:rPr>
        <w:t>•Earnings attributable to the noncontrolling interest decreased by $89 million mainly due to lower pre-tax Operating earnings in our Investment Management and Research segment.</w:t>
      </w:r>
    </w:p>
    <w:p w:rsidR="00000000" w:rsidRDefault="00E54EC0">
      <w:pPr>
        <w:ind w:hanging="180"/>
        <w:divId w:val="1082675180"/>
        <w:rPr>
          <w:rFonts w:eastAsia="Times New Roman"/>
        </w:rPr>
      </w:pPr>
      <w:r>
        <w:rPr>
          <w:rFonts w:eastAsia="Times New Roman"/>
          <w:color w:val="000000"/>
          <w:sz w:val="20"/>
          <w:szCs w:val="20"/>
          <w:shd w:val="clear" w:color="auto" w:fill="FFFFFF"/>
        </w:rPr>
        <w:t>•Compensation, benefits and other operating cos</w:t>
      </w:r>
      <w:r>
        <w:rPr>
          <w:rFonts w:eastAsia="Times New Roman"/>
          <w:color w:val="000000"/>
          <w:sz w:val="20"/>
          <w:szCs w:val="20"/>
          <w:shd w:val="clear" w:color="auto" w:fill="FFFFFF"/>
        </w:rPr>
        <w:t>ts and expenses decreased by $42 million mainly due to lower fund expenses as a result of lower average assets due to the Venerable Transaction, lower legal accruals, reduced compensation &amp; benefits and continued improvement from our efficiency program par</w:t>
      </w:r>
      <w:r>
        <w:rPr>
          <w:rFonts w:eastAsia="Times New Roman"/>
          <w:color w:val="000000"/>
          <w:sz w:val="20"/>
          <w:szCs w:val="20"/>
          <w:shd w:val="clear" w:color="auto" w:fill="FFFFFF"/>
        </w:rPr>
        <w:t>tially offset by higher general and administrative expenses in our Investment Management and Research segment and unfavorable COLI impacts related to 2022 equity markets.</w:t>
      </w:r>
    </w:p>
    <w:p w:rsidR="00000000" w:rsidRDefault="00E54EC0">
      <w:pPr>
        <w:ind w:hanging="180"/>
        <w:jc w:val="both"/>
        <w:divId w:val="590503476"/>
        <w:rPr>
          <w:rFonts w:eastAsia="Times New Roman"/>
        </w:rPr>
      </w:pPr>
      <w:r>
        <w:rPr>
          <w:rFonts w:eastAsia="Times New Roman"/>
          <w:color w:val="000000"/>
          <w:sz w:val="20"/>
          <w:szCs w:val="20"/>
        </w:rPr>
        <w:t>•Income tax expense decreased by $158 million mainly driven by lower pre-tax earnings</w:t>
      </w:r>
      <w:r>
        <w:rPr>
          <w:rFonts w:eastAsia="Times New Roman"/>
          <w:color w:val="000000"/>
          <w:sz w:val="20"/>
          <w:szCs w:val="20"/>
        </w:rPr>
        <w:t xml:space="preserve">, partially offset by a higher effective tax rate. </w:t>
      </w:r>
    </w:p>
    <w:p w:rsidR="00000000" w:rsidRDefault="00E54EC0">
      <w:pPr>
        <w:divId w:val="246810725"/>
        <w:rPr>
          <w:rFonts w:eastAsia="Times New Roman"/>
        </w:rPr>
      </w:pPr>
      <w:r>
        <w:rPr>
          <w:rFonts w:eastAsia="Times New Roman"/>
          <w:b/>
          <w:bCs/>
          <w:color w:val="000000"/>
          <w:sz w:val="20"/>
          <w:szCs w:val="20"/>
        </w:rPr>
        <w:t>Year Ended December 31, 2021 Compared to the Year Ended December 31, 2020</w:t>
      </w:r>
    </w:p>
    <w:p w:rsidR="00000000" w:rsidRDefault="00E54EC0">
      <w:pPr>
        <w:jc w:val="both"/>
        <w:divId w:val="299961824"/>
        <w:rPr>
          <w:rFonts w:eastAsia="Times New Roman"/>
        </w:rPr>
      </w:pPr>
      <w:r>
        <w:rPr>
          <w:rFonts w:eastAsia="Times New Roman"/>
          <w:b/>
          <w:bCs/>
          <w:i/>
          <w:iCs/>
          <w:color w:val="000000"/>
          <w:sz w:val="20"/>
          <w:szCs w:val="20"/>
        </w:rPr>
        <w:t>Net Income Attributable to Holdings</w:t>
      </w:r>
    </w:p>
    <w:p w:rsidR="00000000" w:rsidRDefault="00E54EC0">
      <w:pPr>
        <w:ind w:firstLine="360"/>
        <w:divId w:val="1566645916"/>
        <w:rPr>
          <w:rFonts w:eastAsia="Times New Roman"/>
        </w:rPr>
      </w:pPr>
      <w:r>
        <w:rPr>
          <w:rFonts w:eastAsia="Times New Roman"/>
          <w:color w:val="000000"/>
          <w:sz w:val="20"/>
          <w:szCs w:val="20"/>
        </w:rPr>
        <w:t>For discussion that compares results for the year ended December 31, 2021 to the year ended December 31, 2020 refer to the MD&amp;A section in our Annual Report on Form 10-K for the year ended December 31, 2021 (“2021 Form 10-K”).</w:t>
      </w:r>
    </w:p>
    <w:p w:rsidR="00000000" w:rsidRDefault="00E54EC0">
      <w:pPr>
        <w:jc w:val="both"/>
        <w:divId w:val="1523131883"/>
        <w:rPr>
          <w:rFonts w:eastAsia="Times New Roman"/>
        </w:rPr>
      </w:pPr>
      <w:r>
        <w:rPr>
          <w:rFonts w:eastAsia="Times New Roman"/>
          <w:b/>
          <w:bCs/>
          <w:i/>
          <w:iCs/>
          <w:color w:val="000000"/>
          <w:sz w:val="20"/>
          <w:szCs w:val="20"/>
        </w:rPr>
        <w:t>Non-GAAP Operating Earnings</w:t>
      </w:r>
    </w:p>
    <w:p w:rsidR="00000000" w:rsidRDefault="00E54EC0">
      <w:pPr>
        <w:ind w:firstLine="360"/>
        <w:divId w:val="1133018468"/>
        <w:rPr>
          <w:rFonts w:eastAsia="Times New Roman"/>
        </w:rPr>
      </w:pPr>
      <w:r>
        <w:rPr>
          <w:rFonts w:eastAsia="Times New Roman"/>
          <w:color w:val="000000"/>
          <w:sz w:val="20"/>
          <w:szCs w:val="20"/>
        </w:rPr>
        <w:t>F</w:t>
      </w:r>
      <w:r>
        <w:rPr>
          <w:rFonts w:eastAsia="Times New Roman"/>
          <w:color w:val="000000"/>
          <w:sz w:val="20"/>
          <w:szCs w:val="20"/>
        </w:rPr>
        <w:t xml:space="preserve">or discussion that compares results for the year ended December 31, 2021 to the year ended December 31, 2020 refer to the MD&amp;A section in our 2021 Form 10-K. </w:t>
      </w:r>
    </w:p>
    <w:p w:rsidR="00000000" w:rsidRDefault="00E54EC0">
      <w:pPr>
        <w:divId w:val="503983982"/>
        <w:rPr>
          <w:rFonts w:eastAsia="Times New Roman"/>
        </w:rPr>
      </w:pPr>
      <w:r>
        <w:rPr>
          <w:rFonts w:eastAsia="Times New Roman"/>
          <w:b/>
          <w:bCs/>
          <w:color w:val="000000"/>
          <w:sz w:val="20"/>
          <w:szCs w:val="20"/>
        </w:rPr>
        <w:t>Results of Operations by Segment</w:t>
      </w:r>
    </w:p>
    <w:p w:rsidR="00000000" w:rsidRDefault="00E54EC0">
      <w:pPr>
        <w:ind w:firstLine="360"/>
        <w:divId w:val="803163483"/>
        <w:rPr>
          <w:rFonts w:eastAsia="Times New Roman"/>
        </w:rPr>
      </w:pPr>
      <w:r>
        <w:rPr>
          <w:rFonts w:eastAsia="Times New Roman"/>
          <w:color w:val="000000"/>
          <w:sz w:val="20"/>
          <w:szCs w:val="20"/>
        </w:rPr>
        <w:t>We manage our business through the following four segments: Indi</w:t>
      </w:r>
      <w:r>
        <w:rPr>
          <w:rFonts w:eastAsia="Times New Roman"/>
          <w:color w:val="000000"/>
          <w:sz w:val="20"/>
          <w:szCs w:val="20"/>
        </w:rPr>
        <w:t>vidual Retirement, Group Retirement, Investment Management and Research, and Protection Solutions. We report certain activities and items that are not included in our four segments in Corporate and Other. The following section presents our discussion of op</w:t>
      </w:r>
      <w:r>
        <w:rPr>
          <w:rFonts w:eastAsia="Times New Roman"/>
          <w:color w:val="000000"/>
          <w:sz w:val="20"/>
          <w:szCs w:val="20"/>
        </w:rPr>
        <w:t xml:space="preserve">erating earnings (loss) by segment and AUM, AV and Protection Solutions Reserves by segment, as applicable. Consistent with U.S. GAAP guidance for segment reporting, operating earnings (loss) is our U.S. GAAP measure of segment performance. See Note 19 of </w:t>
      </w:r>
      <w:r>
        <w:rPr>
          <w:rFonts w:eastAsia="Times New Roman"/>
          <w:color w:val="000000"/>
          <w:sz w:val="20"/>
          <w:szCs w:val="20"/>
        </w:rPr>
        <w:t>the Notes to the Consolidated Financial Statements for further information on our segments.</w:t>
      </w:r>
    </w:p>
    <w:p w:rsidR="00000000" w:rsidRDefault="00E54EC0">
      <w:pPr>
        <w:jc w:val="center"/>
        <w:divId w:val="855191150"/>
        <w:rPr>
          <w:rFonts w:eastAsia="Times New Roman"/>
        </w:rPr>
      </w:pPr>
      <w:r>
        <w:rPr>
          <w:rFonts w:eastAsia="Times New Roman"/>
          <w:color w:val="000000"/>
          <w:sz w:val="20"/>
          <w:szCs w:val="20"/>
        </w:rPr>
        <w:t>86</w:t>
      </w:r>
    </w:p>
    <w:p w:rsidR="00000000" w:rsidRDefault="00E54EC0">
      <w:pPr>
        <w:rPr>
          <w:rFonts w:eastAsia="Times New Roman"/>
        </w:rPr>
      </w:pPr>
      <w:r>
        <w:rPr>
          <w:rFonts w:eastAsia="Times New Roman"/>
        </w:rPr>
        <w:pict>
          <v:rect id="_x0000_i1124" style="width:0;height:1.5pt" o:hralign="center" o:hrstd="t" o:hr="t" fillcolor="#a0a0a0" stroked="f"/>
        </w:pict>
      </w:r>
    </w:p>
    <w:p w:rsidR="00000000" w:rsidRDefault="00E54EC0">
      <w:pPr>
        <w:divId w:val="1289512688"/>
        <w:rPr>
          <w:rFonts w:eastAsia="Times New Roman"/>
        </w:rPr>
      </w:pPr>
    </w:p>
    <w:p w:rsidR="00000000" w:rsidRDefault="00E54EC0">
      <w:pPr>
        <w:ind w:firstLine="360"/>
        <w:divId w:val="1728844243"/>
        <w:rPr>
          <w:rFonts w:eastAsia="Times New Roman"/>
        </w:rPr>
      </w:pPr>
      <w:r>
        <w:rPr>
          <w:rFonts w:eastAsia="Times New Roman"/>
          <w:color w:val="000000"/>
          <w:sz w:val="20"/>
          <w:szCs w:val="20"/>
        </w:rPr>
        <w:t>The following table summarizes operating earnings (loss) on our segments and Corporate and Other for the years ended Decem</w:t>
      </w:r>
      <w:r>
        <w:rPr>
          <w:rFonts w:eastAsia="Times New Roman"/>
          <w:color w:val="000000"/>
          <w:sz w:val="20"/>
          <w:szCs w:val="20"/>
        </w:rPr>
        <w:t>ber 31, 2022, 2021 and 2020:</w:t>
      </w:r>
    </w:p>
    <w:tbl>
      <w:tblPr>
        <w:tblW w:w="4758" w:type="pct"/>
        <w:tblCellMar>
          <w:top w:w="15" w:type="dxa"/>
          <w:left w:w="15" w:type="dxa"/>
          <w:bottom w:w="15" w:type="dxa"/>
          <w:right w:w="15" w:type="dxa"/>
        </w:tblCellMar>
        <w:tblLook w:val="04A0" w:firstRow="1" w:lastRow="0" w:firstColumn="1" w:lastColumn="0" w:noHBand="0" w:noVBand="1"/>
      </w:tblPr>
      <w:tblGrid>
        <w:gridCol w:w="39"/>
        <w:gridCol w:w="5234"/>
        <w:gridCol w:w="38"/>
        <w:gridCol w:w="36"/>
        <w:gridCol w:w="36"/>
        <w:gridCol w:w="36"/>
        <w:gridCol w:w="36"/>
        <w:gridCol w:w="120"/>
        <w:gridCol w:w="605"/>
        <w:gridCol w:w="36"/>
        <w:gridCol w:w="36"/>
        <w:gridCol w:w="36"/>
        <w:gridCol w:w="36"/>
        <w:gridCol w:w="120"/>
        <w:gridCol w:w="554"/>
        <w:gridCol w:w="36"/>
        <w:gridCol w:w="36"/>
        <w:gridCol w:w="36"/>
        <w:gridCol w:w="36"/>
        <w:gridCol w:w="120"/>
        <w:gridCol w:w="606"/>
        <w:gridCol w:w="36"/>
      </w:tblGrid>
      <w:tr w:rsidR="00000000">
        <w:trPr>
          <w:divId w:val="688337199"/>
        </w:trPr>
        <w:tc>
          <w:tcPr>
            <w:tcW w:w="50" w:type="pct"/>
            <w:vAlign w:val="center"/>
            <w:hideMark/>
          </w:tcPr>
          <w:p w:rsidR="00000000" w:rsidRDefault="00E54EC0">
            <w:pPr>
              <w:ind w:firstLine="360"/>
              <w:rPr>
                <w:rFonts w:eastAsia="Times New Roman"/>
              </w:rPr>
            </w:pPr>
          </w:p>
        </w:tc>
        <w:tc>
          <w:tcPr>
            <w:tcW w:w="34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68833719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68833719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68833719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688337199"/>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688337199"/>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Individual Retirement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88337199"/>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Group Retirement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88337199"/>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88337199"/>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Protection Solutions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8833719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 and Other</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88337199"/>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1611008623"/>
        <w:rPr>
          <w:rFonts w:eastAsia="Times New Roman"/>
        </w:rPr>
      </w:pPr>
      <w:r>
        <w:rPr>
          <w:rFonts w:eastAsia="Times New Roman"/>
          <w:b/>
          <w:bCs/>
          <w:i/>
          <w:iCs/>
          <w:color w:val="000000"/>
          <w:sz w:val="20"/>
          <w:szCs w:val="20"/>
        </w:rPr>
        <w:t xml:space="preserve">Effective Tax Rates by Segment </w:t>
      </w:r>
    </w:p>
    <w:p w:rsidR="00000000" w:rsidRDefault="00E54EC0">
      <w:pPr>
        <w:ind w:firstLine="360"/>
        <w:divId w:val="1279070690"/>
        <w:rPr>
          <w:rFonts w:eastAsia="Times New Roman"/>
        </w:rPr>
      </w:pPr>
      <w:r>
        <w:rPr>
          <w:rFonts w:eastAsia="Times New Roman"/>
          <w:color w:val="000000"/>
          <w:sz w:val="20"/>
          <w:szCs w:val="20"/>
        </w:rPr>
        <w:t>For 2022, 2021 and 2020 Income tax expense was allocated to the Company’s business segments using a 19%, 17% and 16%</w:t>
      </w:r>
      <w:r>
        <w:rPr>
          <w:rFonts w:eastAsia="Times New Roman"/>
          <w:color w:val="000000"/>
        </w:rPr>
        <w:t xml:space="preserve"> </w:t>
      </w:r>
      <w:r>
        <w:rPr>
          <w:rFonts w:eastAsia="Times New Roman"/>
          <w:color w:val="000000"/>
          <w:sz w:val="20"/>
          <w:szCs w:val="20"/>
        </w:rPr>
        <w:t>ETR respectively, for our retirement and protection businesses (Individual Retirement, Group Retirement, an</w:t>
      </w:r>
      <w:r>
        <w:rPr>
          <w:rFonts w:eastAsia="Times New Roman"/>
          <w:color w:val="000000"/>
          <w:sz w:val="20"/>
          <w:szCs w:val="20"/>
        </w:rPr>
        <w:t>d Protection Solutions) and a 28%, 27% and 27% ETR for Investment Management and Research.</w:t>
      </w:r>
    </w:p>
    <w:p w:rsidR="00000000" w:rsidRDefault="00E54EC0">
      <w:pPr>
        <w:divId w:val="111901775"/>
        <w:rPr>
          <w:rFonts w:eastAsia="Times New Roman"/>
        </w:rPr>
      </w:pPr>
      <w:r>
        <w:rPr>
          <w:rFonts w:eastAsia="Times New Roman"/>
          <w:b/>
          <w:bCs/>
          <w:color w:val="000000"/>
          <w:sz w:val="20"/>
          <w:szCs w:val="20"/>
        </w:rPr>
        <w:t>Individual Retirement</w:t>
      </w:r>
    </w:p>
    <w:p w:rsidR="00000000" w:rsidRDefault="00E54EC0">
      <w:pPr>
        <w:ind w:firstLine="360"/>
        <w:divId w:val="219096977"/>
        <w:rPr>
          <w:rFonts w:eastAsia="Times New Roman"/>
        </w:rPr>
      </w:pPr>
      <w:r>
        <w:rPr>
          <w:rFonts w:eastAsia="Times New Roman"/>
          <w:color w:val="000000"/>
          <w:sz w:val="20"/>
          <w:szCs w:val="20"/>
        </w:rPr>
        <w:t>The Individual Retirement segment includes our variable annuity products which primarily meet the needs of individuals saving for retirement or</w:t>
      </w:r>
      <w:r>
        <w:rPr>
          <w:rFonts w:eastAsia="Times New Roman"/>
          <w:color w:val="000000"/>
          <w:sz w:val="20"/>
          <w:szCs w:val="20"/>
        </w:rPr>
        <w:t xml:space="preserve"> seeking retirement income.</w:t>
      </w:r>
    </w:p>
    <w:p w:rsidR="00000000" w:rsidRDefault="00E54EC0">
      <w:pPr>
        <w:ind w:firstLine="360"/>
        <w:divId w:val="1779596645"/>
        <w:rPr>
          <w:rFonts w:eastAsia="Times New Roman"/>
        </w:rPr>
      </w:pPr>
      <w:r>
        <w:rPr>
          <w:rFonts w:eastAsia="Times New Roman"/>
          <w:color w:val="000000"/>
          <w:sz w:val="20"/>
          <w:szCs w:val="20"/>
        </w:rPr>
        <w:t>The following table summarizes operating earnings of our Individual Retirement segment for the periods presented:</w:t>
      </w:r>
    </w:p>
    <w:tbl>
      <w:tblPr>
        <w:tblW w:w="4824" w:type="pct"/>
        <w:tblCellMar>
          <w:top w:w="15" w:type="dxa"/>
          <w:left w:w="15" w:type="dxa"/>
          <w:bottom w:w="15" w:type="dxa"/>
          <w:right w:w="15" w:type="dxa"/>
        </w:tblCellMar>
        <w:tblLook w:val="04A0" w:firstRow="1" w:lastRow="0" w:firstColumn="1" w:lastColumn="0" w:noHBand="0" w:noVBand="1"/>
      </w:tblPr>
      <w:tblGrid>
        <w:gridCol w:w="37"/>
        <w:gridCol w:w="5097"/>
        <w:gridCol w:w="36"/>
        <w:gridCol w:w="36"/>
        <w:gridCol w:w="36"/>
        <w:gridCol w:w="36"/>
        <w:gridCol w:w="120"/>
        <w:gridCol w:w="668"/>
        <w:gridCol w:w="36"/>
        <w:gridCol w:w="36"/>
        <w:gridCol w:w="36"/>
        <w:gridCol w:w="36"/>
        <w:gridCol w:w="120"/>
        <w:gridCol w:w="692"/>
        <w:gridCol w:w="36"/>
        <w:gridCol w:w="36"/>
        <w:gridCol w:w="36"/>
        <w:gridCol w:w="36"/>
        <w:gridCol w:w="120"/>
        <w:gridCol w:w="692"/>
        <w:gridCol w:w="36"/>
      </w:tblGrid>
      <w:tr w:rsidR="00000000">
        <w:trPr>
          <w:divId w:val="1356157595"/>
        </w:trPr>
        <w:tc>
          <w:tcPr>
            <w:tcW w:w="50" w:type="pct"/>
            <w:vAlign w:val="center"/>
            <w:hideMark/>
          </w:tcPr>
          <w:p w:rsidR="00000000" w:rsidRDefault="00E54EC0">
            <w:pPr>
              <w:ind w:firstLine="360"/>
              <w:rPr>
                <w:rFonts w:eastAsia="Times New Roman"/>
              </w:rPr>
            </w:pPr>
          </w:p>
        </w:tc>
        <w:tc>
          <w:tcPr>
            <w:tcW w:w="328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6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8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8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5615759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56157595"/>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35615759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35615759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1,140</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528765450"/>
        <w:rPr>
          <w:rFonts w:eastAsia="Times New Roman"/>
        </w:rPr>
      </w:pPr>
    </w:p>
    <w:p w:rsidR="00000000" w:rsidRDefault="00E54EC0">
      <w:pPr>
        <w:divId w:val="1506940574"/>
        <w:rPr>
          <w:rFonts w:eastAsia="Times New Roman"/>
        </w:rPr>
      </w:pPr>
    </w:p>
    <w:p w:rsidR="00000000" w:rsidRDefault="00E54EC0">
      <w:pPr>
        <w:jc w:val="center"/>
        <w:divId w:val="795025942"/>
        <w:rPr>
          <w:rFonts w:eastAsia="Times New Roman"/>
        </w:rPr>
      </w:pPr>
      <w:r>
        <w:rPr>
          <w:rFonts w:eastAsia="Times New Roman"/>
          <w:color w:val="000000"/>
          <w:sz w:val="20"/>
          <w:szCs w:val="20"/>
        </w:rPr>
        <w:t>87</w:t>
      </w:r>
    </w:p>
    <w:p w:rsidR="00000000" w:rsidRDefault="00E54EC0">
      <w:pPr>
        <w:rPr>
          <w:rFonts w:eastAsia="Times New Roman"/>
        </w:rPr>
      </w:pPr>
      <w:r>
        <w:rPr>
          <w:rFonts w:eastAsia="Times New Roman"/>
        </w:rPr>
        <w:pict>
          <v:rect id="_x0000_i1125" style="width:0;height:1.5pt" o:hralign="center" o:hrstd="t" o:hr="t" fillcolor="#a0a0a0" stroked="f"/>
        </w:pict>
      </w:r>
    </w:p>
    <w:p w:rsidR="00000000" w:rsidRDefault="00E54EC0">
      <w:pPr>
        <w:divId w:val="337391459"/>
        <w:rPr>
          <w:rFonts w:eastAsia="Times New Roman"/>
        </w:rPr>
      </w:pPr>
    </w:p>
    <w:p w:rsidR="00000000" w:rsidRDefault="00E54EC0">
      <w:pPr>
        <w:ind w:firstLine="360"/>
        <w:divId w:val="389772982"/>
        <w:rPr>
          <w:rFonts w:eastAsia="Times New Roman"/>
        </w:rPr>
      </w:pPr>
      <w:r>
        <w:rPr>
          <w:rFonts w:eastAsia="Times New Roman"/>
          <w:color w:val="000000"/>
          <w:sz w:val="20"/>
          <w:szCs w:val="20"/>
        </w:rPr>
        <w:t>Key components of operating earnings are:</w:t>
      </w:r>
    </w:p>
    <w:tbl>
      <w:tblPr>
        <w:tblW w:w="4722" w:type="pct"/>
        <w:jc w:val="center"/>
        <w:tblCellMar>
          <w:top w:w="15" w:type="dxa"/>
          <w:left w:w="15" w:type="dxa"/>
          <w:bottom w:w="15" w:type="dxa"/>
          <w:right w:w="15" w:type="dxa"/>
        </w:tblCellMar>
        <w:tblLook w:val="04A0" w:firstRow="1" w:lastRow="0" w:firstColumn="1" w:lastColumn="0" w:noHBand="0" w:noVBand="1"/>
      </w:tblPr>
      <w:tblGrid>
        <w:gridCol w:w="38"/>
        <w:gridCol w:w="4854"/>
        <w:gridCol w:w="37"/>
        <w:gridCol w:w="36"/>
        <w:gridCol w:w="36"/>
        <w:gridCol w:w="36"/>
        <w:gridCol w:w="36"/>
        <w:gridCol w:w="120"/>
        <w:gridCol w:w="713"/>
        <w:gridCol w:w="36"/>
        <w:gridCol w:w="36"/>
        <w:gridCol w:w="36"/>
        <w:gridCol w:w="36"/>
        <w:gridCol w:w="120"/>
        <w:gridCol w:w="713"/>
        <w:gridCol w:w="36"/>
        <w:gridCol w:w="36"/>
        <w:gridCol w:w="36"/>
        <w:gridCol w:w="36"/>
        <w:gridCol w:w="120"/>
        <w:gridCol w:w="661"/>
        <w:gridCol w:w="36"/>
      </w:tblGrid>
      <w:tr w:rsidR="00000000">
        <w:trPr>
          <w:divId w:val="1290548134"/>
          <w:jc w:val="center"/>
        </w:trPr>
        <w:tc>
          <w:tcPr>
            <w:tcW w:w="50" w:type="pct"/>
            <w:vAlign w:val="center"/>
            <w:hideMark/>
          </w:tcPr>
          <w:p w:rsidR="00000000" w:rsidRDefault="00E54EC0">
            <w:pPr>
              <w:ind w:firstLine="360"/>
              <w:rPr>
                <w:rFonts w:eastAsia="Times New Roman"/>
              </w:rPr>
            </w:pPr>
          </w:p>
        </w:tc>
        <w:tc>
          <w:tcPr>
            <w:tcW w:w="32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90548134"/>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90548134"/>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290548134"/>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90548134"/>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905481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1,867 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1,287 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905481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90548134"/>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134"/>
          <w:jc w:val="center"/>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2,519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2,038 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80009819"/>
        <w:rPr>
          <w:rFonts w:eastAsia="Times New Roman"/>
        </w:rPr>
      </w:pPr>
    </w:p>
    <w:p w:rsidR="00000000" w:rsidRDefault="00E54EC0">
      <w:pPr>
        <w:ind w:firstLine="360"/>
        <w:divId w:val="1271162546"/>
        <w:rPr>
          <w:rFonts w:eastAsia="Times New Roman"/>
        </w:rPr>
      </w:pPr>
      <w:r>
        <w:rPr>
          <w:rFonts w:eastAsia="Times New Roman"/>
          <w:color w:val="000000"/>
          <w:sz w:val="20"/>
          <w:szCs w:val="20"/>
        </w:rPr>
        <w:t>The following table summarizes AV for</w:t>
      </w:r>
      <w:r>
        <w:rPr>
          <w:rFonts w:eastAsia="Times New Roman"/>
          <w:color w:val="000000"/>
          <w:sz w:val="20"/>
          <w:szCs w:val="20"/>
        </w:rPr>
        <w:t xml:space="preserve"> our Individual Retirement segment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55"/>
        <w:gridCol w:w="38"/>
        <w:gridCol w:w="120"/>
        <w:gridCol w:w="1037"/>
        <w:gridCol w:w="36"/>
        <w:gridCol w:w="36"/>
        <w:gridCol w:w="36"/>
        <w:gridCol w:w="36"/>
        <w:gridCol w:w="120"/>
        <w:gridCol w:w="1000"/>
        <w:gridCol w:w="36"/>
        <w:gridCol w:w="36"/>
        <w:gridCol w:w="36"/>
        <w:gridCol w:w="36"/>
        <w:gridCol w:w="36"/>
        <w:gridCol w:w="36"/>
        <w:gridCol w:w="36"/>
      </w:tblGrid>
      <w:tr w:rsidR="00000000">
        <w:trPr>
          <w:divId w:val="1477336234"/>
          <w:jc w:val="center"/>
        </w:trPr>
        <w:tc>
          <w:tcPr>
            <w:tcW w:w="50" w:type="pct"/>
            <w:vAlign w:val="center"/>
            <w:hideMark/>
          </w:tcPr>
          <w:p w:rsidR="00000000" w:rsidRDefault="00E54EC0">
            <w:pPr>
              <w:ind w:firstLine="360"/>
              <w:rPr>
                <w:rFonts w:eastAsia="Times New Roman"/>
              </w:rPr>
            </w:pPr>
          </w:p>
        </w:tc>
        <w:tc>
          <w:tcPr>
            <w:tcW w:w="3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AV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38,748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37,698 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57,011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74,206 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477336234"/>
          <w:jc w:val="center"/>
        </w:trPr>
        <w:tc>
          <w:tcPr>
            <w:tcW w:w="0" w:type="auto"/>
            <w:gridSpan w:val="3"/>
            <w:shd w:val="clear" w:color="auto" w:fill="CCEEFF"/>
            <w:tcMar>
              <w:top w:w="30" w:type="dxa"/>
              <w:left w:w="39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95,759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111,904 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299455448"/>
        <w:rPr>
          <w:rFonts w:eastAsia="Times New Roman"/>
        </w:rPr>
      </w:pPr>
      <w:r>
        <w:rPr>
          <w:rFonts w:eastAsia="Times New Roman"/>
          <w:color w:val="000000"/>
          <w:sz w:val="18"/>
          <w:szCs w:val="18"/>
        </w:rPr>
        <w:t>(1)AV prese</w:t>
      </w:r>
      <w:r>
        <w:rPr>
          <w:rFonts w:eastAsia="Times New Roman"/>
          <w:color w:val="000000"/>
          <w:sz w:val="18"/>
          <w:szCs w:val="18"/>
        </w:rPr>
        <w:t>nted are net of reinsurance.</w:t>
      </w:r>
    </w:p>
    <w:p w:rsidR="00000000" w:rsidRDefault="00E54EC0">
      <w:pPr>
        <w:divId w:val="1003825657"/>
        <w:rPr>
          <w:rFonts w:eastAsia="Times New Roman"/>
        </w:rPr>
      </w:pPr>
      <w:r>
        <w:rPr>
          <w:rFonts w:eastAsia="Times New Roman"/>
          <w:color w:val="000000"/>
          <w:sz w:val="20"/>
          <w:szCs w:val="20"/>
        </w:rPr>
        <w:t>The following table summarizes a roll-forward of AV for our Individual Retirement segment for the periods presented:</w:t>
      </w:r>
    </w:p>
    <w:tbl>
      <w:tblPr>
        <w:tblW w:w="4714" w:type="pct"/>
        <w:tblCellMar>
          <w:top w:w="15" w:type="dxa"/>
          <w:left w:w="15" w:type="dxa"/>
          <w:bottom w:w="15" w:type="dxa"/>
          <w:right w:w="15" w:type="dxa"/>
        </w:tblCellMar>
        <w:tblLook w:val="04A0" w:firstRow="1" w:lastRow="0" w:firstColumn="1" w:lastColumn="0" w:noHBand="0" w:noVBand="1"/>
      </w:tblPr>
      <w:tblGrid>
        <w:gridCol w:w="39"/>
        <w:gridCol w:w="4826"/>
        <w:gridCol w:w="38"/>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trPr>
          <w:divId w:val="1003825657"/>
        </w:trPr>
        <w:tc>
          <w:tcPr>
            <w:tcW w:w="50" w:type="pct"/>
            <w:vAlign w:val="center"/>
            <w:hideMark/>
          </w:tcPr>
          <w:p w:rsidR="00000000" w:rsidRDefault="00E54EC0">
            <w:pPr>
              <w:rPr>
                <w:rFonts w:eastAsia="Times New Roman"/>
              </w:rPr>
            </w:pPr>
          </w:p>
        </w:tc>
        <w:tc>
          <w:tcPr>
            <w:tcW w:w="325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0382565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00382565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00382565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038256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117,390 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108,922 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Gross 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Surrenders, withdrawals and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(12,143)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FFFF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flows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(894)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performance, interest credited and policy charges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(17,845)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12,316 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9,606 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Ceded to Venerable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Reclassified to Liabilities held for sale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(3) (4)</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0382565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95,759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111,904 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4" w:space="0" w:color="000000"/>
              <w:bottom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117,390 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468627355"/>
        <w:rPr>
          <w:rFonts w:eastAsia="Times New Roman"/>
        </w:rPr>
      </w:pPr>
      <w:r>
        <w:rPr>
          <w:rFonts w:eastAsia="Times New Roman"/>
          <w:color w:val="000000"/>
          <w:sz w:val="18"/>
          <w:szCs w:val="18"/>
        </w:rPr>
        <w:t>______________</w:t>
      </w:r>
    </w:p>
    <w:p w:rsidR="00000000" w:rsidRDefault="00E54EC0">
      <w:pPr>
        <w:ind w:hanging="360"/>
        <w:divId w:val="1638416830"/>
        <w:rPr>
          <w:rFonts w:eastAsia="Times New Roman"/>
        </w:rPr>
      </w:pPr>
      <w:r>
        <w:rPr>
          <w:rFonts w:eastAsia="Times New Roman"/>
          <w:color w:val="000000"/>
          <w:sz w:val="18"/>
          <w:szCs w:val="18"/>
        </w:rPr>
        <w:t>(1)For the year</w:t>
      </w:r>
      <w:r>
        <w:rPr>
          <w:rFonts w:eastAsia="Times New Roman"/>
          <w:color w:val="000000"/>
          <w:sz w:val="18"/>
          <w:szCs w:val="18"/>
        </w:rPr>
        <w:t>s ended December 31, 2022 and 2021, net flows of ($312) million and ($830) million and investment performance, interest credited and policy charges of $689 million and $589 million, respectively, are excluded as these amounts are related to ceded AV to Ven</w:t>
      </w:r>
      <w:r>
        <w:rPr>
          <w:rFonts w:eastAsia="Times New Roman"/>
          <w:color w:val="000000"/>
          <w:sz w:val="18"/>
          <w:szCs w:val="18"/>
        </w:rPr>
        <w:t>erable.</w:t>
      </w:r>
    </w:p>
    <w:p w:rsidR="00000000" w:rsidRDefault="00E54EC0">
      <w:pPr>
        <w:jc w:val="center"/>
        <w:divId w:val="532421157"/>
        <w:rPr>
          <w:rFonts w:eastAsia="Times New Roman"/>
        </w:rPr>
      </w:pPr>
      <w:r>
        <w:rPr>
          <w:rFonts w:eastAsia="Times New Roman"/>
          <w:color w:val="000000"/>
          <w:sz w:val="20"/>
          <w:szCs w:val="20"/>
        </w:rPr>
        <w:t>88</w:t>
      </w:r>
    </w:p>
    <w:p w:rsidR="00000000" w:rsidRDefault="00E54EC0">
      <w:pPr>
        <w:rPr>
          <w:rFonts w:eastAsia="Times New Roman"/>
        </w:rPr>
      </w:pPr>
      <w:r>
        <w:rPr>
          <w:rFonts w:eastAsia="Times New Roman"/>
        </w:rPr>
        <w:pict>
          <v:rect id="_x0000_i1126" style="width:0;height:1.5pt" o:hralign="center" o:hrstd="t" o:hr="t" fillcolor="#a0a0a0" stroked="f"/>
        </w:pict>
      </w:r>
    </w:p>
    <w:p w:rsidR="00000000" w:rsidRDefault="00E54EC0">
      <w:pPr>
        <w:divId w:val="123937430"/>
        <w:rPr>
          <w:rFonts w:eastAsia="Times New Roman"/>
        </w:rPr>
      </w:pPr>
    </w:p>
    <w:p w:rsidR="00000000" w:rsidRDefault="00E54EC0">
      <w:pPr>
        <w:ind w:hanging="360"/>
        <w:divId w:val="1889297095"/>
        <w:rPr>
          <w:rFonts w:eastAsia="Times New Roman"/>
        </w:rPr>
      </w:pPr>
      <w:r>
        <w:rPr>
          <w:rFonts w:eastAsia="Times New Roman"/>
          <w:color w:val="000000"/>
          <w:sz w:val="18"/>
          <w:szCs w:val="18"/>
        </w:rPr>
        <w:t>(2)</w:t>
      </w:r>
      <w:r>
        <w:rPr>
          <w:rFonts w:eastAsia="Times New Roman"/>
          <w:color w:val="000000"/>
          <w:sz w:val="18"/>
          <w:szCs w:val="18"/>
        </w:rPr>
        <w:t>Effective June 1, 2021, AV excludes activity related to ceded AV to Venerable. In addition, roll-forward reflects the AV ceded to Venerable as of the transaction date. For additional information on the Venerable Transaction see Note 1 of the Notes to Conso</w:t>
      </w:r>
      <w:r>
        <w:rPr>
          <w:rFonts w:eastAsia="Times New Roman"/>
          <w:color w:val="000000"/>
          <w:sz w:val="18"/>
          <w:szCs w:val="18"/>
        </w:rPr>
        <w:t>lidated Financial Statements.</w:t>
      </w:r>
    </w:p>
    <w:p w:rsidR="00000000" w:rsidRDefault="00E54EC0">
      <w:pPr>
        <w:ind w:hanging="360"/>
        <w:divId w:val="475147247"/>
        <w:rPr>
          <w:rFonts w:eastAsia="Times New Roman"/>
        </w:rPr>
      </w:pPr>
      <w:r>
        <w:rPr>
          <w:rFonts w:eastAsia="Times New Roman"/>
          <w:color w:val="000000"/>
          <w:sz w:val="18"/>
          <w:szCs w:val="18"/>
        </w:rPr>
        <w:t>(3)For the year ended December 31, 2021 amounts reflect ($38) million transfer of policyholders account balances to future policyholder benefits and other policyholders liabilities related to structured settlement contracts an</w:t>
      </w:r>
      <w:r>
        <w:rPr>
          <w:rFonts w:eastAsia="Times New Roman"/>
          <w:color w:val="000000"/>
          <w:sz w:val="18"/>
          <w:szCs w:val="18"/>
        </w:rPr>
        <w:t>d $57 million of AV transfer of a closed block of GMxB business from the Group Retirement Segment to the Individual Retirement Segment.</w:t>
      </w:r>
    </w:p>
    <w:p w:rsidR="00000000" w:rsidRDefault="00E54EC0">
      <w:pPr>
        <w:ind w:hanging="360"/>
        <w:divId w:val="2039695331"/>
        <w:rPr>
          <w:rFonts w:eastAsia="Times New Roman"/>
        </w:rPr>
      </w:pPr>
      <w:r>
        <w:rPr>
          <w:rFonts w:eastAsia="Times New Roman"/>
          <w:color w:val="000000"/>
          <w:sz w:val="18"/>
          <w:szCs w:val="18"/>
        </w:rPr>
        <w:t>(4)For the year ended December 31, 2020, amounts are primarily related to our fixed income annuity (“FIA”) contracts whi</w:t>
      </w:r>
      <w:r>
        <w:rPr>
          <w:rFonts w:eastAsia="Times New Roman"/>
          <w:color w:val="000000"/>
          <w:sz w:val="18"/>
          <w:szCs w:val="18"/>
        </w:rPr>
        <w:t>ch were previously reported as Policyholders’ account balances in the consolidated balance sheets and therefore included in our definition of “Account Value”. Effective January 1, 2020, FIAs are reported as future policy benefits and other policyholders’ l</w:t>
      </w:r>
      <w:r>
        <w:rPr>
          <w:rFonts w:eastAsia="Times New Roman"/>
          <w:color w:val="000000"/>
          <w:sz w:val="18"/>
          <w:szCs w:val="18"/>
        </w:rPr>
        <w:t>iabilities in the consolidated balance sheets and accordingly were excluded from Account Value.</w:t>
      </w:r>
    </w:p>
    <w:p w:rsidR="00000000" w:rsidRDefault="00E54EC0">
      <w:pPr>
        <w:divId w:val="2023165193"/>
        <w:rPr>
          <w:rFonts w:eastAsia="Times New Roman"/>
        </w:rPr>
      </w:pPr>
      <w:r>
        <w:rPr>
          <w:rFonts w:eastAsia="Times New Roman"/>
          <w:b/>
          <w:bCs/>
          <w:color w:val="000000"/>
          <w:sz w:val="20"/>
          <w:szCs w:val="20"/>
          <w:shd w:val="clear" w:color="auto" w:fill="FFFFFF"/>
        </w:rPr>
        <w:t>Year Ended December 31, 2022 Compared to the Year Ended December 31, 2021 for the Individual Retirement Segment</w:t>
      </w:r>
    </w:p>
    <w:p w:rsidR="00000000" w:rsidRDefault="00E54EC0">
      <w:pPr>
        <w:jc w:val="both"/>
        <w:divId w:val="297957657"/>
        <w:rPr>
          <w:rFonts w:eastAsia="Times New Roman"/>
        </w:rPr>
      </w:pPr>
      <w:r>
        <w:rPr>
          <w:rFonts w:eastAsia="Times New Roman"/>
          <w:b/>
          <w:bCs/>
          <w:i/>
          <w:iCs/>
          <w:color w:val="000000"/>
          <w:sz w:val="20"/>
          <w:szCs w:val="20"/>
          <w:shd w:val="clear" w:color="auto" w:fill="FFFFFF"/>
        </w:rPr>
        <w:t>Operating earnings</w:t>
      </w:r>
    </w:p>
    <w:p w:rsidR="00000000" w:rsidRDefault="00E54EC0">
      <w:pPr>
        <w:ind w:firstLine="360"/>
        <w:jc w:val="both"/>
        <w:divId w:val="1559515222"/>
        <w:rPr>
          <w:rFonts w:eastAsia="Times New Roman"/>
        </w:rPr>
      </w:pPr>
      <w:r>
        <w:rPr>
          <w:rFonts w:eastAsia="Times New Roman"/>
          <w:color w:val="000000"/>
          <w:sz w:val="20"/>
          <w:szCs w:val="20"/>
          <w:shd w:val="clear" w:color="auto" w:fill="FFFFFF"/>
        </w:rPr>
        <w:t>Operating earnings decreased</w:t>
      </w:r>
      <w:r>
        <w:rPr>
          <w:rFonts w:eastAsia="Times New Roman"/>
          <w:color w:val="000000"/>
          <w:sz w:val="20"/>
          <w:szCs w:val="20"/>
        </w:rPr>
        <w:t xml:space="preserve"> </w:t>
      </w:r>
      <w:r>
        <w:rPr>
          <w:rFonts w:eastAsia="Times New Roman"/>
          <w:color w:val="000000"/>
          <w:sz w:val="20"/>
          <w:szCs w:val="20"/>
        </w:rPr>
        <w:t>$304 million to $1.1 billion during the year ended December 31, 2022 from $1.4 billion in the year ended December 31, 2021. The followi</w:t>
      </w:r>
      <w:r>
        <w:rPr>
          <w:rFonts w:eastAsia="Times New Roman"/>
          <w:color w:val="000000"/>
          <w:sz w:val="20"/>
          <w:szCs w:val="20"/>
          <w:shd w:val="clear" w:color="auto" w:fill="FFFFFF"/>
        </w:rPr>
        <w:t>ng notable items were the primary drivers of the change in operating earnings:</w:t>
      </w:r>
    </w:p>
    <w:p w:rsidR="00000000" w:rsidRDefault="00E54EC0">
      <w:pPr>
        <w:jc w:val="both"/>
        <w:rPr>
          <w:rFonts w:eastAsia="Times New Roman"/>
        </w:rPr>
      </w:pPr>
    </w:p>
    <w:p w:rsidR="00000000" w:rsidRDefault="00E54EC0">
      <w:pPr>
        <w:jc w:val="both"/>
        <w:rPr>
          <w:rFonts w:eastAsia="Times New Roman"/>
        </w:rPr>
      </w:pPr>
      <w:r>
        <w:rPr>
          <w:rFonts w:eastAsia="Times New Roman"/>
          <w:color w:val="000000"/>
          <w:sz w:val="20"/>
          <w:szCs w:val="20"/>
          <w:shd w:val="clear" w:color="auto" w:fill="FFFFFF"/>
        </w:rPr>
        <w:t>Unfavorable items included:</w:t>
      </w:r>
    </w:p>
    <w:p w:rsidR="00000000" w:rsidRDefault="00E54EC0">
      <w:pPr>
        <w:ind w:hanging="360"/>
        <w:divId w:val="74590755"/>
        <w:rPr>
          <w:rFonts w:eastAsia="Times New Roman"/>
        </w:rPr>
      </w:pPr>
      <w:r>
        <w:rPr>
          <w:rFonts w:eastAsia="Times New Roman"/>
          <w:color w:val="000000"/>
          <w:sz w:val="20"/>
          <w:szCs w:val="20"/>
          <w:shd w:val="clear" w:color="auto" w:fill="FFFFFF"/>
        </w:rPr>
        <w:t>•</w:t>
      </w:r>
      <w:r>
        <w:rPr>
          <w:rFonts w:eastAsia="Times New Roman"/>
          <w:color w:val="000000"/>
          <w:sz w:val="20"/>
          <w:szCs w:val="20"/>
        </w:rPr>
        <w:t>Fee-type re</w:t>
      </w:r>
      <w:r>
        <w:rPr>
          <w:rFonts w:eastAsia="Times New Roman"/>
          <w:color w:val="000000"/>
          <w:sz w:val="20"/>
          <w:szCs w:val="20"/>
        </w:rPr>
        <w:t xml:space="preserve">venue decreased by $420 million mainly due to lower average Separate Accounts AV as result of lower equity markets and the impact of AV ceded to Venerable, partially </w:t>
      </w:r>
      <w:r>
        <w:rPr>
          <w:rFonts w:eastAsia="Times New Roman"/>
          <w:color w:val="000000"/>
          <w:sz w:val="20"/>
          <w:szCs w:val="20"/>
          <w:shd w:val="clear" w:color="auto" w:fill="FFFFFF"/>
        </w:rPr>
        <w:t>offset by commission reimbursements in Other Income.</w:t>
      </w:r>
    </w:p>
    <w:p w:rsidR="00000000" w:rsidRDefault="00E54EC0">
      <w:pPr>
        <w:ind w:hanging="360"/>
        <w:divId w:val="444470820"/>
        <w:rPr>
          <w:rFonts w:eastAsia="Times New Roman"/>
        </w:rPr>
      </w:pPr>
      <w:r>
        <w:rPr>
          <w:rFonts w:eastAsia="Times New Roman"/>
          <w:color w:val="000000"/>
          <w:sz w:val="20"/>
          <w:szCs w:val="20"/>
          <w:shd w:val="clear" w:color="auto" w:fill="FFFFFF"/>
        </w:rPr>
        <w:t xml:space="preserve">•Interest credited to policyholders’ </w:t>
      </w:r>
      <w:r>
        <w:rPr>
          <w:rFonts w:eastAsia="Times New Roman"/>
          <w:color w:val="000000"/>
          <w:sz w:val="20"/>
          <w:szCs w:val="20"/>
          <w:shd w:val="clear" w:color="auto" w:fill="FFFFFF"/>
        </w:rPr>
        <w:t>account balances increased by $97 million mainly due to the growth of SCS AV during 2022.</w:t>
      </w:r>
    </w:p>
    <w:p w:rsidR="00000000" w:rsidRDefault="00E54EC0">
      <w:pPr>
        <w:ind w:hanging="360"/>
        <w:divId w:val="1886599694"/>
        <w:rPr>
          <w:rFonts w:eastAsia="Times New Roman"/>
        </w:rPr>
      </w:pPr>
      <w:r>
        <w:rPr>
          <w:rFonts w:eastAsia="Times New Roman"/>
          <w:color w:val="000000"/>
          <w:sz w:val="20"/>
          <w:szCs w:val="20"/>
          <w:shd w:val="clear" w:color="auto" w:fill="FFFFFF"/>
        </w:rPr>
        <w:t>•Amortization of DAC increased by $59 million mainly due to equity market depreciation during 2022 compared to equity market appreciation in 2021.</w:t>
      </w:r>
    </w:p>
    <w:p w:rsidR="00000000" w:rsidRDefault="00E54EC0">
      <w:pPr>
        <w:divId w:val="931351923"/>
        <w:rPr>
          <w:rFonts w:eastAsia="Times New Roman"/>
        </w:rPr>
      </w:pPr>
      <w:r>
        <w:rPr>
          <w:rFonts w:eastAsia="Times New Roman"/>
          <w:color w:val="000000"/>
          <w:sz w:val="20"/>
          <w:szCs w:val="20"/>
          <w:shd w:val="clear" w:color="auto" w:fill="FFFFFF"/>
        </w:rPr>
        <w:t>These were partiall</w:t>
      </w:r>
      <w:r>
        <w:rPr>
          <w:rFonts w:eastAsia="Times New Roman"/>
          <w:color w:val="000000"/>
          <w:sz w:val="20"/>
          <w:szCs w:val="20"/>
          <w:shd w:val="clear" w:color="auto" w:fill="FFFFFF"/>
        </w:rPr>
        <w:t>y offset by the following favorable items:</w:t>
      </w:r>
    </w:p>
    <w:p w:rsidR="00000000" w:rsidRDefault="00E54EC0">
      <w:pPr>
        <w:ind w:hanging="360"/>
        <w:jc w:val="both"/>
        <w:divId w:val="1505392718"/>
        <w:rPr>
          <w:rFonts w:eastAsia="Times New Roman"/>
        </w:rPr>
      </w:pPr>
      <w:r>
        <w:rPr>
          <w:rFonts w:eastAsia="Times New Roman"/>
          <w:color w:val="000000"/>
          <w:sz w:val="20"/>
          <w:szCs w:val="20"/>
          <w:shd w:val="clear" w:color="auto" w:fill="FFFFFF"/>
        </w:rPr>
        <w:t xml:space="preserve">•Net GMxB results increased $92 million primarily due to improved GMxB margin from the Venerable Transaction, which mitigated the higher claims in 2022. GMxB results are included in policy charges and fee income, </w:t>
      </w:r>
      <w:r>
        <w:rPr>
          <w:rFonts w:eastAsia="Times New Roman"/>
          <w:color w:val="000000"/>
          <w:sz w:val="20"/>
          <w:szCs w:val="20"/>
          <w:shd w:val="clear" w:color="auto" w:fill="FFFFFF"/>
        </w:rPr>
        <w:t>net derivative gains (losses), and policyholders’ benefits.</w:t>
      </w:r>
    </w:p>
    <w:p w:rsidR="00000000" w:rsidRDefault="00E54EC0">
      <w:pPr>
        <w:ind w:hanging="360"/>
        <w:jc w:val="both"/>
        <w:divId w:val="1899245894"/>
        <w:rPr>
          <w:rFonts w:eastAsia="Times New Roman"/>
        </w:rPr>
      </w:pPr>
      <w:r>
        <w:rPr>
          <w:rFonts w:ascii="Arial" w:eastAsia="Times New Roman" w:hAnsi="Arial" w:cs="Arial"/>
          <w:color w:val="000000"/>
          <w:sz w:val="20"/>
          <w:szCs w:val="20"/>
        </w:rPr>
        <w:t>•</w:t>
      </w:r>
      <w:r>
        <w:rPr>
          <w:rFonts w:eastAsia="Times New Roman"/>
          <w:color w:val="000000"/>
          <w:sz w:val="20"/>
          <w:szCs w:val="20"/>
        </w:rPr>
        <w:t>Compensation, benefits and other operating costs and expenses decreased by $53 million primarily due to lower compensation related expenses, primarily associated with lower headcount, and lower s</w:t>
      </w:r>
      <w:r>
        <w:rPr>
          <w:rFonts w:eastAsia="Times New Roman"/>
          <w:color w:val="000000"/>
          <w:sz w:val="20"/>
          <w:szCs w:val="20"/>
        </w:rPr>
        <w:t xml:space="preserve">ubadvisory fees. </w:t>
      </w:r>
    </w:p>
    <w:p w:rsidR="00000000" w:rsidRDefault="00E54EC0">
      <w:pPr>
        <w:ind w:hanging="360"/>
        <w:jc w:val="both"/>
        <w:divId w:val="1678924275"/>
        <w:rPr>
          <w:rFonts w:eastAsia="Times New Roman"/>
        </w:rPr>
      </w:pPr>
      <w:r>
        <w:rPr>
          <w:rFonts w:eastAsia="Times New Roman"/>
          <w:color w:val="000000"/>
          <w:sz w:val="20"/>
          <w:szCs w:val="20"/>
          <w:shd w:val="clear" w:color="auto" w:fill="FFFFFF"/>
        </w:rPr>
        <w:t>•Commissions and distribution-related payments decreased by $45 million mainly due to lower AV due to equity market depreciation during 2022.</w:t>
      </w:r>
    </w:p>
    <w:p w:rsidR="00000000" w:rsidRDefault="00E54EC0">
      <w:pPr>
        <w:spacing w:after="240"/>
        <w:ind w:hanging="360"/>
        <w:jc w:val="both"/>
        <w:divId w:val="1619335985"/>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Net investment income increased by $21 million mainly due to higher income from floating rate s</w:t>
      </w:r>
      <w:r>
        <w:rPr>
          <w:rFonts w:eastAsia="Times New Roman"/>
          <w:color w:val="000000"/>
          <w:sz w:val="20"/>
          <w:szCs w:val="20"/>
          <w:shd w:val="clear" w:color="auto" w:fill="FFFFFF"/>
        </w:rPr>
        <w:t>ecurities, higher SCS asset balances and GA optimization, partially offset by lower alternative investment income, lower prepayments and lower assets due to the Venerable transaction.</w:t>
      </w:r>
    </w:p>
    <w:p w:rsidR="00000000" w:rsidRDefault="00E54EC0">
      <w:pPr>
        <w:ind w:hanging="360"/>
        <w:jc w:val="both"/>
        <w:divId w:val="730693273"/>
        <w:rPr>
          <w:rFonts w:eastAsia="Times New Roman"/>
        </w:rPr>
      </w:pPr>
      <w:r>
        <w:rPr>
          <w:rFonts w:eastAsia="Times New Roman"/>
          <w:color w:val="000000"/>
          <w:sz w:val="20"/>
          <w:szCs w:val="20"/>
        </w:rPr>
        <w:t>•Income tax expense decreased by $42 million mainly driven by lower pre-</w:t>
      </w:r>
      <w:r>
        <w:rPr>
          <w:rFonts w:eastAsia="Times New Roman"/>
          <w:color w:val="000000"/>
          <w:sz w:val="20"/>
          <w:szCs w:val="20"/>
        </w:rPr>
        <w:t>tax earnings partially offset by a higher effective tax rate in 2022.</w:t>
      </w:r>
    </w:p>
    <w:p w:rsidR="00000000" w:rsidRDefault="00E54EC0">
      <w:pPr>
        <w:jc w:val="both"/>
        <w:divId w:val="1467774910"/>
        <w:rPr>
          <w:rFonts w:eastAsia="Times New Roman"/>
        </w:rPr>
      </w:pPr>
      <w:r>
        <w:rPr>
          <w:rFonts w:eastAsia="Times New Roman"/>
          <w:b/>
          <w:bCs/>
          <w:i/>
          <w:iCs/>
          <w:color w:val="000000"/>
          <w:sz w:val="20"/>
          <w:szCs w:val="20"/>
          <w:shd w:val="clear" w:color="auto" w:fill="FFFFFF"/>
        </w:rPr>
        <w:t>Net Flows and AV</w:t>
      </w:r>
    </w:p>
    <w:p w:rsidR="00000000" w:rsidRDefault="00E54EC0">
      <w:pPr>
        <w:ind w:hanging="360"/>
        <w:divId w:val="1808668912"/>
        <w:rPr>
          <w:rFonts w:eastAsia="Times New Roman"/>
        </w:rPr>
      </w:pPr>
      <w:r>
        <w:rPr>
          <w:rFonts w:eastAsia="Times New Roman"/>
          <w:color w:val="000000"/>
          <w:sz w:val="20"/>
          <w:szCs w:val="20"/>
          <w:shd w:val="clear" w:color="auto" w:fill="FFFFFF"/>
        </w:rPr>
        <w:t>•The decline in AV of $16.1 billion in the year ended December 31, 2022 was driven by a decrease in investments performance and interest credited to account balances, ne</w:t>
      </w:r>
      <w:r>
        <w:rPr>
          <w:rFonts w:eastAsia="Times New Roman"/>
          <w:color w:val="000000"/>
          <w:sz w:val="20"/>
          <w:szCs w:val="20"/>
          <w:shd w:val="clear" w:color="auto" w:fill="FFFFFF"/>
        </w:rPr>
        <w:t>t of policy charges of $17.8 billion as a result of equity market depreciation in 2022, partially offset by net inflows of $1.7 billion.</w:t>
      </w:r>
    </w:p>
    <w:p w:rsidR="00000000" w:rsidRDefault="00E54EC0">
      <w:pPr>
        <w:ind w:hanging="360"/>
        <w:jc w:val="both"/>
        <w:divId w:val="866216020"/>
        <w:rPr>
          <w:rFonts w:eastAsia="Times New Roman"/>
        </w:rPr>
      </w:pPr>
      <w:r>
        <w:rPr>
          <w:rFonts w:eastAsia="Times New Roman"/>
          <w:color w:val="000000"/>
          <w:sz w:val="20"/>
          <w:szCs w:val="20"/>
          <w:shd w:val="clear" w:color="auto" w:fill="FFFFFF"/>
        </w:rPr>
        <w:t>•Net inflows of $1.7 billion were $2.6 billion higher than in the year ended December 31, 2021, mainly driven by $3.9 b</w:t>
      </w:r>
      <w:r>
        <w:rPr>
          <w:rFonts w:eastAsia="Times New Roman"/>
          <w:color w:val="000000"/>
          <w:sz w:val="20"/>
          <w:szCs w:val="20"/>
          <w:shd w:val="clear" w:color="auto" w:fill="FFFFFF"/>
        </w:rPr>
        <w:t>illion of inflows on our newer, less capital-intensive products, partially offset by $2.2 billion of outflows on our older fixed-rate GMxB block.</w:t>
      </w:r>
    </w:p>
    <w:p w:rsidR="00000000" w:rsidRDefault="00E54EC0">
      <w:pPr>
        <w:jc w:val="center"/>
        <w:divId w:val="2022537937"/>
        <w:rPr>
          <w:rFonts w:eastAsia="Times New Roman"/>
        </w:rPr>
      </w:pPr>
      <w:r>
        <w:rPr>
          <w:rFonts w:eastAsia="Times New Roman"/>
          <w:color w:val="000000"/>
          <w:sz w:val="20"/>
          <w:szCs w:val="20"/>
        </w:rPr>
        <w:t>89</w:t>
      </w:r>
    </w:p>
    <w:p w:rsidR="00000000" w:rsidRDefault="00E54EC0">
      <w:pPr>
        <w:rPr>
          <w:rFonts w:eastAsia="Times New Roman"/>
        </w:rPr>
      </w:pPr>
      <w:r>
        <w:rPr>
          <w:rFonts w:eastAsia="Times New Roman"/>
        </w:rPr>
        <w:pict>
          <v:rect id="_x0000_i1127" style="width:0;height:1.5pt" o:hralign="center" o:hrstd="t" o:hr="t" fillcolor="#a0a0a0" stroked="f"/>
        </w:pict>
      </w:r>
    </w:p>
    <w:p w:rsidR="00000000" w:rsidRDefault="00E54EC0">
      <w:pPr>
        <w:divId w:val="2039625526"/>
        <w:rPr>
          <w:rFonts w:eastAsia="Times New Roman"/>
        </w:rPr>
      </w:pPr>
    </w:p>
    <w:p w:rsidR="00000000" w:rsidRDefault="00E54EC0">
      <w:pPr>
        <w:ind w:firstLine="360"/>
        <w:divId w:val="1896619956"/>
        <w:rPr>
          <w:rFonts w:eastAsia="Times New Roman"/>
        </w:rPr>
      </w:pPr>
      <w:r>
        <w:rPr>
          <w:rFonts w:eastAsia="Times New Roman"/>
          <w:b/>
          <w:bCs/>
          <w:color w:val="000000"/>
          <w:sz w:val="20"/>
          <w:szCs w:val="20"/>
        </w:rPr>
        <w:t>Year Ended December 31, 2021 Compared to the Year Ended December 31,</w:t>
      </w:r>
      <w:r>
        <w:rPr>
          <w:rFonts w:eastAsia="Times New Roman"/>
          <w:b/>
          <w:bCs/>
          <w:color w:val="000000"/>
          <w:sz w:val="20"/>
          <w:szCs w:val="20"/>
        </w:rPr>
        <w:t xml:space="preserve"> 2020 for the Individual Retirement Segment</w:t>
      </w:r>
    </w:p>
    <w:p w:rsidR="00000000" w:rsidRDefault="00E54EC0">
      <w:pPr>
        <w:jc w:val="both"/>
        <w:divId w:val="1610507241"/>
        <w:rPr>
          <w:rFonts w:eastAsia="Times New Roman"/>
        </w:rPr>
      </w:pPr>
      <w:r>
        <w:rPr>
          <w:rFonts w:eastAsia="Times New Roman"/>
          <w:b/>
          <w:bCs/>
          <w:i/>
          <w:iCs/>
          <w:color w:val="000000"/>
          <w:sz w:val="20"/>
          <w:szCs w:val="20"/>
        </w:rPr>
        <w:t>Operating earnings</w:t>
      </w:r>
    </w:p>
    <w:p w:rsidR="00000000" w:rsidRDefault="00E54EC0">
      <w:pPr>
        <w:ind w:firstLine="360"/>
        <w:divId w:val="265160386"/>
        <w:rPr>
          <w:rFonts w:eastAsia="Times New Roman"/>
        </w:rPr>
      </w:pPr>
      <w:r>
        <w:rPr>
          <w:rFonts w:eastAsia="Times New Roman"/>
          <w:color w:val="000000"/>
          <w:sz w:val="20"/>
          <w:szCs w:val="20"/>
        </w:rPr>
        <w:t>For discussion that compares results for the year ended December 31, 2021 to the year ended December 31, 2020 refer to the MD&amp;A section in our 2021 Form 10-K.</w:t>
      </w:r>
    </w:p>
    <w:p w:rsidR="00000000" w:rsidRDefault="00E54EC0">
      <w:pPr>
        <w:jc w:val="both"/>
        <w:divId w:val="975600275"/>
        <w:rPr>
          <w:rFonts w:eastAsia="Times New Roman"/>
        </w:rPr>
      </w:pPr>
      <w:r>
        <w:rPr>
          <w:rFonts w:eastAsia="Times New Roman"/>
          <w:b/>
          <w:bCs/>
          <w:i/>
          <w:iCs/>
          <w:color w:val="000000"/>
          <w:sz w:val="20"/>
          <w:szCs w:val="20"/>
        </w:rPr>
        <w:t>Net Flows and AV</w:t>
      </w:r>
    </w:p>
    <w:p w:rsidR="00000000" w:rsidRDefault="00E54EC0">
      <w:pPr>
        <w:ind w:firstLine="360"/>
        <w:divId w:val="1950968903"/>
        <w:rPr>
          <w:rFonts w:eastAsia="Times New Roman"/>
        </w:rPr>
      </w:pPr>
      <w:r>
        <w:rPr>
          <w:rFonts w:eastAsia="Times New Roman"/>
          <w:color w:val="000000"/>
          <w:sz w:val="20"/>
          <w:szCs w:val="20"/>
        </w:rPr>
        <w:t>For discussion on net flows and AV comparative results for the year ended December 31, 2021 to the year ended December 31, 2020 refer to the MD&amp;A section in our 2021 Form 10-K.</w:t>
      </w:r>
    </w:p>
    <w:p w:rsidR="00000000" w:rsidRDefault="00E54EC0">
      <w:pPr>
        <w:divId w:val="1964190665"/>
        <w:rPr>
          <w:rFonts w:eastAsia="Times New Roman"/>
        </w:rPr>
      </w:pPr>
      <w:r>
        <w:rPr>
          <w:rFonts w:eastAsia="Times New Roman"/>
          <w:b/>
          <w:bCs/>
          <w:color w:val="000000"/>
          <w:sz w:val="20"/>
          <w:szCs w:val="20"/>
        </w:rPr>
        <w:t>Group Retirement</w:t>
      </w:r>
    </w:p>
    <w:p w:rsidR="00000000" w:rsidRDefault="00E54EC0">
      <w:pPr>
        <w:ind w:firstLine="360"/>
        <w:divId w:val="1617374489"/>
        <w:rPr>
          <w:rFonts w:eastAsia="Times New Roman"/>
        </w:rPr>
      </w:pPr>
      <w:r>
        <w:rPr>
          <w:rFonts w:eastAsia="Times New Roman"/>
          <w:color w:val="000000"/>
          <w:sz w:val="20"/>
          <w:szCs w:val="20"/>
        </w:rPr>
        <w:t>The Group Retirement segment offers tax-deferred investment an</w:t>
      </w:r>
      <w:r>
        <w:rPr>
          <w:rFonts w:eastAsia="Times New Roman"/>
          <w:color w:val="000000"/>
          <w:sz w:val="20"/>
          <w:szCs w:val="20"/>
        </w:rPr>
        <w:t>d retirement services or products to plans sponsored by educational entities, municipalities and not-for-profit entities, as well as small and medium-sized businesses.</w:t>
      </w:r>
    </w:p>
    <w:p w:rsidR="00000000" w:rsidRDefault="00E54EC0">
      <w:pPr>
        <w:ind w:firstLine="360"/>
        <w:divId w:val="646714351"/>
        <w:rPr>
          <w:rFonts w:eastAsia="Times New Roman"/>
        </w:rPr>
      </w:pPr>
      <w:r>
        <w:rPr>
          <w:rFonts w:eastAsia="Times New Roman"/>
          <w:color w:val="000000"/>
          <w:sz w:val="20"/>
          <w:szCs w:val="20"/>
        </w:rPr>
        <w:t>The following table summarizes operating earnings of our Group Retirement segment for th</w:t>
      </w:r>
      <w:r>
        <w:rPr>
          <w:rFonts w:eastAsia="Times New Roman"/>
          <w:color w:val="000000"/>
          <w:sz w:val="20"/>
          <w:szCs w:val="20"/>
        </w:rPr>
        <w:t>e periods presented:</w:t>
      </w:r>
    </w:p>
    <w:tbl>
      <w:tblPr>
        <w:tblW w:w="4649" w:type="pct"/>
        <w:tblCellMar>
          <w:top w:w="15" w:type="dxa"/>
          <w:left w:w="15" w:type="dxa"/>
          <w:bottom w:w="15" w:type="dxa"/>
          <w:right w:w="15" w:type="dxa"/>
        </w:tblCellMar>
        <w:tblLook w:val="04A0" w:firstRow="1" w:lastRow="0" w:firstColumn="1" w:lastColumn="0" w:noHBand="0" w:noVBand="1"/>
      </w:tblPr>
      <w:tblGrid>
        <w:gridCol w:w="37"/>
        <w:gridCol w:w="5085"/>
        <w:gridCol w:w="36"/>
        <w:gridCol w:w="36"/>
        <w:gridCol w:w="36"/>
        <w:gridCol w:w="36"/>
        <w:gridCol w:w="120"/>
        <w:gridCol w:w="619"/>
        <w:gridCol w:w="36"/>
        <w:gridCol w:w="36"/>
        <w:gridCol w:w="36"/>
        <w:gridCol w:w="36"/>
        <w:gridCol w:w="120"/>
        <w:gridCol w:w="577"/>
        <w:gridCol w:w="36"/>
        <w:gridCol w:w="36"/>
        <w:gridCol w:w="36"/>
        <w:gridCol w:w="36"/>
        <w:gridCol w:w="120"/>
        <w:gridCol w:w="577"/>
        <w:gridCol w:w="36"/>
      </w:tblGrid>
      <w:tr w:rsidR="00000000">
        <w:trPr>
          <w:divId w:val="264727020"/>
        </w:trPr>
        <w:tc>
          <w:tcPr>
            <w:tcW w:w="50" w:type="pct"/>
            <w:vAlign w:val="center"/>
            <w:hideMark/>
          </w:tcPr>
          <w:p w:rsidR="00000000" w:rsidRDefault="00E54EC0">
            <w:pPr>
              <w:ind w:firstLine="360"/>
              <w:rPr>
                <w:rFonts w:eastAsia="Times New Roman"/>
              </w:rPr>
            </w:pPr>
          </w:p>
        </w:tc>
        <w:tc>
          <w:tcPr>
            <w:tcW w:w="33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647270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472702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26472702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6472702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490756078"/>
        <w:rPr>
          <w:rFonts w:eastAsia="Times New Roman"/>
        </w:rPr>
      </w:pPr>
      <w:r>
        <w:rPr>
          <w:rFonts w:eastAsia="Times New Roman"/>
          <w:color w:val="000000"/>
          <w:sz w:val="20"/>
          <w:szCs w:val="20"/>
        </w:rPr>
        <w:t>Key components of operating earnings are:</w:t>
      </w:r>
    </w:p>
    <w:tbl>
      <w:tblPr>
        <w:tblW w:w="4824" w:type="pct"/>
        <w:tblCellMar>
          <w:top w:w="15" w:type="dxa"/>
          <w:left w:w="15" w:type="dxa"/>
          <w:bottom w:w="15" w:type="dxa"/>
          <w:right w:w="15" w:type="dxa"/>
        </w:tblCellMar>
        <w:tblLook w:val="04A0" w:firstRow="1" w:lastRow="0" w:firstColumn="1" w:lastColumn="0" w:noHBand="0" w:noVBand="1"/>
      </w:tblPr>
      <w:tblGrid>
        <w:gridCol w:w="38"/>
        <w:gridCol w:w="5379"/>
        <w:gridCol w:w="37"/>
        <w:gridCol w:w="36"/>
        <w:gridCol w:w="36"/>
        <w:gridCol w:w="36"/>
        <w:gridCol w:w="120"/>
        <w:gridCol w:w="618"/>
        <w:gridCol w:w="36"/>
        <w:gridCol w:w="36"/>
        <w:gridCol w:w="36"/>
        <w:gridCol w:w="36"/>
        <w:gridCol w:w="120"/>
        <w:gridCol w:w="575"/>
        <w:gridCol w:w="36"/>
        <w:gridCol w:w="36"/>
        <w:gridCol w:w="36"/>
        <w:gridCol w:w="36"/>
        <w:gridCol w:w="120"/>
        <w:gridCol w:w="575"/>
        <w:gridCol w:w="36"/>
      </w:tblGrid>
      <w:tr w:rsidR="00000000">
        <w:trPr>
          <w:divId w:val="7603454"/>
        </w:trPr>
        <w:tc>
          <w:tcPr>
            <w:tcW w:w="50" w:type="pct"/>
            <w:vAlign w:val="center"/>
            <w:hideMark/>
          </w:tcPr>
          <w:p w:rsidR="00000000" w:rsidRDefault="00E54EC0">
            <w:pPr>
              <w:ind w:firstLine="360"/>
              <w:rPr>
                <w:rFonts w:eastAsia="Times New Roman"/>
              </w:rPr>
            </w:pPr>
          </w:p>
        </w:tc>
        <w:tc>
          <w:tcPr>
            <w:tcW w:w="34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60345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760345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60345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7603454"/>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6034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(losses) gains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6034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6034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60345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186405956"/>
        <w:rPr>
          <w:rFonts w:eastAsia="Times New Roman"/>
        </w:rPr>
      </w:pPr>
      <w:r>
        <w:rPr>
          <w:rFonts w:eastAsia="Times New Roman"/>
          <w:color w:val="000000"/>
          <w:sz w:val="20"/>
          <w:szCs w:val="20"/>
        </w:rPr>
        <w:t>The following table summarizes AV and AUA for our Group Retirement segment as of the dat</w:t>
      </w:r>
      <w:r>
        <w:rPr>
          <w:rFonts w:eastAsia="Times New Roman"/>
          <w:color w:val="000000"/>
          <w:sz w:val="20"/>
          <w:szCs w:val="20"/>
        </w:rPr>
        <w:t>es indicated:</w:t>
      </w:r>
    </w:p>
    <w:p w:rsidR="00000000" w:rsidRDefault="00E54EC0">
      <w:pPr>
        <w:jc w:val="center"/>
        <w:divId w:val="1625427681"/>
        <w:rPr>
          <w:rFonts w:eastAsia="Times New Roman"/>
        </w:rPr>
      </w:pPr>
      <w:r>
        <w:rPr>
          <w:rFonts w:eastAsia="Times New Roman"/>
          <w:color w:val="000000"/>
          <w:sz w:val="20"/>
          <w:szCs w:val="20"/>
        </w:rPr>
        <w:t>90</w:t>
      </w:r>
    </w:p>
    <w:p w:rsidR="00000000" w:rsidRDefault="00E54EC0">
      <w:pPr>
        <w:rPr>
          <w:rFonts w:eastAsia="Times New Roman"/>
        </w:rPr>
      </w:pPr>
      <w:r>
        <w:rPr>
          <w:rFonts w:eastAsia="Times New Roman"/>
        </w:rPr>
        <w:pict>
          <v:rect id="_x0000_i1128" style="width:0;height:1.5pt" o:hralign="center" o:hrstd="t" o:hr="t" fillcolor="#a0a0a0" stroked="f"/>
        </w:pict>
      </w:r>
    </w:p>
    <w:p w:rsidR="00000000" w:rsidRDefault="00E54EC0">
      <w:pPr>
        <w:divId w:val="13581187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649"/>
        <w:gridCol w:w="38"/>
        <w:gridCol w:w="120"/>
        <w:gridCol w:w="1014"/>
        <w:gridCol w:w="36"/>
        <w:gridCol w:w="36"/>
        <w:gridCol w:w="36"/>
        <w:gridCol w:w="36"/>
        <w:gridCol w:w="120"/>
        <w:gridCol w:w="930"/>
        <w:gridCol w:w="36"/>
        <w:gridCol w:w="36"/>
        <w:gridCol w:w="36"/>
        <w:gridCol w:w="36"/>
        <w:gridCol w:w="36"/>
        <w:gridCol w:w="36"/>
        <w:gridCol w:w="36"/>
      </w:tblGrid>
      <w:tr w:rsidR="00000000">
        <w:trPr>
          <w:divId w:val="242688040"/>
        </w:trPr>
        <w:tc>
          <w:tcPr>
            <w:tcW w:w="50" w:type="pct"/>
            <w:vAlign w:val="center"/>
            <w:hideMark/>
          </w:tcPr>
          <w:p w:rsidR="00000000" w:rsidRDefault="00E54EC0">
            <w:pPr>
              <w:rPr>
                <w:rFonts w:eastAsia="Times New Roman"/>
              </w:rPr>
            </w:pPr>
          </w:p>
        </w:tc>
        <w:tc>
          <w:tcPr>
            <w:tcW w:w="35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5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1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AV and AUA</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 and Mutual Funds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22,830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34,763 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42688040"/>
        </w:trPr>
        <w:tc>
          <w:tcPr>
            <w:tcW w:w="0" w:type="auto"/>
            <w:gridSpan w:val="3"/>
            <w:shd w:val="clear" w:color="auto" w:fill="CCEEFF"/>
            <w:tcMar>
              <w:top w:w="30" w:type="dxa"/>
              <w:left w:w="20" w:type="dxa"/>
              <w:bottom w:w="30" w:type="dxa"/>
              <w:right w:w="20" w:type="dxa"/>
            </w:tcMar>
            <w:hideMark/>
          </w:tcPr>
          <w:p w:rsidR="00000000" w:rsidRDefault="00E54EC0">
            <w:pPr>
              <w:spacing w:after="100"/>
              <w:divId w:val="1865746494"/>
              <w:rPr>
                <w:rFonts w:eastAsia="Times New Roman"/>
              </w:rPr>
            </w:pPr>
            <w:r>
              <w:rPr>
                <w:rFonts w:eastAsia="Times New Roman"/>
                <w:color w:val="000000"/>
                <w:sz w:val="20"/>
                <w:szCs w:val="20"/>
              </w:rPr>
              <w:t>Total AV and AUA (2)</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32,005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47,809 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242688040"/>
        <w:rPr>
          <w:rFonts w:eastAsia="Times New Roman"/>
        </w:rPr>
      </w:pPr>
      <w:r>
        <w:rPr>
          <w:rFonts w:eastAsia="Times New Roman"/>
          <w:color w:val="000000"/>
          <w:sz w:val="18"/>
          <w:szCs w:val="18"/>
        </w:rPr>
        <w:t>____________</w:t>
      </w:r>
    </w:p>
    <w:p w:rsidR="00000000" w:rsidRDefault="00E54EC0">
      <w:pPr>
        <w:ind w:hanging="360"/>
        <w:divId w:val="1084686458"/>
        <w:rPr>
          <w:rFonts w:eastAsia="Times New Roman"/>
        </w:rPr>
      </w:pPr>
      <w:r>
        <w:rPr>
          <w:rFonts w:eastAsia="Times New Roman"/>
          <w:color w:val="000000"/>
          <w:sz w:val="18"/>
          <w:szCs w:val="18"/>
        </w:rPr>
        <w:t xml:space="preserve">(1) </w:t>
      </w:r>
      <w:r>
        <w:rPr>
          <w:rFonts w:eastAsia="Times New Roman"/>
          <w:color w:val="000000"/>
          <w:sz w:val="18"/>
          <w:szCs w:val="18"/>
        </w:rPr>
        <w:t>Prior period amounts related to Separate Account AV and Mutual Funds AUA were revised to include Mutual Fund AUA. The impact of the revision to December 31, 2021 total AV and AUA was $457 million.</w:t>
      </w:r>
    </w:p>
    <w:p w:rsidR="00000000" w:rsidRDefault="00E54EC0">
      <w:pPr>
        <w:ind w:hanging="360"/>
        <w:divId w:val="1218315949"/>
        <w:rPr>
          <w:rFonts w:eastAsia="Times New Roman"/>
        </w:rPr>
      </w:pPr>
      <w:r>
        <w:rPr>
          <w:rFonts w:eastAsia="Times New Roman"/>
          <w:color w:val="000000"/>
          <w:sz w:val="18"/>
          <w:szCs w:val="18"/>
        </w:rPr>
        <w:t>(2)    AV presented are net of reinsurance.</w:t>
      </w:r>
    </w:p>
    <w:p w:rsidR="00000000" w:rsidRDefault="00E54EC0">
      <w:pPr>
        <w:ind w:firstLine="360"/>
        <w:divId w:val="794717189"/>
        <w:rPr>
          <w:rFonts w:eastAsia="Times New Roman"/>
        </w:rPr>
      </w:pPr>
      <w:r>
        <w:rPr>
          <w:rFonts w:eastAsia="Times New Roman"/>
          <w:color w:val="000000"/>
          <w:sz w:val="20"/>
          <w:szCs w:val="20"/>
        </w:rPr>
        <w:t>The following t</w:t>
      </w:r>
      <w:r>
        <w:rPr>
          <w:rFonts w:eastAsia="Times New Roman"/>
          <w:color w:val="000000"/>
          <w:sz w:val="20"/>
          <w:szCs w:val="20"/>
        </w:rPr>
        <w:t>able summarizes a roll-forward of AV and AUA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599"/>
        <w:gridCol w:w="39"/>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472333326"/>
        </w:trPr>
        <w:tc>
          <w:tcPr>
            <w:tcW w:w="50" w:type="pct"/>
            <w:vAlign w:val="center"/>
            <w:hideMark/>
          </w:tcPr>
          <w:p w:rsidR="00000000" w:rsidRDefault="00E54EC0">
            <w:pPr>
              <w:ind w:firstLine="360"/>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7233332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7233332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47233332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47233332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as of beginning of period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42,756 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37,880 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Gross 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3,343 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Surrenders, withdrawals and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(3,814)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(3,047)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flows (1) (3)</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performance, interest credited and policy charges (1) (3)</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(7,075)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4,283 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Ceded to Global Atlantic (4)</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(9,363)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233332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32,005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47,809 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94278919"/>
        <w:rPr>
          <w:rFonts w:eastAsia="Times New Roman"/>
        </w:rPr>
      </w:pPr>
      <w:r>
        <w:rPr>
          <w:rFonts w:eastAsia="Times New Roman"/>
          <w:color w:val="000000"/>
          <w:sz w:val="18"/>
          <w:szCs w:val="18"/>
        </w:rPr>
        <w:t>_</w:t>
      </w:r>
      <w:r>
        <w:rPr>
          <w:rFonts w:eastAsia="Times New Roman"/>
          <w:color w:val="000000"/>
          <w:sz w:val="18"/>
          <w:szCs w:val="18"/>
        </w:rPr>
        <w:t>___________</w:t>
      </w:r>
    </w:p>
    <w:p w:rsidR="00000000" w:rsidRDefault="00E54EC0">
      <w:pPr>
        <w:ind w:hanging="360"/>
        <w:divId w:val="235865390"/>
        <w:rPr>
          <w:rFonts w:eastAsia="Times New Roman"/>
        </w:rPr>
      </w:pPr>
      <w:r>
        <w:rPr>
          <w:rFonts w:eastAsia="Times New Roman"/>
          <w:color w:val="000000"/>
          <w:sz w:val="18"/>
          <w:szCs w:val="18"/>
        </w:rPr>
        <w:t xml:space="preserve">(1)Prior period amounts related to the AV and AUA roll-forward were updated to include Mutual Fund AUA. The impact of the revision to the beginning balance of the year ended December 31, 2021 was $297 million. Net Flows revision impact for the </w:t>
      </w:r>
      <w:r>
        <w:rPr>
          <w:rFonts w:eastAsia="Times New Roman"/>
          <w:color w:val="000000"/>
          <w:sz w:val="18"/>
          <w:szCs w:val="18"/>
        </w:rPr>
        <w:t>year ended December 31, 2021 was $129 million. Investment performance, interest credited and policy charges revision impact for the year ended December 31, 2021 was $30 million.</w:t>
      </w:r>
    </w:p>
    <w:p w:rsidR="00000000" w:rsidRDefault="00E54EC0">
      <w:pPr>
        <w:ind w:hanging="360"/>
        <w:divId w:val="990865407"/>
        <w:rPr>
          <w:rFonts w:eastAsia="Times New Roman"/>
        </w:rPr>
      </w:pPr>
      <w:r>
        <w:rPr>
          <w:rFonts w:eastAsia="Times New Roman"/>
          <w:color w:val="000000"/>
          <w:sz w:val="18"/>
          <w:szCs w:val="18"/>
        </w:rPr>
        <w:t>(2)</w:t>
      </w:r>
      <w:r>
        <w:rPr>
          <w:rFonts w:eastAsia="Times New Roman"/>
          <w:color w:val="000000"/>
          <w:sz w:val="18"/>
          <w:szCs w:val="18"/>
        </w:rPr>
        <w:t>For the year ended December 31, 2021, amounts reflect AV transfer of GMxB closed block business from Group Retirement Segment to the Individual Retirement Segment.</w:t>
      </w:r>
    </w:p>
    <w:p w:rsidR="00000000" w:rsidRDefault="00E54EC0">
      <w:pPr>
        <w:ind w:hanging="360"/>
        <w:divId w:val="1417629767"/>
        <w:rPr>
          <w:rFonts w:eastAsia="Times New Roman"/>
        </w:rPr>
      </w:pPr>
      <w:r>
        <w:rPr>
          <w:rFonts w:eastAsia="Times New Roman"/>
          <w:color w:val="000000"/>
          <w:sz w:val="18"/>
          <w:szCs w:val="18"/>
        </w:rPr>
        <w:t>(3)For the year ended December 31, 2022, net outflows of $179 million and investment perform</w:t>
      </w:r>
      <w:r>
        <w:rPr>
          <w:rFonts w:eastAsia="Times New Roman"/>
          <w:color w:val="000000"/>
          <w:sz w:val="18"/>
          <w:szCs w:val="18"/>
        </w:rPr>
        <w:t>ance, interest credited and policy charges of ($422) million, respectively, are excluded as these amounts are related to ceded AV to Global Atlantic.</w:t>
      </w:r>
    </w:p>
    <w:p w:rsidR="00000000" w:rsidRDefault="00E54EC0">
      <w:pPr>
        <w:ind w:hanging="360"/>
        <w:divId w:val="1530414461"/>
        <w:rPr>
          <w:rFonts w:eastAsia="Times New Roman"/>
        </w:rPr>
      </w:pPr>
      <w:r>
        <w:rPr>
          <w:rFonts w:eastAsia="Times New Roman"/>
          <w:color w:val="000000"/>
          <w:sz w:val="18"/>
          <w:szCs w:val="18"/>
        </w:rPr>
        <w:t xml:space="preserve">(4)Effective October 3, 2022, AV excludes activity related to ceded AV to Global Atlantic Transaction. In </w:t>
      </w:r>
      <w:r>
        <w:rPr>
          <w:rFonts w:eastAsia="Times New Roman"/>
          <w:color w:val="000000"/>
          <w:sz w:val="18"/>
          <w:szCs w:val="18"/>
        </w:rPr>
        <w:t>addition, roll-forward reflects the AV ceded pursuant to the Global Atlantic Transaction as of the transaction date. For additional information on the Global Atlantic Transaction see MD&amp;A - Executive Summary “Global Atlantic Reinsurance Transaction”.</w:t>
      </w:r>
    </w:p>
    <w:p w:rsidR="00000000" w:rsidRDefault="00E54EC0">
      <w:pPr>
        <w:jc w:val="center"/>
        <w:divId w:val="2013098513"/>
        <w:rPr>
          <w:rFonts w:eastAsia="Times New Roman"/>
        </w:rPr>
      </w:pPr>
      <w:r>
        <w:rPr>
          <w:rFonts w:eastAsia="Times New Roman"/>
          <w:color w:val="000000"/>
          <w:sz w:val="20"/>
          <w:szCs w:val="20"/>
        </w:rPr>
        <w:t>91</w:t>
      </w:r>
    </w:p>
    <w:p w:rsidR="00000000" w:rsidRDefault="00E54EC0">
      <w:pPr>
        <w:rPr>
          <w:rFonts w:eastAsia="Times New Roman"/>
        </w:rPr>
      </w:pPr>
      <w:r>
        <w:rPr>
          <w:rFonts w:eastAsia="Times New Roman"/>
        </w:rPr>
        <w:pict>
          <v:rect id="_x0000_i1129" style="width:0;height:1.5pt" o:hralign="center" o:hrstd="t" o:hr="t" fillcolor="#a0a0a0" stroked="f"/>
        </w:pict>
      </w:r>
    </w:p>
    <w:p w:rsidR="00000000" w:rsidRDefault="00E54EC0">
      <w:pPr>
        <w:divId w:val="110520561"/>
        <w:rPr>
          <w:rFonts w:eastAsia="Times New Roman"/>
        </w:rPr>
      </w:pPr>
    </w:p>
    <w:p w:rsidR="00000000" w:rsidRDefault="00E54EC0">
      <w:pPr>
        <w:divId w:val="1997605631"/>
        <w:rPr>
          <w:rFonts w:eastAsia="Times New Roman"/>
        </w:rPr>
      </w:pPr>
    </w:p>
    <w:p w:rsidR="00000000" w:rsidRDefault="00E54EC0">
      <w:pPr>
        <w:divId w:val="1557660750"/>
        <w:rPr>
          <w:rFonts w:eastAsia="Times New Roman"/>
        </w:rPr>
      </w:pPr>
      <w:r>
        <w:rPr>
          <w:rFonts w:eastAsia="Times New Roman"/>
          <w:b/>
          <w:bCs/>
          <w:color w:val="000000"/>
          <w:sz w:val="20"/>
          <w:szCs w:val="20"/>
        </w:rPr>
        <w:t>Year Ended December 31, 2022 Compared to the Year Ended December 31, 2021 for the Group Retirement Segment</w:t>
      </w:r>
    </w:p>
    <w:p w:rsidR="00000000" w:rsidRDefault="00E54EC0">
      <w:pPr>
        <w:jc w:val="both"/>
        <w:divId w:val="644093694"/>
        <w:rPr>
          <w:rFonts w:eastAsia="Times New Roman"/>
        </w:rPr>
      </w:pPr>
      <w:r>
        <w:rPr>
          <w:rFonts w:eastAsia="Times New Roman"/>
          <w:b/>
          <w:bCs/>
          <w:i/>
          <w:iCs/>
          <w:color w:val="000000"/>
          <w:sz w:val="20"/>
          <w:szCs w:val="20"/>
        </w:rPr>
        <w:t>Operating earnings</w:t>
      </w:r>
    </w:p>
    <w:p w:rsidR="00000000" w:rsidRDefault="00E54EC0">
      <w:pPr>
        <w:ind w:firstLine="360"/>
        <w:divId w:val="226576999"/>
        <w:rPr>
          <w:rFonts w:eastAsia="Times New Roman"/>
        </w:rPr>
      </w:pPr>
      <w:r>
        <w:rPr>
          <w:rFonts w:eastAsia="Times New Roman"/>
          <w:color w:val="000000"/>
          <w:sz w:val="20"/>
          <w:szCs w:val="20"/>
          <w:shd w:val="clear" w:color="auto" w:fill="FFFFFF"/>
        </w:rPr>
        <w:t>Operat</w:t>
      </w:r>
      <w:r>
        <w:rPr>
          <w:rFonts w:eastAsia="Times New Roman"/>
          <w:color w:val="000000"/>
          <w:sz w:val="20"/>
          <w:szCs w:val="20"/>
        </w:rPr>
        <w:t xml:space="preserve">ing earnings decreased by $106 million to $525 million during the year ended December </w:t>
      </w:r>
      <w:r>
        <w:rPr>
          <w:rFonts w:eastAsia="Times New Roman"/>
          <w:color w:val="000000"/>
          <w:sz w:val="20"/>
          <w:szCs w:val="20"/>
        </w:rPr>
        <w:t>31, 2022 from $631 million during the year ended December 31, 2021. The following notable items were the primary drivers of the change in operating earnings:</w:t>
      </w:r>
    </w:p>
    <w:p w:rsidR="00000000" w:rsidRDefault="00E54EC0">
      <w:pPr>
        <w:ind w:firstLine="360"/>
        <w:jc w:val="both"/>
        <w:divId w:val="1591230918"/>
        <w:rPr>
          <w:rFonts w:eastAsia="Times New Roman"/>
        </w:rPr>
      </w:pPr>
      <w:r>
        <w:rPr>
          <w:rFonts w:eastAsia="Times New Roman"/>
          <w:color w:val="000000"/>
          <w:sz w:val="20"/>
          <w:szCs w:val="20"/>
        </w:rPr>
        <w:t>Unfavorable items included:</w:t>
      </w:r>
    </w:p>
    <w:p w:rsidR="00000000" w:rsidRDefault="00E54EC0">
      <w:pPr>
        <w:ind w:hanging="360"/>
        <w:divId w:val="1737437280"/>
        <w:rPr>
          <w:rFonts w:eastAsia="Times New Roman"/>
        </w:rPr>
      </w:pPr>
      <w:r>
        <w:rPr>
          <w:rFonts w:eastAsia="Times New Roman"/>
          <w:color w:val="000000"/>
          <w:sz w:val="20"/>
          <w:szCs w:val="20"/>
          <w:shd w:val="clear" w:color="auto" w:fill="FFFFFF"/>
        </w:rPr>
        <w:t>•Net investment income decreased by $128 million primarily due to lowe</w:t>
      </w:r>
      <w:r>
        <w:rPr>
          <w:rFonts w:eastAsia="Times New Roman"/>
          <w:color w:val="000000"/>
          <w:sz w:val="20"/>
          <w:szCs w:val="20"/>
          <w:shd w:val="clear" w:color="auto" w:fill="FFFFFF"/>
        </w:rPr>
        <w:t>r alternative investment income, lower prepayments and lower assets from the Global Atlantic Transaction partially offset by higher income from floating rate securities and GA optimization.</w:t>
      </w:r>
    </w:p>
    <w:p w:rsidR="00000000" w:rsidRDefault="00E54EC0">
      <w:pPr>
        <w:divId w:val="1448349406"/>
        <w:rPr>
          <w:rFonts w:eastAsia="Times New Roman"/>
        </w:rPr>
      </w:pPr>
    </w:p>
    <w:p w:rsidR="00000000" w:rsidRDefault="00E54EC0">
      <w:pPr>
        <w:ind w:hanging="360"/>
        <w:divId w:val="1454866010"/>
        <w:rPr>
          <w:rFonts w:eastAsia="Times New Roman"/>
        </w:rPr>
      </w:pPr>
      <w:r>
        <w:rPr>
          <w:rFonts w:eastAsia="Times New Roman"/>
          <w:color w:val="000000"/>
          <w:sz w:val="20"/>
          <w:szCs w:val="20"/>
        </w:rPr>
        <w:t xml:space="preserve">•Fee-type revenue decreased by $65 million due to lower average </w:t>
      </w:r>
      <w:r>
        <w:rPr>
          <w:rFonts w:eastAsia="Times New Roman"/>
          <w:color w:val="000000"/>
          <w:sz w:val="20"/>
          <w:szCs w:val="20"/>
        </w:rPr>
        <w:t>Separate Account AV from market depreciation and ceded assets from the Global Atlantic Transaction.</w:t>
      </w:r>
    </w:p>
    <w:p w:rsidR="00000000" w:rsidRDefault="00E54EC0">
      <w:pPr>
        <w:divId w:val="1991866054"/>
        <w:rPr>
          <w:rFonts w:eastAsia="Times New Roman"/>
        </w:rPr>
      </w:pPr>
    </w:p>
    <w:p w:rsidR="00000000" w:rsidRDefault="00E54EC0">
      <w:pPr>
        <w:ind w:hanging="360"/>
        <w:divId w:val="791939591"/>
        <w:rPr>
          <w:rFonts w:eastAsia="Times New Roman"/>
        </w:rPr>
      </w:pPr>
      <w:r>
        <w:rPr>
          <w:rFonts w:eastAsia="Times New Roman"/>
          <w:color w:val="000000"/>
          <w:sz w:val="20"/>
          <w:szCs w:val="20"/>
        </w:rPr>
        <w:t>•Amortization of DAC increased by $12 million mainly due to</w:t>
      </w:r>
      <w:r>
        <w:rPr>
          <w:rFonts w:eastAsia="Times New Roman"/>
          <w:color w:val="000000"/>
          <w:sz w:val="20"/>
          <w:szCs w:val="20"/>
          <w:shd w:val="clear" w:color="auto" w:fill="FFFFFF"/>
        </w:rPr>
        <w:t xml:space="preserve"> a one-time positive adjustment in 2021.</w:t>
      </w:r>
    </w:p>
    <w:p w:rsidR="00000000" w:rsidRDefault="00E54EC0">
      <w:pPr>
        <w:jc w:val="both"/>
        <w:divId w:val="1018892536"/>
        <w:rPr>
          <w:rFonts w:eastAsia="Times New Roman"/>
        </w:rPr>
      </w:pPr>
    </w:p>
    <w:p w:rsidR="00000000" w:rsidRDefault="00E54EC0">
      <w:pPr>
        <w:ind w:hanging="180"/>
        <w:jc w:val="both"/>
        <w:divId w:val="78987610"/>
        <w:rPr>
          <w:rFonts w:eastAsia="Times New Roman"/>
        </w:rPr>
      </w:pPr>
      <w:r>
        <w:rPr>
          <w:rFonts w:eastAsia="Times New Roman"/>
          <w:color w:val="000000"/>
          <w:sz w:val="20"/>
          <w:szCs w:val="20"/>
        </w:rPr>
        <w:t>These were partially offset by the following favorab</w:t>
      </w:r>
      <w:r>
        <w:rPr>
          <w:rFonts w:eastAsia="Times New Roman"/>
          <w:color w:val="000000"/>
          <w:sz w:val="20"/>
          <w:szCs w:val="20"/>
        </w:rPr>
        <w:t>le items:</w:t>
      </w:r>
    </w:p>
    <w:p w:rsidR="00000000" w:rsidRDefault="00E54EC0">
      <w:pPr>
        <w:ind w:hanging="360"/>
        <w:jc w:val="both"/>
        <w:divId w:val="1136988411"/>
        <w:rPr>
          <w:rFonts w:eastAsia="Times New Roman"/>
        </w:rPr>
      </w:pPr>
      <w:r>
        <w:rPr>
          <w:rFonts w:eastAsia="Times New Roman"/>
          <w:color w:val="000000"/>
          <w:sz w:val="20"/>
          <w:szCs w:val="20"/>
        </w:rPr>
        <w:t>•Compensation, benefits and other operating costs and expenses decreased by $71 million mainly due to one-time litigation expense in 2021.</w:t>
      </w:r>
    </w:p>
    <w:p w:rsidR="00000000" w:rsidRDefault="00E54EC0">
      <w:pPr>
        <w:ind w:hanging="360"/>
        <w:jc w:val="both"/>
        <w:divId w:val="2072388522"/>
        <w:rPr>
          <w:rFonts w:eastAsia="Times New Roman"/>
        </w:rPr>
      </w:pPr>
      <w:r>
        <w:rPr>
          <w:rFonts w:eastAsia="Times New Roman"/>
          <w:color w:val="000000"/>
          <w:sz w:val="20"/>
          <w:szCs w:val="20"/>
        </w:rPr>
        <w:t>•Interest credited to policyholders’ account balances decreased by $22 million mainly due to the portion of</w:t>
      </w:r>
      <w:r>
        <w:rPr>
          <w:rFonts w:eastAsia="Times New Roman"/>
          <w:color w:val="000000"/>
          <w:sz w:val="20"/>
          <w:szCs w:val="20"/>
        </w:rPr>
        <w:t xml:space="preserve"> policies ceded from the Global Atlantic Transaction.</w:t>
      </w:r>
    </w:p>
    <w:p w:rsidR="00000000" w:rsidRDefault="00E54EC0">
      <w:pPr>
        <w:ind w:hanging="360"/>
        <w:jc w:val="both"/>
        <w:divId w:val="1288048706"/>
        <w:rPr>
          <w:rFonts w:eastAsia="Times New Roman"/>
        </w:rPr>
      </w:pPr>
      <w:r>
        <w:rPr>
          <w:rFonts w:eastAsia="Times New Roman"/>
          <w:color w:val="000000"/>
          <w:sz w:val="20"/>
          <w:szCs w:val="20"/>
          <w:shd w:val="clear" w:color="auto" w:fill="FFFFFF"/>
        </w:rPr>
        <w:t>•Income tax expense decreased by $14 million primarily driven by lower pretax earnings partially offset by a higher effective tax rate in 2022.</w:t>
      </w:r>
    </w:p>
    <w:p w:rsidR="00000000" w:rsidRDefault="00E54EC0">
      <w:pPr>
        <w:ind w:firstLine="180"/>
        <w:jc w:val="both"/>
        <w:divId w:val="1329017127"/>
        <w:rPr>
          <w:rFonts w:eastAsia="Times New Roman"/>
        </w:rPr>
      </w:pPr>
      <w:r>
        <w:rPr>
          <w:rFonts w:eastAsia="Times New Roman"/>
          <w:b/>
          <w:bCs/>
          <w:i/>
          <w:iCs/>
          <w:color w:val="000000"/>
          <w:sz w:val="20"/>
          <w:szCs w:val="20"/>
          <w:shd w:val="clear" w:color="auto" w:fill="FFFFFF"/>
        </w:rPr>
        <w:t>Net Flows and AV</w:t>
      </w:r>
    </w:p>
    <w:p w:rsidR="00000000" w:rsidRDefault="00E54EC0">
      <w:pPr>
        <w:ind w:hanging="360"/>
        <w:divId w:val="816730178"/>
        <w:rPr>
          <w:rFonts w:eastAsia="Times New Roman"/>
        </w:rPr>
      </w:pPr>
      <w:r>
        <w:rPr>
          <w:rFonts w:eastAsia="Times New Roman"/>
          <w:color w:val="000000"/>
          <w:sz w:val="20"/>
          <w:szCs w:val="20"/>
        </w:rPr>
        <w:t xml:space="preserve">•The decrease in AV </w:t>
      </w:r>
      <w:r>
        <w:rPr>
          <w:rFonts w:eastAsia="Times New Roman"/>
          <w:color w:val="000000"/>
          <w:sz w:val="20"/>
          <w:szCs w:val="20"/>
          <w:shd w:val="clear" w:color="auto" w:fill="FFFFFF"/>
        </w:rPr>
        <w:t xml:space="preserve">of $15.8 billion </w:t>
      </w:r>
      <w:r>
        <w:rPr>
          <w:rFonts w:eastAsia="Times New Roman"/>
          <w:color w:val="000000"/>
          <w:sz w:val="20"/>
          <w:szCs w:val="20"/>
        </w:rPr>
        <w:t>in the year ended December 31, 2022 was primarily due to the Global Atlantic Transaction and market depreciation, partially offset by net inflows of $634 million.</w:t>
      </w:r>
    </w:p>
    <w:p w:rsidR="00000000" w:rsidRDefault="00E54EC0">
      <w:pPr>
        <w:ind w:hanging="360"/>
        <w:jc w:val="both"/>
        <w:divId w:val="652947386"/>
        <w:rPr>
          <w:rFonts w:eastAsia="Times New Roman"/>
        </w:rPr>
      </w:pPr>
      <w:r>
        <w:rPr>
          <w:rFonts w:eastAsia="Times New Roman"/>
          <w:color w:val="000000"/>
          <w:sz w:val="20"/>
          <w:szCs w:val="20"/>
        </w:rPr>
        <w:t>•Net inflows of $634 million increased by $811 million compared to 2021, dri</w:t>
      </w:r>
      <w:r>
        <w:rPr>
          <w:rFonts w:eastAsia="Times New Roman"/>
          <w:color w:val="000000"/>
          <w:sz w:val="20"/>
          <w:szCs w:val="20"/>
        </w:rPr>
        <w:t>ven by net outflows from the portion of policies ceded pursuant to the Global Atlantic Transaction, gross premiums reflecting strong sales and client engagement, partially offset by modestly higher outflows.</w:t>
      </w:r>
    </w:p>
    <w:p w:rsidR="00000000" w:rsidRDefault="00E54EC0">
      <w:pPr>
        <w:ind w:firstLine="360"/>
        <w:divId w:val="59251903"/>
        <w:rPr>
          <w:rFonts w:eastAsia="Times New Roman"/>
        </w:rPr>
      </w:pPr>
      <w:r>
        <w:rPr>
          <w:rFonts w:eastAsia="Times New Roman"/>
          <w:b/>
          <w:bCs/>
          <w:color w:val="000000"/>
          <w:sz w:val="20"/>
          <w:szCs w:val="20"/>
        </w:rPr>
        <w:t>Year Ended December 31, 2021 Compared to the Yea</w:t>
      </w:r>
      <w:r>
        <w:rPr>
          <w:rFonts w:eastAsia="Times New Roman"/>
          <w:b/>
          <w:bCs/>
          <w:color w:val="000000"/>
          <w:sz w:val="20"/>
          <w:szCs w:val="20"/>
        </w:rPr>
        <w:t>r Ended December 31, 2020 for the Group Retirement Segment</w:t>
      </w:r>
    </w:p>
    <w:p w:rsidR="00000000" w:rsidRDefault="00E54EC0">
      <w:pPr>
        <w:jc w:val="both"/>
        <w:divId w:val="1841385420"/>
        <w:rPr>
          <w:rFonts w:eastAsia="Times New Roman"/>
        </w:rPr>
      </w:pPr>
      <w:r>
        <w:rPr>
          <w:rFonts w:eastAsia="Times New Roman"/>
          <w:b/>
          <w:bCs/>
          <w:i/>
          <w:iCs/>
          <w:color w:val="000000"/>
          <w:sz w:val="20"/>
          <w:szCs w:val="20"/>
        </w:rPr>
        <w:t>Operating earnings    </w:t>
      </w:r>
    </w:p>
    <w:p w:rsidR="00000000" w:rsidRDefault="00E54EC0">
      <w:pPr>
        <w:ind w:firstLine="360"/>
        <w:divId w:val="1729456791"/>
        <w:rPr>
          <w:rFonts w:eastAsia="Times New Roman"/>
        </w:rPr>
      </w:pPr>
      <w:r>
        <w:rPr>
          <w:rFonts w:eastAsia="Times New Roman"/>
          <w:color w:val="000000"/>
          <w:sz w:val="20"/>
          <w:szCs w:val="20"/>
        </w:rPr>
        <w:t xml:space="preserve">For discussion that compares results for the year ended December 31, 2021 to the year ended December 31, 2020 refer to the MD&amp;A section in our 2021 Form 10-K. </w:t>
      </w:r>
    </w:p>
    <w:p w:rsidR="00000000" w:rsidRDefault="00E54EC0">
      <w:pPr>
        <w:jc w:val="both"/>
        <w:divId w:val="1243687387"/>
        <w:rPr>
          <w:rFonts w:eastAsia="Times New Roman"/>
        </w:rPr>
      </w:pPr>
      <w:r>
        <w:rPr>
          <w:rFonts w:eastAsia="Times New Roman"/>
          <w:b/>
          <w:bCs/>
          <w:i/>
          <w:iCs/>
          <w:color w:val="000000"/>
          <w:sz w:val="20"/>
          <w:szCs w:val="20"/>
        </w:rPr>
        <w:t xml:space="preserve">Net Flows and </w:t>
      </w:r>
      <w:r>
        <w:rPr>
          <w:rFonts w:eastAsia="Times New Roman"/>
          <w:b/>
          <w:bCs/>
          <w:i/>
          <w:iCs/>
          <w:color w:val="000000"/>
          <w:sz w:val="20"/>
          <w:szCs w:val="20"/>
        </w:rPr>
        <w:t>AV</w:t>
      </w:r>
    </w:p>
    <w:p w:rsidR="00000000" w:rsidRDefault="00E54EC0">
      <w:pPr>
        <w:ind w:firstLine="360"/>
        <w:divId w:val="1418869576"/>
        <w:rPr>
          <w:rFonts w:eastAsia="Times New Roman"/>
        </w:rPr>
      </w:pPr>
      <w:r>
        <w:rPr>
          <w:rFonts w:eastAsia="Times New Roman"/>
          <w:color w:val="000000"/>
          <w:sz w:val="20"/>
          <w:szCs w:val="20"/>
        </w:rPr>
        <w:t>For discussion on net flows and AV comparative results for the year ended December 31, 2021 to the year ended December 31, 2020 refer to the MD&amp;A section in our 2021 Form 10-K.</w:t>
      </w:r>
    </w:p>
    <w:p w:rsidR="00000000" w:rsidRDefault="00E54EC0">
      <w:pPr>
        <w:divId w:val="1506245407"/>
        <w:rPr>
          <w:rFonts w:eastAsia="Times New Roman"/>
        </w:rPr>
      </w:pPr>
      <w:r>
        <w:rPr>
          <w:rFonts w:eastAsia="Times New Roman"/>
          <w:b/>
          <w:bCs/>
          <w:color w:val="000000"/>
          <w:sz w:val="20"/>
          <w:szCs w:val="20"/>
        </w:rPr>
        <w:t>Investment Management and Research</w:t>
      </w:r>
    </w:p>
    <w:p w:rsidR="00000000" w:rsidRDefault="00E54EC0">
      <w:pPr>
        <w:ind w:firstLine="360"/>
        <w:divId w:val="1892645279"/>
        <w:rPr>
          <w:rFonts w:eastAsia="Times New Roman"/>
        </w:rPr>
      </w:pPr>
      <w:r>
        <w:rPr>
          <w:rFonts w:eastAsia="Times New Roman"/>
          <w:color w:val="000000"/>
          <w:sz w:val="20"/>
          <w:szCs w:val="20"/>
        </w:rPr>
        <w:t>The Investment Management and Research se</w:t>
      </w:r>
      <w:r>
        <w:rPr>
          <w:rFonts w:eastAsia="Times New Roman"/>
          <w:color w:val="000000"/>
          <w:sz w:val="20"/>
          <w:szCs w:val="20"/>
        </w:rPr>
        <w:t>gment provides diversified investment management, research and related services to a broad range of clients around the world. Operating earnings (loss), net of tax, presented here represents our average economic interest in AB of approximately 64%, 65% and</w:t>
      </w:r>
      <w:r>
        <w:rPr>
          <w:rFonts w:eastAsia="Times New Roman"/>
          <w:color w:val="000000"/>
          <w:sz w:val="20"/>
          <w:szCs w:val="20"/>
        </w:rPr>
        <w:t xml:space="preserve"> 65% during years ended December 31, 2022, 2021 and 2020. </w:t>
      </w:r>
    </w:p>
    <w:p w:rsidR="00000000" w:rsidRDefault="00E54EC0">
      <w:pPr>
        <w:jc w:val="center"/>
        <w:divId w:val="2122147125"/>
        <w:rPr>
          <w:rFonts w:eastAsia="Times New Roman"/>
        </w:rPr>
      </w:pPr>
      <w:r>
        <w:rPr>
          <w:rFonts w:eastAsia="Times New Roman"/>
          <w:color w:val="000000"/>
          <w:sz w:val="20"/>
          <w:szCs w:val="20"/>
        </w:rPr>
        <w:t>92</w:t>
      </w:r>
    </w:p>
    <w:p w:rsidR="00000000" w:rsidRDefault="00E54EC0">
      <w:pPr>
        <w:rPr>
          <w:rFonts w:eastAsia="Times New Roman"/>
        </w:rPr>
      </w:pPr>
      <w:r>
        <w:rPr>
          <w:rFonts w:eastAsia="Times New Roman"/>
        </w:rPr>
        <w:pict>
          <v:rect id="_x0000_i1130" style="width:0;height:1.5pt" o:hralign="center" o:hrstd="t" o:hr="t" fillcolor="#a0a0a0" stroked="f"/>
        </w:pict>
      </w:r>
    </w:p>
    <w:p w:rsidR="00000000" w:rsidRDefault="00E54EC0">
      <w:pPr>
        <w:divId w:val="6159130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624"/>
        <w:gridCol w:w="36"/>
        <w:gridCol w:w="36"/>
        <w:gridCol w:w="36"/>
        <w:gridCol w:w="36"/>
        <w:gridCol w:w="36"/>
        <w:gridCol w:w="120"/>
        <w:gridCol w:w="613"/>
        <w:gridCol w:w="36"/>
        <w:gridCol w:w="36"/>
        <w:gridCol w:w="36"/>
        <w:gridCol w:w="36"/>
        <w:gridCol w:w="120"/>
        <w:gridCol w:w="572"/>
        <w:gridCol w:w="36"/>
        <w:gridCol w:w="36"/>
        <w:gridCol w:w="36"/>
        <w:gridCol w:w="36"/>
        <w:gridCol w:w="120"/>
        <w:gridCol w:w="596"/>
        <w:gridCol w:w="36"/>
      </w:tblGrid>
      <w:tr w:rsidR="00000000">
        <w:trPr>
          <w:divId w:val="508062105"/>
        </w:trPr>
        <w:tc>
          <w:tcPr>
            <w:tcW w:w="50" w:type="pct"/>
            <w:vAlign w:val="center"/>
            <w:hideMark/>
          </w:tcPr>
          <w:p w:rsidR="00000000" w:rsidRDefault="00E54EC0">
            <w:pPr>
              <w:rPr>
                <w:rFonts w:eastAsia="Times New Roman"/>
              </w:rPr>
            </w:pPr>
          </w:p>
        </w:tc>
        <w:tc>
          <w:tcPr>
            <w:tcW w:w="3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0806210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50806210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50806210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0806210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826047534"/>
        <w:rPr>
          <w:rFonts w:eastAsia="Times New Roman"/>
        </w:rPr>
      </w:pPr>
    </w:p>
    <w:p w:rsidR="00000000" w:rsidRDefault="00E54EC0">
      <w:pPr>
        <w:ind w:firstLine="360"/>
        <w:divId w:val="673803313"/>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623"/>
        <w:gridCol w:w="37"/>
        <w:gridCol w:w="36"/>
        <w:gridCol w:w="36"/>
        <w:gridCol w:w="36"/>
        <w:gridCol w:w="36"/>
        <w:gridCol w:w="120"/>
        <w:gridCol w:w="613"/>
        <w:gridCol w:w="36"/>
        <w:gridCol w:w="36"/>
        <w:gridCol w:w="36"/>
        <w:gridCol w:w="36"/>
        <w:gridCol w:w="120"/>
        <w:gridCol w:w="572"/>
        <w:gridCol w:w="36"/>
        <w:gridCol w:w="36"/>
        <w:gridCol w:w="36"/>
        <w:gridCol w:w="36"/>
        <w:gridCol w:w="120"/>
        <w:gridCol w:w="595"/>
        <w:gridCol w:w="36"/>
      </w:tblGrid>
      <w:tr w:rsidR="00000000">
        <w:trPr>
          <w:divId w:val="574321851"/>
        </w:trPr>
        <w:tc>
          <w:tcPr>
            <w:tcW w:w="50" w:type="pct"/>
            <w:vAlign w:val="center"/>
            <w:hideMark/>
          </w:tcPr>
          <w:p w:rsidR="00000000" w:rsidRDefault="00E54EC0">
            <w:pPr>
              <w:ind w:firstLine="360"/>
              <w:rPr>
                <w:rFonts w:eastAsia="Times New Roman"/>
              </w:rPr>
            </w:pPr>
          </w:p>
        </w:tc>
        <w:tc>
          <w:tcPr>
            <w:tcW w:w="34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57432185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7432185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4,105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4,430 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3,703 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57432185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2,507 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74321851"/>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3,167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3,220 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482886372"/>
        <w:rPr>
          <w:rFonts w:eastAsia="Times New Roman"/>
        </w:rPr>
      </w:pPr>
    </w:p>
    <w:p w:rsidR="00000000" w:rsidRDefault="00E54EC0">
      <w:pPr>
        <w:divId w:val="73162298"/>
        <w:rPr>
          <w:rFonts w:eastAsia="Times New Roman"/>
        </w:rPr>
      </w:pPr>
    </w:p>
    <w:p w:rsidR="00000000" w:rsidRDefault="00E54EC0">
      <w:pPr>
        <w:ind w:firstLine="360"/>
        <w:divId w:val="1963225741"/>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644"/>
        <w:gridCol w:w="38"/>
        <w:gridCol w:w="36"/>
        <w:gridCol w:w="36"/>
        <w:gridCol w:w="36"/>
        <w:gridCol w:w="36"/>
        <w:gridCol w:w="120"/>
        <w:gridCol w:w="613"/>
        <w:gridCol w:w="36"/>
        <w:gridCol w:w="36"/>
        <w:gridCol w:w="36"/>
        <w:gridCol w:w="36"/>
        <w:gridCol w:w="120"/>
        <w:gridCol w:w="572"/>
        <w:gridCol w:w="36"/>
        <w:gridCol w:w="36"/>
        <w:gridCol w:w="36"/>
        <w:gridCol w:w="36"/>
        <w:gridCol w:w="120"/>
        <w:gridCol w:w="572"/>
        <w:gridCol w:w="36"/>
      </w:tblGrid>
      <w:tr w:rsidR="00000000">
        <w:trPr>
          <w:divId w:val="32389892"/>
        </w:trPr>
        <w:tc>
          <w:tcPr>
            <w:tcW w:w="50" w:type="pct"/>
            <w:vAlign w:val="center"/>
            <w:hideMark/>
          </w:tcPr>
          <w:p w:rsidR="00000000" w:rsidRDefault="00E54EC0">
            <w:pPr>
              <w:ind w:firstLine="360"/>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238989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3238989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2389892"/>
        </w:trPr>
        <w:tc>
          <w:tcPr>
            <w:tcW w:w="0" w:type="auto"/>
            <w:gridSpan w:val="3"/>
            <w:tcMar>
              <w:top w:w="30" w:type="dxa"/>
              <w:left w:w="20" w:type="dxa"/>
              <w:bottom w:w="30" w:type="dxa"/>
              <w:right w:w="20" w:type="dxa"/>
            </w:tcMar>
            <w:vAlign w:val="bottom"/>
            <w:hideMark/>
          </w:tcPr>
          <w:p w:rsidR="00000000" w:rsidRDefault="00E54EC0">
            <w:pPr>
              <w:spacing w:after="100"/>
              <w:divId w:val="660622772"/>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3238989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Long-term flows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2389892"/>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Sales/new accounts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Redemptions/terminations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flow/unreinvested dividends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long-term inflows (outflows)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Acquisition (3)</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238989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Market appreciation (depreciation)</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change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38989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778.6 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368186682"/>
        <w:rPr>
          <w:rFonts w:eastAsia="Times New Roman"/>
        </w:rPr>
      </w:pPr>
      <w:r>
        <w:rPr>
          <w:rFonts w:eastAsia="Times New Roman"/>
          <w:color w:val="000000"/>
          <w:sz w:val="18"/>
          <w:szCs w:val="18"/>
        </w:rPr>
        <w:t>__________</w:t>
      </w:r>
    </w:p>
    <w:p w:rsidR="00000000" w:rsidRDefault="00E54EC0">
      <w:pPr>
        <w:ind w:hanging="360"/>
        <w:divId w:val="1702586947"/>
        <w:rPr>
          <w:rFonts w:eastAsia="Times New Roman"/>
        </w:rPr>
      </w:pPr>
      <w:r>
        <w:rPr>
          <w:rFonts w:eastAsia="Times New Roman"/>
          <w:color w:val="000000"/>
          <w:sz w:val="18"/>
          <w:szCs w:val="18"/>
        </w:rPr>
        <w:t>(1)</w:t>
      </w:r>
      <w:r>
        <w:rPr>
          <w:rFonts w:eastAsia="Times New Roman"/>
          <w:color w:val="000000"/>
          <w:sz w:val="18"/>
          <w:szCs w:val="18"/>
        </w:rPr>
        <w:t>Approximately $0.4 billion of Institutional AUM was removed from AB total assets under management during the second quarter 2022 due to a change in the fee structure.</w:t>
      </w:r>
    </w:p>
    <w:p w:rsidR="00000000" w:rsidRDefault="00E54EC0">
      <w:pPr>
        <w:ind w:hanging="360"/>
        <w:divId w:val="996346944"/>
        <w:rPr>
          <w:rFonts w:eastAsia="Times New Roman"/>
        </w:rPr>
      </w:pPr>
      <w:r>
        <w:rPr>
          <w:rFonts w:eastAsia="Times New Roman"/>
          <w:color w:val="000000"/>
          <w:sz w:val="18"/>
          <w:szCs w:val="18"/>
        </w:rPr>
        <w:t xml:space="preserve">(2)Net flows include $4.5 billion and $1.3 billion of AXA redemptions for 2022 and 2021, </w:t>
      </w:r>
      <w:r>
        <w:rPr>
          <w:rFonts w:eastAsia="Times New Roman"/>
          <w:color w:val="000000"/>
          <w:sz w:val="18"/>
          <w:szCs w:val="18"/>
        </w:rPr>
        <w:t>respectively.</w:t>
      </w:r>
    </w:p>
    <w:p w:rsidR="00000000" w:rsidRDefault="00E54EC0">
      <w:pPr>
        <w:ind w:hanging="360"/>
        <w:divId w:val="241647521"/>
        <w:rPr>
          <w:rFonts w:eastAsia="Times New Roman"/>
        </w:rPr>
      </w:pPr>
      <w:r>
        <w:rPr>
          <w:rFonts w:eastAsia="Times New Roman"/>
          <w:color w:val="000000"/>
          <w:sz w:val="18"/>
          <w:szCs w:val="18"/>
        </w:rPr>
        <w:t>(3)The CarVal acquisition added approximately $12.2 billion of Institutional AUM in the third quarter 2022.</w:t>
      </w:r>
    </w:p>
    <w:p w:rsidR="00000000" w:rsidRDefault="00E54EC0">
      <w:pPr>
        <w:jc w:val="center"/>
        <w:divId w:val="406194110"/>
        <w:rPr>
          <w:rFonts w:eastAsia="Times New Roman"/>
        </w:rPr>
      </w:pPr>
      <w:r>
        <w:rPr>
          <w:rFonts w:eastAsia="Times New Roman"/>
          <w:color w:val="000000"/>
          <w:sz w:val="20"/>
          <w:szCs w:val="20"/>
        </w:rPr>
        <w:t>93</w:t>
      </w:r>
    </w:p>
    <w:p w:rsidR="00000000" w:rsidRDefault="00E54EC0">
      <w:pPr>
        <w:rPr>
          <w:rFonts w:eastAsia="Times New Roman"/>
        </w:rPr>
      </w:pPr>
      <w:r>
        <w:rPr>
          <w:rFonts w:eastAsia="Times New Roman"/>
        </w:rPr>
        <w:pict>
          <v:rect id="_x0000_i1131" style="width:0;height:1.5pt" o:hralign="center" o:hrstd="t" o:hr="t" fillcolor="#a0a0a0" stroked="f"/>
        </w:pict>
      </w:r>
    </w:p>
    <w:p w:rsidR="00000000" w:rsidRDefault="00E54EC0">
      <w:pPr>
        <w:divId w:val="162282610"/>
        <w:rPr>
          <w:rFonts w:eastAsia="Times New Roman"/>
        </w:rPr>
      </w:pPr>
    </w:p>
    <w:p w:rsidR="00000000" w:rsidRDefault="00E54EC0">
      <w:pPr>
        <w:divId w:val="850267387"/>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520"/>
        <w:gridCol w:w="37"/>
        <w:gridCol w:w="36"/>
        <w:gridCol w:w="36"/>
        <w:gridCol w:w="36"/>
        <w:gridCol w:w="36"/>
        <w:gridCol w:w="120"/>
        <w:gridCol w:w="591"/>
        <w:gridCol w:w="36"/>
        <w:gridCol w:w="36"/>
        <w:gridCol w:w="36"/>
        <w:gridCol w:w="36"/>
        <w:gridCol w:w="120"/>
        <w:gridCol w:w="592"/>
        <w:gridCol w:w="36"/>
        <w:gridCol w:w="36"/>
        <w:gridCol w:w="36"/>
        <w:gridCol w:w="36"/>
        <w:gridCol w:w="120"/>
        <w:gridCol w:w="700"/>
        <w:gridCol w:w="36"/>
      </w:tblGrid>
      <w:tr w:rsidR="00000000">
        <w:trPr>
          <w:divId w:val="850267387"/>
        </w:trPr>
        <w:tc>
          <w:tcPr>
            <w:tcW w:w="50" w:type="pct"/>
            <w:vAlign w:val="center"/>
            <w:hideMark/>
          </w:tcPr>
          <w:p w:rsidR="00000000" w:rsidRDefault="00E54EC0">
            <w:pPr>
              <w:rPr>
                <w:rFonts w:eastAsia="Times New Roman"/>
              </w:rPr>
            </w:pPr>
          </w:p>
        </w:tc>
        <w:tc>
          <w:tcPr>
            <w:tcW w:w="34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50267387"/>
        </w:trPr>
        <w:tc>
          <w:tcPr>
            <w:tcW w:w="0" w:type="auto"/>
            <w:gridSpan w:val="3"/>
            <w:tcMar>
              <w:top w:w="30" w:type="dxa"/>
              <w:left w:w="20" w:type="dxa"/>
              <w:bottom w:w="30" w:type="dxa"/>
              <w:right w:w="20" w:type="dxa"/>
            </w:tcMar>
            <w:vAlign w:val="bottom"/>
            <w:hideMark/>
          </w:tcPr>
          <w:p w:rsidR="00000000" w:rsidRDefault="00E54EC0">
            <w:pPr>
              <w:spacing w:after="100"/>
              <w:divId w:val="770586349"/>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850267387"/>
        </w:trPr>
        <w:tc>
          <w:tcPr>
            <w:tcW w:w="0" w:type="auto"/>
            <w:gridSpan w:val="3"/>
            <w:tcMar>
              <w:top w:w="30" w:type="dxa"/>
              <w:left w:w="20" w:type="dxa"/>
              <w:bottom w:w="30" w:type="dxa"/>
              <w:right w:w="20" w:type="dxa"/>
            </w:tcMar>
            <w:vAlign w:val="bottom"/>
            <w:hideMark/>
          </w:tcPr>
          <w:p w:rsidR="00000000" w:rsidRDefault="00E54EC0">
            <w:pPr>
              <w:spacing w:after="100"/>
              <w:divId w:val="909313791"/>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85026738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850267387"/>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i/>
                <w:iCs/>
                <w:color w:val="000000"/>
                <w:sz w:val="20"/>
                <w:szCs w:val="20"/>
              </w:rPr>
              <w:t>Distribution Channel:</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5026738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Institutions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308.4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Retail</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236.5 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Private Wealth</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686.5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Height w:val="24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5026738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i/>
                <w:iCs/>
                <w:color w:val="000000"/>
                <w:sz w:val="20"/>
                <w:szCs w:val="20"/>
              </w:rPr>
              <w:t>Investment Service: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5026738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Actively Managed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 Passively Managed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Income Actively Managed – Taxable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Income Actively Managed – Tax-exempt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Income Passively Managed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Alternatives/Multi-Asset Solutions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5026738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686.5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730.8 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2093811262"/>
        <w:rPr>
          <w:rFonts w:eastAsia="Times New Roman"/>
        </w:rPr>
      </w:pPr>
      <w:r>
        <w:rPr>
          <w:rFonts w:eastAsia="Times New Roman"/>
          <w:color w:val="000000"/>
          <w:sz w:val="18"/>
          <w:szCs w:val="18"/>
        </w:rPr>
        <w:t>____________</w:t>
      </w:r>
    </w:p>
    <w:p w:rsidR="00000000" w:rsidRDefault="00E54EC0">
      <w:pPr>
        <w:ind w:hanging="360"/>
        <w:divId w:val="81800511"/>
        <w:rPr>
          <w:rFonts w:eastAsia="Times New Roman"/>
        </w:rPr>
      </w:pPr>
      <w:r>
        <w:rPr>
          <w:rFonts w:eastAsia="Times New Roman"/>
          <w:color w:val="000000"/>
          <w:sz w:val="18"/>
          <w:szCs w:val="18"/>
        </w:rPr>
        <w:t>(1)Includes index and enhanced index services.</w:t>
      </w:r>
    </w:p>
    <w:p w:rsidR="00000000" w:rsidRDefault="00E54EC0">
      <w:pPr>
        <w:ind w:hanging="360"/>
        <w:divId w:val="1665358242"/>
        <w:rPr>
          <w:rFonts w:eastAsia="Times New Roman"/>
        </w:rPr>
      </w:pPr>
      <w:r>
        <w:rPr>
          <w:rFonts w:eastAsia="Times New Roman"/>
          <w:color w:val="000000"/>
          <w:sz w:val="18"/>
          <w:szCs w:val="18"/>
        </w:rPr>
        <w:t>(2)</w:t>
      </w:r>
      <w:r>
        <w:rPr>
          <w:rFonts w:eastAsia="Times New Roman"/>
          <w:color w:val="000000"/>
          <w:sz w:val="18"/>
          <w:szCs w:val="18"/>
        </w:rPr>
        <w:t>Includes certain multi-asset solutions and services not included in equity of fixed income services.</w:t>
      </w:r>
    </w:p>
    <w:p w:rsidR="00000000" w:rsidRDefault="00E54EC0">
      <w:pPr>
        <w:divId w:val="959412006"/>
        <w:rPr>
          <w:rFonts w:eastAsia="Times New Roman"/>
        </w:rPr>
      </w:pPr>
      <w:r>
        <w:rPr>
          <w:rFonts w:eastAsia="Times New Roman"/>
          <w:b/>
          <w:bCs/>
          <w:color w:val="000000"/>
          <w:sz w:val="20"/>
          <w:szCs w:val="20"/>
        </w:rPr>
        <w:t>Year Ended December 31, 2022 Compared to the Year Ended December 31, 2021 for the Investment Management and Research Segment</w:t>
      </w:r>
    </w:p>
    <w:p w:rsidR="00000000" w:rsidRDefault="00E54EC0">
      <w:pPr>
        <w:jc w:val="both"/>
        <w:divId w:val="692150760"/>
        <w:rPr>
          <w:rFonts w:eastAsia="Times New Roman"/>
        </w:rPr>
      </w:pPr>
      <w:r>
        <w:rPr>
          <w:rFonts w:eastAsia="Times New Roman"/>
          <w:b/>
          <w:bCs/>
          <w:i/>
          <w:iCs/>
          <w:color w:val="000000"/>
          <w:sz w:val="20"/>
          <w:szCs w:val="20"/>
          <w:shd w:val="clear" w:color="auto" w:fill="FFFFFF"/>
        </w:rPr>
        <w:t>Operating earnings</w:t>
      </w:r>
    </w:p>
    <w:p w:rsidR="00000000" w:rsidRDefault="00E54EC0">
      <w:pPr>
        <w:ind w:firstLine="360"/>
        <w:divId w:val="457722932"/>
        <w:rPr>
          <w:rFonts w:eastAsia="Times New Roman"/>
        </w:rPr>
      </w:pPr>
      <w:r>
        <w:rPr>
          <w:rFonts w:eastAsia="Times New Roman"/>
          <w:color w:val="000000"/>
          <w:sz w:val="20"/>
          <w:szCs w:val="20"/>
          <w:shd w:val="clear" w:color="auto" w:fill="FFFFFF"/>
        </w:rPr>
        <w:t>Operating earnings decreased $140 million to $424 million during the year ended December 31, 2022 from $564 million in the year ended December 31, 2021. The following notable items were the primary drivers of the change in operating earnings:</w:t>
      </w:r>
    </w:p>
    <w:p w:rsidR="00000000" w:rsidRDefault="00E54EC0">
      <w:pPr>
        <w:divId w:val="161899987"/>
        <w:rPr>
          <w:rFonts w:eastAsia="Times New Roman"/>
        </w:rPr>
      </w:pPr>
      <w:r>
        <w:rPr>
          <w:rFonts w:eastAsia="Times New Roman"/>
          <w:color w:val="000000"/>
          <w:sz w:val="20"/>
          <w:szCs w:val="20"/>
          <w:shd w:val="clear" w:color="auto" w:fill="FFFFFF"/>
        </w:rPr>
        <w:t>Unfavorable i</w:t>
      </w:r>
      <w:r>
        <w:rPr>
          <w:rFonts w:eastAsia="Times New Roman"/>
          <w:color w:val="000000"/>
          <w:sz w:val="20"/>
          <w:szCs w:val="20"/>
          <w:shd w:val="clear" w:color="auto" w:fill="FFFFFF"/>
        </w:rPr>
        <w:t>tems included:</w:t>
      </w:r>
    </w:p>
    <w:p w:rsidR="00000000" w:rsidRDefault="00E54EC0">
      <w:pPr>
        <w:divId w:val="69550014"/>
        <w:rPr>
          <w:rFonts w:eastAsia="Times New Roman"/>
        </w:rPr>
      </w:pPr>
    </w:p>
    <w:p w:rsidR="00000000" w:rsidRDefault="00E54EC0">
      <w:pPr>
        <w:ind w:hanging="180"/>
        <w:divId w:val="110519075"/>
        <w:rPr>
          <w:rFonts w:eastAsia="Times New Roman"/>
        </w:rPr>
      </w:pPr>
      <w:r>
        <w:rPr>
          <w:rFonts w:eastAsia="Times New Roman"/>
          <w:color w:val="000000"/>
          <w:sz w:val="20"/>
          <w:szCs w:val="20"/>
        </w:rPr>
        <w:t xml:space="preserve">•Fee-type revenue decreased by $323 million primarily due to lower investment advisory base fees, performance based fees and Bernstein Research Services revenues. The decrease in investment advisory base fees was primarily driven by lower </w:t>
      </w:r>
      <w:r>
        <w:rPr>
          <w:rFonts w:eastAsia="Times New Roman"/>
          <w:color w:val="000000"/>
          <w:sz w:val="20"/>
          <w:szCs w:val="20"/>
        </w:rPr>
        <w:t>average AUM. The decrease in performance based fees was primarily due to lower performance fees earned on Financial Services Opportunities, U.S. Select Equity, Arya Partners and Private Credit Services, partially offset by higher U.S. Real Estate Funds fee</w:t>
      </w:r>
      <w:r>
        <w:rPr>
          <w:rFonts w:eastAsia="Times New Roman"/>
          <w:color w:val="000000"/>
          <w:sz w:val="20"/>
          <w:szCs w:val="20"/>
        </w:rPr>
        <w:t xml:space="preserve">s. The decrease in Bernstein Research Services revenues were primarily driven by significantly lower customer trading activity in Europe and Asia due to local market conditions. </w:t>
      </w:r>
    </w:p>
    <w:p w:rsidR="00000000" w:rsidRDefault="00E54EC0">
      <w:pPr>
        <w:ind w:hanging="180"/>
        <w:divId w:val="1283607883"/>
        <w:rPr>
          <w:rFonts w:eastAsia="Times New Roman"/>
        </w:rPr>
      </w:pPr>
      <w:r>
        <w:rPr>
          <w:rFonts w:eastAsia="Times New Roman"/>
          <w:color w:val="000000"/>
          <w:sz w:val="20"/>
          <w:szCs w:val="20"/>
        </w:rPr>
        <w:t>•</w:t>
      </w:r>
      <w:r>
        <w:rPr>
          <w:rFonts w:eastAsia="Times New Roman"/>
          <w:color w:val="000000"/>
          <w:sz w:val="20"/>
          <w:szCs w:val="20"/>
          <w:shd w:val="clear" w:color="auto" w:fill="FFFFFF"/>
        </w:rPr>
        <w:t>Compensation, benefits, interest expense and other operating costs increased</w:t>
      </w:r>
      <w:r>
        <w:rPr>
          <w:rFonts w:eastAsia="Times New Roman"/>
          <w:color w:val="000000"/>
          <w:sz w:val="20"/>
          <w:szCs w:val="20"/>
          <w:shd w:val="clear" w:color="auto" w:fill="FFFFFF"/>
        </w:rPr>
        <w:t xml:space="preserve"> by $25 million mainly due to higher general and administrative costs, primarily relating to higher professional fees, portfolio servicing fees and technology fees, partially offset by lower compensation and benefit costs. </w:t>
      </w:r>
    </w:p>
    <w:p w:rsidR="00000000" w:rsidRDefault="00E54EC0">
      <w:pPr>
        <w:ind w:hanging="180"/>
        <w:jc w:val="both"/>
        <w:divId w:val="1432968297"/>
        <w:rPr>
          <w:rFonts w:eastAsia="Times New Roman"/>
        </w:rPr>
      </w:pPr>
      <w:r>
        <w:rPr>
          <w:rFonts w:eastAsia="Times New Roman"/>
          <w:color w:val="000000"/>
          <w:sz w:val="20"/>
          <w:szCs w:val="20"/>
        </w:rPr>
        <w:t>•Net investment income, net of d</w:t>
      </w:r>
      <w:r>
        <w:rPr>
          <w:rFonts w:eastAsia="Times New Roman"/>
          <w:color w:val="000000"/>
          <w:sz w:val="20"/>
          <w:szCs w:val="20"/>
        </w:rPr>
        <w:t>erivative gains, was unfavorable by $2 million. Net investment income decreased by $56 million mainly due to higher losses on the seed capital investments subject to market risk, offset by an increase in net derivative gains of $54 million mainly due to hi</w:t>
      </w:r>
      <w:r>
        <w:rPr>
          <w:rFonts w:eastAsia="Times New Roman"/>
          <w:color w:val="000000"/>
          <w:sz w:val="20"/>
          <w:szCs w:val="20"/>
        </w:rPr>
        <w:t>gher gains from economically hedging the seed capital investments.</w:t>
      </w:r>
    </w:p>
    <w:p w:rsidR="00000000" w:rsidRDefault="00E54EC0">
      <w:pPr>
        <w:divId w:val="1536232841"/>
        <w:rPr>
          <w:rFonts w:eastAsia="Times New Roman"/>
        </w:rPr>
      </w:pPr>
      <w:r>
        <w:rPr>
          <w:rFonts w:eastAsia="Times New Roman"/>
          <w:color w:val="000000"/>
          <w:sz w:val="20"/>
          <w:szCs w:val="20"/>
          <w:shd w:val="clear" w:color="auto" w:fill="FFFFFF"/>
        </w:rPr>
        <w:t>These were partially offset by the following favorable items:</w:t>
      </w:r>
    </w:p>
    <w:p w:rsidR="00000000" w:rsidRDefault="00E54EC0">
      <w:pPr>
        <w:ind w:hanging="180"/>
        <w:divId w:val="1004473141"/>
        <w:rPr>
          <w:rFonts w:eastAsia="Times New Roman"/>
        </w:rPr>
      </w:pPr>
      <w:r>
        <w:rPr>
          <w:rFonts w:eastAsia="Times New Roman"/>
          <w:color w:val="000000"/>
          <w:sz w:val="20"/>
          <w:szCs w:val="20"/>
          <w:shd w:val="clear" w:color="auto" w:fill="FFFFFF"/>
        </w:rPr>
        <w:t>•Commissions and distribution-related payments decreased by $78 million mainly due to lower payments to financial intermediarie</w:t>
      </w:r>
      <w:r>
        <w:rPr>
          <w:rFonts w:eastAsia="Times New Roman"/>
          <w:color w:val="000000"/>
          <w:sz w:val="20"/>
          <w:szCs w:val="20"/>
          <w:shd w:val="clear" w:color="auto" w:fill="FFFFFF"/>
        </w:rPr>
        <w:t xml:space="preserve">s for the distribution of AB mutual funds. </w:t>
      </w:r>
    </w:p>
    <w:p w:rsidR="00000000" w:rsidRDefault="00E54EC0">
      <w:pPr>
        <w:ind w:hanging="180"/>
        <w:divId w:val="1794785274"/>
        <w:rPr>
          <w:rFonts w:eastAsia="Times New Roman"/>
        </w:rPr>
      </w:pPr>
      <w:r>
        <w:rPr>
          <w:rFonts w:eastAsia="Times New Roman"/>
          <w:color w:val="000000"/>
          <w:sz w:val="20"/>
          <w:szCs w:val="20"/>
          <w:shd w:val="clear" w:color="auto" w:fill="FFFFFF"/>
        </w:rPr>
        <w:t>•Earnings attributable to noncontrolling interest decreased by $86 million due to lower pre-tax earnings.</w:t>
      </w:r>
    </w:p>
    <w:p w:rsidR="00000000" w:rsidRDefault="00E54EC0">
      <w:pPr>
        <w:ind w:hanging="180"/>
        <w:jc w:val="both"/>
        <w:divId w:val="32579986"/>
        <w:rPr>
          <w:rFonts w:eastAsia="Times New Roman"/>
        </w:rPr>
      </w:pPr>
      <w:r>
        <w:rPr>
          <w:rFonts w:eastAsia="Times New Roman"/>
          <w:color w:val="000000"/>
          <w:sz w:val="20"/>
          <w:szCs w:val="20"/>
          <w:shd w:val="clear" w:color="auto" w:fill="FFFFFF"/>
        </w:rPr>
        <w:t>•Income tax expense decreased by $46 million due to lower pre-tax earnings.</w:t>
      </w:r>
    </w:p>
    <w:p w:rsidR="00000000" w:rsidRDefault="00E54EC0">
      <w:pPr>
        <w:jc w:val="center"/>
        <w:divId w:val="1963337596"/>
        <w:rPr>
          <w:rFonts w:eastAsia="Times New Roman"/>
        </w:rPr>
      </w:pPr>
      <w:r>
        <w:rPr>
          <w:rFonts w:eastAsia="Times New Roman"/>
          <w:color w:val="000000"/>
          <w:sz w:val="20"/>
          <w:szCs w:val="20"/>
        </w:rPr>
        <w:t>94</w:t>
      </w:r>
    </w:p>
    <w:p w:rsidR="00000000" w:rsidRDefault="00E54EC0">
      <w:pPr>
        <w:rPr>
          <w:rFonts w:eastAsia="Times New Roman"/>
        </w:rPr>
      </w:pPr>
      <w:r>
        <w:rPr>
          <w:rFonts w:eastAsia="Times New Roman"/>
        </w:rPr>
        <w:pict>
          <v:rect id="_x0000_i1132" style="width:0;height:1.5pt" o:hralign="center" o:hrstd="t" o:hr="t" fillcolor="#a0a0a0" stroked="f"/>
        </w:pict>
      </w:r>
    </w:p>
    <w:p w:rsidR="00000000" w:rsidRDefault="00E54EC0">
      <w:pPr>
        <w:divId w:val="1231575908"/>
        <w:rPr>
          <w:rFonts w:eastAsia="Times New Roman"/>
        </w:rPr>
      </w:pPr>
    </w:p>
    <w:p w:rsidR="00000000" w:rsidRDefault="00E54EC0">
      <w:pPr>
        <w:jc w:val="both"/>
        <w:divId w:val="1611887598"/>
        <w:rPr>
          <w:rFonts w:eastAsia="Times New Roman"/>
        </w:rPr>
      </w:pPr>
      <w:r>
        <w:rPr>
          <w:rFonts w:eastAsia="Times New Roman"/>
          <w:b/>
          <w:bCs/>
          <w:i/>
          <w:iCs/>
          <w:color w:val="000000"/>
          <w:sz w:val="20"/>
          <w:szCs w:val="20"/>
        </w:rPr>
        <w:t>Long-Term Net Flows and AUM</w:t>
      </w:r>
    </w:p>
    <w:p w:rsidR="00000000" w:rsidRDefault="00E54EC0">
      <w:pPr>
        <w:ind w:hanging="180"/>
        <w:divId w:val="319387147"/>
        <w:rPr>
          <w:rFonts w:eastAsia="Times New Roman"/>
        </w:rPr>
      </w:pPr>
      <w:r>
        <w:rPr>
          <w:rFonts w:eastAsia="Times New Roman"/>
          <w:color w:val="000000"/>
          <w:sz w:val="20"/>
          <w:szCs w:val="20"/>
        </w:rPr>
        <w:t>•Total AUM as of December 31, 2022 was $646.4 billion, down ($132.2) billion, or 17.0%, compared to December 31, 2021. The decrease was primarily as a result of market depreciation of ($140.4) billion and net outflow</w:t>
      </w:r>
      <w:r>
        <w:rPr>
          <w:rFonts w:eastAsia="Times New Roman"/>
          <w:color w:val="000000"/>
          <w:sz w:val="20"/>
          <w:szCs w:val="20"/>
        </w:rPr>
        <w:t xml:space="preserve">s of ($3.6) billion, offset by the addition of $12.2 billion due to the acquisition of CarVal. Retail net outflows were ($11.6) billion, partially offset by Institutional and Private Wealth net inflows of $6.3 billion and $1.7 billion </w:t>
      </w:r>
    </w:p>
    <w:p w:rsidR="00000000" w:rsidRDefault="00E54EC0">
      <w:pPr>
        <w:ind w:hanging="180"/>
        <w:jc w:val="both"/>
        <w:divId w:val="841747398"/>
        <w:rPr>
          <w:rFonts w:eastAsia="Times New Roman"/>
        </w:rPr>
      </w:pPr>
      <w:r>
        <w:rPr>
          <w:rFonts w:eastAsia="Times New Roman"/>
          <w:color w:val="000000"/>
          <w:sz w:val="20"/>
          <w:szCs w:val="20"/>
        </w:rPr>
        <w:t>•Excluding AXA redem</w:t>
      </w:r>
      <w:r>
        <w:rPr>
          <w:rFonts w:eastAsia="Times New Roman"/>
          <w:color w:val="000000"/>
          <w:sz w:val="20"/>
          <w:szCs w:val="20"/>
        </w:rPr>
        <w:t>ptions of $4.5 billion, AB generated net inflows of $0.9 billion during the year ended December 31, 2022.</w:t>
      </w:r>
    </w:p>
    <w:p w:rsidR="00000000" w:rsidRDefault="00E54EC0">
      <w:pPr>
        <w:ind w:firstLine="360"/>
        <w:divId w:val="956913118"/>
        <w:rPr>
          <w:rFonts w:eastAsia="Times New Roman"/>
        </w:rPr>
      </w:pPr>
      <w:r>
        <w:rPr>
          <w:rFonts w:eastAsia="Times New Roman"/>
          <w:b/>
          <w:bCs/>
          <w:color w:val="000000"/>
          <w:sz w:val="20"/>
          <w:szCs w:val="20"/>
        </w:rPr>
        <w:t>Year Ended December 31, 2021 Compared to the Year Ended December 31, 2020 for the Investment Management and Research Segment</w:t>
      </w:r>
    </w:p>
    <w:p w:rsidR="00000000" w:rsidRDefault="00E54EC0">
      <w:pPr>
        <w:jc w:val="both"/>
        <w:divId w:val="880869491"/>
        <w:rPr>
          <w:rFonts w:eastAsia="Times New Roman"/>
        </w:rPr>
      </w:pPr>
      <w:r>
        <w:rPr>
          <w:rFonts w:eastAsia="Times New Roman"/>
          <w:b/>
          <w:bCs/>
          <w:i/>
          <w:iCs/>
          <w:color w:val="000000"/>
          <w:sz w:val="20"/>
          <w:szCs w:val="20"/>
        </w:rPr>
        <w:t>Operating earnings</w:t>
      </w:r>
    </w:p>
    <w:p w:rsidR="00000000" w:rsidRDefault="00E54EC0">
      <w:pPr>
        <w:ind w:firstLine="360"/>
        <w:divId w:val="839932077"/>
        <w:rPr>
          <w:rFonts w:eastAsia="Times New Roman"/>
        </w:rPr>
      </w:pPr>
      <w:r>
        <w:rPr>
          <w:rFonts w:eastAsia="Times New Roman"/>
          <w:color w:val="000000"/>
          <w:sz w:val="20"/>
          <w:szCs w:val="20"/>
        </w:rPr>
        <w:t>For di</w:t>
      </w:r>
      <w:r>
        <w:rPr>
          <w:rFonts w:eastAsia="Times New Roman"/>
          <w:color w:val="000000"/>
          <w:sz w:val="20"/>
          <w:szCs w:val="20"/>
        </w:rPr>
        <w:t xml:space="preserve">scussion that compares results for the year ended December 31, 2021 to the year ended December 31, 2020 refer to the MD&amp;A section in our 2021 Form 10-K. </w:t>
      </w:r>
    </w:p>
    <w:p w:rsidR="00000000" w:rsidRDefault="00E54EC0">
      <w:pPr>
        <w:jc w:val="both"/>
        <w:divId w:val="155729375"/>
        <w:rPr>
          <w:rFonts w:eastAsia="Times New Roman"/>
        </w:rPr>
      </w:pPr>
      <w:r>
        <w:rPr>
          <w:rFonts w:eastAsia="Times New Roman"/>
          <w:b/>
          <w:bCs/>
          <w:i/>
          <w:iCs/>
          <w:color w:val="000000"/>
          <w:sz w:val="20"/>
          <w:szCs w:val="20"/>
        </w:rPr>
        <w:t>Net Flows and AUM</w:t>
      </w:r>
    </w:p>
    <w:p w:rsidR="00000000" w:rsidRDefault="00E54EC0">
      <w:pPr>
        <w:ind w:firstLine="360"/>
        <w:divId w:val="515925484"/>
        <w:rPr>
          <w:rFonts w:eastAsia="Times New Roman"/>
        </w:rPr>
      </w:pPr>
      <w:r>
        <w:rPr>
          <w:rFonts w:eastAsia="Times New Roman"/>
          <w:color w:val="000000"/>
          <w:sz w:val="20"/>
          <w:szCs w:val="20"/>
        </w:rPr>
        <w:t>For discussion that compares results for the year ended December 31, 2021 to the yea</w:t>
      </w:r>
      <w:r>
        <w:rPr>
          <w:rFonts w:eastAsia="Times New Roman"/>
          <w:color w:val="000000"/>
          <w:sz w:val="20"/>
          <w:szCs w:val="20"/>
        </w:rPr>
        <w:t>r ended December 31, 2020 refer to the MD&amp;A section in our 2021 Form 10-K.</w:t>
      </w:r>
    </w:p>
    <w:p w:rsidR="00000000" w:rsidRDefault="00E54EC0">
      <w:pPr>
        <w:divId w:val="842014945"/>
        <w:rPr>
          <w:rFonts w:eastAsia="Times New Roman"/>
        </w:rPr>
      </w:pPr>
      <w:r>
        <w:rPr>
          <w:rFonts w:eastAsia="Times New Roman"/>
          <w:b/>
          <w:bCs/>
          <w:color w:val="000000"/>
          <w:sz w:val="20"/>
          <w:szCs w:val="20"/>
        </w:rPr>
        <w:t>Protection Solutions</w:t>
      </w:r>
    </w:p>
    <w:p w:rsidR="00000000" w:rsidRDefault="00E54EC0">
      <w:pPr>
        <w:ind w:firstLine="360"/>
        <w:divId w:val="1983538893"/>
        <w:rPr>
          <w:rFonts w:eastAsia="Times New Roman"/>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clients throughout their lives, including VUL, IUL and term life products. In</w:t>
      </w:r>
      <w:r>
        <w:rPr>
          <w:rFonts w:eastAsia="Times New Roman"/>
          <w:color w:val="000000"/>
          <w:sz w:val="20"/>
          <w:szCs w:val="20"/>
        </w:rPr>
        <w:t xml:space="preserve"> 2015, we entered the employee benefits market and currently offer a suite of dental, vision, life, as well as short- and long-term disability insurance products to small and medium-size businesses.</w:t>
      </w:r>
    </w:p>
    <w:p w:rsidR="00000000" w:rsidRDefault="00E54EC0">
      <w:pPr>
        <w:ind w:firstLine="360"/>
        <w:divId w:val="2123256243"/>
        <w:rPr>
          <w:rFonts w:eastAsia="Times New Roman"/>
        </w:rPr>
      </w:pPr>
      <w:r>
        <w:rPr>
          <w:rFonts w:eastAsia="Times New Roman"/>
          <w:color w:val="000000"/>
          <w:sz w:val="20"/>
          <w:szCs w:val="20"/>
        </w:rPr>
        <w:t>In recent years, we have refocused our product offering a</w:t>
      </w:r>
      <w:r>
        <w:rPr>
          <w:rFonts w:eastAsia="Times New Roman"/>
          <w:color w:val="000000"/>
          <w:sz w:val="20"/>
          <w:szCs w:val="20"/>
        </w:rPr>
        <w:t xml:space="preserve">nd distribution towards less capital intensive, higher return accumulation and protection products. For example, in January 2021, we discontinued offering our most interest sensitive IUL product. We plan to improve our operating earnings over time through </w:t>
      </w:r>
      <w:r>
        <w:rPr>
          <w:rFonts w:eastAsia="Times New Roman"/>
          <w:color w:val="000000"/>
          <w:sz w:val="20"/>
          <w:szCs w:val="20"/>
        </w:rPr>
        <w:t>earnings generated from sales of our repositioned product portfolio and by proactively managing and optimizing our in-force book.</w:t>
      </w:r>
    </w:p>
    <w:p w:rsidR="00000000" w:rsidRDefault="00E54EC0">
      <w:pPr>
        <w:ind w:firstLine="360"/>
        <w:divId w:val="1314522781"/>
        <w:rPr>
          <w:rFonts w:eastAsia="Times New Roman"/>
        </w:rPr>
      </w:pPr>
      <w:r>
        <w:rPr>
          <w:rFonts w:eastAsia="Times New Roman"/>
          <w:color w:val="000000"/>
          <w:sz w:val="20"/>
          <w:szCs w:val="20"/>
        </w:rPr>
        <w:t>The following table summarizes operating earnings (loss) of our Protection Solutions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674"/>
        <w:gridCol w:w="36"/>
        <w:gridCol w:w="36"/>
        <w:gridCol w:w="36"/>
        <w:gridCol w:w="36"/>
        <w:gridCol w:w="120"/>
        <w:gridCol w:w="616"/>
        <w:gridCol w:w="36"/>
        <w:gridCol w:w="36"/>
        <w:gridCol w:w="36"/>
        <w:gridCol w:w="36"/>
        <w:gridCol w:w="120"/>
        <w:gridCol w:w="575"/>
        <w:gridCol w:w="36"/>
        <w:gridCol w:w="36"/>
        <w:gridCol w:w="36"/>
        <w:gridCol w:w="36"/>
        <w:gridCol w:w="120"/>
        <w:gridCol w:w="576"/>
        <w:gridCol w:w="36"/>
      </w:tblGrid>
      <w:tr w:rsidR="00000000">
        <w:trPr>
          <w:divId w:val="1562255923"/>
        </w:trPr>
        <w:tc>
          <w:tcPr>
            <w:tcW w:w="50" w:type="pct"/>
            <w:vAlign w:val="center"/>
            <w:hideMark/>
          </w:tcPr>
          <w:p w:rsidR="00000000" w:rsidRDefault="00E54EC0">
            <w:pPr>
              <w:ind w:firstLine="360"/>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6225592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56225592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56225592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56225592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595405134"/>
        <w:rPr>
          <w:rFonts w:eastAsia="Times New Roman"/>
        </w:rPr>
      </w:pPr>
      <w:r>
        <w:rPr>
          <w:rFonts w:eastAsia="Times New Roman"/>
          <w:color w:val="000000"/>
          <w:sz w:val="20"/>
          <w:szCs w:val="20"/>
        </w:rPr>
        <w:t>95</w:t>
      </w:r>
    </w:p>
    <w:p w:rsidR="00000000" w:rsidRDefault="00E54EC0">
      <w:pPr>
        <w:rPr>
          <w:rFonts w:eastAsia="Times New Roman"/>
        </w:rPr>
      </w:pPr>
      <w:r>
        <w:rPr>
          <w:rFonts w:eastAsia="Times New Roman"/>
        </w:rPr>
        <w:pict>
          <v:rect id="_x0000_i1133" style="width:0;height:1.5pt" o:hralign="center" o:hrstd="t" o:hr="t" fillcolor="#a0a0a0" stroked="f"/>
        </w:pict>
      </w:r>
    </w:p>
    <w:p w:rsidR="00000000" w:rsidRDefault="00E54EC0">
      <w:pPr>
        <w:divId w:val="519927777"/>
        <w:rPr>
          <w:rFonts w:eastAsia="Times New Roman"/>
        </w:rPr>
      </w:pPr>
    </w:p>
    <w:p w:rsidR="00000000" w:rsidRDefault="00E54EC0">
      <w:pPr>
        <w:ind w:firstLine="360"/>
        <w:divId w:val="1509826907"/>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673"/>
        <w:gridCol w:w="37"/>
        <w:gridCol w:w="36"/>
        <w:gridCol w:w="36"/>
        <w:gridCol w:w="36"/>
        <w:gridCol w:w="120"/>
        <w:gridCol w:w="616"/>
        <w:gridCol w:w="36"/>
        <w:gridCol w:w="36"/>
        <w:gridCol w:w="36"/>
        <w:gridCol w:w="36"/>
        <w:gridCol w:w="120"/>
        <w:gridCol w:w="575"/>
        <w:gridCol w:w="36"/>
        <w:gridCol w:w="36"/>
        <w:gridCol w:w="36"/>
        <w:gridCol w:w="36"/>
        <w:gridCol w:w="120"/>
        <w:gridCol w:w="575"/>
        <w:gridCol w:w="36"/>
      </w:tblGrid>
      <w:tr w:rsidR="00000000">
        <w:trPr>
          <w:divId w:val="1389648417"/>
        </w:trPr>
        <w:tc>
          <w:tcPr>
            <w:tcW w:w="50" w:type="pct"/>
            <w:vAlign w:val="center"/>
            <w:hideMark/>
          </w:tcPr>
          <w:p w:rsidR="00000000" w:rsidRDefault="00E54EC0">
            <w:pPr>
              <w:ind w:firstLine="360"/>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8964841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896484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3896484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3896484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896484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(losses) gains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Height w:val="24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896484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896484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9648417"/>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3,082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1101805322"/>
        <w:rPr>
          <w:rFonts w:eastAsia="Times New Roman"/>
        </w:rPr>
      </w:pPr>
      <w:r>
        <w:rPr>
          <w:rFonts w:eastAsia="Times New Roman"/>
          <w:color w:val="000000"/>
          <w:sz w:val="20"/>
          <w:szCs w:val="20"/>
        </w:rPr>
        <w:t>The following table summarizes Protection Solutions Reserves for our Protection Solut</w:t>
      </w:r>
      <w:r>
        <w:rPr>
          <w:rFonts w:eastAsia="Times New Roman"/>
          <w:color w:val="000000"/>
          <w:sz w:val="20"/>
          <w:szCs w:val="20"/>
        </w:rPr>
        <w:t>ions segment as of the dates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558"/>
        <w:gridCol w:w="36"/>
        <w:gridCol w:w="120"/>
        <w:gridCol w:w="1038"/>
        <w:gridCol w:w="36"/>
        <w:gridCol w:w="36"/>
        <w:gridCol w:w="36"/>
        <w:gridCol w:w="36"/>
        <w:gridCol w:w="120"/>
        <w:gridCol w:w="1001"/>
        <w:gridCol w:w="36"/>
        <w:gridCol w:w="36"/>
        <w:gridCol w:w="36"/>
        <w:gridCol w:w="36"/>
        <w:gridCol w:w="36"/>
        <w:gridCol w:w="36"/>
        <w:gridCol w:w="36"/>
      </w:tblGrid>
      <w:tr w:rsidR="00000000">
        <w:trPr>
          <w:divId w:val="1806509217"/>
        </w:trPr>
        <w:tc>
          <w:tcPr>
            <w:tcW w:w="50" w:type="pct"/>
            <w:vAlign w:val="center"/>
            <w:hideMark/>
          </w:tcPr>
          <w:p w:rsidR="00000000" w:rsidRDefault="00E54EC0">
            <w:pPr>
              <w:ind w:firstLine="360"/>
              <w:rPr>
                <w:rFonts w:eastAsia="Times New Roman"/>
              </w:rPr>
            </w:pPr>
          </w:p>
        </w:tc>
        <w:tc>
          <w:tcPr>
            <w:tcW w:w="3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18,625 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13,634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17,012 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065092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31,871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35,637 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913274557"/>
        <w:rPr>
          <w:rFonts w:eastAsia="Times New Roman"/>
        </w:rPr>
      </w:pPr>
      <w:r>
        <w:rPr>
          <w:rFonts w:eastAsia="Times New Roman"/>
          <w:color w:val="000000"/>
          <w:sz w:val="18"/>
          <w:szCs w:val="18"/>
        </w:rPr>
        <w:t>_______________</w:t>
      </w:r>
    </w:p>
    <w:p w:rsidR="00000000" w:rsidRDefault="00E54EC0">
      <w:pPr>
        <w:ind w:hanging="360"/>
        <w:divId w:val="1497765122"/>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scaling business and therefore has immaterial in-force policies.</w:t>
      </w:r>
    </w:p>
    <w:p w:rsidR="00000000" w:rsidRDefault="00E54EC0">
      <w:pPr>
        <w:ind w:firstLine="360"/>
        <w:divId w:val="101612195"/>
        <w:rPr>
          <w:rFonts w:eastAsia="Times New Roman"/>
        </w:rPr>
      </w:pPr>
      <w:r>
        <w:rPr>
          <w:rFonts w:eastAsia="Times New Roman"/>
          <w:color w:val="000000"/>
          <w:sz w:val="20"/>
          <w:szCs w:val="20"/>
        </w:rPr>
        <w:t>The following table presents our in-force face amounts for the periods indicated, respectively, fo</w:t>
      </w:r>
      <w:r>
        <w:rPr>
          <w:rFonts w:eastAsia="Times New Roman"/>
          <w:color w:val="000000"/>
          <w:sz w:val="20"/>
          <w:szCs w:val="20"/>
        </w:rPr>
        <w:t>r our individual life insurance products:</w:t>
      </w:r>
    </w:p>
    <w:tbl>
      <w:tblPr>
        <w:tblW w:w="5000" w:type="pct"/>
        <w:tblCellMar>
          <w:top w:w="15" w:type="dxa"/>
          <w:left w:w="15" w:type="dxa"/>
          <w:bottom w:w="15" w:type="dxa"/>
          <w:right w:w="15" w:type="dxa"/>
        </w:tblCellMar>
        <w:tblLook w:val="04A0" w:firstRow="1" w:lastRow="0" w:firstColumn="1" w:lastColumn="0" w:noHBand="0" w:noVBand="1"/>
      </w:tblPr>
      <w:tblGrid>
        <w:gridCol w:w="37"/>
        <w:gridCol w:w="5463"/>
        <w:gridCol w:w="36"/>
        <w:gridCol w:w="121"/>
        <w:gridCol w:w="1037"/>
        <w:gridCol w:w="36"/>
        <w:gridCol w:w="36"/>
        <w:gridCol w:w="36"/>
        <w:gridCol w:w="36"/>
        <w:gridCol w:w="121"/>
        <w:gridCol w:w="1095"/>
        <w:gridCol w:w="36"/>
        <w:gridCol w:w="36"/>
        <w:gridCol w:w="36"/>
        <w:gridCol w:w="36"/>
        <w:gridCol w:w="36"/>
        <w:gridCol w:w="36"/>
        <w:gridCol w:w="36"/>
      </w:tblGrid>
      <w:tr w:rsidR="00000000">
        <w:trPr>
          <w:divId w:val="1690327729"/>
        </w:trPr>
        <w:tc>
          <w:tcPr>
            <w:tcW w:w="50" w:type="pct"/>
            <w:vAlign w:val="center"/>
            <w:hideMark/>
          </w:tcPr>
          <w:p w:rsidR="00000000" w:rsidRDefault="00E54EC0">
            <w:pPr>
              <w:ind w:firstLine="360"/>
              <w:rPr>
                <w:rFonts w:eastAsia="Times New Roman"/>
              </w:rPr>
            </w:pPr>
          </w:p>
        </w:tc>
        <w:tc>
          <w:tcPr>
            <w:tcW w:w="34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shd w:val="clear" w:color="auto" w:fill="CCEEFF"/>
            <w:tcMar>
              <w:top w:w="30" w:type="dxa"/>
              <w:left w:w="20" w:type="dxa"/>
              <w:bottom w:w="30" w:type="dxa"/>
              <w:right w:w="20" w:type="dxa"/>
            </w:tcMar>
            <w:hideMark/>
          </w:tcPr>
          <w:p w:rsidR="00000000" w:rsidRDefault="00E54EC0">
            <w:pPr>
              <w:spacing w:after="100"/>
              <w:divId w:val="1774550555"/>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shd w:val="clear" w:color="auto" w:fill="FFFFFF"/>
            <w:tcMar>
              <w:top w:w="30" w:type="dxa"/>
              <w:left w:w="20" w:type="dxa"/>
              <w:bottom w:w="30" w:type="dxa"/>
              <w:right w:w="20" w:type="dxa"/>
            </w:tcMar>
            <w:hideMark/>
          </w:tcPr>
          <w:p w:rsidR="00000000" w:rsidRDefault="00E54EC0">
            <w:pPr>
              <w:spacing w:after="100"/>
              <w:divId w:val="1968925126"/>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shd w:val="clear" w:color="auto" w:fill="CCEEFF"/>
            <w:tcMar>
              <w:top w:w="30" w:type="dxa"/>
              <w:left w:w="20" w:type="dxa"/>
              <w:bottom w:w="30" w:type="dxa"/>
              <w:right w:w="20" w:type="dxa"/>
            </w:tcMar>
            <w:hideMark/>
          </w:tcPr>
          <w:p w:rsidR="00000000" w:rsidRDefault="00E54EC0">
            <w:pPr>
              <w:spacing w:after="100"/>
              <w:divId w:val="165487282"/>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shd w:val="clear" w:color="auto" w:fill="FFFFFF"/>
            <w:tcMar>
              <w:top w:w="30" w:type="dxa"/>
              <w:left w:w="20" w:type="dxa"/>
              <w:bottom w:w="30" w:type="dxa"/>
              <w:right w:w="20" w:type="dxa"/>
            </w:tcMar>
            <w:hideMark/>
          </w:tcPr>
          <w:p w:rsidR="00000000" w:rsidRDefault="00E54EC0">
            <w:pPr>
              <w:spacing w:after="100"/>
              <w:divId w:val="316498846"/>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shd w:val="clear" w:color="auto" w:fill="CCEEFF"/>
            <w:tcMar>
              <w:top w:w="30" w:type="dxa"/>
              <w:left w:w="20" w:type="dxa"/>
              <w:bottom w:w="30" w:type="dxa"/>
              <w:right w:w="20" w:type="dxa"/>
            </w:tcMar>
            <w:hideMark/>
          </w:tcPr>
          <w:p w:rsidR="00000000" w:rsidRDefault="00E54EC0">
            <w:pPr>
              <w:spacing w:after="100"/>
              <w:divId w:val="1479372331"/>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90327729"/>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417.0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1759711811"/>
        <w:rPr>
          <w:rFonts w:eastAsia="Times New Roman"/>
        </w:rPr>
      </w:pPr>
      <w:r>
        <w:rPr>
          <w:rFonts w:eastAsia="Times New Roman"/>
          <w:color w:val="000000"/>
          <w:sz w:val="18"/>
          <w:szCs w:val="18"/>
        </w:rPr>
        <w:t>_______________</w:t>
      </w:r>
    </w:p>
    <w:p w:rsidR="00000000" w:rsidRDefault="00E54EC0">
      <w:pPr>
        <w:ind w:hanging="360"/>
        <w:divId w:val="812723917"/>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scaling business and therefore has immaterial in-force policies.</w:t>
      </w:r>
    </w:p>
    <w:p w:rsidR="00000000" w:rsidRDefault="00E54EC0">
      <w:pPr>
        <w:ind w:hanging="360"/>
        <w:divId w:val="1952738483"/>
        <w:rPr>
          <w:rFonts w:eastAsia="Times New Roman"/>
        </w:rPr>
      </w:pPr>
      <w:r>
        <w:rPr>
          <w:rFonts w:eastAsia="Times New Roman"/>
          <w:color w:val="000000"/>
          <w:sz w:val="18"/>
          <w:szCs w:val="18"/>
        </w:rPr>
        <w:t>(2)UL includes GUL.</w:t>
      </w:r>
    </w:p>
    <w:p w:rsidR="00000000" w:rsidRDefault="00E54EC0">
      <w:pPr>
        <w:ind w:hanging="360"/>
        <w:divId w:val="885214857"/>
        <w:rPr>
          <w:rFonts w:eastAsia="Times New Roman"/>
        </w:rPr>
      </w:pPr>
      <w:r>
        <w:rPr>
          <w:rFonts w:eastAsia="Times New Roman"/>
          <w:color w:val="000000"/>
          <w:sz w:val="18"/>
          <w:szCs w:val="18"/>
        </w:rPr>
        <w:t>(3)VUL includes VL and COLI.</w:t>
      </w:r>
    </w:p>
    <w:p w:rsidR="00000000" w:rsidRDefault="00E54EC0">
      <w:pPr>
        <w:jc w:val="center"/>
        <w:divId w:val="2025131323"/>
        <w:rPr>
          <w:rFonts w:eastAsia="Times New Roman"/>
        </w:rPr>
      </w:pPr>
      <w:r>
        <w:rPr>
          <w:rFonts w:eastAsia="Times New Roman"/>
          <w:color w:val="000000"/>
          <w:sz w:val="20"/>
          <w:szCs w:val="20"/>
        </w:rPr>
        <w:t>96</w:t>
      </w:r>
    </w:p>
    <w:p w:rsidR="00000000" w:rsidRDefault="00E54EC0">
      <w:pPr>
        <w:rPr>
          <w:rFonts w:eastAsia="Times New Roman"/>
        </w:rPr>
      </w:pPr>
      <w:r>
        <w:rPr>
          <w:rFonts w:eastAsia="Times New Roman"/>
        </w:rPr>
        <w:pict>
          <v:rect id="_x0000_i1134" style="width:0;height:1.5pt" o:hralign="center" o:hrstd="t" o:hr="t" fillcolor="#a0a0a0" stroked="f"/>
        </w:pict>
      </w:r>
    </w:p>
    <w:p w:rsidR="00000000" w:rsidRDefault="00E54EC0">
      <w:pPr>
        <w:divId w:val="1920746754"/>
        <w:rPr>
          <w:rFonts w:eastAsia="Times New Roman"/>
        </w:rPr>
      </w:pPr>
    </w:p>
    <w:p w:rsidR="00000000" w:rsidRDefault="00E54EC0">
      <w:pPr>
        <w:divId w:val="1683047295"/>
        <w:rPr>
          <w:rFonts w:eastAsia="Times New Roman"/>
        </w:rPr>
      </w:pPr>
      <w:r>
        <w:rPr>
          <w:rFonts w:eastAsia="Times New Roman"/>
          <w:b/>
          <w:bCs/>
          <w:color w:val="000000"/>
          <w:sz w:val="20"/>
          <w:szCs w:val="20"/>
        </w:rPr>
        <w:t>Year Ended Decem</w:t>
      </w:r>
      <w:r>
        <w:rPr>
          <w:rFonts w:eastAsia="Times New Roman"/>
          <w:b/>
          <w:bCs/>
          <w:color w:val="000000"/>
          <w:sz w:val="20"/>
          <w:szCs w:val="20"/>
        </w:rPr>
        <w:t>ber 31, 2022 Compared to the Year Ended December 31, 2021 for the Protection Solutions Segment</w:t>
      </w:r>
    </w:p>
    <w:p w:rsidR="00000000" w:rsidRDefault="00E54EC0">
      <w:pPr>
        <w:jc w:val="both"/>
        <w:divId w:val="1947736774"/>
        <w:rPr>
          <w:rFonts w:eastAsia="Times New Roman"/>
        </w:rPr>
      </w:pPr>
      <w:r>
        <w:rPr>
          <w:rFonts w:eastAsia="Times New Roman"/>
          <w:b/>
          <w:bCs/>
          <w:i/>
          <w:iCs/>
          <w:color w:val="000000"/>
          <w:sz w:val="20"/>
          <w:szCs w:val="20"/>
          <w:shd w:val="clear" w:color="auto" w:fill="FFFFFF"/>
        </w:rPr>
        <w:t>Operating earnings</w:t>
      </w:r>
    </w:p>
    <w:p w:rsidR="00000000" w:rsidRDefault="00E54EC0">
      <w:pPr>
        <w:ind w:firstLine="360"/>
        <w:divId w:val="731385454"/>
        <w:rPr>
          <w:rFonts w:eastAsia="Times New Roman"/>
        </w:rPr>
      </w:pPr>
      <w:r>
        <w:rPr>
          <w:rFonts w:eastAsia="Times New Roman"/>
          <w:color w:val="000000"/>
          <w:sz w:val="20"/>
          <w:szCs w:val="20"/>
          <w:shd w:val="clear" w:color="auto" w:fill="FFFFFF"/>
        </w:rPr>
        <w:t>Operating ear</w:t>
      </w:r>
      <w:r>
        <w:rPr>
          <w:rFonts w:eastAsia="Times New Roman"/>
          <w:color w:val="000000"/>
          <w:sz w:val="20"/>
          <w:szCs w:val="20"/>
        </w:rPr>
        <w:t>nings decreased $138 million to $179 million during the year ended December 31, 2022 from $317 million in the year ended December 31, 2021. The following notable items were the primary drivers of the change in operating earnings:</w:t>
      </w:r>
    </w:p>
    <w:p w:rsidR="00000000" w:rsidRDefault="00E54EC0">
      <w:pPr>
        <w:divId w:val="759453816"/>
        <w:rPr>
          <w:rFonts w:eastAsia="Times New Roman"/>
        </w:rPr>
      </w:pPr>
      <w:r>
        <w:rPr>
          <w:rFonts w:eastAsia="Times New Roman"/>
          <w:color w:val="000000"/>
          <w:sz w:val="20"/>
          <w:szCs w:val="20"/>
        </w:rPr>
        <w:t>Unfavorable items included</w:t>
      </w:r>
      <w:r>
        <w:rPr>
          <w:rFonts w:eastAsia="Times New Roman"/>
          <w:color w:val="000000"/>
          <w:sz w:val="20"/>
          <w:szCs w:val="20"/>
        </w:rPr>
        <w:t>:</w:t>
      </w:r>
    </w:p>
    <w:p w:rsidR="00000000" w:rsidRDefault="00E54EC0">
      <w:pPr>
        <w:ind w:hanging="270"/>
        <w:divId w:val="146869731"/>
        <w:rPr>
          <w:rFonts w:eastAsia="Times New Roman"/>
        </w:rPr>
      </w:pPr>
      <w:r>
        <w:rPr>
          <w:rFonts w:eastAsia="Times New Roman"/>
          <w:color w:val="000000"/>
          <w:sz w:val="20"/>
          <w:szCs w:val="20"/>
          <w:shd w:val="clear" w:color="auto" w:fill="FFFFFF"/>
        </w:rPr>
        <w:t>•Net investment income decreased by $121 million mainly due to lower alternative investment income and lower prepayments, partially offset by higher income from floating rate securities, TIPS, and GA optimization.</w:t>
      </w:r>
    </w:p>
    <w:p w:rsidR="00000000" w:rsidRDefault="00E54EC0">
      <w:pPr>
        <w:ind w:hanging="270"/>
        <w:divId w:val="1183586986"/>
        <w:rPr>
          <w:rFonts w:eastAsia="Times New Roman"/>
        </w:rPr>
      </w:pPr>
      <w:r>
        <w:rPr>
          <w:rFonts w:eastAsia="Times New Roman"/>
          <w:color w:val="000000"/>
          <w:sz w:val="20"/>
          <w:szCs w:val="20"/>
          <w:shd w:val="clear" w:color="auto" w:fill="FFFFFF"/>
        </w:rPr>
        <w:t>•Policyholders’ benefits increased by $5</w:t>
      </w:r>
      <w:r>
        <w:rPr>
          <w:rFonts w:eastAsia="Times New Roman"/>
          <w:color w:val="000000"/>
          <w:sz w:val="20"/>
          <w:szCs w:val="20"/>
          <w:shd w:val="clear" w:color="auto" w:fill="FFFFFF"/>
        </w:rPr>
        <w:t>6 million mainly due to higher life mortality, net of PFBL reserve accruals, and growth in Employee Benefits.</w:t>
      </w:r>
    </w:p>
    <w:p w:rsidR="00000000" w:rsidRDefault="00E54EC0">
      <w:pPr>
        <w:ind w:hanging="270"/>
        <w:jc w:val="both"/>
        <w:divId w:val="1886870660"/>
        <w:rPr>
          <w:rFonts w:eastAsia="Times New Roman"/>
        </w:rPr>
      </w:pPr>
      <w:r>
        <w:rPr>
          <w:rFonts w:eastAsia="Times New Roman"/>
          <w:color w:val="000000"/>
          <w:sz w:val="20"/>
          <w:szCs w:val="20"/>
        </w:rPr>
        <w:t>•Commissions and distribution-related payments increased by $21 million mainly due to higher sales of Employee Benefits products.</w:t>
      </w:r>
    </w:p>
    <w:p w:rsidR="00000000" w:rsidRDefault="00E54EC0">
      <w:pPr>
        <w:ind w:hanging="270"/>
        <w:divId w:val="1708990102"/>
        <w:rPr>
          <w:rFonts w:eastAsia="Times New Roman"/>
        </w:rPr>
      </w:pPr>
      <w:r>
        <w:rPr>
          <w:rFonts w:eastAsia="Times New Roman"/>
          <w:color w:val="000000"/>
          <w:sz w:val="20"/>
          <w:szCs w:val="20"/>
        </w:rPr>
        <w:t>•Amortization of</w:t>
      </w:r>
      <w:r>
        <w:rPr>
          <w:rFonts w:eastAsia="Times New Roman"/>
          <w:color w:val="000000"/>
          <w:sz w:val="20"/>
          <w:szCs w:val="20"/>
        </w:rPr>
        <w:t xml:space="preserve"> DAC increased by $19 million mainly due to less favorable assumption updates in 2022 compared to 2021.</w:t>
      </w:r>
    </w:p>
    <w:p w:rsidR="00000000" w:rsidRDefault="00E54EC0">
      <w:pPr>
        <w:ind w:hanging="270"/>
        <w:divId w:val="78063008"/>
        <w:rPr>
          <w:rFonts w:eastAsia="Times New Roman"/>
        </w:rPr>
      </w:pPr>
      <w:r>
        <w:rPr>
          <w:rFonts w:eastAsia="Times New Roman"/>
          <w:color w:val="000000"/>
          <w:sz w:val="20"/>
          <w:szCs w:val="20"/>
        </w:rPr>
        <w:t>•Compensation, benefits and other operating costs and expenses increased by $16 million mainly due to higher consulting fees and higher travel expenses.</w:t>
      </w:r>
    </w:p>
    <w:p w:rsidR="00000000" w:rsidRDefault="00E54EC0">
      <w:pPr>
        <w:ind w:firstLine="90"/>
        <w:jc w:val="both"/>
        <w:divId w:val="184759338"/>
        <w:rPr>
          <w:rFonts w:eastAsia="Times New Roman"/>
        </w:rPr>
      </w:pPr>
      <w:r>
        <w:rPr>
          <w:rFonts w:eastAsia="Times New Roman"/>
          <w:color w:val="000000"/>
          <w:sz w:val="20"/>
          <w:szCs w:val="20"/>
          <w:shd w:val="clear" w:color="auto" w:fill="FFFFFF"/>
        </w:rPr>
        <w:t>These were partially offset by the following favorable items:</w:t>
      </w:r>
    </w:p>
    <w:p w:rsidR="00000000" w:rsidRDefault="00E54EC0">
      <w:pPr>
        <w:ind w:hanging="270"/>
        <w:divId w:val="1294872334"/>
        <w:rPr>
          <w:rFonts w:eastAsia="Times New Roman"/>
        </w:rPr>
      </w:pPr>
      <w:r>
        <w:rPr>
          <w:rFonts w:eastAsia="Times New Roman"/>
          <w:color w:val="000000"/>
          <w:sz w:val="20"/>
          <w:szCs w:val="20"/>
          <w:shd w:val="clear" w:color="auto" w:fill="FFFFFF"/>
        </w:rPr>
        <w:t>•Fee-type revenue increased by $65 million mainly driven by higher premiums due to growth in Employee Benefits (offset in Policyholder’s benefits).</w:t>
      </w:r>
    </w:p>
    <w:p w:rsidR="00000000" w:rsidRDefault="00E54EC0">
      <w:pPr>
        <w:ind w:hanging="270"/>
        <w:jc w:val="both"/>
        <w:divId w:val="1395273074"/>
        <w:rPr>
          <w:rFonts w:eastAsia="Times New Roman"/>
        </w:rPr>
      </w:pPr>
      <w:r>
        <w:rPr>
          <w:rFonts w:eastAsia="Times New Roman"/>
          <w:color w:val="000000"/>
          <w:sz w:val="20"/>
          <w:szCs w:val="20"/>
          <w:shd w:val="clear" w:color="auto" w:fill="FFFFFF"/>
        </w:rPr>
        <w:t xml:space="preserve">•Income tax expense decreased by $26 million </w:t>
      </w:r>
      <w:r>
        <w:rPr>
          <w:rFonts w:eastAsia="Times New Roman"/>
          <w:color w:val="000000"/>
          <w:sz w:val="20"/>
          <w:szCs w:val="20"/>
          <w:shd w:val="clear" w:color="auto" w:fill="FFFFFF"/>
        </w:rPr>
        <w:t>primarily due to lower pre-tax earnings, partially offset by a higher effective tax rate in 2022.</w:t>
      </w:r>
    </w:p>
    <w:p w:rsidR="00000000" w:rsidRDefault="00E54EC0">
      <w:pPr>
        <w:ind w:firstLine="360"/>
        <w:divId w:val="369495791"/>
        <w:rPr>
          <w:rFonts w:eastAsia="Times New Roman"/>
        </w:rPr>
      </w:pPr>
      <w:r>
        <w:rPr>
          <w:rFonts w:eastAsia="Times New Roman"/>
          <w:b/>
          <w:bCs/>
          <w:color w:val="000000"/>
          <w:sz w:val="20"/>
          <w:szCs w:val="20"/>
        </w:rPr>
        <w:t>Year Ended December 31, 2021 Compared to the Year Ended December 31, 2020 for the Protection Solutions Segment</w:t>
      </w:r>
    </w:p>
    <w:p w:rsidR="00000000" w:rsidRDefault="00E54EC0">
      <w:pPr>
        <w:ind w:firstLine="360"/>
        <w:divId w:val="83846694"/>
        <w:rPr>
          <w:rFonts w:eastAsia="Times New Roman"/>
        </w:rPr>
      </w:pPr>
      <w:r>
        <w:rPr>
          <w:rFonts w:eastAsia="Times New Roman"/>
          <w:color w:val="000000"/>
          <w:sz w:val="20"/>
          <w:szCs w:val="20"/>
        </w:rPr>
        <w:t>For discussion that compares results for the ye</w:t>
      </w:r>
      <w:r>
        <w:rPr>
          <w:rFonts w:eastAsia="Times New Roman"/>
          <w:color w:val="000000"/>
          <w:sz w:val="20"/>
          <w:szCs w:val="20"/>
        </w:rPr>
        <w:t>ar ended December 31, 2021 to the year ended December 31, 2020 refer to the MD&amp;A section in our 2021 Form 10-K.</w:t>
      </w:r>
    </w:p>
    <w:p w:rsidR="00000000" w:rsidRDefault="00E54EC0">
      <w:pPr>
        <w:divId w:val="1577128104"/>
        <w:rPr>
          <w:rFonts w:eastAsia="Times New Roman"/>
        </w:rPr>
      </w:pPr>
      <w:r>
        <w:rPr>
          <w:rFonts w:eastAsia="Times New Roman"/>
          <w:b/>
          <w:bCs/>
          <w:color w:val="000000"/>
          <w:sz w:val="20"/>
          <w:szCs w:val="20"/>
        </w:rPr>
        <w:t>Corporate and Other</w:t>
      </w:r>
    </w:p>
    <w:p w:rsidR="00000000" w:rsidRDefault="00E54EC0">
      <w:pPr>
        <w:ind w:firstLine="360"/>
        <w:divId w:val="2136479232"/>
        <w:rPr>
          <w:rFonts w:eastAsia="Times New Roman"/>
        </w:rPr>
      </w:pPr>
      <w:r>
        <w:rPr>
          <w:rFonts w:eastAsia="Times New Roman"/>
          <w:color w:val="000000"/>
          <w:sz w:val="20"/>
          <w:szCs w:val="20"/>
        </w:rPr>
        <w:t>Corporate and Other includes some of our financing and investment expenses. It also includes: Equitable Advisors broker-deal</w:t>
      </w:r>
      <w:r>
        <w:rPr>
          <w:rFonts w:eastAsia="Times New Roman"/>
          <w:color w:val="000000"/>
          <w:sz w:val="20"/>
          <w:szCs w:val="20"/>
        </w:rPr>
        <w:t>er business, the Closed Block, run-off variable annuity reinsurance business, run-off group pension business, run-off health business, benefit plans for our employees, certain strategic investments and certain unallocated items, including capital and relat</w:t>
      </w:r>
      <w:r>
        <w:rPr>
          <w:rFonts w:eastAsia="Times New Roman"/>
          <w:color w:val="000000"/>
          <w:sz w:val="20"/>
          <w:szCs w:val="20"/>
        </w:rPr>
        <w:t>ed investments, interest expense and financing fees and corporate expense. AB’s results of operations are reflected in the Investment Management and Research segment. Accordingly, Corporate and Other does not include any items applicable to AB.</w:t>
      </w:r>
    </w:p>
    <w:p w:rsidR="00000000" w:rsidRDefault="00E54EC0">
      <w:pPr>
        <w:ind w:firstLine="360"/>
        <w:divId w:val="447554616"/>
        <w:rPr>
          <w:rFonts w:eastAsia="Times New Roman"/>
        </w:rPr>
      </w:pPr>
      <w:r>
        <w:rPr>
          <w:rFonts w:eastAsia="Times New Roman"/>
          <w:color w:val="000000"/>
          <w:sz w:val="20"/>
          <w:szCs w:val="20"/>
        </w:rPr>
        <w:t>The followi</w:t>
      </w:r>
      <w:r>
        <w:rPr>
          <w:rFonts w:eastAsia="Times New Roman"/>
          <w:color w:val="000000"/>
          <w:sz w:val="20"/>
          <w:szCs w:val="20"/>
        </w:rPr>
        <w:t>ng table summarizes operating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674"/>
        <w:gridCol w:w="36"/>
        <w:gridCol w:w="36"/>
        <w:gridCol w:w="36"/>
        <w:gridCol w:w="36"/>
        <w:gridCol w:w="120"/>
        <w:gridCol w:w="616"/>
        <w:gridCol w:w="36"/>
        <w:gridCol w:w="36"/>
        <w:gridCol w:w="36"/>
        <w:gridCol w:w="36"/>
        <w:gridCol w:w="120"/>
        <w:gridCol w:w="575"/>
        <w:gridCol w:w="36"/>
        <w:gridCol w:w="36"/>
        <w:gridCol w:w="36"/>
        <w:gridCol w:w="36"/>
        <w:gridCol w:w="120"/>
        <w:gridCol w:w="576"/>
        <w:gridCol w:w="36"/>
      </w:tblGrid>
      <w:tr w:rsidR="00000000">
        <w:trPr>
          <w:divId w:val="51390169"/>
        </w:trPr>
        <w:tc>
          <w:tcPr>
            <w:tcW w:w="50" w:type="pct"/>
            <w:vAlign w:val="center"/>
            <w:hideMark/>
          </w:tcPr>
          <w:p w:rsidR="00000000" w:rsidRDefault="00E54EC0">
            <w:pPr>
              <w:ind w:firstLine="360"/>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139016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5139016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5139016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139016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(259)</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1855072339"/>
        <w:rPr>
          <w:rFonts w:eastAsia="Times New Roman"/>
        </w:rPr>
      </w:pPr>
      <w:r>
        <w:rPr>
          <w:rFonts w:eastAsia="Times New Roman"/>
          <w:color w:val="000000"/>
          <w:sz w:val="20"/>
          <w:szCs w:val="20"/>
        </w:rPr>
        <w:t>97</w:t>
      </w:r>
    </w:p>
    <w:p w:rsidR="00000000" w:rsidRDefault="00E54EC0">
      <w:pPr>
        <w:rPr>
          <w:rFonts w:eastAsia="Times New Roman"/>
        </w:rPr>
      </w:pPr>
      <w:r>
        <w:rPr>
          <w:rFonts w:eastAsia="Times New Roman"/>
        </w:rPr>
        <w:pict>
          <v:rect id="_x0000_i1135" style="width:0;height:1.5pt" o:hralign="center" o:hrstd="t" o:hr="t" fillcolor="#a0a0a0" stroked="f"/>
        </w:pict>
      </w:r>
    </w:p>
    <w:p w:rsidR="00000000" w:rsidRDefault="00E54EC0">
      <w:pPr>
        <w:divId w:val="1452481505"/>
        <w:rPr>
          <w:rFonts w:eastAsia="Times New Roman"/>
        </w:rPr>
      </w:pPr>
    </w:p>
    <w:p w:rsidR="00000000" w:rsidRDefault="00E54EC0">
      <w:pPr>
        <w:divId w:val="1100640280"/>
        <w:rPr>
          <w:rFonts w:eastAsia="Times New Roman"/>
        </w:rPr>
      </w:pPr>
      <w:r>
        <w:rPr>
          <w:rFonts w:eastAsia="Times New Roman"/>
          <w:b/>
          <w:bCs/>
          <w:color w:val="000000"/>
          <w:sz w:val="20"/>
          <w:szCs w:val="20"/>
        </w:rPr>
        <w:t>General Account Investment Portfolio</w:t>
      </w:r>
    </w:p>
    <w:p w:rsidR="00000000" w:rsidRDefault="00E54EC0">
      <w:pPr>
        <w:ind w:firstLine="360"/>
        <w:divId w:val="1596933816"/>
        <w:rPr>
          <w:rFonts w:eastAsia="Times New Roman"/>
        </w:rPr>
      </w:pPr>
      <w:r>
        <w:rPr>
          <w:rFonts w:eastAsia="Times New Roman"/>
          <w:color w:val="000000"/>
          <w:sz w:val="20"/>
          <w:szCs w:val="20"/>
        </w:rPr>
        <w:t xml:space="preserve">The General Account investment portfolio is used to support the insurance and annuity liabilities of </w:t>
      </w:r>
      <w:r>
        <w:rPr>
          <w:rFonts w:eastAsia="Times New Roman"/>
          <w:color w:val="000000"/>
          <w:sz w:val="20"/>
          <w:szCs w:val="20"/>
        </w:rPr>
        <w:t xml:space="preserve">our Individual Retirement, Group Retirement and Protection Solutions business segments. In the first quarter 2022, the Company changed its methodology for allocating its General Account investment portfolio, which resulted in a change in the asset and net </w:t>
      </w:r>
      <w:r>
        <w:rPr>
          <w:rFonts w:eastAsia="Times New Roman"/>
          <w:color w:val="000000"/>
          <w:sz w:val="20"/>
          <w:szCs w:val="20"/>
        </w:rPr>
        <w:t>investment income allocation amongst the Company’s business segments. Following this change, the segmentation of the general account investments is now more closely aligned with the liability characteristics of the product groups. Management determined tha</w:t>
      </w:r>
      <w:r>
        <w:rPr>
          <w:rFonts w:eastAsia="Times New Roman"/>
          <w:color w:val="000000"/>
          <w:sz w:val="20"/>
          <w:szCs w:val="20"/>
        </w:rPr>
        <w:t>t the change in the allocation methodology allows for improved flexibility and infuses an active asset liability management practice into the segmentation process. Additionally, the Company also changed its basis for allocating the spread earned from our F</w:t>
      </w:r>
      <w:r>
        <w:rPr>
          <w:rFonts w:eastAsia="Times New Roman"/>
          <w:color w:val="000000"/>
          <w:sz w:val="20"/>
          <w:szCs w:val="20"/>
        </w:rPr>
        <w:t xml:space="preserve">HLB investment borrowing and FABN programs. The spread earned from our FHLB investment borrowing and FABN programs includes the investment income on the assets less interest credited on the funding agreements. The net spread as reflected in net investment </w:t>
      </w:r>
      <w:r>
        <w:rPr>
          <w:rFonts w:eastAsia="Times New Roman"/>
          <w:color w:val="000000"/>
          <w:sz w:val="20"/>
          <w:szCs w:val="20"/>
        </w:rPr>
        <w:t>income is allocated to the segments based on the percentage of the individual segment insurance liabilities over the combined segment insurance liabilities.</w:t>
      </w:r>
    </w:p>
    <w:p w:rsidR="00000000" w:rsidRDefault="00E54EC0">
      <w:pPr>
        <w:ind w:firstLine="360"/>
        <w:divId w:val="210730599"/>
        <w:rPr>
          <w:rFonts w:eastAsia="Times New Roman"/>
        </w:rPr>
      </w:pPr>
      <w:r>
        <w:rPr>
          <w:rFonts w:eastAsia="Times New Roman"/>
          <w:color w:val="000000"/>
          <w:sz w:val="20"/>
          <w:szCs w:val="20"/>
        </w:rPr>
        <w:t>Our investment philosophy is driven by our long-term commitments to clients, robust risk management</w:t>
      </w:r>
      <w:r>
        <w:rPr>
          <w:rFonts w:eastAsia="Times New Roman"/>
          <w:color w:val="000000"/>
          <w:sz w:val="20"/>
          <w:szCs w:val="20"/>
        </w:rPr>
        <w:t xml:space="preserve"> and strategic asset allocation. Our General Account investment portfolio investment strategy seeks to achieve sustainable risk-adjusted returns by focusing on principal preservation and investment return, subject to duration and liquidity requirements by </w:t>
      </w:r>
      <w:r>
        <w:rPr>
          <w:rFonts w:eastAsia="Times New Roman"/>
          <w:color w:val="000000"/>
          <w:sz w:val="20"/>
          <w:szCs w:val="20"/>
        </w:rPr>
        <w:t>product as well as diversification of investment risks. Investment activities are undertaken based on established investment guidelines and are required to comply with applicable laws and insurance regulations.</w:t>
      </w:r>
    </w:p>
    <w:p w:rsidR="00000000" w:rsidRDefault="00E54EC0">
      <w:pPr>
        <w:ind w:firstLine="360"/>
        <w:divId w:val="1898662245"/>
        <w:rPr>
          <w:rFonts w:eastAsia="Times New Roman"/>
        </w:rPr>
      </w:pPr>
      <w:r>
        <w:rPr>
          <w:rFonts w:eastAsia="Times New Roman"/>
          <w:color w:val="000000"/>
          <w:sz w:val="20"/>
          <w:szCs w:val="20"/>
        </w:rPr>
        <w:t>Risk tolerances are established for credit ri</w:t>
      </w:r>
      <w:r>
        <w:rPr>
          <w:rFonts w:eastAsia="Times New Roman"/>
          <w:color w:val="000000"/>
          <w:sz w:val="20"/>
          <w:szCs w:val="20"/>
        </w:rPr>
        <w:t>sk, market risk, liquidity risk and concentration risk across issuers and asset classes, each of which seek to mitigate the impact of cash flow variability arising from these risks. Significant interest rate increases and market volatility in 2022 have red</w:t>
      </w:r>
      <w:r>
        <w:rPr>
          <w:rFonts w:eastAsia="Times New Roman"/>
          <w:color w:val="000000"/>
          <w:sz w:val="20"/>
          <w:szCs w:val="20"/>
        </w:rPr>
        <w:t>uced the fair value of fixed maturities from a net unrealized gain position to a net unrealized loss. These effects apply across the portfolio and are being assessed within aggregate asset and liability management strategies. As a part of asset and liabili</w:t>
      </w:r>
      <w:r>
        <w:rPr>
          <w:rFonts w:eastAsia="Times New Roman"/>
          <w:color w:val="000000"/>
          <w:sz w:val="20"/>
          <w:szCs w:val="20"/>
        </w:rPr>
        <w:t>ty management, we maintain a weighted average duration for our General Account investment portfolio that is within an acceptable range of the estimated duration of our liabilities given our risk appetite and hedging programs.</w:t>
      </w:r>
    </w:p>
    <w:p w:rsidR="00000000" w:rsidRDefault="00E54EC0">
      <w:pPr>
        <w:ind w:firstLine="360"/>
        <w:divId w:val="1141579286"/>
        <w:rPr>
          <w:rFonts w:eastAsia="Times New Roman"/>
        </w:rPr>
      </w:pPr>
      <w:r>
        <w:rPr>
          <w:rFonts w:eastAsia="Times New Roman"/>
          <w:color w:val="000000"/>
          <w:sz w:val="20"/>
          <w:szCs w:val="20"/>
        </w:rPr>
        <w:t>The General Account investment</w:t>
      </w:r>
      <w:r>
        <w:rPr>
          <w:rFonts w:eastAsia="Times New Roman"/>
          <w:color w:val="000000"/>
          <w:sz w:val="20"/>
          <w:szCs w:val="20"/>
        </w:rPr>
        <w:t xml:space="preserve"> portfolio consists largely of investment grade fixed maturities, short-term investments, commercial and agricultural mortgage loans, alternative investments and other financial instruments. Fixed maturities include publicly issued corporate bonds, governm</w:t>
      </w:r>
      <w:r>
        <w:rPr>
          <w:rFonts w:eastAsia="Times New Roman"/>
          <w:color w:val="000000"/>
          <w:sz w:val="20"/>
          <w:szCs w:val="20"/>
        </w:rPr>
        <w:t>ent bonds, privately placed notes and bonds, bonds issued by states and municipalities, mortgage-backed securities and asset-backed securities. In addition, from time to time we use derivatives for hedging purposes to reduce our exposure to equity markets,</w:t>
      </w:r>
      <w:r>
        <w:rPr>
          <w:rFonts w:eastAsia="Times New Roman"/>
          <w:color w:val="000000"/>
          <w:sz w:val="20"/>
          <w:szCs w:val="20"/>
        </w:rPr>
        <w:t xml:space="preserve"> interest rates, foreign currency and credit spreads. </w:t>
      </w:r>
    </w:p>
    <w:p w:rsidR="00000000" w:rsidRDefault="00E54EC0">
      <w:pPr>
        <w:ind w:firstLine="360"/>
        <w:divId w:val="977227497"/>
        <w:rPr>
          <w:rFonts w:eastAsia="Times New Roman"/>
        </w:rPr>
      </w:pPr>
      <w:r>
        <w:rPr>
          <w:rFonts w:eastAsia="Times New Roman"/>
          <w:color w:val="000000"/>
          <w:sz w:val="20"/>
          <w:szCs w:val="20"/>
        </w:rPr>
        <w:t>We incorporate ESG factors into the investment processes for a significant portion of our General Account portfolio. As investors with a long-term horizon, we believe that companies with sustainable pr</w:t>
      </w:r>
      <w:r>
        <w:rPr>
          <w:rFonts w:eastAsia="Times New Roman"/>
          <w:color w:val="000000"/>
          <w:sz w:val="20"/>
          <w:szCs w:val="20"/>
        </w:rPr>
        <w:t>actices are better positioned to deliver value to stakeholders over an extended period. These companies are more likely to increase sales through sustainable products, reduce energy costs and attract and retain talent. This belief underpins our approach to</w:t>
      </w:r>
      <w:r>
        <w:rPr>
          <w:rFonts w:eastAsia="Times New Roman"/>
          <w:color w:val="000000"/>
          <w:sz w:val="20"/>
          <w:szCs w:val="20"/>
        </w:rPr>
        <w:t xml:space="preserve"> sustainable investing, where we seek to enhance the sustainability and quality of our investment portfolio.</w:t>
      </w:r>
    </w:p>
    <w:p w:rsidR="00000000" w:rsidRDefault="00E54EC0">
      <w:pPr>
        <w:ind w:firstLine="360"/>
        <w:divId w:val="1634215064"/>
        <w:rPr>
          <w:rFonts w:eastAsia="Times New Roman"/>
        </w:rPr>
      </w:pPr>
      <w:r>
        <w:rPr>
          <w:rFonts w:eastAsia="Times New Roman"/>
          <w:color w:val="000000"/>
          <w:sz w:val="20"/>
          <w:szCs w:val="20"/>
        </w:rPr>
        <w:t>Investments in our surplus portfolio are generally comprised of a mix of fixed maturity investment grade and below investment grade securities as w</w:t>
      </w:r>
      <w:r>
        <w:rPr>
          <w:rFonts w:eastAsia="Times New Roman"/>
          <w:color w:val="000000"/>
          <w:sz w:val="20"/>
          <w:szCs w:val="20"/>
        </w:rPr>
        <w:t>ell as various alternative investments, primarily private equity and real estate equity. Although alternative investments are subject to period over period earnings fluctuations, they have historically achieved returns in excess of the fixed maturity portf</w:t>
      </w:r>
      <w:r>
        <w:rPr>
          <w:rFonts w:eastAsia="Times New Roman"/>
          <w:color w:val="000000"/>
          <w:sz w:val="20"/>
          <w:szCs w:val="20"/>
        </w:rPr>
        <w:t>olio.</w:t>
      </w:r>
    </w:p>
    <w:p w:rsidR="00000000" w:rsidRDefault="00E54EC0">
      <w:pPr>
        <w:ind w:firstLine="360"/>
        <w:divId w:val="1819414775"/>
        <w:rPr>
          <w:rFonts w:eastAsia="Times New Roman"/>
        </w:rPr>
      </w:pPr>
      <w:r>
        <w:rPr>
          <w:rFonts w:eastAsia="Times New Roman"/>
          <w:color w:val="000000"/>
          <w:sz w:val="20"/>
          <w:szCs w:val="20"/>
        </w:rPr>
        <w:t>The General Account investment portfolio reflects certain differences from the presentation of the U.S. GAAP Consolidated Financial Statements. This presentation is consistent with how we manage the General Account investment portfolio. For further i</w:t>
      </w:r>
      <w:r>
        <w:rPr>
          <w:rFonts w:eastAsia="Times New Roman"/>
          <w:color w:val="000000"/>
          <w:sz w:val="20"/>
          <w:szCs w:val="20"/>
        </w:rPr>
        <w:t>nvestment information, see Note 3 and Note 4 of the Notes to the Consolidated Financial Statements.</w:t>
      </w:r>
    </w:p>
    <w:p w:rsidR="00000000" w:rsidRDefault="00E54EC0">
      <w:pPr>
        <w:jc w:val="both"/>
        <w:divId w:val="1600480852"/>
        <w:rPr>
          <w:rFonts w:eastAsia="Times New Roman"/>
        </w:rPr>
      </w:pPr>
      <w:r>
        <w:rPr>
          <w:rFonts w:eastAsia="Times New Roman"/>
          <w:b/>
          <w:bCs/>
          <w:i/>
          <w:iCs/>
          <w:color w:val="000000"/>
          <w:sz w:val="20"/>
          <w:szCs w:val="20"/>
        </w:rPr>
        <w:t>Investment Results of the General Account Investment Portfolio</w:t>
      </w:r>
    </w:p>
    <w:p w:rsidR="00000000" w:rsidRDefault="00E54EC0">
      <w:pPr>
        <w:ind w:firstLine="360"/>
        <w:divId w:val="1141965289"/>
        <w:rPr>
          <w:rFonts w:eastAsia="Times New Roman"/>
        </w:rPr>
      </w:pPr>
      <w:r>
        <w:rPr>
          <w:rFonts w:eastAsia="Times New Roman"/>
          <w:color w:val="000000"/>
          <w:sz w:val="20"/>
          <w:szCs w:val="20"/>
        </w:rPr>
        <w:t>The following table summarizes the General Account investment portfolio results with Non-GAAP</w:t>
      </w:r>
      <w:r>
        <w:rPr>
          <w:rFonts w:eastAsia="Times New Roman"/>
          <w:color w:val="000000"/>
          <w:sz w:val="20"/>
          <w:szCs w:val="20"/>
        </w:rPr>
        <w:t xml:space="preserve"> Operating Earnings adjustments by asset category for the periods indicated. This presentation is consistent with how we measure investment performance for management purposes.</w:t>
      </w:r>
    </w:p>
    <w:tbl>
      <w:tblPr>
        <w:tblW w:w="2236" w:type="pct"/>
        <w:tblCellMar>
          <w:top w:w="15" w:type="dxa"/>
          <w:left w:w="15" w:type="dxa"/>
          <w:bottom w:w="15" w:type="dxa"/>
          <w:right w:w="15" w:type="dxa"/>
        </w:tblCellMar>
        <w:tblLook w:val="04A0" w:firstRow="1" w:lastRow="0" w:firstColumn="1" w:lastColumn="0" w:noHBand="0" w:noVBand="1"/>
      </w:tblPr>
      <w:tblGrid>
        <w:gridCol w:w="36"/>
        <w:gridCol w:w="295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2151821"/>
        </w:trPr>
        <w:tc>
          <w:tcPr>
            <w:tcW w:w="50" w:type="pct"/>
            <w:vAlign w:val="center"/>
            <w:hideMark/>
          </w:tcPr>
          <w:p w:rsidR="00000000" w:rsidRDefault="00E54EC0">
            <w:pPr>
              <w:ind w:firstLine="360"/>
              <w:rPr>
                <w:rFonts w:eastAsia="Times New Roman"/>
              </w:rPr>
            </w:pPr>
          </w:p>
        </w:tc>
        <w:tc>
          <w:tcPr>
            <w:tcW w:w="49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151821"/>
          <w:trHeight w:val="24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jc w:val="center"/>
        <w:divId w:val="1295451066"/>
        <w:rPr>
          <w:rFonts w:eastAsia="Times New Roman"/>
        </w:rPr>
      </w:pPr>
      <w:r>
        <w:rPr>
          <w:rFonts w:eastAsia="Times New Roman"/>
          <w:color w:val="000000"/>
          <w:sz w:val="20"/>
          <w:szCs w:val="20"/>
        </w:rPr>
        <w:t>98</w:t>
      </w:r>
    </w:p>
    <w:p w:rsidR="00000000" w:rsidRDefault="00E54EC0">
      <w:pPr>
        <w:rPr>
          <w:rFonts w:eastAsia="Times New Roman"/>
        </w:rPr>
      </w:pPr>
      <w:r>
        <w:rPr>
          <w:rFonts w:eastAsia="Times New Roman"/>
        </w:rPr>
        <w:pict>
          <v:rect id="_x0000_i1136" style="width:0;height:1.5pt" o:hralign="center" o:hrstd="t" o:hr="t" fillcolor="#a0a0a0" stroked="f"/>
        </w:pict>
      </w:r>
    </w:p>
    <w:p w:rsidR="00000000" w:rsidRDefault="00E54EC0">
      <w:pPr>
        <w:divId w:val="14269233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55"/>
        <w:gridCol w:w="38"/>
        <w:gridCol w:w="60"/>
        <w:gridCol w:w="444"/>
        <w:gridCol w:w="220"/>
        <w:gridCol w:w="36"/>
        <w:gridCol w:w="36"/>
        <w:gridCol w:w="36"/>
        <w:gridCol w:w="120"/>
        <w:gridCol w:w="600"/>
        <w:gridCol w:w="36"/>
        <w:gridCol w:w="36"/>
        <w:gridCol w:w="36"/>
        <w:gridCol w:w="36"/>
        <w:gridCol w:w="64"/>
        <w:gridCol w:w="456"/>
        <w:gridCol w:w="187"/>
        <w:gridCol w:w="36"/>
        <w:gridCol w:w="36"/>
        <w:gridCol w:w="36"/>
        <w:gridCol w:w="120"/>
        <w:gridCol w:w="600"/>
        <w:gridCol w:w="36"/>
        <w:gridCol w:w="36"/>
        <w:gridCol w:w="36"/>
        <w:gridCol w:w="36"/>
        <w:gridCol w:w="55"/>
        <w:gridCol w:w="449"/>
        <w:gridCol w:w="187"/>
        <w:gridCol w:w="36"/>
        <w:gridCol w:w="36"/>
        <w:gridCol w:w="36"/>
        <w:gridCol w:w="120"/>
        <w:gridCol w:w="600"/>
        <w:gridCol w:w="36"/>
        <w:gridCol w:w="36"/>
        <w:gridCol w:w="36"/>
        <w:gridCol w:w="36"/>
        <w:gridCol w:w="36"/>
      </w:tblGrid>
      <w:tr w:rsidR="00000000">
        <w:trPr>
          <w:divId w:val="433091275"/>
        </w:trPr>
        <w:tc>
          <w:tcPr>
            <w:tcW w:w="50" w:type="pct"/>
            <w:vAlign w:val="center"/>
            <w:hideMark/>
          </w:tcPr>
          <w:p w:rsidR="00000000" w:rsidRDefault="00E54EC0">
            <w:pPr>
              <w:rPr>
                <w:rFonts w:eastAsia="Times New Roman"/>
              </w:rPr>
            </w:pPr>
          </w:p>
        </w:tc>
        <w:tc>
          <w:tcPr>
            <w:tcW w:w="21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Amount (2)</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(Dollars in millions)</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 xml:space="preserve">Fixed Maturities: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72,255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72,545 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71,738 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(6,647)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88,518 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85,834 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(0.15)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88,660 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90,538 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3091275"/>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bl>
    <w:p w:rsidR="00000000" w:rsidRDefault="00E54EC0">
      <w:pPr>
        <w:ind w:hanging="360"/>
        <w:divId w:val="1837186028"/>
        <w:rPr>
          <w:rFonts w:eastAsia="Times New Roman"/>
        </w:rPr>
      </w:pPr>
      <w:r>
        <w:rPr>
          <w:rFonts w:eastAsia="Times New Roman"/>
          <w:color w:val="000000"/>
          <w:sz w:val="18"/>
          <w:szCs w:val="18"/>
        </w:rPr>
        <w:t>_____________</w:t>
      </w:r>
    </w:p>
    <w:p w:rsidR="00000000" w:rsidRDefault="00E54EC0">
      <w:pPr>
        <w:ind w:hanging="360"/>
        <w:divId w:val="1794135159"/>
        <w:rPr>
          <w:rFonts w:eastAsia="Times New Roman"/>
        </w:rPr>
      </w:pPr>
      <w:r>
        <w:rPr>
          <w:rFonts w:eastAsia="Times New Roman"/>
          <w:color w:val="000000"/>
          <w:sz w:val="18"/>
          <w:szCs w:val="18"/>
        </w:rPr>
        <w:t>(1)Includes, as of December 31, 2022, December 31, 2021 and December 31, 2020 respectively, $400 million, $319 million and $333 million of other invested assets. Amounts for certain consolidated VIE investments are shown net of associated non</w:t>
      </w:r>
      <w:r>
        <w:rPr>
          <w:rFonts w:eastAsia="Times New Roman"/>
          <w:color w:val="000000"/>
          <w:sz w:val="18"/>
          <w:szCs w:val="18"/>
        </w:rPr>
        <w:t>-controlling interest.</w:t>
      </w:r>
    </w:p>
    <w:p w:rsidR="00000000" w:rsidRDefault="00E54EC0">
      <w:pPr>
        <w:ind w:hanging="360"/>
        <w:divId w:val="186329974"/>
        <w:rPr>
          <w:rFonts w:eastAsia="Times New Roman"/>
        </w:rPr>
      </w:pPr>
      <w:r>
        <w:rPr>
          <w:rFonts w:eastAsia="Times New Roman"/>
          <w:color w:val="000000"/>
          <w:sz w:val="18"/>
          <w:szCs w:val="18"/>
        </w:rPr>
        <w:t>(2)Amount for fixed maturities and mortgages represents original cost, reduced by repayments, write-downs, adjusted amortization of premiums, accretion of discount and allowances. Cost for equity securities represents original cost r</w:t>
      </w:r>
      <w:r>
        <w:rPr>
          <w:rFonts w:eastAsia="Times New Roman"/>
          <w:color w:val="000000"/>
          <w:sz w:val="18"/>
          <w:szCs w:val="18"/>
        </w:rPr>
        <w:t>educed by write-downs; cost for other limited partnership interests represents original cost adjusted for equity in earnings and reduced by distributions.</w:t>
      </w:r>
    </w:p>
    <w:p w:rsidR="00000000" w:rsidRDefault="00E54EC0">
      <w:pPr>
        <w:ind w:hanging="360"/>
        <w:divId w:val="1676684076"/>
        <w:rPr>
          <w:rFonts w:eastAsia="Times New Roman"/>
        </w:rPr>
      </w:pPr>
      <w:r>
        <w:rPr>
          <w:rFonts w:eastAsia="Times New Roman"/>
          <w:color w:val="000000"/>
          <w:sz w:val="18"/>
          <w:szCs w:val="18"/>
        </w:rPr>
        <w:t xml:space="preserve">(3)Investment fees are inclusive of investment management fees paid to AB. </w:t>
      </w:r>
    </w:p>
    <w:p w:rsidR="00000000" w:rsidRDefault="00E54EC0">
      <w:pPr>
        <w:jc w:val="both"/>
        <w:divId w:val="1363551283"/>
        <w:rPr>
          <w:rFonts w:eastAsia="Times New Roman"/>
        </w:rPr>
      </w:pPr>
      <w:r>
        <w:rPr>
          <w:rFonts w:eastAsia="Times New Roman"/>
          <w:b/>
          <w:bCs/>
          <w:i/>
          <w:iCs/>
          <w:color w:val="000000"/>
          <w:sz w:val="20"/>
          <w:szCs w:val="20"/>
        </w:rPr>
        <w:t>AFS Fixed Maturities</w:t>
      </w:r>
    </w:p>
    <w:p w:rsidR="00000000" w:rsidRDefault="00E54EC0">
      <w:pPr>
        <w:ind w:firstLine="360"/>
        <w:divId w:val="1273365921"/>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below investment grade securities in the General Account investment portfolio consis</w:t>
      </w:r>
      <w:r>
        <w:rPr>
          <w:rFonts w:eastAsia="Times New Roman"/>
          <w:color w:val="000000"/>
          <w:sz w:val="20"/>
          <w:szCs w:val="20"/>
        </w:rPr>
        <w:t>t of loans to middle market companies, public high yield securities, bank loans, as well as “fallen angels,” originally purchased as investment grade investments.</w:t>
      </w:r>
    </w:p>
    <w:p w:rsidR="00000000" w:rsidRDefault="00E54EC0">
      <w:pPr>
        <w:jc w:val="both"/>
        <w:divId w:val="1926066414"/>
        <w:rPr>
          <w:rFonts w:eastAsia="Times New Roman"/>
        </w:rPr>
      </w:pPr>
      <w:r>
        <w:rPr>
          <w:rFonts w:eastAsia="Times New Roman"/>
          <w:b/>
          <w:bCs/>
          <w:i/>
          <w:iCs/>
          <w:color w:val="000000"/>
          <w:sz w:val="20"/>
          <w:szCs w:val="20"/>
        </w:rPr>
        <w:t>AFS Fixed Maturities by Industry</w:t>
      </w:r>
    </w:p>
    <w:p w:rsidR="00000000" w:rsidRDefault="00E54EC0">
      <w:pPr>
        <w:ind w:firstLine="360"/>
        <w:divId w:val="70591963"/>
        <w:rPr>
          <w:rFonts w:eastAsia="Times New Roman"/>
        </w:rPr>
      </w:pPr>
      <w:r>
        <w:rPr>
          <w:rFonts w:eastAsia="Times New Roman"/>
          <w:color w:val="000000"/>
          <w:sz w:val="20"/>
          <w:szCs w:val="20"/>
        </w:rPr>
        <w:t>The following table sets forth these fixed maturities by ind</w:t>
      </w:r>
      <w:r>
        <w:rPr>
          <w:rFonts w:eastAsia="Times New Roman"/>
          <w:color w:val="000000"/>
          <w:sz w:val="20"/>
          <w:szCs w:val="20"/>
        </w:rPr>
        <w:t>ustry category as of the dates indicated along with their associated gross unrealized gains and losses.</w:t>
      </w:r>
    </w:p>
    <w:p w:rsidR="00000000" w:rsidRDefault="00E54EC0">
      <w:pPr>
        <w:jc w:val="center"/>
        <w:divId w:val="1396246948"/>
        <w:rPr>
          <w:rFonts w:eastAsia="Times New Roman"/>
        </w:rPr>
      </w:pPr>
      <w:r>
        <w:rPr>
          <w:rFonts w:eastAsia="Times New Roman"/>
          <w:color w:val="000000"/>
          <w:sz w:val="20"/>
          <w:szCs w:val="20"/>
        </w:rPr>
        <w:t>99</w:t>
      </w:r>
    </w:p>
    <w:p w:rsidR="00000000" w:rsidRDefault="00E54EC0">
      <w:pPr>
        <w:rPr>
          <w:rFonts w:eastAsia="Times New Roman"/>
        </w:rPr>
      </w:pPr>
      <w:r>
        <w:rPr>
          <w:rFonts w:eastAsia="Times New Roman"/>
        </w:rPr>
        <w:pict>
          <v:rect id="_x0000_i1137" style="width:0;height:1.5pt" o:hralign="center" o:hrstd="t" o:hr="t" fillcolor="#a0a0a0" stroked="f"/>
        </w:pict>
      </w:r>
    </w:p>
    <w:p w:rsidR="00000000" w:rsidRDefault="00E54EC0">
      <w:pPr>
        <w:divId w:val="1586113314"/>
        <w:rPr>
          <w:rFonts w:eastAsia="Times New Roman"/>
        </w:rPr>
      </w:pPr>
    </w:p>
    <w:p w:rsidR="00000000" w:rsidRDefault="00E54EC0">
      <w:pPr>
        <w:jc w:val="center"/>
        <w:rPr>
          <w:rFonts w:eastAsia="Times New Roman"/>
        </w:rPr>
      </w:pPr>
      <w:r>
        <w:rPr>
          <w:rFonts w:eastAsia="Times New Roman"/>
          <w:b/>
          <w:bCs/>
          <w:color w:val="000000"/>
          <w:sz w:val="20"/>
          <w:szCs w:val="20"/>
        </w:rPr>
        <w:t>AFS 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8"/>
        <w:gridCol w:w="2464"/>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87581310"/>
        </w:trPr>
        <w:tc>
          <w:tcPr>
            <w:tcW w:w="50" w:type="pct"/>
            <w:vAlign w:val="center"/>
            <w:hideMark/>
          </w:tcPr>
          <w:p w:rsidR="00000000" w:rsidRDefault="00E54EC0">
            <w:pPr>
              <w:jc w:val="center"/>
              <w:rPr>
                <w:rFonts w:eastAsia="Times New Roman"/>
              </w:rPr>
            </w:pPr>
          </w:p>
        </w:tc>
        <w:tc>
          <w:tcPr>
            <w:tcW w:w="18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Percentage of Total (%)</w:t>
            </w:r>
          </w:p>
        </w:tc>
      </w:tr>
      <w:tr w:rsidR="00000000">
        <w:trPr>
          <w:divId w:val="8758131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 of 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13,537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11,864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49,976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7,163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42,878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State &amp; </w:t>
            </w:r>
            <w:r>
              <w:rPr>
                <w:rFonts w:eastAsia="Times New Roman"/>
                <w:color w:val="000000"/>
                <w:sz w:val="20"/>
                <w:szCs w:val="20"/>
              </w:rPr>
              <w:t>political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72,255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9,669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62,668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87581310"/>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divId w:val="2096240539"/>
              <w:rPr>
                <w:rFonts w:eastAsia="Times New Roman"/>
              </w:rPr>
            </w:pPr>
            <w:r>
              <w:rPr>
                <w:rFonts w:eastAsia="Times New Roman"/>
                <w:color w:val="000000"/>
                <w:sz w:val="20"/>
                <w:szCs w:val="20"/>
              </w:rPr>
              <w:t>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12,954 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13,440 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12,212 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12,947 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6,761 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8,191 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3,854 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3,390 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3,590 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49,288 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13,056 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87581310"/>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72,545 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77,342 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bl>
    <w:p w:rsidR="00000000" w:rsidRDefault="00E54EC0">
      <w:pPr>
        <w:ind w:hanging="360"/>
        <w:divId w:val="605776384"/>
        <w:rPr>
          <w:rFonts w:eastAsia="Times New Roman"/>
        </w:rPr>
      </w:pPr>
      <w:r>
        <w:rPr>
          <w:rFonts w:eastAsia="Times New Roman"/>
          <w:color w:val="000000"/>
          <w:sz w:val="18"/>
          <w:szCs w:val="18"/>
        </w:rPr>
        <w:t>______________</w:t>
      </w:r>
    </w:p>
    <w:p w:rsidR="00000000" w:rsidRDefault="00E54EC0">
      <w:pPr>
        <w:ind w:hanging="360"/>
        <w:divId w:val="798110778"/>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E54EC0">
      <w:pPr>
        <w:ind w:hanging="360"/>
        <w:divId w:val="886643555"/>
        <w:rPr>
          <w:rFonts w:eastAsia="Times New Roman"/>
        </w:rPr>
      </w:pPr>
      <w:r>
        <w:rPr>
          <w:rFonts w:eastAsia="Times New Roman"/>
          <w:color w:val="000000"/>
          <w:sz w:val="18"/>
          <w:szCs w:val="18"/>
        </w:rPr>
        <w:t>(2)Includes publicly traded agency pass-through securities and collateralized obligations.</w:t>
      </w:r>
    </w:p>
    <w:p w:rsidR="00000000" w:rsidRDefault="00E54EC0">
      <w:pPr>
        <w:ind w:firstLine="360"/>
        <w:divId w:val="1058556464"/>
        <w:rPr>
          <w:rFonts w:eastAsia="Times New Roman"/>
        </w:rPr>
      </w:pPr>
    </w:p>
    <w:p w:rsidR="00000000" w:rsidRDefault="00E54EC0">
      <w:pPr>
        <w:ind w:hanging="360"/>
        <w:divId w:val="946885695"/>
        <w:rPr>
          <w:rFonts w:eastAsia="Times New Roman"/>
        </w:rPr>
      </w:pPr>
    </w:p>
    <w:p w:rsidR="00000000" w:rsidRDefault="00E54EC0">
      <w:pPr>
        <w:jc w:val="center"/>
        <w:divId w:val="122698335"/>
        <w:rPr>
          <w:rFonts w:eastAsia="Times New Roman"/>
        </w:rPr>
      </w:pPr>
      <w:r>
        <w:rPr>
          <w:rFonts w:eastAsia="Times New Roman"/>
          <w:color w:val="000000"/>
          <w:sz w:val="20"/>
          <w:szCs w:val="20"/>
        </w:rPr>
        <w:t>100</w:t>
      </w:r>
    </w:p>
    <w:p w:rsidR="00000000" w:rsidRDefault="00E54EC0">
      <w:pPr>
        <w:rPr>
          <w:rFonts w:eastAsia="Times New Roman"/>
        </w:rPr>
      </w:pPr>
      <w:r>
        <w:rPr>
          <w:rFonts w:eastAsia="Times New Roman"/>
        </w:rPr>
        <w:pict>
          <v:rect id="_x0000_i1138" style="width:0;height:1.5pt" o:hralign="center" o:hrstd="t" o:hr="t" fillcolor="#a0a0a0" stroked="f"/>
        </w:pict>
      </w:r>
    </w:p>
    <w:p w:rsidR="00000000" w:rsidRDefault="00E54EC0">
      <w:pPr>
        <w:divId w:val="1038162070"/>
        <w:rPr>
          <w:rFonts w:eastAsia="Times New Roman"/>
        </w:rPr>
      </w:pPr>
    </w:p>
    <w:p w:rsidR="00000000" w:rsidRDefault="00E54EC0">
      <w:pPr>
        <w:jc w:val="both"/>
        <w:divId w:val="2064333262"/>
        <w:rPr>
          <w:rFonts w:eastAsia="Times New Roman"/>
        </w:rPr>
      </w:pPr>
      <w:r>
        <w:rPr>
          <w:rFonts w:eastAsia="Times New Roman"/>
          <w:b/>
          <w:bCs/>
          <w:i/>
          <w:iCs/>
          <w:color w:val="000000"/>
          <w:sz w:val="20"/>
          <w:szCs w:val="20"/>
          <w:shd w:val="clear" w:color="auto" w:fill="FFFFFF"/>
        </w:rPr>
        <w:t>Fixed Maturities Credit Quality</w:t>
      </w:r>
    </w:p>
    <w:p w:rsidR="00000000" w:rsidRDefault="00E54EC0">
      <w:pPr>
        <w:ind w:firstLine="360"/>
        <w:divId w:val="1061439238"/>
        <w:rPr>
          <w:rFonts w:eastAsia="Times New Roman"/>
        </w:rPr>
      </w:pPr>
      <w:r>
        <w:rPr>
          <w:rFonts w:eastAsia="Times New Roman"/>
          <w:color w:val="000000"/>
          <w:sz w:val="20"/>
          <w:szCs w:val="20"/>
        </w:rPr>
        <w:t>The SVO of the NAIC evaluates the investments of insurers for regulatory reporting purposes and assigns fixed maturities to one of six categories (“NAIC Designations”). NAIC Designations of “1” or “2” include fix</w:t>
      </w:r>
      <w:r>
        <w:rPr>
          <w:rFonts w:eastAsia="Times New Roman"/>
          <w:color w:val="000000"/>
          <w:sz w:val="20"/>
          <w:szCs w:val="20"/>
        </w:rPr>
        <w:t>ed maturities considered investment grade, which include securities rated Baa3 or higher by Moody’s or BBB- or higher by Standard &amp; Poor’s. NAIC Designations of “3” through “6” are referred to as below investment grade, which include securities rated Ba1 o</w:t>
      </w:r>
      <w:r>
        <w:rPr>
          <w:rFonts w:eastAsia="Times New Roman"/>
          <w:color w:val="000000"/>
          <w:sz w:val="20"/>
          <w:szCs w:val="20"/>
        </w:rPr>
        <w:t>r lower by Moody’s and BB+ or lower by Standard &amp; Poor’s. As a result of time lags between the funding of investments and the completion of the SVO filing process, the fixed maturity portfolio typically includes securities that have not yet been rated by t</w:t>
      </w:r>
      <w:r>
        <w:rPr>
          <w:rFonts w:eastAsia="Times New Roman"/>
          <w:color w:val="000000"/>
          <w:sz w:val="20"/>
          <w:szCs w:val="20"/>
        </w:rPr>
        <w:t>he SVO as of each balance sheet date. Pending receipt of SVO ratings, the categorization of these securities by NAIC designation is based on the expected ratings indicated by internal analysis.</w:t>
      </w:r>
    </w:p>
    <w:p w:rsidR="00000000" w:rsidRDefault="00E54EC0">
      <w:pPr>
        <w:ind w:firstLine="360"/>
        <w:divId w:val="1229075574"/>
        <w:rPr>
          <w:rFonts w:eastAsia="Times New Roman"/>
        </w:rPr>
      </w:pPr>
      <w:r>
        <w:rPr>
          <w:rFonts w:eastAsia="Times New Roman"/>
          <w:color w:val="000000"/>
          <w:sz w:val="20"/>
          <w:szCs w:val="20"/>
        </w:rPr>
        <w:t>The following table sets forth the General Account’s fixed maturities portfolio by NAIC rating at the dates indicated.</w:t>
      </w:r>
    </w:p>
    <w:p w:rsidR="00000000" w:rsidRDefault="00E54EC0">
      <w:pPr>
        <w:jc w:val="center"/>
        <w:rPr>
          <w:rFonts w:eastAsia="Times New Roman"/>
        </w:rPr>
      </w:pPr>
      <w:r>
        <w:rPr>
          <w:rFonts w:eastAsia="Times New Roman"/>
          <w:b/>
          <w:bCs/>
          <w:color w:val="000000"/>
          <w:sz w:val="20"/>
          <w:szCs w:val="20"/>
        </w:rPr>
        <w:t>AFS 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8"/>
        <w:gridCol w:w="36"/>
        <w:gridCol w:w="36"/>
        <w:gridCol w:w="36"/>
        <w:gridCol w:w="48"/>
        <w:gridCol w:w="1342"/>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347603196"/>
        </w:trPr>
        <w:tc>
          <w:tcPr>
            <w:tcW w:w="50" w:type="pct"/>
            <w:vAlign w:val="center"/>
            <w:hideMark/>
          </w:tcPr>
          <w:p w:rsidR="00000000" w:rsidRDefault="00E54EC0">
            <w:pPr>
              <w:jc w:val="center"/>
              <w:rPr>
                <w:rFonts w:eastAsia="Times New Roman"/>
              </w:rPr>
            </w:pPr>
          </w:p>
        </w:tc>
        <w:tc>
          <w:tcPr>
            <w:tcW w:w="12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3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w:t>
            </w:r>
          </w:p>
          <w:p w:rsidR="00000000" w:rsidRDefault="00E54EC0">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w:t>
            </w:r>
          </w:p>
          <w:p w:rsidR="00000000" w:rsidRDefault="00E54EC0">
            <w:pPr>
              <w:spacing w:after="100"/>
              <w:jc w:val="center"/>
              <w:rPr>
                <w:rFonts w:eastAsia="Times New Roman"/>
              </w:rPr>
            </w:pPr>
            <w:r>
              <w:rPr>
                <w:rFonts w:eastAsia="Times New Roman"/>
                <w:b/>
                <w:bCs/>
                <w:color w:val="000000"/>
                <w:sz w:val="16"/>
                <w:szCs w:val="16"/>
              </w:rPr>
              <w:t>Unrealized</w:t>
            </w:r>
          </w:p>
          <w:p w:rsidR="00000000" w:rsidRDefault="00E54EC0">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w:t>
            </w:r>
          </w:p>
          <w:p w:rsidR="00000000" w:rsidRDefault="00E54EC0">
            <w:pPr>
              <w:spacing w:after="100"/>
              <w:jc w:val="center"/>
              <w:rPr>
                <w:rFonts w:eastAsia="Times New Roman"/>
              </w:rPr>
            </w:pPr>
            <w:r>
              <w:rPr>
                <w:rFonts w:eastAsia="Times New Roman"/>
                <w:b/>
                <w:bCs/>
                <w:color w:val="000000"/>
                <w:sz w:val="16"/>
                <w:szCs w:val="16"/>
              </w:rPr>
              <w:t>Unrealized</w:t>
            </w:r>
          </w:p>
          <w:p w:rsidR="00000000" w:rsidRDefault="00E54EC0">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r>
      <w:tr w:rsidR="00000000">
        <w:trPr>
          <w:divId w:val="34760319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4760319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 of 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44,612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24,843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69,455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60,102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2,566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9"/>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72,255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9,669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62,668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As of December 31, 2021: </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44,653 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48,229 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25,141 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69,794 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5,091 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74,600 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Fixed Maturities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72,545 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47603196"/>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476031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1004473908"/>
        <w:rPr>
          <w:rFonts w:eastAsia="Times New Roman"/>
        </w:rPr>
      </w:pPr>
    </w:p>
    <w:p w:rsidR="00000000" w:rsidRDefault="00E54EC0">
      <w:pPr>
        <w:jc w:val="both"/>
        <w:divId w:val="1567838383"/>
        <w:rPr>
          <w:rFonts w:eastAsia="Times New Roman"/>
        </w:rPr>
      </w:pPr>
      <w:r>
        <w:rPr>
          <w:rFonts w:eastAsia="Times New Roman"/>
          <w:b/>
          <w:bCs/>
          <w:i/>
          <w:iCs/>
          <w:color w:val="000000"/>
          <w:sz w:val="20"/>
          <w:szCs w:val="20"/>
        </w:rPr>
        <w:t xml:space="preserve">Mortgage Loans </w:t>
      </w:r>
    </w:p>
    <w:p w:rsidR="00000000" w:rsidRDefault="00E54EC0">
      <w:pPr>
        <w:ind w:firstLine="360"/>
        <w:divId w:val="1549368699"/>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E54EC0">
      <w:pPr>
        <w:jc w:val="center"/>
        <w:divId w:val="133184300"/>
        <w:rPr>
          <w:rFonts w:eastAsia="Times New Roman"/>
        </w:rPr>
      </w:pPr>
      <w:r>
        <w:rPr>
          <w:rFonts w:eastAsia="Times New Roman"/>
          <w:color w:val="000000"/>
          <w:sz w:val="20"/>
          <w:szCs w:val="20"/>
        </w:rPr>
        <w:t>101</w:t>
      </w:r>
    </w:p>
    <w:p w:rsidR="00000000" w:rsidRDefault="00E54EC0">
      <w:pPr>
        <w:rPr>
          <w:rFonts w:eastAsia="Times New Roman"/>
        </w:rPr>
      </w:pPr>
      <w:r>
        <w:rPr>
          <w:rFonts w:eastAsia="Times New Roman"/>
        </w:rPr>
        <w:pict>
          <v:rect id="_x0000_i1139" style="width:0;height:1.5pt" o:hralign="center" o:hrstd="t" o:hr="t" fillcolor="#a0a0a0" stroked="f"/>
        </w:pict>
      </w:r>
    </w:p>
    <w:p w:rsidR="00000000" w:rsidRDefault="00E54EC0">
      <w:pPr>
        <w:divId w:val="982780456"/>
        <w:rPr>
          <w:rFonts w:eastAsia="Times New Roman"/>
        </w:rPr>
      </w:pPr>
    </w:p>
    <w:p w:rsidR="00000000" w:rsidRDefault="00E54EC0">
      <w:pPr>
        <w:jc w:val="center"/>
        <w:rPr>
          <w:rFonts w:eastAsia="Times New Roman"/>
        </w:rPr>
      </w:pPr>
      <w:r>
        <w:rPr>
          <w:rFonts w:eastAsia="Times New Roman"/>
          <w:b/>
          <w:bCs/>
          <w:color w:val="000000"/>
          <w:sz w:val="20"/>
          <w:szCs w:val="20"/>
        </w:rPr>
        <w:t xml:space="preserve">Mortgage Loans by Region and Property </w:t>
      </w:r>
      <w:r>
        <w:rPr>
          <w:rFonts w:eastAsia="Times New Roman"/>
          <w:b/>
          <w:bCs/>
          <w:color w:val="000000"/>
          <w:sz w:val="20"/>
          <w:szCs w:val="20"/>
        </w:rPr>
        <w:t>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7"/>
        <w:gridCol w:w="36"/>
        <w:gridCol w:w="36"/>
        <w:gridCol w:w="36"/>
        <w:gridCol w:w="68"/>
        <w:gridCol w:w="704"/>
        <w:gridCol w:w="220"/>
        <w:gridCol w:w="36"/>
        <w:gridCol w:w="36"/>
        <w:gridCol w:w="36"/>
        <w:gridCol w:w="120"/>
        <w:gridCol w:w="734"/>
        <w:gridCol w:w="36"/>
        <w:gridCol w:w="36"/>
        <w:gridCol w:w="36"/>
        <w:gridCol w:w="36"/>
        <w:gridCol w:w="63"/>
        <w:gridCol w:w="700"/>
        <w:gridCol w:w="187"/>
      </w:tblGrid>
      <w:tr w:rsidR="00000000">
        <w:trPr>
          <w:divId w:val="1982154618"/>
        </w:trPr>
        <w:tc>
          <w:tcPr>
            <w:tcW w:w="50" w:type="pct"/>
            <w:vAlign w:val="center"/>
            <w:hideMark/>
          </w:tcPr>
          <w:p w:rsidR="00000000" w:rsidRDefault="00E54EC0">
            <w:pPr>
              <w:jc w:val="center"/>
              <w:rPr>
                <w:rFonts w:eastAsia="Times New Roman"/>
              </w:rPr>
            </w:pPr>
          </w:p>
        </w:tc>
        <w:tc>
          <w:tcPr>
            <w:tcW w:w="25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98215461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r>
      <w:tr w:rsidR="00000000">
        <w:trPr>
          <w:divId w:val="198215461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w:t>
            </w:r>
          </w:p>
          <w:p w:rsidR="00000000" w:rsidRDefault="00E54EC0">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Amortized</w:t>
            </w:r>
          </w:p>
          <w:p w:rsidR="00000000" w:rsidRDefault="00E54EC0">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 of Total</w:t>
            </w:r>
          </w:p>
        </w:tc>
      </w:tr>
      <w:tr w:rsidR="00000000">
        <w:trPr>
          <w:divId w:val="198215461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982154618"/>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82154618"/>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82154618"/>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4,297 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1982154618"/>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1,982 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16,217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13,969 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19821546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82154618"/>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19821546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16,610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1982154618"/>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821546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1546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16,610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bl>
    <w:p w:rsidR="00000000" w:rsidRDefault="00E54EC0">
      <w:pPr>
        <w:divId w:val="1060448354"/>
        <w:rPr>
          <w:rFonts w:eastAsia="Times New Roman"/>
        </w:rPr>
      </w:pPr>
      <w:r>
        <w:rPr>
          <w:rFonts w:eastAsia="Times New Roman"/>
          <w:b/>
          <w:bCs/>
          <w:color w:val="000000"/>
          <w:sz w:val="20"/>
          <w:szCs w:val="20"/>
        </w:rPr>
        <w:t>Liquidity and Capital Resourc</w:t>
      </w:r>
      <w:r>
        <w:rPr>
          <w:rFonts w:eastAsia="Times New Roman"/>
          <w:b/>
          <w:bCs/>
          <w:color w:val="000000"/>
          <w:sz w:val="20"/>
          <w:szCs w:val="20"/>
        </w:rPr>
        <w:t>es</w:t>
      </w:r>
    </w:p>
    <w:p w:rsidR="00000000" w:rsidRDefault="00E54EC0">
      <w:pPr>
        <w:ind w:firstLine="360"/>
        <w:divId w:val="1068116874"/>
        <w:rPr>
          <w:rFonts w:eastAsia="Times New Roman"/>
        </w:rPr>
      </w:pPr>
      <w:r>
        <w:rPr>
          <w:rFonts w:eastAsia="Times New Roman"/>
          <w:color w:val="000000"/>
          <w:sz w:val="20"/>
          <w:szCs w:val="20"/>
        </w:rPr>
        <w:t xml:space="preserve">Liquidity refers to our ability to generate adequate amounts of cash from our operating, investment and financing activities to meet our cash requirements with a prudent margin of safety. Capital refers to our long-term financial resources available to </w:t>
      </w:r>
      <w:r>
        <w:rPr>
          <w:rFonts w:eastAsia="Times New Roman"/>
          <w:color w:val="000000"/>
          <w:sz w:val="20"/>
          <w:szCs w:val="20"/>
        </w:rPr>
        <w:t>support business operations and future growth. Our ability to generate and maintain sufficient liquidity and capital is dependent on the profitability of our businesses, timing of cash flows related to our investments and products, our ability to access th</w:t>
      </w:r>
      <w:r>
        <w:rPr>
          <w:rFonts w:eastAsia="Times New Roman"/>
          <w:color w:val="000000"/>
          <w:sz w:val="20"/>
          <w:szCs w:val="20"/>
        </w:rPr>
        <w:t>e capital markets, general economic conditions and the alternative sources of liquidity and capital described herein. When considering our liquidity and cash flows, we distinguish between the needs of Holdings and the needs of our insurance and non-insuran</w:t>
      </w:r>
      <w:r>
        <w:rPr>
          <w:rFonts w:eastAsia="Times New Roman"/>
          <w:color w:val="000000"/>
          <w:sz w:val="20"/>
          <w:szCs w:val="20"/>
        </w:rPr>
        <w:t>ce subsidiaries. We also distinguish and separately manage the liquidity and capital resources of our retirement and protection businesses (our Individual Retirement, Group Retirement and Protection Solutions segments) and our Investment Management and Res</w:t>
      </w:r>
      <w:r>
        <w:rPr>
          <w:rFonts w:eastAsia="Times New Roman"/>
          <w:color w:val="000000"/>
          <w:sz w:val="20"/>
          <w:szCs w:val="20"/>
        </w:rPr>
        <w:t>earch segment.</w:t>
      </w:r>
    </w:p>
    <w:p w:rsidR="00000000" w:rsidRDefault="00E54EC0">
      <w:pPr>
        <w:jc w:val="both"/>
        <w:divId w:val="1489664015"/>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E54EC0">
      <w:pPr>
        <w:ind w:firstLine="360"/>
        <w:divId w:val="2138208696"/>
        <w:rPr>
          <w:rFonts w:eastAsia="Times New Roman"/>
        </w:rPr>
      </w:pPr>
      <w:r>
        <w:rPr>
          <w:rFonts w:eastAsia="Times New Roman"/>
          <w:color w:val="000000"/>
          <w:sz w:val="20"/>
          <w:szCs w:val="20"/>
        </w:rPr>
        <w:t>The Company has sufficient cash flows from operations to satisfy liquidity requirements in 2023.</w:t>
      </w:r>
    </w:p>
    <w:p w:rsidR="00000000" w:rsidRDefault="00E54EC0">
      <w:pPr>
        <w:divId w:val="1031762514"/>
        <w:rPr>
          <w:rFonts w:eastAsia="Times New Roman"/>
        </w:rPr>
      </w:pPr>
      <w:r>
        <w:rPr>
          <w:rFonts w:eastAsia="Times New Roman"/>
          <w:i/>
          <w:iCs/>
          <w:color w:val="000000"/>
          <w:sz w:val="20"/>
          <w:szCs w:val="20"/>
          <w:u w:val="single"/>
        </w:rPr>
        <w:t>Cash Flows of Holdings</w:t>
      </w:r>
    </w:p>
    <w:p w:rsidR="00000000" w:rsidRDefault="00E54EC0">
      <w:pPr>
        <w:ind w:firstLine="360"/>
        <w:divId w:val="1721249462"/>
        <w:rPr>
          <w:rFonts w:eastAsia="Times New Roman"/>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all of which is currently held outside our insurance company s</w:t>
      </w:r>
      <w:r>
        <w:rPr>
          <w:rFonts w:eastAsia="Times New Roman"/>
          <w:color w:val="000000"/>
          <w:sz w:val="20"/>
          <w:szCs w:val="20"/>
        </w:rPr>
        <w:t>ubsidiaries. These principal sources of liquidity are augmented by cash and short-term investments held by Holdings and access to bank lines of credit and the capital markets. The main uses of liquidity for Holdings are interest payments and debt repayment</w:t>
      </w:r>
      <w:r>
        <w:rPr>
          <w:rFonts w:eastAsia="Times New Roman"/>
          <w:color w:val="000000"/>
          <w:sz w:val="20"/>
          <w:szCs w:val="20"/>
        </w:rPr>
        <w:t xml:space="preserve">, payment of dividends and other distributions to stockholders (which may include stock repurchases) loans and </w:t>
      </w:r>
    </w:p>
    <w:p w:rsidR="00000000" w:rsidRDefault="00E54EC0">
      <w:pPr>
        <w:jc w:val="center"/>
        <w:divId w:val="325016390"/>
        <w:rPr>
          <w:rFonts w:eastAsia="Times New Roman"/>
        </w:rPr>
      </w:pPr>
      <w:r>
        <w:rPr>
          <w:rFonts w:eastAsia="Times New Roman"/>
          <w:color w:val="000000"/>
          <w:sz w:val="20"/>
          <w:szCs w:val="20"/>
        </w:rPr>
        <w:t>102</w:t>
      </w:r>
    </w:p>
    <w:p w:rsidR="00000000" w:rsidRDefault="00E54EC0">
      <w:pPr>
        <w:rPr>
          <w:rFonts w:eastAsia="Times New Roman"/>
        </w:rPr>
      </w:pPr>
      <w:r>
        <w:rPr>
          <w:rFonts w:eastAsia="Times New Roman"/>
        </w:rPr>
        <w:pict>
          <v:rect id="_x0000_i1140" style="width:0;height:1.5pt" o:hralign="center" o:hrstd="t" o:hr="t" fillcolor="#a0a0a0" stroked="f"/>
        </w:pict>
      </w:r>
    </w:p>
    <w:p w:rsidR="00000000" w:rsidRDefault="00E54EC0">
      <w:pPr>
        <w:divId w:val="751509622"/>
        <w:rPr>
          <w:rFonts w:eastAsia="Times New Roman"/>
        </w:rPr>
      </w:pPr>
    </w:p>
    <w:p w:rsidR="00000000" w:rsidRDefault="00E54EC0">
      <w:pPr>
        <w:divId w:val="460879800"/>
        <w:rPr>
          <w:rFonts w:eastAsia="Times New Roman"/>
        </w:rPr>
      </w:pPr>
      <w:r>
        <w:rPr>
          <w:rFonts w:eastAsia="Times New Roman"/>
          <w:color w:val="000000"/>
          <w:sz w:val="20"/>
          <w:szCs w:val="20"/>
        </w:rPr>
        <w:t>capital contributions, if needed, to our insurance subsidiaries. Our principal sources of liquidity an</w:t>
      </w:r>
      <w:r>
        <w:rPr>
          <w:rFonts w:eastAsia="Times New Roman"/>
          <w:color w:val="000000"/>
          <w:sz w:val="20"/>
          <w:szCs w:val="20"/>
        </w:rPr>
        <w:t>d our capital position are described in the following paragraphs.</w:t>
      </w:r>
    </w:p>
    <w:p w:rsidR="00000000" w:rsidRDefault="00E54EC0">
      <w:pPr>
        <w:divId w:val="1742214066"/>
        <w:rPr>
          <w:rFonts w:eastAsia="Times New Roman"/>
        </w:rPr>
      </w:pPr>
      <w:r>
        <w:rPr>
          <w:rFonts w:eastAsia="Times New Roman"/>
          <w:b/>
          <w:bCs/>
          <w:color w:val="000000"/>
          <w:sz w:val="20"/>
          <w:szCs w:val="20"/>
          <w:shd w:val="clear" w:color="auto" w:fill="FFFFFF"/>
        </w:rPr>
        <w:t>Sources and Uses of Holding Company Highly Liquid Assets</w:t>
      </w:r>
    </w:p>
    <w:p w:rsidR="00000000" w:rsidRDefault="00E54EC0">
      <w:pPr>
        <w:ind w:firstLine="360"/>
        <w:divId w:val="241990634"/>
        <w:rPr>
          <w:rFonts w:eastAsia="Times New Roman"/>
        </w:rPr>
      </w:pPr>
      <w:r>
        <w:rPr>
          <w:rFonts w:eastAsia="Times New Roman"/>
          <w:color w:val="000000"/>
          <w:sz w:val="20"/>
          <w:szCs w:val="20"/>
        </w:rPr>
        <w:t>The following table sets forth Holdings’ principal sources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trPr>
          <w:divId w:val="1864435808"/>
        </w:trPr>
        <w:tc>
          <w:tcPr>
            <w:tcW w:w="50" w:type="pct"/>
            <w:vAlign w:val="center"/>
            <w:hideMark/>
          </w:tcPr>
          <w:p w:rsidR="00000000" w:rsidRDefault="00E54EC0">
            <w:pPr>
              <w:ind w:firstLine="360"/>
              <w:rPr>
                <w:rFonts w:eastAsia="Times New Roman"/>
              </w:rPr>
            </w:pPr>
          </w:p>
        </w:tc>
        <w:tc>
          <w:tcPr>
            <w:tcW w:w="36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86443580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186443580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86443580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3,088 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Shareholder dividends paid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(1,933)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Preferred stock dividend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Issuance of long-term debt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Height w:val="16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decrease (increase) in existing facilities to affiliates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Height w:val="30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86443580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(1,346)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64435808"/>
          <w:trHeight w:val="300"/>
        </w:trPr>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divId w:val="1864435808"/>
        <w:rPr>
          <w:rFonts w:eastAsia="Times New Roman"/>
        </w:rPr>
      </w:pPr>
      <w:r>
        <w:rPr>
          <w:rFonts w:eastAsia="Times New Roman"/>
          <w:color w:val="000000"/>
          <w:sz w:val="18"/>
          <w:szCs w:val="18"/>
        </w:rPr>
        <w:t xml:space="preserve">(1) Represents net activity of draws and repayments of existing credit facilities between Holdings and affiliates. </w:t>
      </w:r>
    </w:p>
    <w:p w:rsidR="00000000" w:rsidRDefault="00E54EC0">
      <w:pPr>
        <w:jc w:val="center"/>
        <w:divId w:val="1597210003"/>
        <w:rPr>
          <w:rFonts w:eastAsia="Times New Roman"/>
        </w:rPr>
      </w:pPr>
      <w:r>
        <w:rPr>
          <w:rFonts w:eastAsia="Times New Roman"/>
          <w:color w:val="000000"/>
          <w:sz w:val="20"/>
          <w:szCs w:val="20"/>
        </w:rPr>
        <w:t>103</w:t>
      </w:r>
    </w:p>
    <w:p w:rsidR="00000000" w:rsidRDefault="00E54EC0">
      <w:pPr>
        <w:rPr>
          <w:rFonts w:eastAsia="Times New Roman"/>
        </w:rPr>
      </w:pPr>
      <w:r>
        <w:rPr>
          <w:rFonts w:eastAsia="Times New Roman"/>
        </w:rPr>
        <w:pict>
          <v:rect id="_x0000_i1141" style="width:0;height:1.5pt" o:hralign="center" o:hrstd="t" o:hr="t" fillcolor="#a0a0a0" stroked="f"/>
        </w:pict>
      </w:r>
    </w:p>
    <w:p w:rsidR="00000000" w:rsidRDefault="00E54EC0">
      <w:pPr>
        <w:divId w:val="260453752"/>
        <w:rPr>
          <w:rFonts w:eastAsia="Times New Roman"/>
        </w:rPr>
      </w:pPr>
    </w:p>
    <w:p w:rsidR="00000000" w:rsidRDefault="00E54EC0">
      <w:pPr>
        <w:divId w:val="1403017864"/>
        <w:rPr>
          <w:rFonts w:eastAsia="Times New Roman"/>
        </w:rPr>
      </w:pPr>
      <w:r>
        <w:rPr>
          <w:rFonts w:eastAsia="Times New Roman"/>
          <w:i/>
          <w:iCs/>
          <w:color w:val="000000"/>
          <w:sz w:val="20"/>
          <w:szCs w:val="20"/>
          <w:u w:val="single"/>
        </w:rPr>
        <w:t>Capital Contribution to Our Subsidiaries</w:t>
      </w:r>
    </w:p>
    <w:p w:rsidR="00000000" w:rsidRDefault="00E54EC0">
      <w:pPr>
        <w:ind w:firstLine="360"/>
        <w:divId w:val="1157916564"/>
        <w:rPr>
          <w:rFonts w:eastAsia="Times New Roman"/>
        </w:rPr>
      </w:pPr>
      <w:r>
        <w:rPr>
          <w:rFonts w:eastAsia="Times New Roman"/>
          <w:color w:val="000000"/>
          <w:sz w:val="20"/>
          <w:szCs w:val="20"/>
        </w:rPr>
        <w:t>During the year ended December 31, 2022, Holdings made ca</w:t>
      </w:r>
      <w:r>
        <w:rPr>
          <w:rFonts w:eastAsia="Times New Roman"/>
          <w:color w:val="000000"/>
          <w:sz w:val="20"/>
          <w:szCs w:val="20"/>
        </w:rPr>
        <w:t>sh capital contributions of $225 million.</w:t>
      </w:r>
    </w:p>
    <w:p w:rsidR="00000000" w:rsidRDefault="00E54EC0">
      <w:pPr>
        <w:divId w:val="921992712"/>
        <w:rPr>
          <w:rFonts w:eastAsia="Times New Roman"/>
        </w:rPr>
      </w:pPr>
      <w:r>
        <w:rPr>
          <w:rFonts w:eastAsia="Times New Roman"/>
          <w:i/>
          <w:iCs/>
          <w:color w:val="000000"/>
          <w:sz w:val="20"/>
          <w:szCs w:val="20"/>
          <w:u w:val="single"/>
        </w:rPr>
        <w:t>Loans from Our Subsidiaries</w:t>
      </w:r>
    </w:p>
    <w:p w:rsidR="00000000" w:rsidRDefault="00E54EC0">
      <w:pPr>
        <w:ind w:firstLine="360"/>
        <w:divId w:val="758788893"/>
        <w:rPr>
          <w:rFonts w:eastAsia="Times New Roman"/>
        </w:rPr>
      </w:pPr>
      <w:r>
        <w:rPr>
          <w:rFonts w:eastAsia="Times New Roman"/>
          <w:color w:val="000000"/>
          <w:sz w:val="20"/>
          <w:szCs w:val="20"/>
        </w:rPr>
        <w:t>There were no loans from our subsidiaries during the year ended December 31, 2022.</w:t>
      </w:r>
    </w:p>
    <w:p w:rsidR="00000000" w:rsidRDefault="00E54EC0">
      <w:pPr>
        <w:divId w:val="1828284698"/>
        <w:rPr>
          <w:rFonts w:eastAsia="Times New Roman"/>
        </w:rPr>
      </w:pPr>
      <w:r>
        <w:rPr>
          <w:rFonts w:eastAsia="Times New Roman"/>
          <w:i/>
          <w:iCs/>
          <w:color w:val="000000"/>
          <w:sz w:val="20"/>
          <w:szCs w:val="20"/>
          <w:u w:val="single"/>
        </w:rPr>
        <w:t>Cash Distributions from Our Subsidiaries</w:t>
      </w:r>
      <w:r>
        <w:rPr>
          <w:rFonts w:eastAsia="Times New Roman"/>
          <w:color w:val="000000"/>
          <w:sz w:val="20"/>
          <w:szCs w:val="20"/>
        </w:rPr>
        <w:t xml:space="preserve"> </w:t>
      </w:r>
    </w:p>
    <w:p w:rsidR="00000000" w:rsidRDefault="00E54EC0">
      <w:pPr>
        <w:ind w:firstLine="360"/>
        <w:divId w:val="873884026"/>
        <w:rPr>
          <w:rFonts w:eastAsia="Times New Roman"/>
        </w:rPr>
      </w:pPr>
      <w:r>
        <w:rPr>
          <w:rFonts w:eastAsia="Times New Roman"/>
          <w:color w:val="000000"/>
          <w:sz w:val="20"/>
          <w:szCs w:val="20"/>
        </w:rPr>
        <w:t xml:space="preserve">During the year ended December 31, 2022, Holdings received pretax cash distributions from AB of $577 million and post-tax distributions from Equitable Financial of $930 million, Equitable Advisors of $85 million and EIM of $210 million. </w:t>
      </w:r>
    </w:p>
    <w:p w:rsidR="00000000" w:rsidRDefault="00E54EC0">
      <w:pPr>
        <w:divId w:val="76827974"/>
        <w:rPr>
          <w:rFonts w:eastAsia="Times New Roman"/>
        </w:rPr>
      </w:pPr>
      <w:r>
        <w:rPr>
          <w:rFonts w:eastAsia="Times New Roman"/>
          <w:i/>
          <w:iCs/>
          <w:color w:val="000000"/>
          <w:sz w:val="20"/>
          <w:szCs w:val="20"/>
          <w:u w:val="single"/>
        </w:rPr>
        <w:t>Distributions from</w:t>
      </w:r>
      <w:r>
        <w:rPr>
          <w:rFonts w:eastAsia="Times New Roman"/>
          <w:i/>
          <w:iCs/>
          <w:color w:val="000000"/>
          <w:sz w:val="20"/>
          <w:szCs w:val="20"/>
          <w:u w:val="single"/>
        </w:rPr>
        <w:t xml:space="preserve"> Insurance Subsidiaries</w:t>
      </w:r>
    </w:p>
    <w:p w:rsidR="00000000" w:rsidRDefault="00E54EC0">
      <w:pPr>
        <w:ind w:firstLine="360"/>
        <w:divId w:val="173501119"/>
        <w:rPr>
          <w:rFonts w:eastAsia="Times New Roman"/>
        </w:rPr>
      </w:pPr>
      <w:r>
        <w:rPr>
          <w:rFonts w:eastAsia="Times New Roman"/>
          <w:color w:val="000000"/>
          <w:sz w:val="20"/>
          <w:szCs w:val="20"/>
        </w:rPr>
        <w:t>Our insurance companies are subject to limitations on the payment of dividends and other transfers of funds to Holdings and other affiliates under applicable insurance law and regulation. Also, more generally, the ability of our ins</w:t>
      </w:r>
      <w:r>
        <w:rPr>
          <w:rFonts w:eastAsia="Times New Roman"/>
          <w:color w:val="000000"/>
          <w:sz w:val="20"/>
          <w:szCs w:val="20"/>
        </w:rPr>
        <w:t xml:space="preserve">urance subsidiaries to pay dividends can be affected by market conditions and other factors beyond our control. </w:t>
      </w:r>
    </w:p>
    <w:p w:rsidR="00000000" w:rsidRDefault="00E54EC0">
      <w:pPr>
        <w:ind w:firstLine="360"/>
        <w:divId w:val="922953303"/>
        <w:rPr>
          <w:rFonts w:eastAsia="Times New Roman"/>
        </w:rPr>
      </w:pPr>
      <w:r>
        <w:rPr>
          <w:rFonts w:eastAsia="Times New Roman"/>
          <w:color w:val="000000"/>
          <w:sz w:val="20"/>
          <w:szCs w:val="20"/>
        </w:rPr>
        <w:t xml:space="preserve">Under New York’s insurance laws, which are applicable to Equitable Financial, a domestic stock life insurer may not, without prior approval of </w:t>
      </w:r>
      <w:r>
        <w:rPr>
          <w:rFonts w:eastAsia="Times New Roman"/>
          <w:color w:val="000000"/>
          <w:sz w:val="20"/>
          <w:szCs w:val="20"/>
        </w:rPr>
        <w:t>the NYDFS, pay an Ordinary Dividend. Extraordinary Dividends require the insurer to file a notice of its intent to declare the dividends with the NYDFS and obtain prior approval or non-disapproval from the NYDFS. Due to a permitted statutory accounting pra</w:t>
      </w:r>
      <w:r>
        <w:rPr>
          <w:rFonts w:eastAsia="Times New Roman"/>
          <w:color w:val="000000"/>
          <w:sz w:val="20"/>
          <w:szCs w:val="20"/>
        </w:rPr>
        <w:t xml:space="preserve">ctice agreed to with the NYDFS, Equitable Financial will need the prior approval of the NYDFS to pay a Permitted Practice Ordinary Dividend. Applying the formula above, Equitable Financial could pay an Ordinary Dividend of up to approximately $1.7 billion </w:t>
      </w:r>
      <w:r>
        <w:rPr>
          <w:rFonts w:eastAsia="Times New Roman"/>
          <w:color w:val="000000"/>
          <w:sz w:val="20"/>
          <w:szCs w:val="20"/>
        </w:rPr>
        <w:t>in 2023.</w:t>
      </w:r>
    </w:p>
    <w:p w:rsidR="00000000" w:rsidRDefault="00E54EC0">
      <w:pPr>
        <w:divId w:val="2056541927"/>
        <w:rPr>
          <w:rFonts w:eastAsia="Times New Roman"/>
        </w:rPr>
      </w:pPr>
      <w:r>
        <w:rPr>
          <w:rFonts w:eastAsia="Times New Roman"/>
          <w:i/>
          <w:iCs/>
          <w:color w:val="000000"/>
          <w:sz w:val="20"/>
          <w:szCs w:val="20"/>
          <w:u w:val="single"/>
        </w:rPr>
        <w:t>Distributions from AllianceBernstein</w:t>
      </w:r>
    </w:p>
    <w:p w:rsidR="00000000" w:rsidRDefault="00E54EC0">
      <w:pPr>
        <w:ind w:firstLine="360"/>
        <w:divId w:val="1893615956"/>
        <w:rPr>
          <w:rFonts w:eastAsia="Times New Roman"/>
        </w:rPr>
      </w:pPr>
      <w:r>
        <w:rPr>
          <w:rFonts w:eastAsia="Times New Roman"/>
          <w:color w:val="000000"/>
          <w:sz w:val="20"/>
          <w:szCs w:val="20"/>
        </w:rPr>
        <w:t>ABLP is required to distribute all of its Available Cash Flow, as defined in the Amended and Restated Partnership Agreement of ABLP, to the holders of AB Units and to the General Partner. Available Cash Flow is</w:t>
      </w:r>
      <w:r>
        <w:rPr>
          <w:rFonts w:eastAsia="Times New Roman"/>
          <w:color w:val="000000"/>
          <w:sz w:val="20"/>
          <w:szCs w:val="20"/>
        </w:rPr>
        <w:t xml:space="preserve"> defined as the cash flow received by ABLP from operations minus such amounts as the General Partner determines, in its sole discretion, should be retained by ABLP for use in its business, or plus such amounts as the General Partner determines, in its sole</w:t>
      </w:r>
      <w:r>
        <w:rPr>
          <w:rFonts w:eastAsia="Times New Roman"/>
          <w:color w:val="000000"/>
          <w:sz w:val="20"/>
          <w:szCs w:val="20"/>
        </w:rPr>
        <w:t xml:space="preserve"> discretion, should be released from previously retained cash flow. Distributions by ABLP are made 1% to the General Partner and 99% among the limited partners.</w:t>
      </w:r>
    </w:p>
    <w:p w:rsidR="00000000" w:rsidRDefault="00E54EC0">
      <w:pPr>
        <w:ind w:firstLine="360"/>
        <w:divId w:val="931427459"/>
        <w:rPr>
          <w:rFonts w:eastAsia="Times New Roman"/>
        </w:rPr>
      </w:pPr>
      <w:r>
        <w:rPr>
          <w:rFonts w:eastAsia="Times New Roman"/>
          <w:color w:val="000000"/>
          <w:sz w:val="20"/>
          <w:szCs w:val="20"/>
        </w:rPr>
        <w:t>Typically, Available Cash Flow has been the adjusted diluted net income per unit for the quarte</w:t>
      </w:r>
      <w:r>
        <w:rPr>
          <w:rFonts w:eastAsia="Times New Roman"/>
          <w:color w:val="000000"/>
          <w:sz w:val="20"/>
          <w:szCs w:val="20"/>
        </w:rPr>
        <w:t>r multiplied by the number of general and limited partnership interests at the end of the quarter. In future periods, management of AB anticipates that Available Cash Flow will be based on adjusted diluted net income per unit, unless management of AB deter</w:t>
      </w:r>
      <w:r>
        <w:rPr>
          <w:rFonts w:eastAsia="Times New Roman"/>
          <w:color w:val="000000"/>
          <w:sz w:val="20"/>
          <w:szCs w:val="20"/>
        </w:rPr>
        <w:t>mines, with the concurrence of the Board of Directors of AB, that one or more adjustments that are made for adjusted net income should not be made with respect to the Available Cash Flow calculation.</w:t>
      </w:r>
    </w:p>
    <w:p w:rsidR="00000000" w:rsidRDefault="00E54EC0">
      <w:pPr>
        <w:ind w:firstLine="360"/>
        <w:divId w:val="2061051540"/>
        <w:rPr>
          <w:rFonts w:eastAsia="Times New Roman"/>
        </w:rPr>
      </w:pPr>
      <w:r>
        <w:rPr>
          <w:rFonts w:eastAsia="Times New Roman"/>
          <w:color w:val="000000"/>
          <w:sz w:val="20"/>
          <w:szCs w:val="20"/>
        </w:rPr>
        <w:t>AB Holding is required to distribute all of its Availabl</w:t>
      </w:r>
      <w:r>
        <w:rPr>
          <w:rFonts w:eastAsia="Times New Roman"/>
          <w:color w:val="000000"/>
          <w:sz w:val="20"/>
          <w:szCs w:val="20"/>
        </w:rPr>
        <w:t>e Cash Flow, as defined in the Amended and Restated Agreement of Limited Partnership of AB Holding, to holders of AB Holding Units pro rata in accordance with their percentage interest in AB Holding. Available Cash Flow is defined as the cash distributions</w:t>
      </w:r>
      <w:r>
        <w:rPr>
          <w:rFonts w:eastAsia="Times New Roman"/>
          <w:color w:val="000000"/>
          <w:sz w:val="20"/>
          <w:szCs w:val="20"/>
        </w:rPr>
        <w:t xml:space="preserve"> AB Holding receives from ABLP minus such amounts as the General Partner determines, in its sole discretion, should be retained by AB Holding for use in its business (such as the payment of taxes) or plus such amounts as the General Partner determines, in </w:t>
      </w:r>
      <w:r>
        <w:rPr>
          <w:rFonts w:eastAsia="Times New Roman"/>
          <w:color w:val="000000"/>
          <w:sz w:val="20"/>
          <w:szCs w:val="20"/>
        </w:rPr>
        <w:t>its sole discretion, should be released from previously retained cash flow. AB Holding is dependent on the quarterly cash distributions it receives from ABLP, which is subject to the performance of capital markets and other factors beyond our control. Dist</w:t>
      </w:r>
      <w:r>
        <w:rPr>
          <w:rFonts w:eastAsia="Times New Roman"/>
          <w:color w:val="000000"/>
          <w:sz w:val="20"/>
          <w:szCs w:val="20"/>
        </w:rPr>
        <w:t>ributions from AB Holding are made pro rata based on the holder’s percentage ownership interest in AB Holding.</w:t>
      </w:r>
    </w:p>
    <w:p w:rsidR="00000000" w:rsidRDefault="00E54EC0">
      <w:pPr>
        <w:ind w:firstLine="360"/>
        <w:divId w:val="247471884"/>
        <w:rPr>
          <w:rFonts w:eastAsia="Times New Roman"/>
        </w:rPr>
      </w:pPr>
      <w:r>
        <w:rPr>
          <w:rFonts w:eastAsia="Times New Roman"/>
          <w:color w:val="000000"/>
          <w:sz w:val="20"/>
          <w:szCs w:val="20"/>
        </w:rPr>
        <w:t>As of December 31, 2022, Holdings and its non-insurance company subsidiaries hold approximately 170.1 million AB Units, 4.1 million AB Holding Un</w:t>
      </w:r>
      <w:r>
        <w:rPr>
          <w:rFonts w:eastAsia="Times New Roman"/>
          <w:color w:val="000000"/>
          <w:sz w:val="20"/>
          <w:szCs w:val="20"/>
        </w:rPr>
        <w:t>its and the 1% General Partnership interest in ABLP.</w:t>
      </w:r>
    </w:p>
    <w:p w:rsidR="00000000" w:rsidRDefault="00E54EC0">
      <w:pPr>
        <w:ind w:firstLine="360"/>
        <w:divId w:val="861093526"/>
        <w:rPr>
          <w:rFonts w:eastAsia="Times New Roman"/>
        </w:rPr>
      </w:pPr>
      <w:r>
        <w:rPr>
          <w:rFonts w:eastAsia="Times New Roman"/>
          <w:color w:val="000000"/>
          <w:sz w:val="20"/>
          <w:szCs w:val="20"/>
        </w:rPr>
        <w:t xml:space="preserve">As of December 31, 2022, the ownership structure of ABLP, including AB Units outstanding as well as the general partner’s 1% interest, was as follows: </w:t>
      </w:r>
    </w:p>
    <w:p w:rsidR="00000000" w:rsidRDefault="00E54EC0">
      <w:pPr>
        <w:jc w:val="center"/>
        <w:divId w:val="394355779"/>
        <w:rPr>
          <w:rFonts w:eastAsia="Times New Roman"/>
        </w:rPr>
      </w:pPr>
      <w:r>
        <w:rPr>
          <w:rFonts w:eastAsia="Times New Roman"/>
          <w:color w:val="000000"/>
          <w:sz w:val="20"/>
          <w:szCs w:val="20"/>
        </w:rPr>
        <w:t>104</w:t>
      </w:r>
    </w:p>
    <w:p w:rsidR="00000000" w:rsidRDefault="00E54EC0">
      <w:pPr>
        <w:rPr>
          <w:rFonts w:eastAsia="Times New Roman"/>
        </w:rPr>
      </w:pPr>
      <w:r>
        <w:rPr>
          <w:rFonts w:eastAsia="Times New Roman"/>
        </w:rPr>
        <w:pict>
          <v:rect id="_x0000_i1142" style="width:0;height:1.5pt" o:hralign="center" o:hrstd="t" o:hr="t" fillcolor="#a0a0a0" stroked="f"/>
        </w:pict>
      </w:r>
    </w:p>
    <w:p w:rsidR="00000000" w:rsidRDefault="00E54EC0">
      <w:pPr>
        <w:divId w:val="20707667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34547084"/>
        </w:trPr>
        <w:tc>
          <w:tcPr>
            <w:tcW w:w="50" w:type="pct"/>
            <w:vAlign w:val="center"/>
            <w:hideMark/>
          </w:tcPr>
          <w:p w:rsidR="00000000" w:rsidRDefault="00E54EC0">
            <w:pPr>
              <w:rPr>
                <w:rFonts w:eastAsia="Times New Roman"/>
              </w:rPr>
            </w:pPr>
          </w:p>
        </w:tc>
        <w:tc>
          <w:tcPr>
            <w:tcW w:w="421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454708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Percentage Ownership</w:t>
            </w:r>
          </w:p>
        </w:tc>
      </w:tr>
      <w:tr w:rsidR="00000000">
        <w:trPr>
          <w:divId w:val="3454708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3454708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3454708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3454708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bl>
    <w:p w:rsidR="00000000" w:rsidRDefault="00E54EC0">
      <w:pPr>
        <w:ind w:firstLine="360"/>
        <w:divId w:val="100610671"/>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61% economic interest in AB as of December 31, 2022. The issuance of AB Units relating to the CarVal acquisiti</w:t>
      </w:r>
      <w:r>
        <w:rPr>
          <w:rFonts w:eastAsia="Times New Roman"/>
          <w:color w:val="000000"/>
          <w:sz w:val="20"/>
          <w:szCs w:val="20"/>
        </w:rPr>
        <w:t>on is not expected to have a significant impact on the Company’s cash flows.</w:t>
      </w:r>
    </w:p>
    <w:p w:rsidR="00000000" w:rsidRDefault="00E54EC0">
      <w:pPr>
        <w:divId w:val="1413969666"/>
        <w:rPr>
          <w:rFonts w:eastAsia="Times New Roman"/>
        </w:rPr>
      </w:pPr>
      <w:r>
        <w:rPr>
          <w:rFonts w:eastAsia="Times New Roman"/>
          <w:i/>
          <w:iCs/>
          <w:color w:val="000000"/>
          <w:sz w:val="20"/>
          <w:szCs w:val="20"/>
          <w:u w:val="single"/>
        </w:rPr>
        <w:t xml:space="preserve">Holdings Credit Facilities </w:t>
      </w:r>
    </w:p>
    <w:p w:rsidR="00000000" w:rsidRDefault="00E54EC0">
      <w:pPr>
        <w:ind w:firstLine="360"/>
        <w:divId w:val="684552109"/>
        <w:rPr>
          <w:rFonts w:eastAsia="Times New Roman"/>
        </w:rPr>
      </w:pPr>
      <w:r>
        <w:rPr>
          <w:rFonts w:eastAsia="Times New Roman"/>
          <w:color w:val="000000"/>
          <w:sz w:val="20"/>
          <w:szCs w:val="20"/>
        </w:rPr>
        <w:t>On June 24, 2021, Holdings entered into the Amended and Restated Revolving Credit Agreement with respect to a five-year senior unsecured revolving credit facility (the “Credit Facility”), which lowered the facility amount to $1.5 billion and extended the m</w:t>
      </w:r>
      <w:r>
        <w:rPr>
          <w:rFonts w:eastAsia="Times New Roman"/>
          <w:color w:val="000000"/>
          <w:sz w:val="20"/>
          <w:szCs w:val="20"/>
        </w:rPr>
        <w:t>aturity date to June 24, 2026, among other changes. The Amended and Restated Revolving Credit Agreement amends the Revolving Credit Agreement entered into by Holdings on February 16, 2018, as amended on March 22, 2021.</w:t>
      </w:r>
    </w:p>
    <w:p w:rsidR="00000000" w:rsidRDefault="00E54EC0">
      <w:pPr>
        <w:ind w:firstLine="360"/>
        <w:divId w:val="1828547752"/>
        <w:rPr>
          <w:rFonts w:eastAsia="Times New Roman"/>
        </w:rPr>
      </w:pPr>
      <w:r>
        <w:rPr>
          <w:rFonts w:eastAsia="Times New Roman"/>
          <w:color w:val="000000"/>
          <w:sz w:val="20"/>
          <w:szCs w:val="20"/>
        </w:rPr>
        <w:t>The Credit Facility may provide signi</w:t>
      </w:r>
      <w:r>
        <w:rPr>
          <w:rFonts w:eastAsia="Times New Roman"/>
          <w:color w:val="000000"/>
          <w:sz w:val="20"/>
          <w:szCs w:val="20"/>
        </w:rPr>
        <w:t>ficant support to our liquidity position when alternative sources of credit are limited. In addition to the Credit Facility, we have letter of credit facilities with an aggregate principal amount of approximately $1.9 billion (the “LOC Facilities”), primar</w:t>
      </w:r>
      <w:r>
        <w:rPr>
          <w:rFonts w:eastAsia="Times New Roman"/>
          <w:color w:val="000000"/>
          <w:sz w:val="20"/>
          <w:szCs w:val="20"/>
        </w:rPr>
        <w:t>ily to be used to support our life insurance business reinsured to EQ AZ Life Re in April 2018. In June 2021, Holdings entered into amendments with each of the issuers of its bilateral letter of credit facilities to effect changes similar to those effected</w:t>
      </w:r>
      <w:r>
        <w:rPr>
          <w:rFonts w:eastAsia="Times New Roman"/>
          <w:color w:val="000000"/>
          <w:sz w:val="20"/>
          <w:szCs w:val="20"/>
        </w:rPr>
        <w:t xml:space="preserve"> in the Amended and Restated Revolving Credit Agreement. The respective facility limits of the bilateral letter of credit facilities remained unchanged.</w:t>
      </w:r>
    </w:p>
    <w:p w:rsidR="00000000" w:rsidRDefault="00E54EC0">
      <w:pPr>
        <w:ind w:firstLine="360"/>
        <w:divId w:val="28378995"/>
        <w:rPr>
          <w:rFonts w:eastAsia="Times New Roman"/>
        </w:rPr>
      </w:pPr>
      <w:r>
        <w:rPr>
          <w:rFonts w:eastAsia="Times New Roman"/>
          <w:color w:val="000000"/>
          <w:sz w:val="20"/>
          <w:szCs w:val="20"/>
        </w:rPr>
        <w:t>The Credit Facility and LOC Facilities contain certain administrative, reporting, legal and financial c</w:t>
      </w:r>
      <w:r>
        <w:rPr>
          <w:rFonts w:eastAsia="Times New Roman"/>
          <w:color w:val="000000"/>
          <w:sz w:val="20"/>
          <w:szCs w:val="20"/>
        </w:rPr>
        <w:t>ovenants, including requirements to maintain a specified minimum consolidated net worth and to maintain a ratio of indebtedness to total capitalization not in excess of a specified percentage, and limitations on the dollar amount of indebtedness that may b</w:t>
      </w:r>
      <w:r>
        <w:rPr>
          <w:rFonts w:eastAsia="Times New Roman"/>
          <w:color w:val="000000"/>
          <w:sz w:val="20"/>
          <w:szCs w:val="20"/>
        </w:rPr>
        <w:t>e incurred by our subsidiaries and the dollar amount of secured indebtedness that may be incurred by us, which could restrict our operations and use of funds. The right to borrow funds under the Credit Facility and LOC Facilities is subject to the fulfillm</w:t>
      </w:r>
      <w:r>
        <w:rPr>
          <w:rFonts w:eastAsia="Times New Roman"/>
          <w:color w:val="000000"/>
          <w:sz w:val="20"/>
          <w:szCs w:val="20"/>
        </w:rPr>
        <w:t>ent of certain conditions, including compliance with all covenants, and the ability to borrow thereunder is also subject to the continued ability of the lenders that are or will be parties to the facilities to provide funds. As of December 31, 2022, we wer</w:t>
      </w:r>
      <w:r>
        <w:rPr>
          <w:rFonts w:eastAsia="Times New Roman"/>
          <w:color w:val="000000"/>
          <w:sz w:val="20"/>
          <w:szCs w:val="20"/>
        </w:rPr>
        <w:t>e in compliance with these covenants.</w:t>
      </w:r>
    </w:p>
    <w:p w:rsidR="00000000" w:rsidRDefault="00E54EC0">
      <w:pPr>
        <w:divId w:val="1327825942"/>
        <w:rPr>
          <w:rFonts w:eastAsia="Times New Roman"/>
        </w:rPr>
      </w:pPr>
      <w:r>
        <w:rPr>
          <w:rFonts w:eastAsia="Times New Roman"/>
          <w:i/>
          <w:iCs/>
          <w:color w:val="000000"/>
          <w:sz w:val="20"/>
          <w:szCs w:val="20"/>
          <w:u w:val="single"/>
        </w:rPr>
        <w:t xml:space="preserve">Contingent Funding Arrangements </w:t>
      </w:r>
    </w:p>
    <w:p w:rsidR="00000000" w:rsidRDefault="00E54EC0">
      <w:pPr>
        <w:ind w:firstLine="360"/>
        <w:divId w:val="1107193543"/>
        <w:rPr>
          <w:rFonts w:eastAsia="Times New Roman"/>
        </w:rPr>
      </w:pPr>
      <w:r>
        <w:rPr>
          <w:rFonts w:eastAsia="Times New Roman"/>
          <w:color w:val="000000"/>
          <w:sz w:val="20"/>
          <w:szCs w:val="20"/>
        </w:rPr>
        <w:t xml:space="preserve">For information regarding activity pertaining to our contingent funding arrangements and other off-balance sheet commitments, see “Commitments and Contingent Liabilities” in Note 17 of </w:t>
      </w:r>
      <w:r>
        <w:rPr>
          <w:rFonts w:eastAsia="Times New Roman"/>
          <w:color w:val="000000"/>
          <w:sz w:val="20"/>
          <w:szCs w:val="20"/>
        </w:rPr>
        <w:t>the Notes to the Consolidated Financial Statements in this Form 10-.</w:t>
      </w:r>
    </w:p>
    <w:p w:rsidR="00000000" w:rsidRDefault="00E54EC0">
      <w:pPr>
        <w:divId w:val="1789397942"/>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E54EC0">
      <w:pPr>
        <w:ind w:firstLine="360"/>
        <w:divId w:val="1515072160"/>
        <w:rPr>
          <w:rFonts w:eastAsia="Times New Roman"/>
        </w:rPr>
      </w:pPr>
      <w:r>
        <w:rPr>
          <w:rFonts w:eastAsia="Times New Roman"/>
          <w:color w:val="000000"/>
          <w:sz w:val="20"/>
          <w:szCs w:val="20"/>
        </w:rPr>
        <w:t>For information pertaining to our Series A Preferred Stock, Series B Preferred Stock and Series C Preferre</w:t>
      </w:r>
      <w:r>
        <w:rPr>
          <w:rFonts w:eastAsia="Times New Roman"/>
          <w:color w:val="000000"/>
          <w:sz w:val="20"/>
          <w:szCs w:val="20"/>
        </w:rPr>
        <w:t>d Stock see Note 20 of the Notes to the Consolidated Financial Statements.</w:t>
      </w:r>
    </w:p>
    <w:p w:rsidR="00000000" w:rsidRDefault="00E54EC0">
      <w:pPr>
        <w:jc w:val="both"/>
        <w:divId w:val="1251158029"/>
        <w:rPr>
          <w:rFonts w:eastAsia="Times New Roman"/>
        </w:rPr>
      </w:pPr>
      <w:r>
        <w:rPr>
          <w:rFonts w:eastAsia="Times New Roman"/>
          <w:b/>
          <w:bCs/>
          <w:i/>
          <w:iCs/>
          <w:color w:val="000000"/>
          <w:sz w:val="20"/>
          <w:szCs w:val="20"/>
        </w:rPr>
        <w:t>Capital Position of Holdings</w:t>
      </w:r>
    </w:p>
    <w:p w:rsidR="00000000" w:rsidRDefault="00E54EC0">
      <w:pPr>
        <w:ind w:firstLine="360"/>
        <w:divId w:val="492182405"/>
        <w:rPr>
          <w:rFonts w:eastAsia="Times New Roman"/>
        </w:rPr>
      </w:pPr>
      <w:r>
        <w:rPr>
          <w:rFonts w:eastAsia="Times New Roman"/>
          <w:color w:val="000000"/>
          <w:sz w:val="20"/>
          <w:szCs w:val="20"/>
        </w:rPr>
        <w:t>We manage our capital position to maintain financial strength and credit ratings that facilitate the distribution of our products and provide our desire</w:t>
      </w:r>
      <w:r>
        <w:rPr>
          <w:rFonts w:eastAsia="Times New Roman"/>
          <w:color w:val="000000"/>
          <w:sz w:val="20"/>
          <w:szCs w:val="20"/>
        </w:rPr>
        <w:t>d level of access to the bank and capital markets. Our capital position is supported by the ability of our subsidiaries to generate cash flows and distribute cash to us and our ability to effectively manage the risk of our businesses and to borrow funds an</w:t>
      </w:r>
      <w:r>
        <w:rPr>
          <w:rFonts w:eastAsia="Times New Roman"/>
          <w:color w:val="000000"/>
          <w:sz w:val="20"/>
          <w:szCs w:val="20"/>
        </w:rPr>
        <w:t>d raise capital to meet our operating and growth needs.</w:t>
      </w:r>
    </w:p>
    <w:p w:rsidR="00000000" w:rsidRDefault="00E54EC0">
      <w:pPr>
        <w:ind w:firstLine="360"/>
        <w:divId w:val="1515266858"/>
        <w:rPr>
          <w:rFonts w:eastAsia="Times New Roman"/>
        </w:rPr>
      </w:pPr>
      <w:r>
        <w:rPr>
          <w:rFonts w:eastAsia="Times New Roman"/>
          <w:color w:val="000000"/>
          <w:sz w:val="20"/>
          <w:szCs w:val="20"/>
        </w:rPr>
        <w:t>Our Board and senior management are directly involved in the development of our capital management policies. Accordingly, capital actions, including proposed changes to the annual capital plan, capita</w:t>
      </w:r>
      <w:r>
        <w:rPr>
          <w:rFonts w:eastAsia="Times New Roman"/>
          <w:color w:val="000000"/>
          <w:sz w:val="20"/>
          <w:szCs w:val="20"/>
        </w:rPr>
        <w:t>l targets and capital policies, are approved by the Board.</w:t>
      </w:r>
    </w:p>
    <w:p w:rsidR="00000000" w:rsidRDefault="00E54EC0">
      <w:pPr>
        <w:jc w:val="center"/>
        <w:divId w:val="289477792"/>
        <w:rPr>
          <w:rFonts w:eastAsia="Times New Roman"/>
        </w:rPr>
      </w:pPr>
      <w:r>
        <w:rPr>
          <w:rFonts w:eastAsia="Times New Roman"/>
          <w:color w:val="000000"/>
          <w:sz w:val="20"/>
          <w:szCs w:val="20"/>
        </w:rPr>
        <w:t>105</w:t>
      </w:r>
    </w:p>
    <w:p w:rsidR="00000000" w:rsidRDefault="00E54EC0">
      <w:pPr>
        <w:rPr>
          <w:rFonts w:eastAsia="Times New Roman"/>
        </w:rPr>
      </w:pPr>
      <w:r>
        <w:rPr>
          <w:rFonts w:eastAsia="Times New Roman"/>
        </w:rPr>
        <w:pict>
          <v:rect id="_x0000_i1143" style="width:0;height:1.5pt" o:hralign="center" o:hrstd="t" o:hr="t" fillcolor="#a0a0a0" stroked="f"/>
        </w:pict>
      </w:r>
    </w:p>
    <w:p w:rsidR="00000000" w:rsidRDefault="00E54EC0">
      <w:pPr>
        <w:divId w:val="1471166715"/>
        <w:rPr>
          <w:rFonts w:eastAsia="Times New Roman"/>
        </w:rPr>
      </w:pPr>
    </w:p>
    <w:p w:rsidR="00000000" w:rsidRDefault="00E54EC0">
      <w:pPr>
        <w:divId w:val="375277115"/>
        <w:rPr>
          <w:rFonts w:eastAsia="Times New Roman"/>
        </w:rPr>
      </w:pPr>
      <w:r>
        <w:rPr>
          <w:rFonts w:eastAsia="Times New Roman"/>
          <w:i/>
          <w:iCs/>
          <w:color w:val="000000"/>
          <w:sz w:val="20"/>
          <w:szCs w:val="20"/>
          <w:u w:val="single"/>
        </w:rPr>
        <w:t>Dividends Declared and Paid</w:t>
      </w:r>
    </w:p>
    <w:p w:rsidR="00000000" w:rsidRDefault="00E54EC0">
      <w:pPr>
        <w:ind w:firstLine="360"/>
        <w:divId w:val="1605654494"/>
        <w:rPr>
          <w:rFonts w:eastAsia="Times New Roman"/>
        </w:rPr>
      </w:pPr>
      <w:r>
        <w:rPr>
          <w:rFonts w:eastAsia="Times New Roman"/>
          <w:color w:val="000000"/>
          <w:sz w:val="20"/>
          <w:szCs w:val="20"/>
        </w:rPr>
        <w:t>The declaration and payment of future dividends is subject to the discretion of our Board of Directors and depends on our fina</w:t>
      </w:r>
      <w:r>
        <w:rPr>
          <w:rFonts w:eastAsia="Times New Roman"/>
          <w:color w:val="000000"/>
          <w:sz w:val="20"/>
          <w:szCs w:val="20"/>
        </w:rPr>
        <w:t>ncial condition, results of operations, cash requirements, future prospects, regulatory restrictions on the payment of dividends by Holdings’ insurance subsidiaries and other factors deemed relevant by the Board. </w:t>
      </w:r>
    </w:p>
    <w:p w:rsidR="00000000" w:rsidRDefault="00E54EC0">
      <w:pPr>
        <w:ind w:firstLine="360"/>
        <w:divId w:val="2083143000"/>
        <w:rPr>
          <w:rFonts w:eastAsia="Times New Roman"/>
        </w:rPr>
      </w:pPr>
      <w:r>
        <w:rPr>
          <w:rFonts w:eastAsia="Times New Roman"/>
          <w:color w:val="000000"/>
          <w:sz w:val="20"/>
          <w:szCs w:val="20"/>
        </w:rPr>
        <w:t>The payment of dividends will be substanti</w:t>
      </w:r>
      <w:r>
        <w:rPr>
          <w:rFonts w:eastAsia="Times New Roman"/>
          <w:color w:val="000000"/>
          <w:sz w:val="20"/>
          <w:szCs w:val="20"/>
        </w:rPr>
        <w:t>ally restricted in the event that we do not declare and pay (or set aside) dividends on the Series A , Series B and Series C Preferred Stock for the last proceeding dividend period. For additional information on our preferred stock, see “—Series A Preferre</w:t>
      </w:r>
      <w:r>
        <w:rPr>
          <w:rFonts w:eastAsia="Times New Roman"/>
          <w:color w:val="000000"/>
          <w:sz w:val="20"/>
          <w:szCs w:val="20"/>
        </w:rPr>
        <w:t>d Stock, Series B Preferred Stock and Series C Preferred Stock”.</w:t>
      </w:r>
    </w:p>
    <w:p w:rsidR="00000000" w:rsidRDefault="00E54EC0">
      <w:pPr>
        <w:ind w:firstLine="360"/>
        <w:divId w:val="1858733219"/>
        <w:rPr>
          <w:rFonts w:eastAsia="Times New Roman"/>
        </w:rPr>
      </w:pPr>
      <w:r>
        <w:rPr>
          <w:rFonts w:eastAsia="Times New Roman"/>
          <w:color w:val="000000"/>
          <w:sz w:val="20"/>
          <w:szCs w:val="20"/>
        </w:rPr>
        <w:t xml:space="preserve">For information regarding activity pertaining to common and preferred dividends declared and paid, see Note 20 of the Notes to the Consolidated Financial Statements. </w:t>
      </w:r>
    </w:p>
    <w:p w:rsidR="00000000" w:rsidRDefault="00E54EC0">
      <w:pPr>
        <w:divId w:val="1532570720"/>
        <w:rPr>
          <w:rFonts w:eastAsia="Times New Roman"/>
        </w:rPr>
      </w:pPr>
      <w:r>
        <w:rPr>
          <w:rFonts w:eastAsia="Times New Roman"/>
          <w:i/>
          <w:iCs/>
          <w:color w:val="000000"/>
          <w:sz w:val="20"/>
          <w:szCs w:val="20"/>
          <w:u w:val="single"/>
        </w:rPr>
        <w:t>Share Repurchase Program</w:t>
      </w:r>
      <w:r>
        <w:rPr>
          <w:rFonts w:eastAsia="Times New Roman"/>
          <w:i/>
          <w:iCs/>
          <w:color w:val="000000"/>
          <w:sz w:val="20"/>
          <w:szCs w:val="20"/>
          <w:u w:val="single"/>
        </w:rPr>
        <w:t>s</w:t>
      </w:r>
    </w:p>
    <w:p w:rsidR="00000000" w:rsidRDefault="00E54EC0">
      <w:pPr>
        <w:ind w:firstLine="360"/>
        <w:divId w:val="1785617696"/>
        <w:rPr>
          <w:rFonts w:eastAsia="Times New Roman"/>
        </w:rPr>
      </w:pPr>
      <w:r>
        <w:rPr>
          <w:rFonts w:eastAsia="Times New Roman"/>
          <w:color w:val="000000"/>
          <w:sz w:val="20"/>
          <w:szCs w:val="20"/>
        </w:rPr>
        <w:t>For information regarding activity pertaining to share repurchase programs, see Note 20 of the Notes to the Consolidated Financial Statements.</w:t>
      </w:r>
    </w:p>
    <w:p w:rsidR="00000000" w:rsidRDefault="00E54EC0">
      <w:pPr>
        <w:jc w:val="both"/>
        <w:divId w:val="1006907531"/>
        <w:rPr>
          <w:rFonts w:eastAsia="Times New Roman"/>
        </w:rPr>
      </w:pPr>
      <w:r>
        <w:rPr>
          <w:rFonts w:eastAsia="Times New Roman"/>
          <w:b/>
          <w:bCs/>
          <w:i/>
          <w:iCs/>
          <w:color w:val="000000"/>
          <w:sz w:val="20"/>
          <w:szCs w:val="20"/>
        </w:rPr>
        <w:t>Sources and Uses of Liquidity of Our Insurance Subsidiaries</w:t>
      </w:r>
    </w:p>
    <w:p w:rsidR="00000000" w:rsidRDefault="00E54EC0">
      <w:pPr>
        <w:ind w:firstLine="360"/>
        <w:divId w:val="1302036092"/>
        <w:rPr>
          <w:rFonts w:eastAsia="Times New Roman"/>
        </w:rPr>
      </w:pPr>
      <w:r>
        <w:rPr>
          <w:rFonts w:eastAsia="Times New Roman"/>
          <w:color w:val="000000"/>
          <w:sz w:val="20"/>
          <w:szCs w:val="20"/>
        </w:rPr>
        <w:t>The principal sources of liquidity for our insuranc</w:t>
      </w:r>
      <w:r>
        <w:rPr>
          <w:rFonts w:eastAsia="Times New Roman"/>
          <w:color w:val="000000"/>
          <w:sz w:val="20"/>
          <w:szCs w:val="20"/>
        </w:rPr>
        <w:t>e subsidiaries are premiums, investment and fee income, deposits associated with our insurance and annuity operations, cash and invested assets, as well as internal borrowings. The principal uses of that liquidity include benefits, claims and dividends pai</w:t>
      </w:r>
      <w:r>
        <w:rPr>
          <w:rFonts w:eastAsia="Times New Roman"/>
          <w:color w:val="000000"/>
          <w:sz w:val="20"/>
          <w:szCs w:val="20"/>
        </w:rPr>
        <w:t>d to policyholders and payments to policyholders in connection with surrenders and withdrawals. Other uses of liquidity include commissions, general and administrative expenses, purchases of investments, the payment of dividends to Holdings and hedging act</w:t>
      </w:r>
      <w:r>
        <w:rPr>
          <w:rFonts w:eastAsia="Times New Roman"/>
          <w:color w:val="000000"/>
          <w:sz w:val="20"/>
          <w:szCs w:val="20"/>
        </w:rPr>
        <w:t>ivity. Certain of our insurance subsidiaries’ principal sources and uses of liquidity are described in the paragraphs that follow.</w:t>
      </w:r>
    </w:p>
    <w:p w:rsidR="00000000" w:rsidRDefault="00E54EC0">
      <w:pPr>
        <w:ind w:firstLine="360"/>
        <w:divId w:val="2106227381"/>
        <w:rPr>
          <w:rFonts w:eastAsia="Times New Roman"/>
        </w:rPr>
      </w:pPr>
      <w:r>
        <w:rPr>
          <w:rFonts w:eastAsia="Times New Roman"/>
          <w:color w:val="000000"/>
          <w:sz w:val="20"/>
          <w:szCs w:val="20"/>
        </w:rPr>
        <w:t>We manage the liquidity of our insurance subsidiaries with the objective of ensuring that they can meet payment obligations l</w:t>
      </w:r>
      <w:r>
        <w:rPr>
          <w:rFonts w:eastAsia="Times New Roman"/>
          <w:color w:val="000000"/>
          <w:sz w:val="20"/>
          <w:szCs w:val="20"/>
        </w:rPr>
        <w:t>inked to our Individual Retirement, Group Retirement and Protection Solutions businesses and to their outstanding debt and derivative positions, including in our hedging programs, without support from Holdings. We employ an asset/liability management appro</w:t>
      </w:r>
      <w:r>
        <w:rPr>
          <w:rFonts w:eastAsia="Times New Roman"/>
          <w:color w:val="000000"/>
          <w:sz w:val="20"/>
          <w:szCs w:val="20"/>
        </w:rPr>
        <w:t>ach specific to the requirements of each of our insurance businesses. We measure liquidity against internally-developed benchmarks that consider the characteristics of our asset portfolio and the liabilities that it supports in both the short-term (the nex</w:t>
      </w:r>
      <w:r>
        <w:rPr>
          <w:rFonts w:eastAsia="Times New Roman"/>
          <w:color w:val="000000"/>
          <w:sz w:val="20"/>
          <w:szCs w:val="20"/>
        </w:rPr>
        <w:t>t 12 months) and long-term (beyond the next 12 months). We consider attributes of the various categories of our liquid assets (for example, type of asset and credit quality) in calculating internal liquidity indicators for our insurance and reinsurance ope</w:t>
      </w:r>
      <w:r>
        <w:rPr>
          <w:rFonts w:eastAsia="Times New Roman"/>
          <w:color w:val="000000"/>
          <w:sz w:val="20"/>
          <w:szCs w:val="20"/>
        </w:rPr>
        <w:t>rations. Our liquidity benchmarks are established for various stress scenarios and durations, including company-specific and market-wide events. The scenarios we use to evaluate the liquidity of our subsidiaries are defined to allow operating entities to o</w:t>
      </w:r>
      <w:r>
        <w:rPr>
          <w:rFonts w:eastAsia="Times New Roman"/>
          <w:color w:val="000000"/>
          <w:sz w:val="20"/>
          <w:szCs w:val="20"/>
        </w:rPr>
        <w:t xml:space="preserve">perate without support from Holdings. </w:t>
      </w:r>
    </w:p>
    <w:p w:rsidR="00000000" w:rsidRDefault="00E54EC0">
      <w:pPr>
        <w:divId w:val="426657659"/>
        <w:rPr>
          <w:rFonts w:eastAsia="Times New Roman"/>
        </w:rPr>
      </w:pPr>
      <w:r>
        <w:rPr>
          <w:rFonts w:eastAsia="Times New Roman"/>
          <w:i/>
          <w:iCs/>
          <w:color w:val="000000"/>
          <w:sz w:val="20"/>
          <w:szCs w:val="20"/>
          <w:u w:val="single"/>
        </w:rPr>
        <w:t>Liquid Assets</w:t>
      </w:r>
    </w:p>
    <w:p w:rsidR="00000000" w:rsidRDefault="00E54EC0">
      <w:pPr>
        <w:ind w:firstLine="360"/>
        <w:divId w:val="1396123061"/>
        <w:rPr>
          <w:rFonts w:eastAsia="Times New Roman"/>
        </w:rPr>
      </w:pPr>
      <w:r>
        <w:rPr>
          <w:rFonts w:eastAsia="Times New Roman"/>
          <w:color w:val="000000"/>
          <w:sz w:val="20"/>
          <w:szCs w:val="20"/>
        </w:rPr>
        <w:t xml:space="preserve">The investment portfolios of our insurance subsidiaries are a significant component of our overall liquidity. Liquid assets include cash and cash equivalents, short-term investments, U.S. Treasury fixed </w:t>
      </w:r>
      <w:r>
        <w:rPr>
          <w:rFonts w:eastAsia="Times New Roman"/>
          <w:color w:val="000000"/>
          <w:sz w:val="20"/>
          <w:szCs w:val="20"/>
        </w:rPr>
        <w:t>maturities, fixed maturities that are not designated as HTM and public equity securities. We believe that our business operations and the liquidity profile of our assets provide sufficient liquidity under reasonably foreseeable stress scenarios for each of</w:t>
      </w:r>
      <w:r>
        <w:rPr>
          <w:rFonts w:eastAsia="Times New Roman"/>
          <w:color w:val="000000"/>
          <w:sz w:val="20"/>
          <w:szCs w:val="20"/>
        </w:rPr>
        <w:t xml:space="preserve"> our insurance subsidiaries.</w:t>
      </w:r>
    </w:p>
    <w:p w:rsidR="00000000" w:rsidRDefault="00E54EC0">
      <w:pPr>
        <w:ind w:firstLine="360"/>
        <w:divId w:val="384181965"/>
        <w:rPr>
          <w:rFonts w:eastAsia="Times New Roman"/>
        </w:rPr>
      </w:pPr>
      <w:r>
        <w:rPr>
          <w:rFonts w:eastAsia="Times New Roman"/>
          <w:color w:val="000000"/>
          <w:sz w:val="20"/>
          <w:szCs w:val="20"/>
        </w:rPr>
        <w:t>See “—General Account Investment Portfolio” and Note 3 and Note 4 of the Notes to the Consolidated Financial Statements for a description of our retirement and protection businesses’ portfolio of liquid assets.</w:t>
      </w:r>
    </w:p>
    <w:p w:rsidR="00000000" w:rsidRDefault="00E54EC0">
      <w:pPr>
        <w:divId w:val="572855011"/>
        <w:rPr>
          <w:rFonts w:eastAsia="Times New Roman"/>
        </w:rPr>
      </w:pPr>
      <w:r>
        <w:rPr>
          <w:rFonts w:eastAsia="Times New Roman"/>
          <w:i/>
          <w:iCs/>
          <w:color w:val="000000"/>
          <w:sz w:val="20"/>
          <w:szCs w:val="20"/>
          <w:u w:val="single"/>
        </w:rPr>
        <w:t>Hedging Activiti</w:t>
      </w:r>
      <w:r>
        <w:rPr>
          <w:rFonts w:eastAsia="Times New Roman"/>
          <w:i/>
          <w:iCs/>
          <w:color w:val="000000"/>
          <w:sz w:val="20"/>
          <w:szCs w:val="20"/>
          <w:u w:val="single"/>
        </w:rPr>
        <w:t>es</w:t>
      </w:r>
    </w:p>
    <w:p w:rsidR="00000000" w:rsidRDefault="00E54EC0">
      <w:pPr>
        <w:ind w:firstLine="360"/>
        <w:divId w:val="681706597"/>
        <w:rPr>
          <w:rFonts w:eastAsia="Times New Roman"/>
        </w:rPr>
      </w:pPr>
      <w:r>
        <w:rPr>
          <w:rFonts w:eastAsia="Times New Roman"/>
          <w:color w:val="000000"/>
          <w:sz w:val="20"/>
          <w:szCs w:val="20"/>
        </w:rPr>
        <w:t>Because the future claims exposure on our insurance products, and in particular our variable annuity products with GMxB features, is sensitive to movements in the equity markets and interest rates, we have in place various hedging and reinsurance progra</w:t>
      </w:r>
      <w:r>
        <w:rPr>
          <w:rFonts w:eastAsia="Times New Roman"/>
          <w:color w:val="000000"/>
          <w:sz w:val="20"/>
          <w:szCs w:val="20"/>
        </w:rPr>
        <w:t>ms that are designed to mitigate the economic risks of movements in the equity markets and interest rates. We use derivatives as part of our overall asset/liability risk management program primarily to reduce exposures to equity market and interest rate ri</w:t>
      </w:r>
      <w:r>
        <w:rPr>
          <w:rFonts w:eastAsia="Times New Roman"/>
          <w:color w:val="000000"/>
          <w:sz w:val="20"/>
          <w:szCs w:val="20"/>
        </w:rPr>
        <w:t>sks. In addition, we use credit derivatives to replicate exposure to individual securities or pools of securities as a means of achieving credit exposure similar to bonds of the underlying issuer(s) more efficiently. The derivative contracts are an integra</w:t>
      </w:r>
      <w:r>
        <w:rPr>
          <w:rFonts w:eastAsia="Times New Roman"/>
          <w:color w:val="000000"/>
          <w:sz w:val="20"/>
          <w:szCs w:val="20"/>
        </w:rPr>
        <w:t xml:space="preserve">l part of our risk management program, especially for the management of our variable annuities program, and are collectively managed to reduce the economic impact of unfavorable movements in capital markets. These derivative transactions require liquidity </w:t>
      </w:r>
      <w:r>
        <w:rPr>
          <w:rFonts w:eastAsia="Times New Roman"/>
          <w:color w:val="000000"/>
          <w:sz w:val="20"/>
          <w:szCs w:val="20"/>
        </w:rPr>
        <w:t xml:space="preserve">to meet payment obligations such as payments for periodic settlements, purchases, maturities and terminations as well as liquid assets pledged as collateral related to any decline in the net estimated fair value. Collateral calls </w:t>
      </w:r>
    </w:p>
    <w:p w:rsidR="00000000" w:rsidRDefault="00E54EC0">
      <w:pPr>
        <w:jc w:val="center"/>
        <w:divId w:val="751465679"/>
        <w:rPr>
          <w:rFonts w:eastAsia="Times New Roman"/>
        </w:rPr>
      </w:pPr>
      <w:r>
        <w:rPr>
          <w:rFonts w:eastAsia="Times New Roman"/>
          <w:color w:val="000000"/>
          <w:sz w:val="20"/>
          <w:szCs w:val="20"/>
        </w:rPr>
        <w:t>106</w:t>
      </w:r>
    </w:p>
    <w:p w:rsidR="00000000" w:rsidRDefault="00E54EC0">
      <w:pPr>
        <w:rPr>
          <w:rFonts w:eastAsia="Times New Roman"/>
        </w:rPr>
      </w:pPr>
      <w:r>
        <w:rPr>
          <w:rFonts w:eastAsia="Times New Roman"/>
        </w:rPr>
        <w:pict>
          <v:rect id="_x0000_i1144" style="width:0;height:1.5pt" o:hralign="center" o:hrstd="t" o:hr="t" fillcolor="#a0a0a0" stroked="f"/>
        </w:pict>
      </w:r>
    </w:p>
    <w:p w:rsidR="00000000" w:rsidRDefault="00E54EC0">
      <w:pPr>
        <w:divId w:val="1452632697"/>
        <w:rPr>
          <w:rFonts w:eastAsia="Times New Roman"/>
        </w:rPr>
      </w:pPr>
    </w:p>
    <w:p w:rsidR="00000000" w:rsidRDefault="00E54EC0">
      <w:pPr>
        <w:divId w:val="1657029430"/>
        <w:rPr>
          <w:rFonts w:eastAsia="Times New Roman"/>
        </w:rPr>
      </w:pPr>
      <w:r>
        <w:rPr>
          <w:rFonts w:eastAsia="Times New Roman"/>
          <w:color w:val="000000"/>
          <w:sz w:val="20"/>
          <w:szCs w:val="20"/>
        </w:rPr>
        <w:t>represent one of our biggest drivers for liquidity needs for our insurance subsidiaries. Our derivatives contracts reside primarily within Equitable Financial, which has a significantly large investment portfolio.</w:t>
      </w:r>
    </w:p>
    <w:p w:rsidR="00000000" w:rsidRDefault="00E54EC0">
      <w:pPr>
        <w:divId w:val="2139294462"/>
        <w:rPr>
          <w:rFonts w:eastAsia="Times New Roman"/>
        </w:rPr>
      </w:pPr>
      <w:r>
        <w:rPr>
          <w:rFonts w:eastAsia="Times New Roman"/>
          <w:i/>
          <w:iCs/>
          <w:color w:val="000000"/>
          <w:sz w:val="20"/>
          <w:szCs w:val="20"/>
          <w:u w:val="single"/>
        </w:rPr>
        <w:t>FHLB</w:t>
      </w:r>
      <w:r>
        <w:rPr>
          <w:rFonts w:eastAsia="Times New Roman"/>
          <w:i/>
          <w:iCs/>
          <w:color w:val="000000"/>
          <w:sz w:val="20"/>
          <w:szCs w:val="20"/>
          <w:u w:val="single"/>
        </w:rPr>
        <w:t xml:space="preserve"> Membership</w:t>
      </w:r>
      <w:r>
        <w:rPr>
          <w:rFonts w:eastAsia="Times New Roman"/>
          <w:b/>
          <w:bCs/>
          <w:i/>
          <w:iCs/>
          <w:color w:val="000000"/>
          <w:sz w:val="20"/>
          <w:szCs w:val="20"/>
        </w:rPr>
        <w:t xml:space="preserve"> </w:t>
      </w:r>
    </w:p>
    <w:p w:rsidR="00000000" w:rsidRDefault="00E54EC0">
      <w:pPr>
        <w:ind w:firstLine="360"/>
        <w:divId w:val="734357248"/>
        <w:rPr>
          <w:rFonts w:eastAsia="Times New Roman"/>
        </w:rPr>
      </w:pPr>
      <w:r>
        <w:rPr>
          <w:rFonts w:eastAsia="Times New Roman"/>
          <w:color w:val="000000"/>
          <w:sz w:val="20"/>
          <w:szCs w:val="20"/>
        </w:rPr>
        <w:t xml:space="preserve">Equitable Financial and Equitable America are members of the FHLB, which provides access to collateralized borrowings and other FHLB products. </w:t>
      </w:r>
    </w:p>
    <w:p w:rsidR="00000000" w:rsidRDefault="00E54EC0">
      <w:pPr>
        <w:ind w:firstLine="360"/>
        <w:divId w:val="513812273"/>
        <w:rPr>
          <w:rFonts w:eastAsia="Times New Roman"/>
        </w:rPr>
      </w:pPr>
      <w:r>
        <w:rPr>
          <w:rFonts w:eastAsia="Times New Roman"/>
          <w:color w:val="000000"/>
          <w:sz w:val="20"/>
          <w:szCs w:val="20"/>
        </w:rPr>
        <w:t>See Note 17 of the Notes to the Consolidated Financial Statements for further description of our FH</w:t>
      </w:r>
      <w:r>
        <w:rPr>
          <w:rFonts w:eastAsia="Times New Roman"/>
          <w:color w:val="000000"/>
          <w:sz w:val="20"/>
          <w:szCs w:val="20"/>
        </w:rPr>
        <w:t xml:space="preserve">LB program. </w:t>
      </w:r>
    </w:p>
    <w:p w:rsidR="00000000" w:rsidRDefault="00E54EC0">
      <w:pPr>
        <w:divId w:val="273055453"/>
        <w:rPr>
          <w:rFonts w:eastAsia="Times New Roman"/>
        </w:rPr>
      </w:pPr>
      <w:r>
        <w:rPr>
          <w:rFonts w:eastAsia="Times New Roman"/>
          <w:i/>
          <w:iCs/>
          <w:color w:val="000000"/>
          <w:sz w:val="20"/>
          <w:szCs w:val="20"/>
          <w:u w:val="single"/>
        </w:rPr>
        <w:t>FABN</w:t>
      </w:r>
      <w:r>
        <w:rPr>
          <w:rFonts w:eastAsia="Times New Roman"/>
          <w:b/>
          <w:bCs/>
          <w:i/>
          <w:iCs/>
          <w:color w:val="000000"/>
          <w:sz w:val="20"/>
          <w:szCs w:val="20"/>
        </w:rPr>
        <w:t xml:space="preserve"> </w:t>
      </w:r>
    </w:p>
    <w:p w:rsidR="00000000" w:rsidRDefault="00E54EC0">
      <w:pPr>
        <w:ind w:firstLine="360"/>
        <w:divId w:val="95374323"/>
        <w:rPr>
          <w:rFonts w:eastAsia="Times New Roman"/>
        </w:rPr>
      </w:pPr>
      <w:r>
        <w:rPr>
          <w:rFonts w:eastAsia="Times New Roman"/>
          <w:color w:val="000000"/>
          <w:sz w:val="20"/>
          <w:szCs w:val="20"/>
        </w:rPr>
        <w:t>Under the FABN program, Equitable Financial may issue funding agreements in U.S. dollar or other foreign currencies.</w:t>
      </w:r>
    </w:p>
    <w:p w:rsidR="00000000" w:rsidRDefault="00E54EC0">
      <w:pPr>
        <w:ind w:firstLine="360"/>
        <w:divId w:val="1079717897"/>
        <w:rPr>
          <w:rFonts w:eastAsia="Times New Roman"/>
        </w:rPr>
      </w:pPr>
      <w:r>
        <w:rPr>
          <w:rFonts w:eastAsia="Times New Roman"/>
          <w:color w:val="000000"/>
          <w:sz w:val="20"/>
          <w:szCs w:val="20"/>
        </w:rPr>
        <w:t xml:space="preserve">See Note 17 of the Notes to the Consolidated Financial Statements for further description of our FABN program. </w:t>
      </w:r>
    </w:p>
    <w:p w:rsidR="00000000" w:rsidRDefault="00E54EC0">
      <w:pPr>
        <w:divId w:val="1412046788"/>
        <w:rPr>
          <w:rFonts w:eastAsia="Times New Roman"/>
        </w:rPr>
      </w:pPr>
      <w:r>
        <w:rPr>
          <w:rFonts w:eastAsia="Times New Roman"/>
          <w:b/>
          <w:bCs/>
          <w:color w:val="000000"/>
          <w:sz w:val="20"/>
          <w:szCs w:val="20"/>
        </w:rPr>
        <w:t xml:space="preserve">Sources </w:t>
      </w:r>
      <w:r>
        <w:rPr>
          <w:rFonts w:eastAsia="Times New Roman"/>
          <w:b/>
          <w:bCs/>
          <w:color w:val="000000"/>
          <w:sz w:val="20"/>
          <w:szCs w:val="20"/>
        </w:rPr>
        <w:t>and Uses of Liquidity of our Investment Management and Research Segment</w:t>
      </w:r>
    </w:p>
    <w:p w:rsidR="00000000" w:rsidRDefault="00E54EC0">
      <w:pPr>
        <w:ind w:firstLine="360"/>
        <w:divId w:val="737674870"/>
        <w:rPr>
          <w:rFonts w:eastAsia="Times New Roman"/>
        </w:rPr>
      </w:pPr>
      <w:r>
        <w:rPr>
          <w:rFonts w:eastAsia="Times New Roman"/>
          <w:color w:val="000000"/>
          <w:sz w:val="20"/>
          <w:szCs w:val="20"/>
        </w:rPr>
        <w:t>The principal sources of liquidity for our Investment Management and Research business include investment management fees and borrowings under its credit facilities and commercial paper program. The principal uses of liquidity include general and administr</w:t>
      </w:r>
      <w:r>
        <w:rPr>
          <w:rFonts w:eastAsia="Times New Roman"/>
          <w:color w:val="000000"/>
          <w:sz w:val="20"/>
          <w:szCs w:val="20"/>
        </w:rPr>
        <w:t>ative expenses, business financing and distributions to holders of AB Units and AB Holding Units plus interest and debt service. The primary liquidity risk for our fee-based Investment Management and Research business is its profitability, which is impacte</w:t>
      </w:r>
      <w:r>
        <w:rPr>
          <w:rFonts w:eastAsia="Times New Roman"/>
          <w:color w:val="000000"/>
          <w:sz w:val="20"/>
          <w:szCs w:val="20"/>
        </w:rPr>
        <w:t>d by market conditions and our investment management performance.</w:t>
      </w:r>
    </w:p>
    <w:p w:rsidR="00000000" w:rsidRDefault="00E54EC0">
      <w:pPr>
        <w:jc w:val="both"/>
        <w:divId w:val="1994600195"/>
        <w:rPr>
          <w:rFonts w:eastAsia="Times New Roman"/>
        </w:rPr>
      </w:pPr>
      <w:r>
        <w:rPr>
          <w:rFonts w:eastAsia="Times New Roman"/>
          <w:b/>
          <w:bCs/>
          <w:i/>
          <w:iCs/>
          <w:color w:val="000000"/>
          <w:sz w:val="20"/>
          <w:szCs w:val="20"/>
        </w:rPr>
        <w:t>EQH Facility</w:t>
      </w:r>
    </w:p>
    <w:p w:rsidR="00000000" w:rsidRDefault="00E54EC0">
      <w:pPr>
        <w:ind w:firstLine="360"/>
        <w:divId w:val="667825964"/>
        <w:rPr>
          <w:rFonts w:eastAsia="Times New Roman"/>
        </w:rPr>
      </w:pPr>
      <w:r>
        <w:rPr>
          <w:rFonts w:eastAsia="Times New Roman"/>
          <w:color w:val="000000"/>
          <w:sz w:val="20"/>
          <w:szCs w:val="20"/>
        </w:rPr>
        <w:t>AB has a $900 million committed, unsecured senior credit facility (the “EQH Facility”). The EQH Facility matures on November 4, 2024 and is available for AB’s general business p</w:t>
      </w:r>
      <w:r>
        <w:rPr>
          <w:rFonts w:eastAsia="Times New Roman"/>
          <w:color w:val="000000"/>
          <w:sz w:val="20"/>
          <w:szCs w:val="20"/>
        </w:rPr>
        <w:t>urposes. Borrowings under the EQH Facility generally bear interest at a rate per annum based on prevailing overnight commercial paper rates.</w:t>
      </w:r>
    </w:p>
    <w:p w:rsidR="00000000" w:rsidRDefault="00E54EC0">
      <w:pPr>
        <w:ind w:firstLine="360"/>
        <w:divId w:val="767309831"/>
        <w:rPr>
          <w:rFonts w:eastAsia="Times New Roman"/>
        </w:rPr>
      </w:pPr>
      <w:r>
        <w:rPr>
          <w:rFonts w:eastAsia="Times New Roman"/>
          <w:color w:val="000000"/>
          <w:sz w:val="20"/>
          <w:szCs w:val="20"/>
        </w:rPr>
        <w:t>The EQH Facility contains affirmative, negative and financial covenants which are substantially similar to those in</w:t>
      </w:r>
      <w:r>
        <w:rPr>
          <w:rFonts w:eastAsia="Times New Roman"/>
          <w:color w:val="000000"/>
          <w:sz w:val="20"/>
          <w:szCs w:val="20"/>
        </w:rPr>
        <w:t xml:space="preserve"> AB’s committed bank facilities. The EQH Facility also includes customary events of default substantially similar to those in AB’s committed bank facilities, including provisions under which, upon the occurrence of an event of default, all outstanding loan</w:t>
      </w:r>
      <w:r>
        <w:rPr>
          <w:rFonts w:eastAsia="Times New Roman"/>
          <w:color w:val="000000"/>
          <w:sz w:val="20"/>
          <w:szCs w:val="20"/>
        </w:rPr>
        <w:t xml:space="preserve">s may be accelerated and/or the lender’s commitment may be terminated. </w:t>
      </w:r>
    </w:p>
    <w:p w:rsidR="00000000" w:rsidRDefault="00E54EC0">
      <w:pPr>
        <w:ind w:firstLine="360"/>
        <w:divId w:val="2107848686"/>
        <w:rPr>
          <w:rFonts w:eastAsia="Times New Roman"/>
        </w:rPr>
      </w:pPr>
      <w:r>
        <w:rPr>
          <w:rFonts w:eastAsia="Times New Roman"/>
          <w:color w:val="000000"/>
          <w:sz w:val="20"/>
          <w:szCs w:val="20"/>
        </w:rPr>
        <w:t>Amounts under the EQH Facility may be borrowed, repaid and re-borrowed by AB from time to time until the maturity of the facility. AB or Holdings may reduce or terminate the commitment</w:t>
      </w:r>
      <w:r>
        <w:rPr>
          <w:rFonts w:eastAsia="Times New Roman"/>
          <w:color w:val="000000"/>
          <w:sz w:val="20"/>
          <w:szCs w:val="20"/>
        </w:rPr>
        <w:t xml:space="preserve"> at any time without penalty upon proper notice. Holdings also may terminate the facility immediately upon a change of control of AB’s general partner. </w:t>
      </w:r>
    </w:p>
    <w:p w:rsidR="00000000" w:rsidRDefault="00E54EC0">
      <w:pPr>
        <w:ind w:firstLine="360"/>
        <w:divId w:val="1344362425"/>
        <w:rPr>
          <w:rFonts w:eastAsia="Times New Roman"/>
        </w:rPr>
      </w:pPr>
      <w:r>
        <w:rPr>
          <w:rFonts w:eastAsia="Times New Roman"/>
          <w:color w:val="000000"/>
          <w:sz w:val="20"/>
          <w:szCs w:val="20"/>
        </w:rPr>
        <w:t>As of December 31, 2022 and 2021, AB had $900 million and $755 million outstanding under the EQH Facili</w:t>
      </w:r>
      <w:r>
        <w:rPr>
          <w:rFonts w:eastAsia="Times New Roman"/>
          <w:color w:val="000000"/>
          <w:sz w:val="20"/>
          <w:szCs w:val="20"/>
        </w:rPr>
        <w:t>ty, with interest rates of approximately 4.3% and 0.2%, respectively. Average daily borrowing of the EQH Facility during the full year 2022 and the full year 2021 were $655 million and $405 million, respectively, with a weighted average interest rates of a</w:t>
      </w:r>
      <w:r>
        <w:rPr>
          <w:rFonts w:eastAsia="Times New Roman"/>
          <w:color w:val="000000"/>
          <w:sz w:val="20"/>
          <w:szCs w:val="20"/>
        </w:rPr>
        <w:t>pproximately 1.7% and 0.2%, respectively.</w:t>
      </w:r>
    </w:p>
    <w:p w:rsidR="00000000" w:rsidRDefault="00E54EC0">
      <w:pPr>
        <w:divId w:val="4408784"/>
        <w:rPr>
          <w:rFonts w:eastAsia="Times New Roman"/>
        </w:rPr>
      </w:pPr>
      <w:r>
        <w:rPr>
          <w:rFonts w:eastAsia="Times New Roman"/>
          <w:b/>
          <w:bCs/>
          <w:i/>
          <w:iCs/>
          <w:color w:val="000000"/>
          <w:sz w:val="20"/>
          <w:szCs w:val="20"/>
        </w:rPr>
        <w:t>EQH Uncommitted Facility</w:t>
      </w:r>
    </w:p>
    <w:p w:rsidR="00000000" w:rsidRDefault="00E54EC0">
      <w:pPr>
        <w:ind w:firstLine="360"/>
        <w:divId w:val="1242445372"/>
        <w:rPr>
          <w:rFonts w:eastAsia="Times New Roman"/>
        </w:rPr>
      </w:pPr>
      <w:r>
        <w:rPr>
          <w:rFonts w:eastAsia="Times New Roman"/>
          <w:color w:val="000000"/>
          <w:sz w:val="20"/>
          <w:szCs w:val="20"/>
        </w:rPr>
        <w:t>In addition to the EQH Facility, AB entered into a $300 million uncommitted, unsecured senior credit facility (the “EQH Uncommitted Facility”) with EQH. The EQH Uncommitted Facility matures</w:t>
      </w:r>
      <w:r>
        <w:rPr>
          <w:rFonts w:eastAsia="Times New Roman"/>
          <w:color w:val="000000"/>
          <w:sz w:val="20"/>
          <w:szCs w:val="20"/>
        </w:rPr>
        <w:t xml:space="preserve"> on September 1, 2024 and is available for AB’s general business purposes. Borrowings under the EQH Uncommitted Facility bear interest generally at a rate per annum based on prevailing overnight commercial paper rates. The EQH Uncommitted Facility contains</w:t>
      </w:r>
      <w:r>
        <w:rPr>
          <w:rFonts w:eastAsia="Times New Roman"/>
          <w:color w:val="000000"/>
          <w:sz w:val="20"/>
          <w:szCs w:val="20"/>
        </w:rPr>
        <w:t xml:space="preserve"> affirmative, negative and financial covenants, which are substantially similar to those in the EQH Facility.</w:t>
      </w:r>
    </w:p>
    <w:p w:rsidR="00000000" w:rsidRDefault="00E54EC0">
      <w:pPr>
        <w:ind w:firstLine="360"/>
        <w:divId w:val="697971672"/>
        <w:rPr>
          <w:rFonts w:eastAsia="Times New Roman"/>
        </w:rPr>
      </w:pPr>
      <w:r>
        <w:rPr>
          <w:rFonts w:eastAsia="Times New Roman"/>
          <w:color w:val="000000"/>
          <w:sz w:val="20"/>
          <w:szCs w:val="20"/>
        </w:rPr>
        <w:t>As of December 31, 2022, AB had $90 million outstanding balance on the EQH Uncommitted Facility, with interest rate of approximately 4.3%. Average</w:t>
      </w:r>
      <w:r>
        <w:rPr>
          <w:rFonts w:eastAsia="Times New Roman"/>
          <w:color w:val="000000"/>
          <w:sz w:val="20"/>
          <w:szCs w:val="20"/>
        </w:rPr>
        <w:t xml:space="preserve"> daily borrowing of the EQH Uncommitted Facility during the full year 2022 was $1 million with weighted average interest rate of approximately 4.3%. During 2021, AB did not draw on the facility.</w:t>
      </w:r>
    </w:p>
    <w:p w:rsidR="00000000" w:rsidRDefault="00E54EC0">
      <w:pPr>
        <w:divId w:val="188959077"/>
        <w:rPr>
          <w:rFonts w:eastAsia="Times New Roman"/>
        </w:rPr>
      </w:pPr>
    </w:p>
    <w:p w:rsidR="00000000" w:rsidRDefault="00E54EC0">
      <w:pPr>
        <w:jc w:val="center"/>
        <w:divId w:val="1416319409"/>
        <w:rPr>
          <w:rFonts w:eastAsia="Times New Roman"/>
        </w:rPr>
      </w:pPr>
      <w:r>
        <w:rPr>
          <w:rFonts w:eastAsia="Times New Roman"/>
          <w:color w:val="000000"/>
          <w:sz w:val="20"/>
          <w:szCs w:val="20"/>
        </w:rPr>
        <w:t>107</w:t>
      </w:r>
    </w:p>
    <w:p w:rsidR="00000000" w:rsidRDefault="00E54EC0">
      <w:pPr>
        <w:rPr>
          <w:rFonts w:eastAsia="Times New Roman"/>
        </w:rPr>
      </w:pPr>
      <w:r>
        <w:rPr>
          <w:rFonts w:eastAsia="Times New Roman"/>
        </w:rPr>
        <w:pict>
          <v:rect id="_x0000_i1145" style="width:0;height:1.5pt" o:hralign="center" o:hrstd="t" o:hr="t" fillcolor="#a0a0a0" stroked="f"/>
        </w:pict>
      </w:r>
    </w:p>
    <w:p w:rsidR="00000000" w:rsidRDefault="00E54EC0">
      <w:pPr>
        <w:divId w:val="781999440"/>
        <w:rPr>
          <w:rFonts w:eastAsia="Times New Roman"/>
        </w:rPr>
      </w:pPr>
    </w:p>
    <w:p w:rsidR="00000000" w:rsidRDefault="00E54EC0">
      <w:pPr>
        <w:divId w:val="403993313"/>
        <w:rPr>
          <w:rFonts w:eastAsia="Times New Roman"/>
        </w:rPr>
      </w:pPr>
      <w:r>
        <w:rPr>
          <w:rFonts w:eastAsia="Times New Roman"/>
          <w:b/>
          <w:bCs/>
          <w:color w:val="000000"/>
          <w:sz w:val="20"/>
          <w:szCs w:val="20"/>
        </w:rPr>
        <w:t>Statutory Capita</w:t>
      </w:r>
      <w:r>
        <w:rPr>
          <w:rFonts w:eastAsia="Times New Roman"/>
          <w:b/>
          <w:bCs/>
          <w:color w:val="000000"/>
          <w:sz w:val="20"/>
          <w:szCs w:val="20"/>
        </w:rPr>
        <w:t>l of Our Insurance Subsidiaries</w:t>
      </w:r>
    </w:p>
    <w:p w:rsidR="00000000" w:rsidRDefault="00E54EC0">
      <w:pPr>
        <w:ind w:firstLine="360"/>
        <w:divId w:val="1327827461"/>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rsidR="00000000" w:rsidRDefault="00E54EC0">
      <w:pPr>
        <w:ind w:firstLine="360"/>
        <w:divId w:val="1758866776"/>
        <w:rPr>
          <w:rFonts w:eastAsia="Times New Roman"/>
        </w:rPr>
      </w:pPr>
      <w:r>
        <w:rPr>
          <w:rFonts w:eastAsia="Times New Roman"/>
          <w:color w:val="000000"/>
          <w:sz w:val="20"/>
          <w:szCs w:val="20"/>
        </w:rPr>
        <w:t>RBC requirements are used as minimum capital require</w:t>
      </w:r>
      <w:r>
        <w:rPr>
          <w:rFonts w:eastAsia="Times New Roman"/>
          <w:color w:val="000000"/>
          <w:sz w:val="20"/>
          <w:szCs w:val="20"/>
        </w:rPr>
        <w:t>ments by the NAIC and the state insurance departments to evaluate the capital condition of regulated insurance companies. RBC is based on a formula calculated by applying factors to various asset, premium, claim, expense and statutory reserve items. The fo</w:t>
      </w:r>
      <w:r>
        <w:rPr>
          <w:rFonts w:eastAsia="Times New Roman"/>
          <w:color w:val="000000"/>
          <w:sz w:val="20"/>
          <w:szCs w:val="20"/>
        </w:rPr>
        <w:t>rmula takes into account the risk characteristics of the insurer, including asset risk, insurance risk, interest rate risk, market risk and business risk and is calculated on a quarterly basis and made public on an annual basis. The formula is used as an e</w:t>
      </w:r>
      <w:r>
        <w:rPr>
          <w:rFonts w:eastAsia="Times New Roman"/>
          <w:color w:val="000000"/>
          <w:sz w:val="20"/>
          <w:szCs w:val="20"/>
        </w:rPr>
        <w:t>arly warning regulatory tool to identify possible inadequately capitalized insurers for purposes of initiating regulatory action, and not as a means to rank insurers generally. These rules apply to our insurance company subsidiaries and not to Holdings. St</w:t>
      </w:r>
      <w:r>
        <w:rPr>
          <w:rFonts w:eastAsia="Times New Roman"/>
          <w:color w:val="000000"/>
          <w:sz w:val="20"/>
          <w:szCs w:val="20"/>
        </w:rPr>
        <w:t xml:space="preserve">ate insurance laws provide insurance regulators the authority to require various actions by, or take various actions against, insurers whose total adjusted capital does not meet or exceed certain RBC levels. At the date of the most recent annual statutory </w:t>
      </w:r>
      <w:r>
        <w:rPr>
          <w:rFonts w:eastAsia="Times New Roman"/>
          <w:color w:val="000000"/>
          <w:sz w:val="20"/>
          <w:szCs w:val="20"/>
        </w:rPr>
        <w:t>financial statements filed with insurance regulators, the total adjusted capital of each of these insurance company subsidiaries subject to these requirements was in excess of each of those RBC levels.</w:t>
      </w:r>
    </w:p>
    <w:p w:rsidR="00000000" w:rsidRDefault="00E54EC0">
      <w:pPr>
        <w:ind w:firstLine="360"/>
        <w:divId w:val="345330370"/>
        <w:rPr>
          <w:rFonts w:eastAsia="Times New Roman"/>
        </w:rPr>
      </w:pPr>
      <w:r>
        <w:rPr>
          <w:rFonts w:eastAsia="Times New Roman"/>
          <w:color w:val="000000"/>
          <w:sz w:val="20"/>
          <w:szCs w:val="20"/>
        </w:rPr>
        <w:t xml:space="preserve">See Note 18 of the Notes to the Consolidated Financial Statements for additional information relating to Prescribed and Permitted Statutory Accounting practices and its impact on our statutory surplus. </w:t>
      </w:r>
    </w:p>
    <w:p w:rsidR="00000000" w:rsidRDefault="00E54EC0">
      <w:pPr>
        <w:divId w:val="1812600643"/>
        <w:rPr>
          <w:rFonts w:eastAsia="Times New Roman"/>
        </w:rPr>
      </w:pPr>
      <w:r>
        <w:rPr>
          <w:rFonts w:eastAsia="Times New Roman"/>
          <w:b/>
          <w:bCs/>
          <w:color w:val="000000"/>
          <w:sz w:val="20"/>
          <w:szCs w:val="20"/>
        </w:rPr>
        <w:t>Captive Reinsurance Company</w:t>
      </w:r>
    </w:p>
    <w:p w:rsidR="00000000" w:rsidRDefault="00E54EC0">
      <w:pPr>
        <w:ind w:firstLine="360"/>
        <w:divId w:val="2144080569"/>
        <w:rPr>
          <w:rFonts w:eastAsia="Times New Roman"/>
        </w:rPr>
      </w:pPr>
      <w:r>
        <w:rPr>
          <w:rFonts w:eastAsia="Times New Roman"/>
          <w:color w:val="000000"/>
          <w:sz w:val="20"/>
          <w:szCs w:val="20"/>
        </w:rPr>
        <w:t>We use a captive reinsura</w:t>
      </w:r>
      <w:r>
        <w:rPr>
          <w:rFonts w:eastAsia="Times New Roman"/>
          <w:color w:val="000000"/>
          <w:sz w:val="20"/>
          <w:szCs w:val="20"/>
        </w:rPr>
        <w:t>nce company to more effectively manage our reserves and capital on an economic basis and to enable the aggregation and transfer of risks. Our captive reinsurance company assumes business from affiliates only and is closed to new business. Our captive reins</w:t>
      </w:r>
      <w:r>
        <w:rPr>
          <w:rFonts w:eastAsia="Times New Roman"/>
          <w:color w:val="000000"/>
          <w:sz w:val="20"/>
          <w:szCs w:val="20"/>
        </w:rPr>
        <w:t>urance company is a wholly-owned subsidiary located in the United States. In addition to state insurance regulation, our captive is subject to internal policies governing its activities. We continue to analyze the use of our existing captive reinsurance st</w:t>
      </w:r>
      <w:r>
        <w:rPr>
          <w:rFonts w:eastAsia="Times New Roman"/>
          <w:color w:val="000000"/>
          <w:sz w:val="20"/>
          <w:szCs w:val="20"/>
        </w:rPr>
        <w:t>ructure, as well as additional third-party reinsurance arrangements.</w:t>
      </w:r>
    </w:p>
    <w:p w:rsidR="00000000" w:rsidRDefault="00E54EC0">
      <w:pPr>
        <w:divId w:val="1400790482"/>
        <w:rPr>
          <w:rFonts w:eastAsia="Times New Roman"/>
        </w:rPr>
      </w:pPr>
      <w:r>
        <w:rPr>
          <w:rFonts w:eastAsia="Times New Roman"/>
          <w:b/>
          <w:bCs/>
          <w:color w:val="000000"/>
          <w:sz w:val="20"/>
          <w:szCs w:val="20"/>
        </w:rPr>
        <w:t>Borrowings</w:t>
      </w:r>
    </w:p>
    <w:p w:rsidR="00000000" w:rsidRDefault="00E54EC0">
      <w:pPr>
        <w:ind w:firstLine="360"/>
        <w:divId w:val="1772238920"/>
        <w:rPr>
          <w:rFonts w:eastAsia="Times New Roman"/>
        </w:rPr>
      </w:pPr>
      <w:r>
        <w:rPr>
          <w:rFonts w:eastAsia="Times New Roman"/>
          <w:color w:val="000000"/>
          <w:sz w:val="20"/>
          <w:szCs w:val="20"/>
        </w:rPr>
        <w:t>Our financial strategy going forward will remain subject to market conditions and other factors. For example, we may from time to time enter into additional bank or other finan</w:t>
      </w:r>
      <w:r>
        <w:rPr>
          <w:rFonts w:eastAsia="Times New Roman"/>
          <w:color w:val="000000"/>
          <w:sz w:val="20"/>
          <w:szCs w:val="20"/>
        </w:rPr>
        <w:t xml:space="preserve">cing arrangements, including public or private debt, structured facilities and contingent capital arrangements, under which we could incur additional indebtedness. </w:t>
      </w:r>
    </w:p>
    <w:p w:rsidR="00000000" w:rsidRDefault="00E54EC0">
      <w:pPr>
        <w:ind w:firstLine="360"/>
        <w:divId w:val="1077824932"/>
        <w:rPr>
          <w:rFonts w:eastAsia="Times New Roman"/>
        </w:rPr>
      </w:pPr>
      <w:r>
        <w:rPr>
          <w:rFonts w:eastAsia="Times New Roman"/>
          <w:color w:val="000000"/>
          <w:sz w:val="20"/>
          <w:szCs w:val="20"/>
        </w:rPr>
        <w:t>For information regarding activity pertaining to our total consolidated borrowings, see Not</w:t>
      </w:r>
      <w:r>
        <w:rPr>
          <w:rFonts w:eastAsia="Times New Roman"/>
          <w:color w:val="000000"/>
          <w:sz w:val="20"/>
          <w:szCs w:val="20"/>
        </w:rPr>
        <w:t>e 12 of the Notes to the Consolidated Financial Statements.</w:t>
      </w:r>
    </w:p>
    <w:p w:rsidR="00000000" w:rsidRDefault="00E54EC0">
      <w:pPr>
        <w:divId w:val="479427719"/>
        <w:rPr>
          <w:rFonts w:eastAsia="Times New Roman"/>
        </w:rPr>
      </w:pPr>
      <w:r>
        <w:rPr>
          <w:rFonts w:eastAsia="Times New Roman"/>
          <w:b/>
          <w:bCs/>
          <w:color w:val="000000"/>
          <w:sz w:val="20"/>
          <w:szCs w:val="20"/>
        </w:rPr>
        <w:t>Ratings</w:t>
      </w:r>
    </w:p>
    <w:p w:rsidR="00000000" w:rsidRDefault="00E54EC0">
      <w:pPr>
        <w:ind w:firstLine="360"/>
        <w:divId w:val="49575125"/>
        <w:rPr>
          <w:rFonts w:eastAsia="Times New Roman"/>
        </w:rPr>
      </w:pPr>
      <w:r>
        <w:rPr>
          <w:rFonts w:eastAsia="Times New Roman"/>
          <w:color w:val="000000"/>
          <w:sz w:val="20"/>
          <w:szCs w:val="20"/>
        </w:rPr>
        <w:t>Financial strength ratings (which are sometimes referred to as “claims-paying” ratings) and credit ratings are important factors affecting public confidence in an insurer and its competiti</w:t>
      </w:r>
      <w:r>
        <w:rPr>
          <w:rFonts w:eastAsia="Times New Roman"/>
          <w:color w:val="000000"/>
          <w:sz w:val="20"/>
          <w:szCs w:val="20"/>
        </w:rPr>
        <w:t>ve position in marketing products. Our credit ratings are also important for our ability to raise capital through the issuance of debt and for the cost of such financing.</w:t>
      </w:r>
    </w:p>
    <w:p w:rsidR="00000000" w:rsidRDefault="00E54EC0">
      <w:pPr>
        <w:ind w:firstLine="360"/>
        <w:divId w:val="943075934"/>
        <w:rPr>
          <w:rFonts w:eastAsia="Times New Roman"/>
        </w:rPr>
      </w:pPr>
      <w:r>
        <w:rPr>
          <w:rFonts w:eastAsia="Times New Roman"/>
          <w:color w:val="000000"/>
          <w:sz w:val="20"/>
          <w:szCs w:val="20"/>
        </w:rPr>
        <w:t>Financial strength ratings represent the opinions of rating agencies regarding the fi</w:t>
      </w:r>
      <w:r>
        <w:rPr>
          <w:rFonts w:eastAsia="Times New Roman"/>
          <w:color w:val="000000"/>
          <w:sz w:val="20"/>
          <w:szCs w:val="20"/>
        </w:rPr>
        <w:t>nancial ability of an insurance company to meet its obligations under an insurance policy. Credit ratings represent the opinions of rating agencies regarding an entity’s ability to repay its indebtedness. The following table summarizes the ratings for Hold</w:t>
      </w:r>
      <w:r>
        <w:rPr>
          <w:rFonts w:eastAsia="Times New Roman"/>
          <w:color w:val="000000"/>
          <w:sz w:val="20"/>
          <w:szCs w:val="20"/>
        </w:rPr>
        <w:t>ings and certain of its subsidiaries. AM Best, S&amp;P and Moody’s have a stable outlook.</w:t>
      </w:r>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7"/>
        <w:gridCol w:w="36"/>
        <w:gridCol w:w="36"/>
        <w:gridCol w:w="36"/>
        <w:gridCol w:w="44"/>
        <w:gridCol w:w="1101"/>
        <w:gridCol w:w="37"/>
        <w:gridCol w:w="36"/>
        <w:gridCol w:w="36"/>
        <w:gridCol w:w="36"/>
        <w:gridCol w:w="46"/>
        <w:gridCol w:w="1089"/>
        <w:gridCol w:w="36"/>
      </w:tblGrid>
      <w:tr w:rsidR="00000000">
        <w:trPr>
          <w:divId w:val="1003045534"/>
        </w:trPr>
        <w:tc>
          <w:tcPr>
            <w:tcW w:w="50" w:type="pct"/>
            <w:vAlign w:val="center"/>
            <w:hideMark/>
          </w:tcPr>
          <w:p w:rsidR="00000000" w:rsidRDefault="00E54EC0">
            <w:pPr>
              <w:ind w:firstLine="360"/>
              <w:rPr>
                <w:rFonts w:eastAsia="Times New Roman"/>
              </w:rPr>
            </w:pPr>
          </w:p>
        </w:tc>
        <w:tc>
          <w:tcPr>
            <w:tcW w:w="27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0304553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Moody’s</w:t>
            </w:r>
          </w:p>
        </w:tc>
      </w:tr>
      <w:tr w:rsidR="00000000">
        <w:trPr>
          <w:divId w:val="100304553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Feb '23</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Jun '22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Jan '23</w:t>
            </w:r>
          </w:p>
        </w:tc>
      </w:tr>
      <w:tr w:rsidR="00000000">
        <w:trPr>
          <w:divId w:val="100304553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03045534"/>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A1</w:t>
            </w:r>
          </w:p>
        </w:tc>
      </w:tr>
      <w:tr w:rsidR="00000000">
        <w:trPr>
          <w:divId w:val="100304553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A1</w:t>
            </w:r>
          </w:p>
        </w:tc>
      </w:tr>
      <w:tr w:rsidR="00000000">
        <w:trPr>
          <w:divId w:val="100304553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0304553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Baa1</w:t>
            </w:r>
          </w:p>
        </w:tc>
      </w:tr>
      <w:tr w:rsidR="00000000">
        <w:trPr>
          <w:divId w:val="100304553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Sep '22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Jan '23</w:t>
            </w:r>
          </w:p>
        </w:tc>
      </w:tr>
      <w:tr w:rsidR="00000000">
        <w:trPr>
          <w:divId w:val="100304553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A2</w:t>
            </w:r>
          </w:p>
        </w:tc>
      </w:tr>
    </w:tbl>
    <w:p w:rsidR="00000000" w:rsidRDefault="00E54EC0">
      <w:pPr>
        <w:divId w:val="1347291795"/>
        <w:rPr>
          <w:rFonts w:eastAsia="Times New Roman"/>
        </w:rPr>
      </w:pPr>
    </w:p>
    <w:p w:rsidR="00000000" w:rsidRDefault="00E54EC0">
      <w:pPr>
        <w:jc w:val="center"/>
        <w:divId w:val="671879344"/>
        <w:rPr>
          <w:rFonts w:eastAsia="Times New Roman"/>
        </w:rPr>
      </w:pPr>
      <w:r>
        <w:rPr>
          <w:rFonts w:eastAsia="Times New Roman"/>
          <w:color w:val="000000"/>
          <w:sz w:val="20"/>
          <w:szCs w:val="20"/>
        </w:rPr>
        <w:t>108</w:t>
      </w:r>
    </w:p>
    <w:p w:rsidR="00000000" w:rsidRDefault="00E54EC0">
      <w:pPr>
        <w:rPr>
          <w:rFonts w:eastAsia="Times New Roman"/>
        </w:rPr>
      </w:pPr>
      <w:r>
        <w:rPr>
          <w:rFonts w:eastAsia="Times New Roman"/>
        </w:rPr>
        <w:pict>
          <v:rect id="_x0000_i1146" style="width:0;height:1.5pt" o:hralign="center" o:hrstd="t" o:hr="t" fillcolor="#a0a0a0" stroked="f"/>
        </w:pict>
      </w:r>
    </w:p>
    <w:p w:rsidR="00000000" w:rsidRDefault="00E54EC0">
      <w:pPr>
        <w:divId w:val="337849317"/>
        <w:rPr>
          <w:rFonts w:eastAsia="Times New Roman"/>
        </w:rPr>
      </w:pPr>
    </w:p>
    <w:p w:rsidR="00000000" w:rsidRDefault="00E54EC0">
      <w:pPr>
        <w:divId w:val="175660030"/>
        <w:rPr>
          <w:rFonts w:eastAsia="Times New Roman"/>
        </w:rPr>
      </w:pPr>
      <w:r>
        <w:rPr>
          <w:rFonts w:eastAsia="Times New Roman"/>
          <w:b/>
          <w:bCs/>
          <w:color w:val="000000"/>
          <w:sz w:val="20"/>
          <w:szCs w:val="20"/>
        </w:rPr>
        <w:t>Material Cash Requirements</w:t>
      </w:r>
    </w:p>
    <w:p w:rsidR="00000000" w:rsidRDefault="00E54EC0">
      <w:pPr>
        <w:ind w:firstLine="360"/>
        <w:divId w:val="1075127555"/>
        <w:rPr>
          <w:rFonts w:eastAsia="Times New Roman"/>
        </w:rPr>
      </w:pPr>
      <w:r>
        <w:rPr>
          <w:rFonts w:eastAsia="Times New Roman"/>
          <w:color w:val="000000"/>
          <w:sz w:val="20"/>
          <w:szCs w:val="20"/>
        </w:rPr>
        <w:t>The table below summarizes the material short and long-term cash requirements related to contractual and other obligations as of December 31, 2022. Short-term cash requirements are considered</w:t>
      </w:r>
      <w:r>
        <w:rPr>
          <w:rFonts w:eastAsia="Times New Roman"/>
          <w:color w:val="000000"/>
          <w:sz w:val="20"/>
          <w:szCs w:val="20"/>
        </w:rPr>
        <w:t xml:space="preserve"> to be requirements within the next 12 months and long-term cash requirements are considered to be beyond the next 12 months. We do not believe that our cash flow requirements can be adequately assessed based solely upon an analysis of these obligations, a</w:t>
      </w:r>
      <w:r>
        <w:rPr>
          <w:rFonts w:eastAsia="Times New Roman"/>
          <w:color w:val="000000"/>
          <w:sz w:val="20"/>
          <w:szCs w:val="20"/>
        </w:rPr>
        <w:t>s the table below does not contemplate all aspects of our cash inflows, such as the level of cash flow generated by certain of our investments, nor all aspects of our cash outflows.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492"/>
        <w:gridCol w:w="38"/>
        <w:gridCol w:w="120"/>
        <w:gridCol w:w="700"/>
        <w:gridCol w:w="36"/>
        <w:gridCol w:w="36"/>
        <w:gridCol w:w="36"/>
        <w:gridCol w:w="36"/>
        <w:gridCol w:w="120"/>
        <w:gridCol w:w="668"/>
        <w:gridCol w:w="36"/>
        <w:gridCol w:w="36"/>
        <w:gridCol w:w="36"/>
        <w:gridCol w:w="36"/>
        <w:gridCol w:w="120"/>
        <w:gridCol w:w="674"/>
        <w:gridCol w:w="36"/>
        <w:gridCol w:w="36"/>
        <w:gridCol w:w="36"/>
        <w:gridCol w:w="36"/>
        <w:gridCol w:w="120"/>
        <w:gridCol w:w="674"/>
        <w:gridCol w:w="36"/>
        <w:gridCol w:w="36"/>
        <w:gridCol w:w="36"/>
        <w:gridCol w:w="36"/>
        <w:gridCol w:w="120"/>
        <w:gridCol w:w="809"/>
        <w:gridCol w:w="36"/>
      </w:tblGrid>
      <w:tr w:rsidR="00000000">
        <w:trPr>
          <w:divId w:val="1678386926"/>
        </w:trPr>
        <w:tc>
          <w:tcPr>
            <w:tcW w:w="50" w:type="pct"/>
            <w:vAlign w:val="center"/>
            <w:hideMark/>
          </w:tcPr>
          <w:p w:rsidR="00000000" w:rsidRDefault="00E54EC0">
            <w:pPr>
              <w:ind w:firstLine="360"/>
              <w:rPr>
                <w:rFonts w:eastAsia="Times New Roman"/>
              </w:rPr>
            </w:pPr>
          </w:p>
        </w:tc>
        <w:tc>
          <w:tcPr>
            <w:tcW w:w="21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3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7838692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Estimated Payments Due by Year</w:t>
            </w:r>
          </w:p>
        </w:tc>
      </w:tr>
      <w:tr w:rsidR="00000000">
        <w:trPr>
          <w:divId w:val="167838692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2024-2025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2026-2027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2028 and thereafter</w:t>
            </w:r>
          </w:p>
        </w:tc>
      </w:tr>
      <w:tr w:rsidR="00000000">
        <w:trPr>
          <w:divId w:val="167838692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67838692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Material Cash Requirements: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78386926"/>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Insurance liabilities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111,931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95,495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FHLB Funding Agreements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on FHLB Funding Agreements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FABN Funding Agreements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on FABN Funding Agreements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Operating leases, net of sublease commitments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and Short-term Debt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on long-term debt and short-term debt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on P-Caps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Employee benefits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Funding Commitments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78386926"/>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Material Cash Requirements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141,388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11,908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106,420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75396490"/>
        <w:rPr>
          <w:rFonts w:eastAsia="Times New Roman"/>
        </w:rPr>
      </w:pPr>
      <w:r>
        <w:rPr>
          <w:rFonts w:eastAsia="Times New Roman"/>
          <w:color w:val="000000"/>
          <w:sz w:val="18"/>
          <w:szCs w:val="18"/>
        </w:rPr>
        <w:t>______________</w:t>
      </w:r>
    </w:p>
    <w:p w:rsidR="00000000" w:rsidRDefault="00E54EC0">
      <w:pPr>
        <w:ind w:hanging="270"/>
        <w:divId w:val="93521713"/>
        <w:rPr>
          <w:rFonts w:eastAsia="Times New Roman"/>
        </w:rPr>
      </w:pPr>
      <w:r>
        <w:rPr>
          <w:rFonts w:eastAsia="Times New Roman"/>
          <w:color w:val="000000"/>
          <w:sz w:val="18"/>
          <w:szCs w:val="18"/>
        </w:rPr>
        <w:t>(1) Policyholders’ liabilities represent estimated cash flows out of the General Account related to the payment of death and disability claims, policy surrenders and</w:t>
      </w:r>
      <w:r>
        <w:rPr>
          <w:rFonts w:eastAsia="Times New Roman"/>
          <w:color w:val="000000"/>
          <w:sz w:val="18"/>
          <w:szCs w:val="18"/>
        </w:rPr>
        <w:t xml:space="preserve"> withdrawals, annuity payments, minimum guarantees on Separate Account funded contracts, matured endowments, benefits under accident and health contracts, policyholder dividends and future renewal premium-based and fund-based commissions offset by contract</w:t>
      </w:r>
      <w:r>
        <w:rPr>
          <w:rFonts w:eastAsia="Times New Roman"/>
          <w:color w:val="000000"/>
          <w:sz w:val="18"/>
          <w:szCs w:val="18"/>
        </w:rPr>
        <w:t>ual future premiums and deposits on in-force contracts. These estimated cash flows are based on mortality, morbidity and lapse assumptions comparable with the Company’s experience and assume market growth and interest crediting consistent with actuarial as</w:t>
      </w:r>
      <w:r>
        <w:rPr>
          <w:rFonts w:eastAsia="Times New Roman"/>
          <w:color w:val="000000"/>
          <w:sz w:val="18"/>
          <w:szCs w:val="18"/>
        </w:rPr>
        <w:t>sumptions. These amounts are undiscounted and, therefore, exceed the policyholders’ account balances and future policy benefits and other policyholder liabilities included in the consolidated balance sheet included elsewhere in this Annual Report on Form 1</w:t>
      </w:r>
      <w:r>
        <w:rPr>
          <w:rFonts w:eastAsia="Times New Roman"/>
          <w:color w:val="000000"/>
          <w:sz w:val="18"/>
          <w:szCs w:val="18"/>
        </w:rPr>
        <w:t xml:space="preserve">0-K. They do not reflect projected recoveries from reinsurance agreements. Due to the use of assumptions, actual cash flows will differ from these estimates, see “— Summary of Critical Accounting Estimates — Liability for Future Policy Benefits.” Separate </w:t>
      </w:r>
      <w:r>
        <w:rPr>
          <w:rFonts w:eastAsia="Times New Roman"/>
          <w:color w:val="000000"/>
          <w:sz w:val="18"/>
          <w:szCs w:val="18"/>
        </w:rPr>
        <w:t>Accounts liabilities have been excluded as they are legally insulated from General Account obligations and will be funded by cash flows from Separate Accounts assets.</w:t>
      </w:r>
    </w:p>
    <w:p w:rsidR="00000000" w:rsidRDefault="00E54EC0">
      <w:pPr>
        <w:ind w:firstLine="360"/>
        <w:divId w:val="1994598295"/>
        <w:rPr>
          <w:rFonts w:eastAsia="Times New Roman"/>
        </w:rPr>
      </w:pPr>
      <w:r>
        <w:rPr>
          <w:rFonts w:eastAsia="Times New Roman"/>
          <w:color w:val="000000"/>
          <w:sz w:val="20"/>
          <w:szCs w:val="20"/>
        </w:rPr>
        <w:t xml:space="preserve">Unrecognized tax benefits of $314 million, including </w:t>
      </w:r>
      <w:r>
        <w:rPr>
          <w:rFonts w:eastAsia="Times New Roman"/>
          <w:color w:val="000000"/>
          <w:sz w:val="20"/>
          <w:szCs w:val="20"/>
          <w:shd w:val="clear" w:color="auto" w:fill="FFFFFF"/>
        </w:rPr>
        <w:t>$3 million</w:t>
      </w:r>
      <w:r>
        <w:rPr>
          <w:rFonts w:eastAsia="Times New Roman"/>
          <w:color w:val="000000"/>
          <w:sz w:val="20"/>
          <w:szCs w:val="20"/>
        </w:rPr>
        <w:t xml:space="preserve"> related to AB were not in</w:t>
      </w:r>
      <w:r>
        <w:rPr>
          <w:rFonts w:eastAsia="Times New Roman"/>
          <w:color w:val="000000"/>
          <w:sz w:val="20"/>
          <w:szCs w:val="20"/>
        </w:rPr>
        <w:t>cluded in the above table because it is not possible to make reasonably reliable estimates of the occurrence or timing of cash settlements with the respective taxing authorities.</w:t>
      </w:r>
    </w:p>
    <w:p w:rsidR="00000000" w:rsidRDefault="00E54EC0">
      <w:pPr>
        <w:ind w:firstLine="360"/>
        <w:divId w:val="1674648289"/>
        <w:rPr>
          <w:rFonts w:eastAsia="Times New Roman"/>
        </w:rPr>
      </w:pPr>
      <w:r>
        <w:rPr>
          <w:rFonts w:eastAsia="Times New Roman"/>
          <w:color w:val="000000"/>
          <w:sz w:val="20"/>
          <w:szCs w:val="20"/>
        </w:rPr>
        <w:t>In addition, the below items are included as part of AB’s aggregate contractu</w:t>
      </w:r>
      <w:r>
        <w:rPr>
          <w:rFonts w:eastAsia="Times New Roman"/>
          <w:color w:val="000000"/>
          <w:sz w:val="20"/>
          <w:szCs w:val="20"/>
        </w:rPr>
        <w:t xml:space="preserve">al obligations: </w:t>
      </w:r>
    </w:p>
    <w:p w:rsidR="00000000" w:rsidRDefault="00E54EC0">
      <w:pPr>
        <w:ind w:hanging="360"/>
        <w:divId w:val="1092971339"/>
        <w:rPr>
          <w:rFonts w:eastAsia="Times New Roman"/>
        </w:rPr>
      </w:pPr>
      <w:r>
        <w:rPr>
          <w:rFonts w:eastAsia="Times New Roman"/>
          <w:color w:val="000000"/>
          <w:sz w:val="20"/>
          <w:szCs w:val="20"/>
        </w:rPr>
        <w:t xml:space="preserve">•As of December 31, 2022, AB had a </w:t>
      </w:r>
      <w:r>
        <w:rPr>
          <w:rFonts w:eastAsia="Times New Roman"/>
          <w:color w:val="000000"/>
          <w:sz w:val="20"/>
          <w:szCs w:val="20"/>
          <w:shd w:val="clear" w:color="auto" w:fill="FFFFFF"/>
        </w:rPr>
        <w:t>$399 million</w:t>
      </w:r>
      <w:r>
        <w:rPr>
          <w:rFonts w:eastAsia="Times New Roman"/>
          <w:color w:val="000000"/>
          <w:sz w:val="20"/>
          <w:szCs w:val="20"/>
        </w:rPr>
        <w:t xml:space="preserve"> accrual for compensation and benefits, of which </w:t>
      </w:r>
      <w:r>
        <w:rPr>
          <w:rFonts w:eastAsia="Times New Roman"/>
          <w:color w:val="000000"/>
          <w:sz w:val="20"/>
          <w:szCs w:val="20"/>
          <w:shd w:val="clear" w:color="auto" w:fill="FFFFFF"/>
        </w:rPr>
        <w:t>$10 million</w:t>
      </w:r>
      <w:r>
        <w:rPr>
          <w:rFonts w:eastAsia="Times New Roman"/>
          <w:color w:val="000000"/>
          <w:sz w:val="20"/>
          <w:szCs w:val="20"/>
        </w:rPr>
        <w:t xml:space="preserve"> is expected to be paid in 2023, $15 million in 2024-2025, </w:t>
      </w:r>
      <w:r>
        <w:rPr>
          <w:rFonts w:eastAsia="Times New Roman"/>
          <w:color w:val="000000"/>
          <w:sz w:val="20"/>
          <w:szCs w:val="20"/>
          <w:shd w:val="clear" w:color="auto" w:fill="FFFFFF"/>
        </w:rPr>
        <w:t>$17 million</w:t>
      </w:r>
      <w:r>
        <w:rPr>
          <w:rFonts w:eastAsia="Times New Roman"/>
          <w:color w:val="000000"/>
          <w:sz w:val="20"/>
          <w:szCs w:val="20"/>
        </w:rPr>
        <w:t xml:space="preserve"> </w:t>
      </w:r>
      <w:r>
        <w:rPr>
          <w:rFonts w:eastAsia="Times New Roman"/>
          <w:color w:val="000000"/>
          <w:sz w:val="20"/>
          <w:szCs w:val="20"/>
        </w:rPr>
        <w:t xml:space="preserve">in 2026-2027 and $38 million in 2028 and thereafter. Further, AB expects to make contributions to its qualified profit-sharing plan of </w:t>
      </w:r>
      <w:r>
        <w:rPr>
          <w:rFonts w:eastAsia="Times New Roman"/>
          <w:color w:val="000000"/>
          <w:sz w:val="20"/>
          <w:szCs w:val="20"/>
          <w:shd w:val="clear" w:color="auto" w:fill="FFFFFF"/>
        </w:rPr>
        <w:t>$18 million</w:t>
      </w:r>
      <w:r>
        <w:rPr>
          <w:rFonts w:eastAsia="Times New Roman"/>
          <w:color w:val="000000"/>
          <w:sz w:val="20"/>
          <w:szCs w:val="20"/>
        </w:rPr>
        <w:t xml:space="preserve"> in each of the next four years.</w:t>
      </w:r>
    </w:p>
    <w:p w:rsidR="00000000" w:rsidRDefault="00E54EC0">
      <w:pPr>
        <w:ind w:hanging="360"/>
        <w:divId w:val="1201741068"/>
        <w:rPr>
          <w:rFonts w:eastAsia="Times New Roman"/>
        </w:rPr>
      </w:pPr>
      <w:r>
        <w:rPr>
          <w:rFonts w:eastAsia="Times New Roman"/>
          <w:color w:val="000000"/>
          <w:sz w:val="20"/>
          <w:szCs w:val="20"/>
        </w:rPr>
        <w:t>•During 2010, as general partner of AllianceBernstein U.S. Real Estate L.P. (</w:t>
      </w:r>
      <w:r>
        <w:rPr>
          <w:rFonts w:eastAsia="Times New Roman"/>
          <w:color w:val="000000"/>
          <w:sz w:val="20"/>
          <w:szCs w:val="20"/>
        </w:rPr>
        <w:t xml:space="preserve">“Real Estate Fund”), AB committed to invest </w:t>
      </w:r>
      <w:r>
        <w:rPr>
          <w:rFonts w:eastAsia="Times New Roman"/>
          <w:color w:val="000000"/>
          <w:sz w:val="20"/>
          <w:szCs w:val="20"/>
          <w:shd w:val="clear" w:color="auto" w:fill="FFFFFF"/>
        </w:rPr>
        <w:t>$25 million</w:t>
      </w:r>
      <w:r>
        <w:rPr>
          <w:rFonts w:eastAsia="Times New Roman"/>
          <w:color w:val="000000"/>
          <w:sz w:val="20"/>
          <w:szCs w:val="20"/>
        </w:rPr>
        <w:t xml:space="preserve"> in the Real Estate Fund. As of December 31, 2022, AB funded </w:t>
      </w:r>
      <w:r>
        <w:rPr>
          <w:rFonts w:eastAsia="Times New Roman"/>
          <w:color w:val="000000"/>
          <w:sz w:val="20"/>
          <w:szCs w:val="20"/>
          <w:shd w:val="clear" w:color="auto" w:fill="FFFFFF"/>
        </w:rPr>
        <w:t>$22 million</w:t>
      </w:r>
      <w:r>
        <w:rPr>
          <w:rFonts w:eastAsia="Times New Roman"/>
          <w:color w:val="000000"/>
          <w:sz w:val="20"/>
          <w:szCs w:val="20"/>
        </w:rPr>
        <w:t xml:space="preserve"> of this commitment. During 2014, as general partner of AllianceBernstein U.S. Real Estate II L.P. (“Real Estate Fund II”), AB co</w:t>
      </w:r>
      <w:r>
        <w:rPr>
          <w:rFonts w:eastAsia="Times New Roman"/>
          <w:color w:val="000000"/>
          <w:sz w:val="20"/>
          <w:szCs w:val="20"/>
        </w:rPr>
        <w:t xml:space="preserve">mmitted to invest </w:t>
      </w:r>
      <w:r>
        <w:rPr>
          <w:rFonts w:eastAsia="Times New Roman"/>
          <w:color w:val="000000"/>
          <w:sz w:val="20"/>
          <w:szCs w:val="20"/>
          <w:shd w:val="clear" w:color="auto" w:fill="FFFFFF"/>
        </w:rPr>
        <w:t>$27 million</w:t>
      </w:r>
      <w:r>
        <w:rPr>
          <w:rFonts w:eastAsia="Times New Roman"/>
          <w:color w:val="000000"/>
          <w:sz w:val="20"/>
          <w:szCs w:val="20"/>
        </w:rPr>
        <w:t xml:space="preserve"> as amended in 2020, in the Real Estate Fund II. As of December 31, 2022, AB had funded </w:t>
      </w:r>
      <w:r>
        <w:rPr>
          <w:rFonts w:eastAsia="Times New Roman"/>
          <w:color w:val="000000"/>
          <w:sz w:val="20"/>
          <w:szCs w:val="20"/>
          <w:shd w:val="clear" w:color="auto" w:fill="FFFFFF"/>
        </w:rPr>
        <w:t>$22 million</w:t>
      </w:r>
      <w:r>
        <w:rPr>
          <w:rFonts w:eastAsia="Times New Roman"/>
          <w:color w:val="000000"/>
          <w:sz w:val="20"/>
          <w:szCs w:val="20"/>
        </w:rPr>
        <w:t xml:space="preserve"> of this commitment.</w:t>
      </w:r>
    </w:p>
    <w:p w:rsidR="00000000" w:rsidRDefault="00E54EC0">
      <w:pPr>
        <w:divId w:val="2023627836"/>
        <w:rPr>
          <w:rFonts w:eastAsia="Times New Roman"/>
        </w:rPr>
      </w:pPr>
    </w:p>
    <w:p w:rsidR="00000000" w:rsidRDefault="00E54EC0">
      <w:pPr>
        <w:jc w:val="center"/>
        <w:divId w:val="982541946"/>
        <w:rPr>
          <w:rFonts w:eastAsia="Times New Roman"/>
        </w:rPr>
      </w:pPr>
      <w:r>
        <w:rPr>
          <w:rFonts w:eastAsia="Times New Roman"/>
          <w:color w:val="000000"/>
          <w:sz w:val="20"/>
          <w:szCs w:val="20"/>
        </w:rPr>
        <w:t>109</w:t>
      </w:r>
    </w:p>
    <w:p w:rsidR="00000000" w:rsidRDefault="00E54EC0">
      <w:pPr>
        <w:rPr>
          <w:rFonts w:eastAsia="Times New Roman"/>
        </w:rPr>
      </w:pPr>
      <w:r>
        <w:rPr>
          <w:rFonts w:eastAsia="Times New Roman"/>
        </w:rPr>
        <w:pict>
          <v:rect id="_x0000_i1147" style="width:0;height:1.5pt" o:hralign="center" o:hrstd="t" o:hr="t" fillcolor="#a0a0a0" stroked="f"/>
        </w:pict>
      </w:r>
    </w:p>
    <w:p w:rsidR="00000000" w:rsidRDefault="00E54EC0">
      <w:pPr>
        <w:divId w:val="1714385322"/>
        <w:rPr>
          <w:rFonts w:eastAsia="Times New Roman"/>
        </w:rPr>
      </w:pPr>
    </w:p>
    <w:p w:rsidR="00000000" w:rsidRDefault="00E54EC0">
      <w:pPr>
        <w:divId w:val="1547571133"/>
        <w:rPr>
          <w:rFonts w:eastAsia="Times New Roman"/>
        </w:rPr>
      </w:pPr>
      <w:r>
        <w:rPr>
          <w:rFonts w:eastAsia="Times New Roman"/>
          <w:b/>
          <w:bCs/>
          <w:color w:val="000000"/>
          <w:sz w:val="20"/>
          <w:szCs w:val="20"/>
        </w:rPr>
        <w:t>Summary of Critical Accounting Estimates</w:t>
      </w:r>
    </w:p>
    <w:p w:rsidR="00000000" w:rsidRDefault="00E54EC0">
      <w:pPr>
        <w:ind w:firstLine="360"/>
        <w:divId w:val="1247379125"/>
        <w:rPr>
          <w:rFonts w:eastAsia="Times New Roman"/>
        </w:rPr>
      </w:pPr>
      <w:r>
        <w:rPr>
          <w:rFonts w:eastAsia="Times New Roman"/>
          <w:color w:val="000000"/>
          <w:sz w:val="20"/>
          <w:szCs w:val="20"/>
        </w:rPr>
        <w:t>The preparation of fi</w:t>
      </w:r>
      <w:r>
        <w:rPr>
          <w:rFonts w:eastAsia="Times New Roman"/>
          <w:color w:val="000000"/>
          <w:sz w:val="20"/>
          <w:szCs w:val="20"/>
        </w:rPr>
        <w:t>nancial statements in conformity with U.S. GAAP requires management to adopt accounting policies and make estimates and assumptions that affect amounts reported in our consolidated financial statements included elsewhere herein. For a discussion of our sig</w:t>
      </w:r>
      <w:r>
        <w:rPr>
          <w:rFonts w:eastAsia="Times New Roman"/>
          <w:color w:val="000000"/>
          <w:sz w:val="20"/>
          <w:szCs w:val="20"/>
        </w:rPr>
        <w:t>nificant accounting policies, see Note 2 of the Notes to the Consolidated Financial Statements. The most critical estimates include those used in determining:</w:t>
      </w:r>
    </w:p>
    <w:p w:rsidR="00000000" w:rsidRDefault="00E54EC0">
      <w:pPr>
        <w:ind w:hanging="360"/>
        <w:jc w:val="both"/>
        <w:divId w:val="407264183"/>
        <w:rPr>
          <w:rFonts w:eastAsia="Times New Roman"/>
        </w:rPr>
      </w:pPr>
      <w:r>
        <w:rPr>
          <w:rFonts w:eastAsia="Times New Roman"/>
          <w:color w:val="000000"/>
          <w:sz w:val="20"/>
          <w:szCs w:val="20"/>
        </w:rPr>
        <w:t>•liabilities for future policy benefits;</w:t>
      </w:r>
    </w:p>
    <w:p w:rsidR="00000000" w:rsidRDefault="00E54EC0">
      <w:pPr>
        <w:ind w:hanging="360"/>
        <w:jc w:val="both"/>
        <w:divId w:val="830100570"/>
        <w:rPr>
          <w:rFonts w:eastAsia="Times New Roman"/>
        </w:rPr>
      </w:pPr>
      <w:r>
        <w:rPr>
          <w:rFonts w:eastAsia="Times New Roman"/>
          <w:color w:val="000000"/>
          <w:sz w:val="20"/>
          <w:szCs w:val="20"/>
        </w:rPr>
        <w:t>•accounting for reinsurance;</w:t>
      </w:r>
    </w:p>
    <w:p w:rsidR="00000000" w:rsidRDefault="00E54EC0">
      <w:pPr>
        <w:ind w:hanging="360"/>
        <w:jc w:val="both"/>
        <w:divId w:val="596400913"/>
        <w:rPr>
          <w:rFonts w:eastAsia="Times New Roman"/>
        </w:rPr>
      </w:pPr>
      <w:r>
        <w:rPr>
          <w:rFonts w:eastAsia="Times New Roman"/>
          <w:color w:val="000000"/>
          <w:sz w:val="20"/>
          <w:szCs w:val="20"/>
        </w:rPr>
        <w:t>•capitalization and amortiz</w:t>
      </w:r>
      <w:r>
        <w:rPr>
          <w:rFonts w:eastAsia="Times New Roman"/>
          <w:color w:val="000000"/>
          <w:sz w:val="20"/>
          <w:szCs w:val="20"/>
        </w:rPr>
        <w:t>ation of DAC;</w:t>
      </w:r>
    </w:p>
    <w:p w:rsidR="00000000" w:rsidRDefault="00E54EC0">
      <w:pPr>
        <w:ind w:hanging="360"/>
        <w:jc w:val="both"/>
        <w:divId w:val="934434667"/>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E54EC0">
      <w:pPr>
        <w:ind w:hanging="360"/>
        <w:jc w:val="both"/>
        <w:divId w:val="1269388381"/>
        <w:rPr>
          <w:rFonts w:eastAsia="Times New Roman"/>
        </w:rPr>
      </w:pPr>
      <w:r>
        <w:rPr>
          <w:rFonts w:eastAsia="Times New Roman"/>
          <w:color w:val="000000"/>
          <w:sz w:val="20"/>
          <w:szCs w:val="20"/>
        </w:rPr>
        <w:t>•</w:t>
      </w:r>
      <w:r>
        <w:rPr>
          <w:rFonts w:eastAsia="Times New Roman"/>
          <w:color w:val="000000"/>
          <w:sz w:val="20"/>
          <w:szCs w:val="20"/>
        </w:rPr>
        <w:t>estimated fair values of freestanding derivatives and the recognition and estimated fair value of embedded derivatives requiring bifurcation;</w:t>
      </w:r>
    </w:p>
    <w:p w:rsidR="00000000" w:rsidRDefault="00E54EC0">
      <w:pPr>
        <w:ind w:hanging="360"/>
        <w:jc w:val="both"/>
        <w:divId w:val="98451713"/>
        <w:rPr>
          <w:rFonts w:eastAsia="Times New Roman"/>
        </w:rPr>
      </w:pPr>
      <w:r>
        <w:rPr>
          <w:rFonts w:eastAsia="Times New Roman"/>
          <w:color w:val="000000"/>
          <w:sz w:val="20"/>
          <w:szCs w:val="20"/>
        </w:rPr>
        <w:t>•goodwill and related impairment;</w:t>
      </w:r>
    </w:p>
    <w:p w:rsidR="00000000" w:rsidRDefault="00E54EC0">
      <w:pPr>
        <w:ind w:hanging="360"/>
        <w:jc w:val="both"/>
        <w:divId w:val="1512908834"/>
        <w:rPr>
          <w:rFonts w:eastAsia="Times New Roman"/>
        </w:rPr>
      </w:pPr>
      <w:r>
        <w:rPr>
          <w:rFonts w:eastAsia="Times New Roman"/>
          <w:color w:val="000000"/>
          <w:sz w:val="20"/>
          <w:szCs w:val="20"/>
        </w:rPr>
        <w:t>•measurement of income taxes and the valuation of deferred tax assets; and</w:t>
      </w:r>
    </w:p>
    <w:p w:rsidR="00000000" w:rsidRDefault="00E54EC0">
      <w:pPr>
        <w:ind w:hanging="360"/>
        <w:divId w:val="932208303"/>
        <w:rPr>
          <w:rFonts w:eastAsia="Times New Roman"/>
        </w:rPr>
      </w:pPr>
      <w:r>
        <w:rPr>
          <w:rFonts w:eastAsia="Times New Roman"/>
          <w:color w:val="000000"/>
          <w:sz w:val="20"/>
          <w:szCs w:val="20"/>
        </w:rPr>
        <w:t>•liab</w:t>
      </w:r>
      <w:r>
        <w:rPr>
          <w:rFonts w:eastAsia="Times New Roman"/>
          <w:color w:val="000000"/>
          <w:sz w:val="20"/>
          <w:szCs w:val="20"/>
        </w:rPr>
        <w:t>ilities for litigation and regulatory matters.</w:t>
      </w:r>
    </w:p>
    <w:p w:rsidR="00000000" w:rsidRDefault="00E54EC0">
      <w:pPr>
        <w:ind w:firstLine="360"/>
        <w:divId w:val="255597895"/>
        <w:rPr>
          <w:rFonts w:eastAsia="Times New Roman"/>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w:t>
      </w:r>
      <w:r>
        <w:rPr>
          <w:rFonts w:eastAsia="Times New Roman"/>
          <w:color w:val="000000"/>
          <w:sz w:val="20"/>
          <w:szCs w:val="20"/>
        </w:rPr>
        <w:t>nts are common in the insurance and financial services industries while others are specific to our business and operations. Actual results could differ from these estimates.</w:t>
      </w:r>
    </w:p>
    <w:p w:rsidR="00000000" w:rsidRDefault="00E54EC0">
      <w:pPr>
        <w:jc w:val="both"/>
        <w:divId w:val="1110318905"/>
        <w:rPr>
          <w:rFonts w:eastAsia="Times New Roman"/>
        </w:rPr>
      </w:pPr>
      <w:r>
        <w:rPr>
          <w:rFonts w:eastAsia="Times New Roman"/>
          <w:b/>
          <w:bCs/>
          <w:i/>
          <w:iCs/>
          <w:color w:val="000000"/>
          <w:sz w:val="20"/>
          <w:szCs w:val="20"/>
        </w:rPr>
        <w:t>Liability for Future Policy Benefits</w:t>
      </w:r>
    </w:p>
    <w:p w:rsidR="00000000" w:rsidRDefault="00E54EC0">
      <w:pPr>
        <w:ind w:firstLine="360"/>
        <w:divId w:val="1593853099"/>
        <w:rPr>
          <w:rFonts w:eastAsia="Times New Roman"/>
        </w:rPr>
      </w:pPr>
      <w:r>
        <w:rPr>
          <w:rFonts w:eastAsia="Times New Roman"/>
          <w:color w:val="000000"/>
          <w:sz w:val="20"/>
          <w:szCs w:val="20"/>
        </w:rPr>
        <w:t>We establish reserves for future policy benef</w:t>
      </w:r>
      <w:r>
        <w:rPr>
          <w:rFonts w:eastAsia="Times New Roman"/>
          <w:color w:val="000000"/>
          <w:sz w:val="20"/>
          <w:szCs w:val="20"/>
        </w:rPr>
        <w:t>its to, or on behalf of, policyholders in the same period in which the policy is issued or acquired, using methodologies prescribed by U.S. GAAP. The assumptions used in establishing reserves are generally based on our experience, industry experience or ot</w:t>
      </w:r>
      <w:r>
        <w:rPr>
          <w:rFonts w:eastAsia="Times New Roman"/>
          <w:color w:val="000000"/>
          <w:sz w:val="20"/>
          <w:szCs w:val="20"/>
        </w:rPr>
        <w:t>her factors, as applicable. At least annually we review our actuarial assumptions, such as mortality, morbidity, retirement and policyholder behavior assumptions, and update assumptions when appropriate. Generally, we do not expect trends to change signifi</w:t>
      </w:r>
      <w:r>
        <w:rPr>
          <w:rFonts w:eastAsia="Times New Roman"/>
          <w:color w:val="000000"/>
          <w:sz w:val="20"/>
          <w:szCs w:val="20"/>
        </w:rPr>
        <w:t>cantly in the short-term and, to the extent these trends may change, we expect such changes to be gradual over the long-term. The reserving methodologies used include the following:</w:t>
      </w:r>
    </w:p>
    <w:p w:rsidR="00000000" w:rsidRDefault="00E54EC0">
      <w:pPr>
        <w:ind w:hanging="360"/>
        <w:jc w:val="both"/>
        <w:divId w:val="2049573449"/>
        <w:rPr>
          <w:rFonts w:eastAsia="Times New Roman"/>
        </w:rPr>
      </w:pPr>
      <w:r>
        <w:rPr>
          <w:rFonts w:eastAsia="Times New Roman"/>
          <w:color w:val="000000"/>
          <w:sz w:val="20"/>
          <w:szCs w:val="20"/>
        </w:rPr>
        <w:t>•UL and investment-type contract policyholder account balances are equal t</w:t>
      </w:r>
      <w:r>
        <w:rPr>
          <w:rFonts w:eastAsia="Times New Roman"/>
          <w:color w:val="000000"/>
          <w:sz w:val="20"/>
          <w:szCs w:val="20"/>
        </w:rPr>
        <w:t>o the policy AV. The policy AV represent an accumulation of gross premium payments plus credited interest less expense and mortality charges and withdrawals.</w:t>
      </w:r>
    </w:p>
    <w:p w:rsidR="00000000" w:rsidRDefault="00E54EC0">
      <w:pPr>
        <w:ind w:hanging="360"/>
        <w:jc w:val="both"/>
        <w:divId w:val="1140682876"/>
        <w:rPr>
          <w:rFonts w:eastAsia="Times New Roman"/>
        </w:rPr>
      </w:pPr>
      <w:r>
        <w:rPr>
          <w:rFonts w:eastAsia="Times New Roman"/>
          <w:color w:val="000000"/>
          <w:sz w:val="20"/>
          <w:szCs w:val="20"/>
        </w:rPr>
        <w:t>•Participating traditional life insurance future policy benefit liabilities are calculated using a</w:t>
      </w:r>
      <w:r>
        <w:rPr>
          <w:rFonts w:eastAsia="Times New Roman"/>
          <w:color w:val="000000"/>
          <w:sz w:val="20"/>
          <w:szCs w:val="20"/>
        </w:rPr>
        <w:t xml:space="preserve"> net level premium method on the basis of actuarial assumptions equal to guaranteed mortality and dividend fund interest rates.</w:t>
      </w:r>
    </w:p>
    <w:p w:rsidR="00000000" w:rsidRDefault="00E54EC0">
      <w:pPr>
        <w:ind w:hanging="360"/>
        <w:divId w:val="1591352413"/>
        <w:rPr>
          <w:rFonts w:eastAsia="Times New Roman"/>
        </w:rPr>
      </w:pPr>
      <w:r>
        <w:rPr>
          <w:rFonts w:eastAsia="Times New Roman"/>
          <w:color w:val="000000"/>
          <w:sz w:val="20"/>
          <w:szCs w:val="20"/>
        </w:rPr>
        <w:t>•Non-participating traditional life insurance future policy benefit liabilities are estimated using a net level premium method o</w:t>
      </w:r>
      <w:r>
        <w:rPr>
          <w:rFonts w:eastAsia="Times New Roman"/>
          <w:color w:val="000000"/>
          <w:sz w:val="20"/>
          <w:szCs w:val="20"/>
        </w:rPr>
        <w:t>n the basis of actuarial assumptions as to mortality, persistency and interest.</w:t>
      </w:r>
    </w:p>
    <w:p w:rsidR="00000000" w:rsidRDefault="00E54EC0">
      <w:pPr>
        <w:ind w:firstLine="360"/>
        <w:divId w:val="705104718"/>
        <w:rPr>
          <w:rFonts w:eastAsia="Times New Roman"/>
        </w:rPr>
      </w:pPr>
      <w:r>
        <w:rPr>
          <w:rFonts w:eastAsia="Times New Roman"/>
          <w:color w:val="000000"/>
          <w:sz w:val="20"/>
          <w:szCs w:val="20"/>
        </w:rPr>
        <w:t>For most long-duration contracts, we utilize best estimate assumptions as of the date the policy is issued or acquired with provisions for the risk of adverse deviation, as app</w:t>
      </w:r>
      <w:r>
        <w:rPr>
          <w:rFonts w:eastAsia="Times New Roman"/>
          <w:color w:val="000000"/>
          <w:sz w:val="20"/>
          <w:szCs w:val="20"/>
        </w:rPr>
        <w:t>ropriate. After the liabilities are initially established, we perform premium deficiency tests using best estimate assumptions as of the testing date without provisions for adverse deviation. If the liabilities determined based on these best estimate assum</w:t>
      </w:r>
      <w:r>
        <w:rPr>
          <w:rFonts w:eastAsia="Times New Roman"/>
          <w:color w:val="000000"/>
          <w:sz w:val="20"/>
          <w:szCs w:val="20"/>
        </w:rPr>
        <w:t>ptions are greater than the net reserves (i.e., U.S. GAAP reserves net of any DAC or DSI), the existing net reserves are adjusted by first reducing the DAC or DSI by the amount of the deficiency or to zero through a charge to current period earnings. If th</w:t>
      </w:r>
      <w:r>
        <w:rPr>
          <w:rFonts w:eastAsia="Times New Roman"/>
          <w:color w:val="000000"/>
          <w:sz w:val="20"/>
          <w:szCs w:val="20"/>
        </w:rPr>
        <w:t xml:space="preserve">e deficiency is more than these asset balances for insurance contracts, we then increase the net reserves by the excess, again through a charge to current period earnings. If a premium deficiency is recognized, the assumptions as of the premium deficiency </w:t>
      </w:r>
      <w:r>
        <w:rPr>
          <w:rFonts w:eastAsia="Times New Roman"/>
          <w:color w:val="000000"/>
          <w:sz w:val="20"/>
          <w:szCs w:val="20"/>
        </w:rPr>
        <w:t>test date are locked in and used in subsequent valuations and the net reserves continue to be subject to premium deficiency testing.</w:t>
      </w:r>
    </w:p>
    <w:p w:rsidR="00000000" w:rsidRDefault="00E54EC0">
      <w:pPr>
        <w:ind w:firstLine="360"/>
        <w:divId w:val="1093432322"/>
        <w:rPr>
          <w:rFonts w:eastAsia="Times New Roman"/>
        </w:rPr>
      </w:pPr>
      <w:r>
        <w:rPr>
          <w:rFonts w:eastAsia="Times New Roman"/>
          <w:color w:val="000000"/>
          <w:sz w:val="20"/>
          <w:szCs w:val="20"/>
        </w:rPr>
        <w:t>For certain reserves, such as those related to GMDB and GMIB features, we use current best estimate assumptions in establis</w:t>
      </w:r>
      <w:r>
        <w:rPr>
          <w:rFonts w:eastAsia="Times New Roman"/>
          <w:color w:val="000000"/>
          <w:sz w:val="20"/>
          <w:szCs w:val="20"/>
        </w:rPr>
        <w:t>hing reserves. The reserves are subject to adjustments based on periodic reviews of assumptions and quarterly adjustments for experience, including market performance, and the reserves may be adjusted through a benefit or charge to current period earnings.</w:t>
      </w:r>
    </w:p>
    <w:p w:rsidR="00000000" w:rsidRDefault="00E54EC0">
      <w:pPr>
        <w:jc w:val="center"/>
        <w:divId w:val="514424212"/>
        <w:rPr>
          <w:rFonts w:eastAsia="Times New Roman"/>
        </w:rPr>
      </w:pPr>
      <w:r>
        <w:rPr>
          <w:rFonts w:eastAsia="Times New Roman"/>
          <w:color w:val="000000"/>
          <w:sz w:val="20"/>
          <w:szCs w:val="20"/>
        </w:rPr>
        <w:t>110</w:t>
      </w:r>
    </w:p>
    <w:p w:rsidR="00000000" w:rsidRDefault="00E54EC0">
      <w:pPr>
        <w:rPr>
          <w:rFonts w:eastAsia="Times New Roman"/>
        </w:rPr>
      </w:pPr>
      <w:r>
        <w:rPr>
          <w:rFonts w:eastAsia="Times New Roman"/>
        </w:rPr>
        <w:pict>
          <v:rect id="_x0000_i1148" style="width:0;height:1.5pt" o:hralign="center" o:hrstd="t" o:hr="t" fillcolor="#a0a0a0" stroked="f"/>
        </w:pict>
      </w:r>
    </w:p>
    <w:p w:rsidR="00000000" w:rsidRDefault="00E54EC0">
      <w:pPr>
        <w:divId w:val="728648169"/>
        <w:rPr>
          <w:rFonts w:eastAsia="Times New Roman"/>
        </w:rPr>
      </w:pPr>
    </w:p>
    <w:p w:rsidR="00000000" w:rsidRDefault="00E54EC0">
      <w:pPr>
        <w:ind w:firstLine="360"/>
        <w:divId w:val="164395820"/>
        <w:rPr>
          <w:rFonts w:eastAsia="Times New Roman"/>
        </w:rPr>
      </w:pPr>
      <w:r>
        <w:rPr>
          <w:rFonts w:eastAsia="Times New Roman"/>
          <w:color w:val="000000"/>
          <w:sz w:val="20"/>
          <w:szCs w:val="20"/>
        </w:rPr>
        <w:t>For certain GMxB features in our Individual Retirement segment, the benefits are accounted for as embedded derivatives, with fair values calculated as the present value of expected future benefit payments to cont</w:t>
      </w:r>
      <w:r>
        <w:rPr>
          <w:rFonts w:eastAsia="Times New Roman"/>
          <w:color w:val="000000"/>
          <w:sz w:val="20"/>
          <w:szCs w:val="20"/>
        </w:rPr>
        <w:t>ract holders less the present value of assessed rider fees attributable to the embedded derivative feature. Under U.S. GAAP, the fair values of these benefit features are based on assumptions a market participant would use in valuing these embedded derivat</w:t>
      </w:r>
      <w:r>
        <w:rPr>
          <w:rFonts w:eastAsia="Times New Roman"/>
          <w:color w:val="000000"/>
          <w:sz w:val="20"/>
          <w:szCs w:val="20"/>
        </w:rPr>
        <w:t>ives. Changes in the fair value of the embedded derivatives are recorded quarterly through a benefit or charge to current period earnings.</w:t>
      </w:r>
    </w:p>
    <w:p w:rsidR="00000000" w:rsidRDefault="00E54EC0">
      <w:pPr>
        <w:ind w:firstLine="360"/>
        <w:divId w:val="2068070903"/>
        <w:rPr>
          <w:rFonts w:eastAsia="Times New Roman"/>
        </w:rPr>
      </w:pPr>
      <w:r>
        <w:rPr>
          <w:rFonts w:eastAsia="Times New Roman"/>
          <w:color w:val="000000"/>
          <w:sz w:val="20"/>
          <w:szCs w:val="20"/>
        </w:rPr>
        <w:t>The assumptions used in establishing reserves are generally based on our experience, industry experience and/or other</w:t>
      </w:r>
      <w:r>
        <w:rPr>
          <w:rFonts w:eastAsia="Times New Roman"/>
          <w:color w:val="000000"/>
          <w:sz w:val="20"/>
          <w:szCs w:val="20"/>
        </w:rPr>
        <w:t xml:space="preserve"> factors, as applicable. We typically update our actuarial assumptions, such as mortality, morbidity, retirement and policyholder behavior assumptions, annually, unless a material change is observed in an interim period that we feel is indicative of a long</w:t>
      </w:r>
      <w:r>
        <w:rPr>
          <w:rFonts w:eastAsia="Times New Roman"/>
          <w:color w:val="000000"/>
          <w:sz w:val="20"/>
          <w:szCs w:val="20"/>
        </w:rPr>
        <w:t>-term trend. Generally, we do not expect trends to change significantly in the short-term and, to the extent these trends may change, we expect such changes to be gradual over the long-term. In a sustained low interest rate environment, there is an increas</w:t>
      </w:r>
      <w:r>
        <w:rPr>
          <w:rFonts w:eastAsia="Times New Roman"/>
          <w:color w:val="000000"/>
          <w:sz w:val="20"/>
          <w:szCs w:val="20"/>
        </w:rPr>
        <w:t>ed likelihood that the reserves determined based on best estimate assumptions may be greater than the net liabilities.</w:t>
      </w:r>
    </w:p>
    <w:p w:rsidR="00000000" w:rsidRDefault="00E54EC0">
      <w:pPr>
        <w:ind w:firstLine="360"/>
        <w:divId w:val="1054617401"/>
        <w:rPr>
          <w:rFonts w:eastAsia="Times New Roman"/>
        </w:rPr>
      </w:pPr>
      <w:r>
        <w:rPr>
          <w:rFonts w:eastAsia="Times New Roman"/>
          <w:color w:val="000000"/>
          <w:sz w:val="20"/>
          <w:szCs w:val="20"/>
        </w:rPr>
        <w:t>See Note 2 of the Notes to the Consolidated Financial Statements for additional information on our accounting policy relating to GMxB fea</w:t>
      </w:r>
      <w:r>
        <w:rPr>
          <w:rFonts w:eastAsia="Times New Roman"/>
          <w:color w:val="000000"/>
          <w:sz w:val="20"/>
          <w:szCs w:val="20"/>
        </w:rPr>
        <w:t>tures and liability for future policy benefits and Note 9 of the Notes to the Consolidated Financial Statements for future policyholder benefit liabilities.</w:t>
      </w:r>
    </w:p>
    <w:p w:rsidR="00000000" w:rsidRDefault="00E54EC0">
      <w:pPr>
        <w:divId w:val="969870277"/>
        <w:rPr>
          <w:rFonts w:eastAsia="Times New Roman"/>
        </w:rPr>
      </w:pPr>
      <w:r>
        <w:rPr>
          <w:rFonts w:eastAsia="Times New Roman"/>
          <w:i/>
          <w:iCs/>
          <w:color w:val="000000"/>
          <w:sz w:val="20"/>
          <w:szCs w:val="20"/>
          <w:u w:val="single"/>
        </w:rPr>
        <w:t>Sensitivity of Future Rate of Return Assumptions on GMDB/GMIB Reserves</w:t>
      </w:r>
    </w:p>
    <w:p w:rsidR="00000000" w:rsidRDefault="00E54EC0">
      <w:pPr>
        <w:ind w:firstLine="360"/>
        <w:divId w:val="2109809108"/>
        <w:rPr>
          <w:rFonts w:eastAsia="Times New Roman"/>
        </w:rPr>
      </w:pPr>
      <w:r>
        <w:rPr>
          <w:rFonts w:eastAsia="Times New Roman"/>
          <w:color w:val="000000"/>
          <w:sz w:val="20"/>
          <w:szCs w:val="20"/>
        </w:rPr>
        <w:t>The Separate Account future rate of return assumptions that are used in establishing reserves for GMxB features are set using a long term-view of expected average market returns by applying a reversion to the mean approach, consistent with that used for DA</w:t>
      </w:r>
      <w:r>
        <w:rPr>
          <w:rFonts w:eastAsia="Times New Roman"/>
          <w:color w:val="000000"/>
          <w:sz w:val="20"/>
          <w:szCs w:val="20"/>
        </w:rPr>
        <w:t>C amortization. For additional information regarding the future expected rate of return assumptions and the reversion to the mean approach, see Note 7 of the Notes to the Consolidated Financial Statements.</w:t>
      </w:r>
    </w:p>
    <w:p w:rsidR="00000000" w:rsidRDefault="00E54EC0">
      <w:pPr>
        <w:ind w:firstLine="360"/>
        <w:divId w:val="1581863755"/>
        <w:rPr>
          <w:rFonts w:eastAsia="Times New Roman"/>
        </w:rPr>
      </w:pPr>
      <w:r>
        <w:rPr>
          <w:rFonts w:eastAsia="Times New Roman"/>
          <w:color w:val="000000"/>
          <w:sz w:val="20"/>
          <w:szCs w:val="20"/>
        </w:rPr>
        <w:t>The GMDB/GMIB reserve balance before reinsurance c</w:t>
      </w:r>
      <w:r>
        <w:rPr>
          <w:rFonts w:eastAsia="Times New Roman"/>
          <w:color w:val="000000"/>
          <w:sz w:val="20"/>
          <w:szCs w:val="20"/>
        </w:rPr>
        <w:t>eded was $10.9 billion as of December 31, 2022. The following table provides the sensitivity of the reserves GMxB features related to variable annuity contracts relative to the future rate of return assumptions by quantifying the adjustments to these reser</w:t>
      </w:r>
      <w:r>
        <w:rPr>
          <w:rFonts w:eastAsia="Times New Roman"/>
          <w:color w:val="000000"/>
          <w:sz w:val="20"/>
          <w:szCs w:val="20"/>
        </w:rPr>
        <w:t>ves that would be required assuming both a 1% increase and decrease in the future rate of return. This sensitivity considers only the direct effect of changes in the future rate of return on operating results due to the change in the reserve balance before</w:t>
      </w:r>
      <w:r>
        <w:rPr>
          <w:rFonts w:eastAsia="Times New Roman"/>
          <w:color w:val="000000"/>
          <w:sz w:val="20"/>
          <w:szCs w:val="20"/>
        </w:rPr>
        <w:t xml:space="preserve"> reinsurance ceded and not changes in any other assumptions such as persistency, mortality, or expenses included in the evaluation of the reserves, or any changes on DAC or other balances including hedging derivatives and the GMIB reinsurance asset.</w:t>
      </w:r>
    </w:p>
    <w:p w:rsidR="00000000" w:rsidRDefault="00E54EC0">
      <w:pPr>
        <w:jc w:val="center"/>
        <w:rPr>
          <w:rFonts w:eastAsia="Times New Roman"/>
        </w:rPr>
      </w:pPr>
      <w:r>
        <w:rPr>
          <w:rFonts w:eastAsia="Times New Roman"/>
          <w:b/>
          <w:bCs/>
          <w:color w:val="000000"/>
          <w:sz w:val="20"/>
          <w:szCs w:val="20"/>
        </w:rPr>
        <w:t>GMDB/G</w:t>
      </w:r>
      <w:r>
        <w:rPr>
          <w:rFonts w:eastAsia="Times New Roman"/>
          <w:b/>
          <w:bCs/>
          <w:color w:val="000000"/>
          <w:sz w:val="20"/>
          <w:szCs w:val="20"/>
        </w:rPr>
        <w:t>MIB Reserves</w:t>
      </w:r>
    </w:p>
    <w:p w:rsidR="00000000" w:rsidRDefault="00E54EC0">
      <w:pPr>
        <w:jc w:val="center"/>
        <w:rPr>
          <w:rFonts w:eastAsia="Times New Roman"/>
        </w:rPr>
      </w:pPr>
      <w:r>
        <w:rPr>
          <w:rFonts w:eastAsia="Times New Roman"/>
          <w:b/>
          <w:bCs/>
          <w:color w:val="000000"/>
          <w:sz w:val="20"/>
          <w:szCs w:val="20"/>
        </w:rPr>
        <w:t>Sensitivity - Rate of Return</w:t>
      </w:r>
    </w:p>
    <w:p w:rsidR="00000000" w:rsidRDefault="00E54EC0">
      <w:pPr>
        <w:jc w:val="center"/>
        <w:divId w:val="43019309"/>
        <w:rPr>
          <w:rFonts w:eastAsia="Times New Roman"/>
        </w:rPr>
      </w:pPr>
      <w:r>
        <w:rPr>
          <w:rFonts w:eastAsia="Times New Roman"/>
          <w:b/>
          <w:bCs/>
          <w:color w:val="000000"/>
          <w:sz w:val="20"/>
          <w:szCs w:val="20"/>
        </w:rPr>
        <w:t xml:space="preserve">December 31, 2022 </w:t>
      </w:r>
    </w:p>
    <w:tbl>
      <w:tblPr>
        <w:tblW w:w="4992" w:type="pct"/>
        <w:tblCellMar>
          <w:top w:w="15" w:type="dxa"/>
          <w:left w:w="15" w:type="dxa"/>
          <w:bottom w:w="15" w:type="dxa"/>
          <w:right w:w="15" w:type="dxa"/>
        </w:tblCellMar>
        <w:tblLook w:val="04A0" w:firstRow="1" w:lastRow="0" w:firstColumn="1" w:lastColumn="0" w:noHBand="0" w:noVBand="1"/>
      </w:tblPr>
      <w:tblGrid>
        <w:gridCol w:w="52"/>
        <w:gridCol w:w="6192"/>
        <w:gridCol w:w="36"/>
        <w:gridCol w:w="121"/>
        <w:gridCol w:w="1856"/>
        <w:gridCol w:w="36"/>
      </w:tblGrid>
      <w:tr w:rsidR="00000000">
        <w:trPr>
          <w:divId w:val="1683123842"/>
        </w:trPr>
        <w:tc>
          <w:tcPr>
            <w:tcW w:w="50" w:type="pct"/>
            <w:vAlign w:val="center"/>
            <w:hideMark/>
          </w:tcPr>
          <w:p w:rsidR="00000000" w:rsidRDefault="00E54EC0">
            <w:pPr>
              <w:jc w:val="center"/>
              <w:rPr>
                <w:rFonts w:eastAsia="Times New Roman"/>
              </w:rPr>
            </w:pPr>
          </w:p>
        </w:tc>
        <w:tc>
          <w:tcPr>
            <w:tcW w:w="37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8312384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Increase/(Decrease) in</w:t>
            </w:r>
          </w:p>
          <w:p w:rsidR="00000000" w:rsidRDefault="00E54EC0">
            <w:pPr>
              <w:spacing w:after="100"/>
              <w:jc w:val="center"/>
              <w:rPr>
                <w:rFonts w:eastAsia="Times New Roman"/>
              </w:rPr>
            </w:pPr>
            <w:r>
              <w:rPr>
                <w:rFonts w:eastAsia="Times New Roman"/>
                <w:b/>
                <w:bCs/>
                <w:color w:val="000000"/>
                <w:sz w:val="16"/>
                <w:szCs w:val="16"/>
              </w:rPr>
              <w:t>GMDB/GMIB Reserves    </w:t>
            </w:r>
          </w:p>
        </w:tc>
      </w:tr>
      <w:tr w:rsidR="00000000">
        <w:trPr>
          <w:divId w:val="168312384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68312384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 decrease in future rate of return</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312384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 increase in future rate of return</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(1,583)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682824942"/>
        <w:rPr>
          <w:rFonts w:eastAsia="Times New Roman"/>
        </w:rPr>
      </w:pPr>
      <w:r>
        <w:rPr>
          <w:rFonts w:eastAsia="Times New Roman"/>
          <w:i/>
          <w:iCs/>
          <w:color w:val="000000"/>
          <w:sz w:val="20"/>
          <w:szCs w:val="20"/>
          <w:u w:val="single"/>
        </w:rPr>
        <w:t>Traditional Annuities</w:t>
      </w:r>
    </w:p>
    <w:p w:rsidR="00000000" w:rsidRDefault="00E54EC0">
      <w:pPr>
        <w:ind w:firstLine="360"/>
        <w:divId w:val="3821750"/>
        <w:rPr>
          <w:rFonts w:eastAsia="Times New Roman"/>
        </w:rPr>
      </w:pPr>
      <w:r>
        <w:rPr>
          <w:rFonts w:eastAsia="Times New Roman"/>
          <w:color w:val="000000"/>
          <w:sz w:val="20"/>
          <w:szCs w:val="20"/>
        </w:rPr>
        <w:t>The reserves for future policy benefits for annuities include group pension and payout annuities, and, during the accumulation period, are equal to accumulated policyholders’ fund balances and, after annuitization, are equal to the present value of expecte</w:t>
      </w:r>
      <w:r>
        <w:rPr>
          <w:rFonts w:eastAsia="Times New Roman"/>
          <w:color w:val="000000"/>
          <w:sz w:val="20"/>
          <w:szCs w:val="20"/>
        </w:rPr>
        <w:t>d future payments based on assumptions as to mortality, retirement, maintenance expense, and interest rates. Interest rates used in establishing such liabilities range from 1.5% to 5.4% (weighted average of 3.6%). If reserves determined based on these assu</w:t>
      </w:r>
      <w:r>
        <w:rPr>
          <w:rFonts w:eastAsia="Times New Roman"/>
          <w:color w:val="000000"/>
          <w:sz w:val="20"/>
          <w:szCs w:val="20"/>
        </w:rPr>
        <w:t>mptions are greater than the existing reserves, the existing reserves are adjusted to the greater amount.</w:t>
      </w:r>
    </w:p>
    <w:p w:rsidR="00000000" w:rsidRDefault="00E54EC0">
      <w:pPr>
        <w:divId w:val="1719822654"/>
        <w:rPr>
          <w:rFonts w:eastAsia="Times New Roman"/>
        </w:rPr>
      </w:pPr>
      <w:r>
        <w:rPr>
          <w:rFonts w:eastAsia="Times New Roman"/>
          <w:i/>
          <w:iCs/>
          <w:color w:val="000000"/>
          <w:sz w:val="20"/>
          <w:szCs w:val="20"/>
          <w:u w:val="single"/>
        </w:rPr>
        <w:t>Health</w:t>
      </w:r>
    </w:p>
    <w:p w:rsidR="00000000" w:rsidRDefault="00E54EC0">
      <w:pPr>
        <w:ind w:firstLine="360"/>
        <w:divId w:val="294870247"/>
        <w:rPr>
          <w:rFonts w:eastAsia="Times New Roman"/>
        </w:rPr>
      </w:pPr>
      <w:r>
        <w:rPr>
          <w:rFonts w:eastAsia="Times New Roman"/>
          <w:color w:val="000000"/>
          <w:sz w:val="20"/>
          <w:szCs w:val="20"/>
        </w:rPr>
        <w:t>Individual health benefit liabilities for active lives are estimated using the net level premium method and assumptions as to future morbidity,</w:t>
      </w:r>
      <w:r>
        <w:rPr>
          <w:rFonts w:eastAsia="Times New Roman"/>
          <w:color w:val="000000"/>
          <w:sz w:val="20"/>
          <w:szCs w:val="20"/>
        </w:rPr>
        <w:t xml:space="preserve"> withdrawals and interest. Benefit liabilities for disabled lives are estimated using the present value of benefits method and experience assumptions as to claim terminations, expenses and interest.</w:t>
      </w:r>
    </w:p>
    <w:p w:rsidR="00000000" w:rsidRDefault="00E54EC0">
      <w:pPr>
        <w:jc w:val="both"/>
        <w:divId w:val="716202877"/>
        <w:rPr>
          <w:rFonts w:eastAsia="Times New Roman"/>
        </w:rPr>
      </w:pPr>
      <w:r>
        <w:rPr>
          <w:rFonts w:eastAsia="Times New Roman"/>
          <w:b/>
          <w:bCs/>
          <w:i/>
          <w:iCs/>
          <w:color w:val="000000"/>
          <w:sz w:val="20"/>
          <w:szCs w:val="20"/>
        </w:rPr>
        <w:t xml:space="preserve">Reinsurance </w:t>
      </w:r>
    </w:p>
    <w:p w:rsidR="00000000" w:rsidRDefault="00E54EC0">
      <w:pPr>
        <w:jc w:val="center"/>
        <w:divId w:val="1234243480"/>
        <w:rPr>
          <w:rFonts w:eastAsia="Times New Roman"/>
        </w:rPr>
      </w:pPr>
      <w:r>
        <w:rPr>
          <w:rFonts w:eastAsia="Times New Roman"/>
          <w:color w:val="000000"/>
          <w:sz w:val="20"/>
          <w:szCs w:val="20"/>
        </w:rPr>
        <w:t>111</w:t>
      </w:r>
    </w:p>
    <w:p w:rsidR="00000000" w:rsidRDefault="00E54EC0">
      <w:pPr>
        <w:rPr>
          <w:rFonts w:eastAsia="Times New Roman"/>
        </w:rPr>
      </w:pPr>
      <w:r>
        <w:rPr>
          <w:rFonts w:eastAsia="Times New Roman"/>
        </w:rPr>
        <w:pict>
          <v:rect id="_x0000_i1149" style="width:0;height:1.5pt" o:hralign="center" o:hrstd="t" o:hr="t" fillcolor="#a0a0a0" stroked="f"/>
        </w:pict>
      </w:r>
    </w:p>
    <w:p w:rsidR="00000000" w:rsidRDefault="00E54EC0">
      <w:pPr>
        <w:divId w:val="1399130980"/>
        <w:rPr>
          <w:rFonts w:eastAsia="Times New Roman"/>
        </w:rPr>
      </w:pPr>
    </w:p>
    <w:p w:rsidR="00000000" w:rsidRDefault="00E54EC0">
      <w:pPr>
        <w:ind w:firstLine="360"/>
        <w:divId w:val="28115153"/>
        <w:rPr>
          <w:rFonts w:eastAsia="Times New Roman"/>
        </w:rPr>
      </w:pPr>
      <w:r>
        <w:rPr>
          <w:rFonts w:eastAsia="Times New Roman"/>
          <w:color w:val="000000"/>
          <w:sz w:val="20"/>
          <w:szCs w:val="20"/>
        </w:rPr>
        <w:t>Ac</w:t>
      </w:r>
      <w:r>
        <w:rPr>
          <w:rFonts w:eastAsia="Times New Roman"/>
          <w:color w:val="000000"/>
          <w:sz w:val="20"/>
          <w:szCs w:val="20"/>
        </w:rPr>
        <w:t>counting for reinsurance requires extensive use of assumptions and estimates, particularly related to the future performance of the underlying business and the potential impact of counterparty credit risk with respect to reinsurance receivables. We periodi</w:t>
      </w:r>
      <w:r>
        <w:rPr>
          <w:rFonts w:eastAsia="Times New Roman"/>
          <w:color w:val="000000"/>
          <w:sz w:val="20"/>
          <w:szCs w:val="20"/>
        </w:rPr>
        <w:t>cally review actual and anticipated experience compared to the aforementioned assumptions used to establish assets and liabilities relating to ceded and assumed reinsurance and evaluate the financial strength of counterparties to our reinsurance agreements</w:t>
      </w:r>
      <w:r>
        <w:rPr>
          <w:rFonts w:eastAsia="Times New Roman"/>
          <w:color w:val="000000"/>
          <w:sz w:val="20"/>
          <w:szCs w:val="20"/>
        </w:rPr>
        <w:t xml:space="preserve"> using criteria similar to those evaluated in our security impairment process. See “—Estimated Fair Value of Investments.” Additionally, for each of our reinsurance agreements, we determine whether the agreement provides indemnification against loss or lia</w:t>
      </w:r>
      <w:r>
        <w:rPr>
          <w:rFonts w:eastAsia="Times New Roman"/>
          <w:color w:val="000000"/>
          <w:sz w:val="20"/>
          <w:szCs w:val="20"/>
        </w:rPr>
        <w:t>bility relating to insurance risk, in accordance with applicable accounting standards. We review all contractual features, including those that may limit the amount of insurance risk to which the reinsurer is subject or features that delay the timely reimb</w:t>
      </w:r>
      <w:r>
        <w:rPr>
          <w:rFonts w:eastAsia="Times New Roman"/>
          <w:color w:val="000000"/>
          <w:sz w:val="20"/>
          <w:szCs w:val="20"/>
        </w:rPr>
        <w:t xml:space="preserve">ursement of claims. If we determine that a reinsurance agreement does not expose the reinsurer to a reasonable possibility of a significant loss from insurance risk, we record the agreement using the deposit method of accounting. </w:t>
      </w:r>
    </w:p>
    <w:p w:rsidR="00000000" w:rsidRDefault="00E54EC0">
      <w:pPr>
        <w:ind w:firstLine="360"/>
        <w:divId w:val="1326206964"/>
        <w:rPr>
          <w:rFonts w:eastAsia="Times New Roman"/>
        </w:rPr>
      </w:pPr>
      <w:r>
        <w:rPr>
          <w:rFonts w:eastAsia="Times New Roman"/>
          <w:color w:val="000000"/>
          <w:sz w:val="20"/>
          <w:szCs w:val="20"/>
        </w:rPr>
        <w:t>For reinsurance contracts</w:t>
      </w:r>
      <w:r>
        <w:rPr>
          <w:rFonts w:eastAsia="Times New Roman"/>
          <w:color w:val="000000"/>
          <w:sz w:val="20"/>
          <w:szCs w:val="20"/>
        </w:rPr>
        <w:t xml:space="preserve"> other than those covering GMIB exposure, reinsurance recoverable balances are calculated using methodologies and assumptions that are consistent with those used to calculate the direct liabilities. GMIB reinsurance contracts are used to cede affiliated an</w:t>
      </w:r>
      <w:r>
        <w:rPr>
          <w:rFonts w:eastAsia="Times New Roman"/>
          <w:color w:val="000000"/>
          <w:sz w:val="20"/>
          <w:szCs w:val="20"/>
        </w:rPr>
        <w:t xml:space="preserve">d non-affiliated reinsurers a portion of the exposure on variable annuity products that offer the GMIB feature. The GMIB reinsurance contracts are accounted for as derivatives and are reported at fair value. Gross reserves for GMIB, on the other hand, are </w:t>
      </w:r>
      <w:r>
        <w:rPr>
          <w:rFonts w:eastAsia="Times New Roman"/>
          <w:color w:val="000000"/>
          <w:sz w:val="20"/>
          <w:szCs w:val="20"/>
        </w:rPr>
        <w:t>calculated on the basis of assumptions related to projected benefits and related contract charges over the lives of the contracts, therefore, will not immediately reflect the offsetting impact on future claims exposure resulting from the same capital marke</w:t>
      </w:r>
      <w:r>
        <w:rPr>
          <w:rFonts w:eastAsia="Times New Roman"/>
          <w:color w:val="000000"/>
          <w:sz w:val="20"/>
          <w:szCs w:val="20"/>
        </w:rPr>
        <w:t>t and/or interest rate fluctuations that cause gains or losses on the fair value of the GMIB reinsurance contracts.</w:t>
      </w:r>
    </w:p>
    <w:p w:rsidR="00000000" w:rsidRDefault="00E54EC0">
      <w:pPr>
        <w:ind w:firstLine="360"/>
        <w:divId w:val="1665743544"/>
        <w:rPr>
          <w:rFonts w:eastAsia="Times New Roman"/>
        </w:rPr>
      </w:pPr>
      <w:r>
        <w:rPr>
          <w:rFonts w:eastAsia="Times New Roman"/>
          <w:color w:val="000000"/>
          <w:sz w:val="20"/>
          <w:szCs w:val="20"/>
        </w:rPr>
        <w:t>See Note 11 of the Notes to the Consolidated Financial Statements for additional information on our reinsurance.</w:t>
      </w:r>
    </w:p>
    <w:p w:rsidR="00000000" w:rsidRDefault="00E54EC0">
      <w:pPr>
        <w:jc w:val="both"/>
        <w:divId w:val="1275405892"/>
        <w:rPr>
          <w:rFonts w:eastAsia="Times New Roman"/>
        </w:rPr>
      </w:pPr>
      <w:r>
        <w:rPr>
          <w:rFonts w:eastAsia="Times New Roman"/>
          <w:b/>
          <w:bCs/>
          <w:i/>
          <w:iCs/>
          <w:color w:val="000000"/>
          <w:sz w:val="20"/>
          <w:szCs w:val="20"/>
        </w:rPr>
        <w:t>DAC</w:t>
      </w:r>
    </w:p>
    <w:p w:rsidR="00000000" w:rsidRDefault="00E54EC0">
      <w:pPr>
        <w:ind w:firstLine="360"/>
        <w:divId w:val="265381874"/>
        <w:rPr>
          <w:rFonts w:eastAsia="Times New Roman"/>
        </w:rPr>
      </w:pPr>
      <w:r>
        <w:rPr>
          <w:rFonts w:eastAsia="Times New Roman"/>
          <w:color w:val="000000"/>
          <w:sz w:val="20"/>
          <w:szCs w:val="20"/>
        </w:rPr>
        <w:t>We incur significant co</w:t>
      </w:r>
      <w:r>
        <w:rPr>
          <w:rFonts w:eastAsia="Times New Roman"/>
          <w:color w:val="000000"/>
          <w:sz w:val="20"/>
          <w:szCs w:val="20"/>
        </w:rPr>
        <w:t>sts in connection with acquiring new and renewal insurance business. Costs that relate directly to the successful acquisition or renewal of insurance contracts, are deferred as DAC. In addition to commissions, certain direct-response advertising expenses a</w:t>
      </w:r>
      <w:r>
        <w:rPr>
          <w:rFonts w:eastAsia="Times New Roman"/>
          <w:color w:val="000000"/>
          <w:sz w:val="20"/>
          <w:szCs w:val="20"/>
        </w:rPr>
        <w:t>nd other direct costs, other deferrable costs include the portion of an employee’s total compensation and benefits related to time spent selling, underwriting or processing the issuance of new and renewal insurance business only with respect to actual poli</w:t>
      </w:r>
      <w:r>
        <w:rPr>
          <w:rFonts w:eastAsia="Times New Roman"/>
          <w:color w:val="000000"/>
          <w:sz w:val="20"/>
          <w:szCs w:val="20"/>
        </w:rPr>
        <w:t>cies acquired or renewed. We utilize various techniques to estimate the portion of an employee’s time spent on qualifying acquisition activities that result in actual sales, including surveys, interviews, representative time studies and other methods. Thes</w:t>
      </w:r>
      <w:r>
        <w:rPr>
          <w:rFonts w:eastAsia="Times New Roman"/>
          <w:color w:val="000000"/>
          <w:sz w:val="20"/>
          <w:szCs w:val="20"/>
        </w:rPr>
        <w:t xml:space="preserve">e estimates include assumptions that are reviewed and updated on a periodic basis or more frequently to reflect significant changes in processes or distribution methods. </w:t>
      </w:r>
    </w:p>
    <w:p w:rsidR="00000000" w:rsidRDefault="00E54EC0">
      <w:pPr>
        <w:divId w:val="1682587739"/>
        <w:rPr>
          <w:rFonts w:eastAsia="Times New Roman"/>
        </w:rPr>
      </w:pPr>
      <w:r>
        <w:rPr>
          <w:rFonts w:eastAsia="Times New Roman"/>
          <w:i/>
          <w:iCs/>
          <w:color w:val="000000"/>
          <w:sz w:val="20"/>
          <w:szCs w:val="20"/>
          <w:u w:val="single"/>
        </w:rPr>
        <w:t>Amortization Methodologies</w:t>
      </w:r>
    </w:p>
    <w:p w:rsidR="00000000" w:rsidRDefault="00E54EC0">
      <w:pPr>
        <w:divId w:val="1956129266"/>
        <w:rPr>
          <w:rFonts w:eastAsia="Times New Roman"/>
        </w:rPr>
      </w:pPr>
      <w:r>
        <w:rPr>
          <w:rFonts w:eastAsia="Times New Roman"/>
          <w:b/>
          <w:bCs/>
          <w:color w:val="000000"/>
          <w:sz w:val="20"/>
          <w:szCs w:val="20"/>
        </w:rPr>
        <w:t>Participating Traditional Life Policies</w:t>
      </w:r>
    </w:p>
    <w:p w:rsidR="00000000" w:rsidRDefault="00E54EC0">
      <w:pPr>
        <w:ind w:firstLine="360"/>
        <w:divId w:val="839345647"/>
        <w:rPr>
          <w:rFonts w:eastAsia="Times New Roman"/>
        </w:rPr>
      </w:pPr>
      <w:r>
        <w:rPr>
          <w:rFonts w:eastAsia="Times New Roman"/>
          <w:color w:val="000000"/>
          <w:sz w:val="20"/>
          <w:szCs w:val="20"/>
        </w:rPr>
        <w:t>For participating traditional life policies (substantially all of which are in the Closed Block), DAC is amortized over the expected total life of the contract group as a constant percentage based on the present valu</w:t>
      </w:r>
      <w:r>
        <w:rPr>
          <w:rFonts w:eastAsia="Times New Roman"/>
          <w:color w:val="000000"/>
          <w:sz w:val="20"/>
          <w:szCs w:val="20"/>
        </w:rPr>
        <w:t>e of the estimated gross margin amounts expected to be realized over the life of the contracts using the expected investment yield.</w:t>
      </w:r>
    </w:p>
    <w:p w:rsidR="00000000" w:rsidRDefault="00E54EC0">
      <w:pPr>
        <w:ind w:firstLine="360"/>
        <w:divId w:val="464006044"/>
        <w:rPr>
          <w:rFonts w:eastAsia="Times New Roman"/>
        </w:rPr>
      </w:pPr>
      <w:r>
        <w:rPr>
          <w:rFonts w:eastAsia="Times New Roman"/>
          <w:color w:val="000000"/>
          <w:sz w:val="20"/>
          <w:szCs w:val="20"/>
        </w:rPr>
        <w:t>As of December 31, 2022, the average rate of investment yields assumed (excluding policy loans) were 4.4% grading to 4.3% in</w:t>
      </w:r>
      <w:r>
        <w:rPr>
          <w:rFonts w:eastAsia="Times New Roman"/>
          <w:color w:val="000000"/>
          <w:sz w:val="20"/>
          <w:szCs w:val="20"/>
        </w:rPr>
        <w:t xml:space="preserve"> 2026. Estimated gross margins include anticipated premiums and investment results less claims and administrative expenses, changes in the net level premium reserve and expected annual policyholder dividends. The effect on the accumulated amortization of D</w:t>
      </w:r>
      <w:r>
        <w:rPr>
          <w:rFonts w:eastAsia="Times New Roman"/>
          <w:color w:val="000000"/>
          <w:sz w:val="20"/>
          <w:szCs w:val="20"/>
        </w:rPr>
        <w:t>AC of revisions to estimated gross margins is reflected in earnings in the period such estimated gross margins are revised. The effect on the DAC assets that would result from realization of unrealized gains (losses) is recognized with an offset to AOCI in</w:t>
      </w:r>
      <w:r>
        <w:rPr>
          <w:rFonts w:eastAsia="Times New Roman"/>
          <w:color w:val="000000"/>
          <w:sz w:val="20"/>
          <w:szCs w:val="20"/>
        </w:rPr>
        <w:t xml:space="preserve"> consolidated equity as of the balance sheet date. Many of the factors that affect gross margins are included in the determination of the Company’s dividends to these policyholders. DAC adjustments related to participating traditional life policies do not </w:t>
      </w:r>
      <w:r>
        <w:rPr>
          <w:rFonts w:eastAsia="Times New Roman"/>
          <w:color w:val="000000"/>
          <w:sz w:val="20"/>
          <w:szCs w:val="20"/>
        </w:rPr>
        <w:t>create significant volatility in results of operations as the Closed Block recognizes a cumulative policyholder dividend obligation expense in “Policyholders’ dividends,” for the excess of actual cumulative earnings over expected cumulative earnings as det</w:t>
      </w:r>
      <w:r>
        <w:rPr>
          <w:rFonts w:eastAsia="Times New Roman"/>
          <w:color w:val="000000"/>
          <w:sz w:val="20"/>
          <w:szCs w:val="20"/>
        </w:rPr>
        <w:t>ermined at the time of demutualization.</w:t>
      </w:r>
    </w:p>
    <w:p w:rsidR="00000000" w:rsidRDefault="00E54EC0">
      <w:pPr>
        <w:divId w:val="94325899"/>
        <w:rPr>
          <w:rFonts w:eastAsia="Times New Roman"/>
        </w:rPr>
      </w:pPr>
      <w:r>
        <w:rPr>
          <w:rFonts w:eastAsia="Times New Roman"/>
          <w:b/>
          <w:bCs/>
          <w:color w:val="000000"/>
          <w:sz w:val="20"/>
          <w:szCs w:val="20"/>
        </w:rPr>
        <w:t>Non-participating Traditional Life Insurance Policies</w:t>
      </w:r>
    </w:p>
    <w:p w:rsidR="00000000" w:rsidRDefault="00E54EC0">
      <w:pPr>
        <w:ind w:firstLine="360"/>
        <w:divId w:val="108012278"/>
        <w:rPr>
          <w:rFonts w:eastAsia="Times New Roman"/>
        </w:rPr>
      </w:pPr>
      <w:r>
        <w:rPr>
          <w:rFonts w:eastAsia="Times New Roman"/>
          <w:color w:val="000000"/>
          <w:sz w:val="20"/>
          <w:szCs w:val="20"/>
        </w:rPr>
        <w:t>DAC associated with non-participating traditional life policies is amortized in proportion to anticipated premiums. Assumptions as to anticipated premiums are est</w:t>
      </w:r>
      <w:r>
        <w:rPr>
          <w:rFonts w:eastAsia="Times New Roman"/>
          <w:color w:val="000000"/>
          <w:sz w:val="20"/>
          <w:szCs w:val="20"/>
        </w:rPr>
        <w:t>imated at the date of policy issue and are consistently applied during the life of the contracts. Deviations from estimated experience are reflected in earnings (loss) in the period such deviations occur. For these contracts, the amortization periods gener</w:t>
      </w:r>
      <w:r>
        <w:rPr>
          <w:rFonts w:eastAsia="Times New Roman"/>
          <w:color w:val="000000"/>
          <w:sz w:val="20"/>
          <w:szCs w:val="20"/>
        </w:rPr>
        <w:t>ally are for the total life of the policy.</w:t>
      </w:r>
    </w:p>
    <w:p w:rsidR="00000000" w:rsidRDefault="00E54EC0">
      <w:pPr>
        <w:jc w:val="center"/>
        <w:divId w:val="1504927674"/>
        <w:rPr>
          <w:rFonts w:eastAsia="Times New Roman"/>
        </w:rPr>
      </w:pPr>
      <w:r>
        <w:rPr>
          <w:rFonts w:eastAsia="Times New Roman"/>
          <w:color w:val="000000"/>
          <w:sz w:val="20"/>
          <w:szCs w:val="20"/>
        </w:rPr>
        <w:t>112</w:t>
      </w:r>
    </w:p>
    <w:p w:rsidR="00000000" w:rsidRDefault="00E54EC0">
      <w:pPr>
        <w:rPr>
          <w:rFonts w:eastAsia="Times New Roman"/>
        </w:rPr>
      </w:pPr>
      <w:r>
        <w:rPr>
          <w:rFonts w:eastAsia="Times New Roman"/>
        </w:rPr>
        <w:pict>
          <v:rect id="_x0000_i1150" style="width:0;height:1.5pt" o:hralign="center" o:hrstd="t" o:hr="t" fillcolor="#a0a0a0" stroked="f"/>
        </w:pict>
      </w:r>
    </w:p>
    <w:p w:rsidR="00000000" w:rsidRDefault="00E54EC0">
      <w:pPr>
        <w:divId w:val="618991668"/>
        <w:rPr>
          <w:rFonts w:eastAsia="Times New Roman"/>
        </w:rPr>
      </w:pPr>
    </w:p>
    <w:p w:rsidR="00000000" w:rsidRDefault="00E54EC0">
      <w:pPr>
        <w:divId w:val="1486434800"/>
        <w:rPr>
          <w:rFonts w:eastAsia="Times New Roman"/>
        </w:rPr>
      </w:pPr>
      <w:r>
        <w:rPr>
          <w:rFonts w:eastAsia="Times New Roman"/>
          <w:b/>
          <w:bCs/>
          <w:color w:val="000000"/>
          <w:sz w:val="20"/>
          <w:szCs w:val="20"/>
        </w:rPr>
        <w:t>Universal Life and Investment-type Contracts</w:t>
      </w:r>
    </w:p>
    <w:p w:rsidR="00000000" w:rsidRDefault="00E54EC0">
      <w:pPr>
        <w:ind w:firstLine="360"/>
        <w:divId w:val="1481732456"/>
        <w:rPr>
          <w:rFonts w:eastAsia="Times New Roman"/>
        </w:rPr>
      </w:pPr>
      <w:r>
        <w:rPr>
          <w:rFonts w:eastAsia="Times New Roman"/>
          <w:color w:val="000000"/>
          <w:sz w:val="20"/>
          <w:szCs w:val="20"/>
        </w:rPr>
        <w:t>DAC associated with certain variable annuity products is amortized based on estimated assessments, with the remainder of vari</w:t>
      </w:r>
      <w:r>
        <w:rPr>
          <w:rFonts w:eastAsia="Times New Roman"/>
          <w:color w:val="000000"/>
          <w:sz w:val="20"/>
          <w:szCs w:val="20"/>
        </w:rPr>
        <w:t>able annuity products, UL and investment-type products amortized over the expected total life of the contract group as a constant percentage of estimated gross profits arising principally from investment results, Separate Account fees, mortality and expens</w:t>
      </w:r>
      <w:r>
        <w:rPr>
          <w:rFonts w:eastAsia="Times New Roman"/>
          <w:color w:val="000000"/>
          <w:sz w:val="20"/>
          <w:szCs w:val="20"/>
        </w:rPr>
        <w:t xml:space="preserve">e margins and surrender charges based on historical and anticipated future experience, updated at the end of each accounting period. When estimated gross profits are expected to be negative for multiple years of a contract life, DAC is amortized using the </w:t>
      </w:r>
      <w:r>
        <w:rPr>
          <w:rFonts w:eastAsia="Times New Roman"/>
          <w:color w:val="000000"/>
          <w:sz w:val="20"/>
          <w:szCs w:val="20"/>
        </w:rPr>
        <w:t>present value of estimated assessments. The effect on the amortization of DAC of revisions to estimated gross profits or assessments is reflected in net income (loss) in the period such estimated gross profits or assessments are revised. A decrease in expe</w:t>
      </w:r>
      <w:r>
        <w:rPr>
          <w:rFonts w:eastAsia="Times New Roman"/>
          <w:color w:val="000000"/>
          <w:sz w:val="20"/>
          <w:szCs w:val="20"/>
        </w:rPr>
        <w:t xml:space="preserve">cted gross profits or assessments would accelerate DAC amortization. Conversely, an increase in expected gross profits or assessments would slow DAC amortization. The effect on the DAC assets that would result from realization of unrealized gains (losses) </w:t>
      </w:r>
      <w:r>
        <w:rPr>
          <w:rFonts w:eastAsia="Times New Roman"/>
          <w:color w:val="000000"/>
          <w:sz w:val="20"/>
          <w:szCs w:val="20"/>
        </w:rPr>
        <w:t>is recognized with an offset to AOCI in consolidated equity as of the balance sheet date.</w:t>
      </w:r>
    </w:p>
    <w:p w:rsidR="00000000" w:rsidRDefault="00E54EC0">
      <w:pPr>
        <w:ind w:firstLine="360"/>
        <w:divId w:val="1471897780"/>
        <w:rPr>
          <w:rFonts w:eastAsia="Times New Roman"/>
        </w:rPr>
      </w:pPr>
      <w:r>
        <w:rPr>
          <w:rFonts w:eastAsia="Times New Roman"/>
          <w:color w:val="000000"/>
          <w:sz w:val="20"/>
          <w:szCs w:val="20"/>
        </w:rPr>
        <w:t>Quarterly adjustments to the DAC balance are made for current period experience and market performance related adjustments, and the impact of reviews of estimated tot</w:t>
      </w:r>
      <w:r>
        <w:rPr>
          <w:rFonts w:eastAsia="Times New Roman"/>
          <w:color w:val="000000"/>
          <w:sz w:val="20"/>
          <w:szCs w:val="20"/>
        </w:rPr>
        <w:t xml:space="preserve">al gross profits. The quarterly adjustments for current period experience reflect the impact of differences between actual and previously estimated expected gross profits for a given period. Total estimated gross profits include both actual experience and </w:t>
      </w:r>
      <w:r>
        <w:rPr>
          <w:rFonts w:eastAsia="Times New Roman"/>
          <w:color w:val="000000"/>
          <w:sz w:val="20"/>
          <w:szCs w:val="20"/>
        </w:rPr>
        <w:t>estimates of gross profits for future periods. To the extent each period’s actual experience differs from the previous estimate for that period, the assumed level of total gross profits may change. In these cases, cumulative adjustment to all previous peri</w:t>
      </w:r>
      <w:r>
        <w:rPr>
          <w:rFonts w:eastAsia="Times New Roman"/>
          <w:color w:val="000000"/>
          <w:sz w:val="20"/>
          <w:szCs w:val="20"/>
        </w:rPr>
        <w:t>ods’ costs is recognized.</w:t>
      </w:r>
    </w:p>
    <w:p w:rsidR="00000000" w:rsidRDefault="00E54EC0">
      <w:pPr>
        <w:ind w:firstLine="360"/>
        <w:divId w:val="200020648"/>
        <w:rPr>
          <w:rFonts w:eastAsia="Times New Roman"/>
        </w:rPr>
      </w:pPr>
      <w:r>
        <w:rPr>
          <w:rFonts w:eastAsia="Times New Roman"/>
          <w:color w:val="000000"/>
          <w:sz w:val="20"/>
          <w:szCs w:val="20"/>
        </w:rPr>
        <w:t>During each accounting period, the DAC balances are evaluated and adjusted with a corresponding charge or credit to current period earnings for the effects of the Company’s actual gross profits and changes in the assumptions regar</w:t>
      </w:r>
      <w:r>
        <w:rPr>
          <w:rFonts w:eastAsia="Times New Roman"/>
          <w:color w:val="000000"/>
          <w:sz w:val="20"/>
          <w:szCs w:val="20"/>
        </w:rPr>
        <w:t>ding estimated future gross profits. A decrease in expected gross profits or assessments would accelerate DAC amortization. Conversely, an increase in expected gross profits or assessments would slow DAC amortization. The effect on the DAC assets that woul</w:t>
      </w:r>
      <w:r>
        <w:rPr>
          <w:rFonts w:eastAsia="Times New Roman"/>
          <w:color w:val="000000"/>
          <w:sz w:val="20"/>
          <w:szCs w:val="20"/>
        </w:rPr>
        <w:t>d result from realization of unrealized gains (losses) is recognized with an offset to AOCI in consolidated equity as of the balance sheet date.</w:t>
      </w:r>
    </w:p>
    <w:p w:rsidR="00000000" w:rsidRDefault="00E54EC0">
      <w:pPr>
        <w:ind w:firstLine="360"/>
        <w:divId w:val="1101032192"/>
        <w:rPr>
          <w:rFonts w:eastAsia="Times New Roman"/>
        </w:rPr>
      </w:pPr>
      <w:r>
        <w:rPr>
          <w:rFonts w:eastAsia="Times New Roman"/>
          <w:color w:val="000000"/>
          <w:sz w:val="20"/>
          <w:szCs w:val="20"/>
        </w:rPr>
        <w:t>For the variable and UL policies a significant portion of the gross profits is derived from mortality margins a</w:t>
      </w:r>
      <w:r>
        <w:rPr>
          <w:rFonts w:eastAsia="Times New Roman"/>
          <w:color w:val="000000"/>
          <w:sz w:val="20"/>
          <w:szCs w:val="20"/>
        </w:rPr>
        <w:t xml:space="preserve">nd therefore, are significantly influenced by the mortality assumptions used. Mortality assumptions represent our expected claims experience over the life of these policies and are based on a long-term average of actual company experience. This assumption </w:t>
      </w:r>
      <w:r>
        <w:rPr>
          <w:rFonts w:eastAsia="Times New Roman"/>
          <w:color w:val="000000"/>
          <w:sz w:val="20"/>
          <w:szCs w:val="20"/>
        </w:rPr>
        <w:t>is updated periodically to reflect recent experience as it emerges. Improvement of life mortality in future periods from that currently projected would result in future deceleration of DAC amortization. Conversely, deterioration of life mortality in future</w:t>
      </w:r>
      <w:r>
        <w:rPr>
          <w:rFonts w:eastAsia="Times New Roman"/>
          <w:color w:val="000000"/>
          <w:sz w:val="20"/>
          <w:szCs w:val="20"/>
        </w:rPr>
        <w:t xml:space="preserve"> periods from that currently projected would result in future acceleration of DAC amortization.</w:t>
      </w:r>
    </w:p>
    <w:p w:rsidR="00000000" w:rsidRDefault="00E54EC0">
      <w:pPr>
        <w:divId w:val="253826935"/>
        <w:rPr>
          <w:rFonts w:eastAsia="Times New Roman"/>
        </w:rPr>
      </w:pPr>
      <w:r>
        <w:rPr>
          <w:rFonts w:eastAsia="Times New Roman"/>
          <w:i/>
          <w:iCs/>
          <w:color w:val="000000"/>
          <w:sz w:val="20"/>
          <w:szCs w:val="20"/>
          <w:u w:val="single"/>
        </w:rPr>
        <w:t>Loss Recognition Testing</w:t>
      </w:r>
    </w:p>
    <w:p w:rsidR="00000000" w:rsidRDefault="00E54EC0">
      <w:pPr>
        <w:ind w:firstLine="360"/>
        <w:divId w:val="1078789174"/>
        <w:rPr>
          <w:rFonts w:eastAsia="Times New Roman"/>
        </w:rPr>
      </w:pPr>
      <w:r>
        <w:rPr>
          <w:rFonts w:eastAsia="Times New Roman"/>
          <w:color w:val="000000"/>
          <w:sz w:val="20"/>
          <w:szCs w:val="20"/>
        </w:rPr>
        <w:t>After the initial establishment of reserves, loss recognition tests are performed using best estimate assumptions as of the testing dat</w:t>
      </w:r>
      <w:r>
        <w:rPr>
          <w:rFonts w:eastAsia="Times New Roman"/>
          <w:color w:val="000000"/>
          <w:sz w:val="20"/>
          <w:szCs w:val="20"/>
        </w:rPr>
        <w:t>e without provisions for adverse deviation. When the liabilities for future policy benefits plus the present value of expected future gross premiums for the aggregate product group are insufficient to provide for expected future policy benefits and expense</w:t>
      </w:r>
      <w:r>
        <w:rPr>
          <w:rFonts w:eastAsia="Times New Roman"/>
          <w:color w:val="000000"/>
          <w:sz w:val="20"/>
          <w:szCs w:val="20"/>
        </w:rPr>
        <w:t>s for that line of business (i.e., reserves net of any DAC asset), loss recognition accounting is triggered and DAC is first written off, and thereafter a premium deficiency reserve is established by a charge to earnings.</w:t>
      </w:r>
    </w:p>
    <w:p w:rsidR="00000000" w:rsidRDefault="00E54EC0">
      <w:pPr>
        <w:ind w:firstLine="360"/>
        <w:divId w:val="74471910"/>
        <w:rPr>
          <w:rFonts w:eastAsia="Times New Roman"/>
        </w:rPr>
      </w:pPr>
      <w:r>
        <w:rPr>
          <w:rFonts w:eastAsia="Times New Roman"/>
          <w:color w:val="000000"/>
          <w:sz w:val="20"/>
          <w:szCs w:val="20"/>
        </w:rPr>
        <w:t>We did not have a loss recognition</w:t>
      </w:r>
      <w:r>
        <w:rPr>
          <w:rFonts w:eastAsia="Times New Roman"/>
          <w:color w:val="000000"/>
          <w:sz w:val="20"/>
          <w:szCs w:val="20"/>
        </w:rPr>
        <w:t xml:space="preserve"> event in 2022 or 2021. In 2020, we determined that certain of our variable interest-sensitive life insurance products triggered loss recognition accounting due to low interest rates and we reduced DAC by $945 million through accelerated amortization. </w:t>
      </w:r>
    </w:p>
    <w:p w:rsidR="00000000" w:rsidRDefault="00E54EC0">
      <w:pPr>
        <w:ind w:firstLine="360"/>
        <w:divId w:val="1923222236"/>
        <w:rPr>
          <w:rFonts w:eastAsia="Times New Roman"/>
        </w:rPr>
      </w:pPr>
      <w:r>
        <w:rPr>
          <w:rFonts w:eastAsia="Times New Roman"/>
          <w:color w:val="000000"/>
          <w:sz w:val="20"/>
          <w:szCs w:val="20"/>
        </w:rPr>
        <w:t>Add</w:t>
      </w:r>
      <w:r>
        <w:rPr>
          <w:rFonts w:eastAsia="Times New Roman"/>
          <w:color w:val="000000"/>
          <w:sz w:val="20"/>
          <w:szCs w:val="20"/>
        </w:rPr>
        <w:t>itionally, policyholder liability balances for a particular line of business may not be deficient in the aggregate to trigger loss recognition accounting; however, the pattern of earnings may be such that annual profits are expected to be recognized in ear</w:t>
      </w:r>
      <w:r>
        <w:rPr>
          <w:rFonts w:eastAsia="Times New Roman"/>
          <w:color w:val="000000"/>
          <w:sz w:val="20"/>
          <w:szCs w:val="20"/>
        </w:rPr>
        <w:t>lier years and then followed by losses in later years. This pattern of profits followed by losses is exhibited in our VISL business and has caused us to increase policyholder liability balances by an amount that accounts for losses in future years. This pa</w:t>
      </w:r>
      <w:r>
        <w:rPr>
          <w:rFonts w:eastAsia="Times New Roman"/>
          <w:color w:val="000000"/>
          <w:sz w:val="20"/>
          <w:szCs w:val="20"/>
        </w:rPr>
        <w:t>ttern is caused by the cost structure of the product or secondary guarantees in the contract. The secondary guarantee ensures that, subject to specified conditions, the policy will not terminate even if there is insufficient policy account value to cover t</w:t>
      </w:r>
      <w:r>
        <w:rPr>
          <w:rFonts w:eastAsia="Times New Roman"/>
          <w:color w:val="000000"/>
          <w:sz w:val="20"/>
          <w:szCs w:val="20"/>
        </w:rPr>
        <w:t xml:space="preserve">he monthly deductions and charges. We estimate the PFBL accrual using a dynamic approach that changes over time as the projection and timing of future losses change. </w:t>
      </w:r>
    </w:p>
    <w:p w:rsidR="00000000" w:rsidRDefault="00E54EC0">
      <w:pPr>
        <w:ind w:firstLine="360"/>
        <w:divId w:val="837616758"/>
        <w:rPr>
          <w:rFonts w:eastAsia="Times New Roman"/>
        </w:rPr>
      </w:pPr>
      <w:r>
        <w:rPr>
          <w:rFonts w:eastAsia="Times New Roman"/>
          <w:color w:val="000000"/>
          <w:sz w:val="20"/>
          <w:szCs w:val="20"/>
        </w:rPr>
        <w:t>In addition, we are required to analyze how net unrealized investment gains and losses on</w:t>
      </w:r>
      <w:r>
        <w:rPr>
          <w:rFonts w:eastAsia="Times New Roman"/>
          <w:color w:val="000000"/>
          <w:sz w:val="20"/>
          <w:szCs w:val="20"/>
        </w:rPr>
        <w:t xml:space="preserve"> our AFS investment securities backing insurance liabilities affects product profitability, as if those unrealized investment gains and losses were realized. This may result in the recognition of unrealized gains and losses on related insurance assets and </w:t>
      </w:r>
      <w:r>
        <w:rPr>
          <w:rFonts w:eastAsia="Times New Roman"/>
          <w:color w:val="000000"/>
          <w:sz w:val="20"/>
          <w:szCs w:val="20"/>
        </w:rPr>
        <w:t xml:space="preserve">liabilities in a manner consistent with the recognition of the unrealized gains and losses on AFS investment securities within the statements of comprehensive </w:t>
      </w:r>
    </w:p>
    <w:p w:rsidR="00000000" w:rsidRDefault="00E54EC0">
      <w:pPr>
        <w:jc w:val="center"/>
        <w:divId w:val="424496833"/>
        <w:rPr>
          <w:rFonts w:eastAsia="Times New Roman"/>
        </w:rPr>
      </w:pPr>
      <w:r>
        <w:rPr>
          <w:rFonts w:eastAsia="Times New Roman"/>
          <w:color w:val="000000"/>
          <w:sz w:val="20"/>
          <w:szCs w:val="20"/>
        </w:rPr>
        <w:t>113</w:t>
      </w:r>
    </w:p>
    <w:p w:rsidR="00000000" w:rsidRDefault="00E54EC0">
      <w:pPr>
        <w:rPr>
          <w:rFonts w:eastAsia="Times New Roman"/>
        </w:rPr>
      </w:pPr>
      <w:r>
        <w:rPr>
          <w:rFonts w:eastAsia="Times New Roman"/>
        </w:rPr>
        <w:pict>
          <v:rect id="_x0000_i1151" style="width:0;height:1.5pt" o:hralign="center" o:hrstd="t" o:hr="t" fillcolor="#a0a0a0" stroked="f"/>
        </w:pict>
      </w:r>
    </w:p>
    <w:p w:rsidR="00000000" w:rsidRDefault="00E54EC0">
      <w:pPr>
        <w:divId w:val="532773066"/>
        <w:rPr>
          <w:rFonts w:eastAsia="Times New Roman"/>
        </w:rPr>
      </w:pPr>
    </w:p>
    <w:p w:rsidR="00000000" w:rsidRDefault="00E54EC0">
      <w:pPr>
        <w:divId w:val="562833230"/>
        <w:rPr>
          <w:rFonts w:eastAsia="Times New Roman"/>
        </w:rPr>
      </w:pPr>
      <w:r>
        <w:rPr>
          <w:rFonts w:eastAsia="Times New Roman"/>
          <w:color w:val="000000"/>
          <w:sz w:val="20"/>
          <w:szCs w:val="20"/>
        </w:rPr>
        <w:t>income and changes in equity. Changes to net unrealize</w:t>
      </w:r>
      <w:r>
        <w:rPr>
          <w:rFonts w:eastAsia="Times New Roman"/>
          <w:color w:val="000000"/>
          <w:sz w:val="20"/>
          <w:szCs w:val="20"/>
        </w:rPr>
        <w:t>d investment (gains) losses may increase or decrease DAC. Similar to a loss recognition event, if the DAC balance is reduced to zero, additional insurance liabilities are established. Unlike a loss recognition event, these adjustments may reverse from peri</w:t>
      </w:r>
      <w:r>
        <w:rPr>
          <w:rFonts w:eastAsia="Times New Roman"/>
          <w:color w:val="000000"/>
          <w:sz w:val="20"/>
          <w:szCs w:val="20"/>
        </w:rPr>
        <w:t>od to period.</w:t>
      </w:r>
    </w:p>
    <w:p w:rsidR="00000000" w:rsidRDefault="00E54EC0">
      <w:pPr>
        <w:divId w:val="2128037542"/>
        <w:rPr>
          <w:rFonts w:eastAsia="Times New Roman"/>
        </w:rPr>
      </w:pPr>
      <w:r>
        <w:rPr>
          <w:rFonts w:eastAsia="Times New Roman"/>
          <w:i/>
          <w:iCs/>
          <w:color w:val="000000"/>
          <w:sz w:val="20"/>
          <w:szCs w:val="20"/>
          <w:u w:val="single"/>
        </w:rPr>
        <w:t>Sensitivity of DAC to Changes in Future Mortality Assumptions</w:t>
      </w:r>
    </w:p>
    <w:p w:rsidR="00000000" w:rsidRDefault="00E54EC0">
      <w:pPr>
        <w:ind w:firstLine="360"/>
        <w:divId w:val="1775402103"/>
        <w:rPr>
          <w:rFonts w:eastAsia="Times New Roman"/>
        </w:rPr>
      </w:pPr>
      <w:r>
        <w:rPr>
          <w:rFonts w:eastAsia="Times New Roman"/>
          <w:color w:val="000000"/>
          <w:sz w:val="20"/>
          <w:szCs w:val="20"/>
        </w:rPr>
        <w:t>The following table demonstrates the sensitivity of the DAC balance relative to future mortality assumptions by quantifying the adjustments that would be required, assuming an incr</w:t>
      </w:r>
      <w:r>
        <w:rPr>
          <w:rFonts w:eastAsia="Times New Roman"/>
          <w:color w:val="000000"/>
          <w:sz w:val="20"/>
          <w:szCs w:val="20"/>
        </w:rPr>
        <w:t>ease and decrease in the future mortality rate by 1.0%. This information considers only the direct effect of changes in the mortality assumptions on the DAC balance and not changes in any other assumptions used in the measurement of the DAC balance and doe</w:t>
      </w:r>
      <w:r>
        <w:rPr>
          <w:rFonts w:eastAsia="Times New Roman"/>
          <w:color w:val="000000"/>
          <w:sz w:val="20"/>
          <w:szCs w:val="20"/>
        </w:rPr>
        <w:t>s not assume changes in reserves.</w:t>
      </w:r>
    </w:p>
    <w:p w:rsidR="00000000" w:rsidRDefault="00E54EC0">
      <w:pPr>
        <w:jc w:val="center"/>
        <w:rPr>
          <w:rFonts w:eastAsia="Times New Roman"/>
        </w:rPr>
      </w:pPr>
      <w:r>
        <w:rPr>
          <w:rFonts w:eastAsia="Times New Roman"/>
          <w:b/>
          <w:bCs/>
          <w:color w:val="000000"/>
          <w:sz w:val="20"/>
          <w:szCs w:val="20"/>
        </w:rPr>
        <w:t>DAC Sensitivity - Mortality</w:t>
      </w:r>
    </w:p>
    <w:p w:rsidR="00000000" w:rsidRDefault="00E54EC0">
      <w:pPr>
        <w:jc w:val="center"/>
        <w:divId w:val="36976502"/>
        <w:rPr>
          <w:rFonts w:eastAsia="Times New Roman"/>
        </w:rPr>
      </w:pPr>
      <w:r>
        <w:rPr>
          <w:rFonts w:eastAsia="Times New Roman"/>
          <w:b/>
          <w:bCs/>
          <w:color w:val="000000"/>
          <w:sz w:val="20"/>
          <w:szCs w:val="20"/>
        </w:rPr>
        <w:t>December 31, 2022</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7"/>
        <w:gridCol w:w="5873"/>
        <w:gridCol w:w="36"/>
        <w:gridCol w:w="621"/>
        <w:gridCol w:w="1690"/>
        <w:gridCol w:w="36"/>
      </w:tblGrid>
      <w:tr w:rsidR="00000000">
        <w:trPr>
          <w:divId w:val="1427192103"/>
        </w:trPr>
        <w:tc>
          <w:tcPr>
            <w:tcW w:w="50" w:type="pct"/>
            <w:vAlign w:val="center"/>
            <w:hideMark/>
          </w:tcPr>
          <w:p w:rsidR="00000000" w:rsidRDefault="00E54EC0">
            <w:pPr>
              <w:jc w:val="center"/>
              <w:rPr>
                <w:rFonts w:eastAsia="Times New Roman"/>
              </w:rPr>
            </w:pPr>
          </w:p>
        </w:tc>
        <w:tc>
          <w:tcPr>
            <w:tcW w:w="37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2719210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Increase/(Decrease)</w:t>
            </w:r>
          </w:p>
          <w:p w:rsidR="00000000" w:rsidRDefault="00E54EC0">
            <w:pPr>
              <w:spacing w:after="100"/>
              <w:jc w:val="center"/>
              <w:rPr>
                <w:rFonts w:eastAsia="Times New Roman"/>
              </w:rPr>
            </w:pPr>
            <w:r>
              <w:rPr>
                <w:rFonts w:eastAsia="Times New Roman"/>
                <w:b/>
                <w:bCs/>
                <w:color w:val="000000"/>
                <w:sz w:val="16"/>
                <w:szCs w:val="16"/>
              </w:rPr>
              <w:t>in DAC</w:t>
            </w:r>
          </w:p>
        </w:tc>
      </w:tr>
      <w:tr w:rsidR="00000000">
        <w:trPr>
          <w:divId w:val="142719210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42719210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Decrease in future mortality by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719210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Increase in future mortality by 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529341810"/>
        <w:rPr>
          <w:rFonts w:eastAsia="Times New Roman"/>
        </w:rPr>
      </w:pPr>
      <w:r>
        <w:rPr>
          <w:rFonts w:eastAsia="Times New Roman"/>
          <w:i/>
          <w:iCs/>
          <w:color w:val="000000"/>
          <w:sz w:val="20"/>
          <w:szCs w:val="20"/>
          <w:u w:val="single"/>
        </w:rPr>
        <w:t>Sensitivity of DAC to Changes in Future Rate of Return Assumptions</w:t>
      </w:r>
    </w:p>
    <w:p w:rsidR="00000000" w:rsidRDefault="00E54EC0">
      <w:pPr>
        <w:ind w:firstLine="360"/>
        <w:divId w:val="474376559"/>
        <w:rPr>
          <w:rFonts w:eastAsia="Times New Roman"/>
        </w:rPr>
      </w:pPr>
      <w:r>
        <w:rPr>
          <w:rFonts w:eastAsia="Times New Roman"/>
          <w:color w:val="000000"/>
          <w:sz w:val="20"/>
          <w:szCs w:val="20"/>
        </w:rPr>
        <w:t>A significant assumption in the amortization of DAC on variable annuity products and, to a lesser extent, on variable and interest-sensitive life insurance relates to projected future Separate Accounts performance. Management sets estimated future gross pr</w:t>
      </w:r>
      <w:r>
        <w:rPr>
          <w:rFonts w:eastAsia="Times New Roman"/>
          <w:color w:val="000000"/>
          <w:sz w:val="20"/>
          <w:szCs w:val="20"/>
        </w:rPr>
        <w:t>ofit or assessment assumptions related to Separate Account performance using a long-term view of expected average market returns by applying a RTM approach, a commonly used industry practice. This future return approach influences the projection of fees ea</w:t>
      </w:r>
      <w:r>
        <w:rPr>
          <w:rFonts w:eastAsia="Times New Roman"/>
          <w:color w:val="000000"/>
          <w:sz w:val="20"/>
          <w:szCs w:val="20"/>
        </w:rPr>
        <w:t xml:space="preserve">rned, as well as other sources of estimated gross profits. Returns that are higher than expectations for a given period produce higher than expected account balances, increase the fees earned resulting in higher expected future gross profits and lower DAC </w:t>
      </w:r>
      <w:r>
        <w:rPr>
          <w:rFonts w:eastAsia="Times New Roman"/>
          <w:color w:val="000000"/>
          <w:sz w:val="20"/>
          <w:szCs w:val="20"/>
        </w:rPr>
        <w:t>amortization for the period. The opposite occurs when returns are lower than expected.</w:t>
      </w:r>
    </w:p>
    <w:p w:rsidR="00000000" w:rsidRDefault="00E54EC0">
      <w:pPr>
        <w:ind w:firstLine="360"/>
        <w:divId w:val="1691176055"/>
        <w:rPr>
          <w:rFonts w:eastAsia="Times New Roman"/>
        </w:rPr>
      </w:pPr>
      <w:r>
        <w:rPr>
          <w:rFonts w:eastAsia="Times New Roman"/>
          <w:color w:val="000000"/>
          <w:sz w:val="20"/>
          <w:szCs w:val="20"/>
        </w:rPr>
        <w:t>In applying this approach to develop estimates of future returns, it is assumed that the market will return to an average gross long-term return estimate, developed with</w:t>
      </w:r>
      <w:r>
        <w:rPr>
          <w:rFonts w:eastAsia="Times New Roman"/>
          <w:color w:val="000000"/>
          <w:sz w:val="20"/>
          <w:szCs w:val="20"/>
        </w:rPr>
        <w:t xml:space="preserve"> reference to historical long-term equity market performance. In second quarter 2015, based upon management’s then-current expectations of interest rates and future fund growth, we updated our reversion to the mean assumption from 9.0% to 7.0%. The average</w:t>
      </w:r>
      <w:r>
        <w:rPr>
          <w:rFonts w:eastAsia="Times New Roman"/>
          <w:color w:val="000000"/>
          <w:sz w:val="20"/>
          <w:szCs w:val="20"/>
        </w:rPr>
        <w:t xml:space="preserve"> gross long-term return measurement start date was also updated to December 31, 2014. Management has set limitations as to maximum and minimum future rate of return assumptions, as well as a limitation on the duration of use of these maximum or minimum rat</w:t>
      </w:r>
      <w:r>
        <w:rPr>
          <w:rFonts w:eastAsia="Times New Roman"/>
          <w:color w:val="000000"/>
          <w:sz w:val="20"/>
          <w:szCs w:val="20"/>
        </w:rPr>
        <w:t>es of return. As of December 31, 2022, the average gross short-term and long-term annual return estimate on variable and interest-sensitive life insurance and variable annuity products was 7.0% (4.9% net of product weighted average Separate Accounts fees),</w:t>
      </w:r>
      <w:r>
        <w:rPr>
          <w:rFonts w:eastAsia="Times New Roman"/>
          <w:color w:val="000000"/>
          <w:sz w:val="20"/>
          <w:szCs w:val="20"/>
        </w:rPr>
        <w:t xml:space="preserve"> and the gross maximum and minimum short-term annual rate of return limitations were 15.0% (12.9% net of product weighted average Separate Accounts fees and Investment Advisory fees) and 0.0% (2.1)% net of product weighted average Separate Account fees and</w:t>
      </w:r>
      <w:r>
        <w:rPr>
          <w:rFonts w:eastAsia="Times New Roman"/>
          <w:color w:val="000000"/>
          <w:sz w:val="20"/>
          <w:szCs w:val="20"/>
        </w:rPr>
        <w:t xml:space="preserve"> Investment Advisory fees), respectively. The maximum duration over which these rate limitations may be applied is five years. These assumptions of long-term growth are subject to assessment of the reasonableness of resulting estimates of future return ass</w:t>
      </w:r>
      <w:r>
        <w:rPr>
          <w:rFonts w:eastAsia="Times New Roman"/>
          <w:color w:val="000000"/>
          <w:sz w:val="20"/>
          <w:szCs w:val="20"/>
        </w:rPr>
        <w:t>umptions.</w:t>
      </w:r>
    </w:p>
    <w:p w:rsidR="00000000" w:rsidRDefault="00E54EC0">
      <w:pPr>
        <w:ind w:firstLine="360"/>
        <w:divId w:val="2101025747"/>
        <w:rPr>
          <w:rFonts w:eastAsia="Times New Roman"/>
        </w:rPr>
      </w:pPr>
      <w:r>
        <w:rPr>
          <w:rFonts w:eastAsia="Times New Roman"/>
          <w:color w:val="000000"/>
          <w:sz w:val="20"/>
          <w:szCs w:val="20"/>
        </w:rPr>
        <w:t>If actual market returns continue at levels that would result in assuming future market returns of 15.0% for more than five years in order to reach the average gross long-term return estimate, the application of the five-year maximum duration lim</w:t>
      </w:r>
      <w:r>
        <w:rPr>
          <w:rFonts w:eastAsia="Times New Roman"/>
          <w:color w:val="000000"/>
          <w:sz w:val="20"/>
          <w:szCs w:val="20"/>
        </w:rPr>
        <w:t>itation would result in an acceleration of DAC amortization. Conversely, actual market returns resulting in assumed future market returns of 0.0% for more than five years would result in a required deceleration of DAC amortization. At December 31, 2022, cu</w:t>
      </w:r>
      <w:r>
        <w:rPr>
          <w:rFonts w:eastAsia="Times New Roman"/>
          <w:color w:val="000000"/>
          <w:sz w:val="20"/>
          <w:szCs w:val="20"/>
        </w:rPr>
        <w:t>rrent projections of future average gross market returns assume approximately an 11.0% annualized return for sixteen quarters, followed by 7.3% annualized return for four quarters, followed by 7.0% thereafter.</w:t>
      </w:r>
    </w:p>
    <w:p w:rsidR="00000000" w:rsidRDefault="00E54EC0">
      <w:pPr>
        <w:ind w:firstLine="360"/>
        <w:divId w:val="1796749121"/>
        <w:rPr>
          <w:rFonts w:eastAsia="Times New Roman"/>
        </w:rPr>
      </w:pPr>
      <w:r>
        <w:rPr>
          <w:rFonts w:eastAsia="Times New Roman"/>
          <w:color w:val="000000"/>
          <w:sz w:val="20"/>
          <w:szCs w:val="20"/>
        </w:rPr>
        <w:t> Other significant assumptions underlying gros</w:t>
      </w:r>
      <w:r>
        <w:rPr>
          <w:rFonts w:eastAsia="Times New Roman"/>
          <w:color w:val="000000"/>
          <w:sz w:val="20"/>
          <w:szCs w:val="20"/>
        </w:rPr>
        <w:t>s profit estimates for UL and investment type products relate to contract persistency and General Account investment spread.</w:t>
      </w:r>
    </w:p>
    <w:p w:rsidR="00000000" w:rsidRDefault="00E54EC0">
      <w:pPr>
        <w:ind w:firstLine="360"/>
        <w:divId w:val="1413819492"/>
        <w:rPr>
          <w:rFonts w:eastAsia="Times New Roman"/>
        </w:rPr>
      </w:pPr>
      <w:r>
        <w:rPr>
          <w:rFonts w:eastAsia="Times New Roman"/>
          <w:color w:val="000000"/>
          <w:sz w:val="20"/>
          <w:szCs w:val="20"/>
        </w:rPr>
        <w:t>The following table provides an example of the sensitivity of the DAC balance of variable annuity products and variable and interes</w:t>
      </w:r>
      <w:r>
        <w:rPr>
          <w:rFonts w:eastAsia="Times New Roman"/>
          <w:color w:val="000000"/>
          <w:sz w:val="20"/>
          <w:szCs w:val="20"/>
        </w:rPr>
        <w:t>t-sensitive life insurance relative to future return assumptions by quantifying the adjustments to the DAC balance that would be required assuming both an increase and decrease in the future rate of return by 1.0%. This information considers only the effec</w:t>
      </w:r>
      <w:r>
        <w:rPr>
          <w:rFonts w:eastAsia="Times New Roman"/>
          <w:color w:val="000000"/>
          <w:sz w:val="20"/>
          <w:szCs w:val="20"/>
        </w:rPr>
        <w:t>t of changes in the future Separate Accounts rate of return and not changes in any other assumptions used in the measurement of the DAC balance.</w:t>
      </w:r>
    </w:p>
    <w:p w:rsidR="00000000" w:rsidRDefault="00E54EC0">
      <w:pPr>
        <w:jc w:val="center"/>
        <w:divId w:val="416364724"/>
        <w:rPr>
          <w:rFonts w:eastAsia="Times New Roman"/>
        </w:rPr>
      </w:pPr>
      <w:r>
        <w:rPr>
          <w:rFonts w:eastAsia="Times New Roman"/>
          <w:color w:val="000000"/>
          <w:sz w:val="20"/>
          <w:szCs w:val="20"/>
        </w:rPr>
        <w:t>114</w:t>
      </w:r>
    </w:p>
    <w:p w:rsidR="00000000" w:rsidRDefault="00E54EC0">
      <w:pPr>
        <w:rPr>
          <w:rFonts w:eastAsia="Times New Roman"/>
        </w:rPr>
      </w:pPr>
      <w:r>
        <w:rPr>
          <w:rFonts w:eastAsia="Times New Roman"/>
        </w:rPr>
        <w:pict>
          <v:rect id="_x0000_i1152" style="width:0;height:1.5pt" o:hralign="center" o:hrstd="t" o:hr="t" fillcolor="#a0a0a0" stroked="f"/>
        </w:pict>
      </w:r>
    </w:p>
    <w:p w:rsidR="00000000" w:rsidRDefault="00E54EC0">
      <w:pPr>
        <w:divId w:val="600840648"/>
        <w:rPr>
          <w:rFonts w:eastAsia="Times New Roman"/>
        </w:rPr>
      </w:pPr>
    </w:p>
    <w:p w:rsidR="00000000" w:rsidRDefault="00E54EC0">
      <w:pPr>
        <w:jc w:val="center"/>
        <w:rPr>
          <w:rFonts w:eastAsia="Times New Roman"/>
        </w:rPr>
      </w:pPr>
      <w:r>
        <w:rPr>
          <w:rFonts w:eastAsia="Times New Roman"/>
          <w:b/>
          <w:bCs/>
          <w:color w:val="000000"/>
          <w:sz w:val="20"/>
          <w:szCs w:val="20"/>
        </w:rPr>
        <w:t>DAC Sensitivity - Rate of Return</w:t>
      </w:r>
    </w:p>
    <w:p w:rsidR="00000000" w:rsidRDefault="00E54EC0">
      <w:pPr>
        <w:jc w:val="center"/>
        <w:divId w:val="1409116720"/>
        <w:rPr>
          <w:rFonts w:eastAsia="Times New Roman"/>
        </w:rPr>
      </w:pPr>
      <w:r>
        <w:rPr>
          <w:rFonts w:eastAsia="Times New Roman"/>
          <w:b/>
          <w:bCs/>
          <w:color w:val="000000"/>
          <w:sz w:val="20"/>
          <w:szCs w:val="20"/>
        </w:rPr>
        <w:t>December 31,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192"/>
        <w:gridCol w:w="36"/>
        <w:gridCol w:w="121"/>
        <w:gridCol w:w="1856"/>
        <w:gridCol w:w="36"/>
      </w:tblGrid>
      <w:tr w:rsidR="00000000">
        <w:trPr>
          <w:divId w:val="2144157491"/>
          <w:jc w:val="center"/>
        </w:trPr>
        <w:tc>
          <w:tcPr>
            <w:tcW w:w="50" w:type="pct"/>
            <w:vAlign w:val="center"/>
            <w:hideMark/>
          </w:tcPr>
          <w:p w:rsidR="00000000" w:rsidRDefault="00E54EC0">
            <w:pPr>
              <w:jc w:val="center"/>
              <w:rPr>
                <w:rFonts w:eastAsia="Times New Roman"/>
              </w:rPr>
            </w:pPr>
          </w:p>
        </w:tc>
        <w:tc>
          <w:tcPr>
            <w:tcW w:w="37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144157491"/>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Increase/(Decrease)</w:t>
            </w:r>
          </w:p>
          <w:p w:rsidR="00000000" w:rsidRDefault="00E54EC0">
            <w:pPr>
              <w:spacing w:after="100"/>
              <w:jc w:val="center"/>
              <w:rPr>
                <w:rFonts w:eastAsia="Times New Roman"/>
              </w:rPr>
            </w:pPr>
            <w:r>
              <w:rPr>
                <w:rFonts w:eastAsia="Times New Roman"/>
                <w:b/>
                <w:bCs/>
                <w:color w:val="000000"/>
                <w:sz w:val="16"/>
                <w:szCs w:val="16"/>
              </w:rPr>
              <w:t>in DAC</w:t>
            </w:r>
          </w:p>
        </w:tc>
      </w:tr>
      <w:tr w:rsidR="00000000">
        <w:trPr>
          <w:divId w:val="2144157491"/>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144157491"/>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Decrease in future rate of return by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44157491"/>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Increase in future rate of return by 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877937283"/>
        <w:rPr>
          <w:rFonts w:eastAsia="Times New Roman"/>
        </w:rPr>
      </w:pPr>
      <w:r>
        <w:rPr>
          <w:rFonts w:eastAsia="Times New Roman"/>
          <w:b/>
          <w:bCs/>
          <w:i/>
          <w:iCs/>
          <w:color w:val="000000"/>
          <w:sz w:val="20"/>
          <w:szCs w:val="20"/>
        </w:rPr>
        <w:t>Estimated Fair Value of Investments</w:t>
      </w:r>
    </w:p>
    <w:p w:rsidR="00000000" w:rsidRDefault="00E54EC0">
      <w:pPr>
        <w:ind w:firstLine="360"/>
        <w:divId w:val="703092696"/>
        <w:rPr>
          <w:rFonts w:eastAsia="Times New Roman"/>
        </w:rPr>
      </w:pPr>
      <w:r>
        <w:rPr>
          <w:rFonts w:eastAsia="Times New Roman"/>
          <w:color w:val="000000"/>
          <w:sz w:val="20"/>
          <w:szCs w:val="20"/>
        </w:rPr>
        <w:t>The Company’</w:t>
      </w:r>
      <w:r>
        <w:rPr>
          <w:rFonts w:eastAsia="Times New Roman"/>
          <w:color w:val="000000"/>
          <w:sz w:val="20"/>
          <w:szCs w:val="20"/>
        </w:rPr>
        <w:t xml:space="preserve">s investment portfolio principally consists of public and private fixed maturities, mortgage loans, equity securities and derivative financial instruments, including exchange traded equity, currency and interest rate futures contracts, total return and/or </w:t>
      </w:r>
      <w:r>
        <w:rPr>
          <w:rFonts w:eastAsia="Times New Roman"/>
          <w:color w:val="000000"/>
          <w:sz w:val="20"/>
          <w:szCs w:val="20"/>
        </w:rPr>
        <w:t>other equity swaps, interest rate swap and floor contracts, swaptions, variance swaps, as well as equity options used to manage various risks relating to its business operations.</w:t>
      </w:r>
    </w:p>
    <w:p w:rsidR="00000000" w:rsidRDefault="00E54EC0">
      <w:pPr>
        <w:divId w:val="492137042"/>
        <w:rPr>
          <w:rFonts w:eastAsia="Times New Roman"/>
        </w:rPr>
      </w:pPr>
      <w:r>
        <w:rPr>
          <w:rFonts w:eastAsia="Times New Roman"/>
          <w:i/>
          <w:iCs/>
          <w:color w:val="000000"/>
          <w:sz w:val="20"/>
          <w:szCs w:val="20"/>
          <w:u w:val="single"/>
        </w:rPr>
        <w:t>Fair Value Measurements</w:t>
      </w:r>
    </w:p>
    <w:p w:rsidR="00000000" w:rsidRDefault="00E54EC0">
      <w:pPr>
        <w:ind w:firstLine="360"/>
        <w:divId w:val="1625506104"/>
        <w:rPr>
          <w:rFonts w:eastAsia="Times New Roman"/>
        </w:rPr>
      </w:pPr>
      <w:r>
        <w:rPr>
          <w:rFonts w:eastAsia="Times New Roman"/>
          <w:color w:val="000000"/>
          <w:sz w:val="20"/>
          <w:szCs w:val="20"/>
        </w:rPr>
        <w:t>Investments reported at fair value in the consolidated balance sheets of the Company include fixed maturity securities classified as AFS, equity and trading securities and certain other invested assets, such as freestanding derivatives. In addition, reinsu</w:t>
      </w:r>
      <w:r>
        <w:rPr>
          <w:rFonts w:eastAsia="Times New Roman"/>
          <w:color w:val="000000"/>
          <w:sz w:val="20"/>
          <w:szCs w:val="20"/>
        </w:rPr>
        <w:t>rance contracts covering GMIB exposure and the liabilities in the SCS variable annuity products, SIO in the EQUI-VEST variable annuity product series, MSO in the variable life insurance products, IUL insurance products and the GMAB, GIB, GMWB and GWBL feat</w:t>
      </w:r>
      <w:r>
        <w:rPr>
          <w:rFonts w:eastAsia="Times New Roman"/>
          <w:color w:val="000000"/>
          <w:sz w:val="20"/>
          <w:szCs w:val="20"/>
        </w:rPr>
        <w:t>ure in certain variable annuity products issued by the Company are considered embedded derivatives and reported at fair value.</w:t>
      </w:r>
    </w:p>
    <w:p w:rsidR="00000000" w:rsidRDefault="00E54EC0">
      <w:pPr>
        <w:ind w:firstLine="360"/>
        <w:divId w:val="684671653"/>
        <w:rPr>
          <w:rFonts w:eastAsia="Times New Roman"/>
        </w:rPr>
      </w:pPr>
      <w:r>
        <w:rPr>
          <w:rFonts w:eastAsia="Times New Roman"/>
          <w:color w:val="000000"/>
          <w:sz w:val="20"/>
          <w:szCs w:val="20"/>
        </w:rPr>
        <w:t>When available, the estimated fair value of securities is based on quoted prices in active markets that are readily and regularly</w:t>
      </w:r>
      <w:r>
        <w:rPr>
          <w:rFonts w:eastAsia="Times New Roman"/>
          <w:color w:val="000000"/>
          <w:sz w:val="20"/>
          <w:szCs w:val="20"/>
        </w:rPr>
        <w:t xml:space="preserve"> obtainable; these generally are the most liquid holdings and their valuation does not involve management judgment. When quoted prices in active markets are not available, we estimate fair value based on market standard valuation methodologies. These alter</w:t>
      </w:r>
      <w:r>
        <w:rPr>
          <w:rFonts w:eastAsia="Times New Roman"/>
          <w:color w:val="000000"/>
          <w:sz w:val="20"/>
          <w:szCs w:val="20"/>
        </w:rPr>
        <w:t xml:space="preserve">native approaches include matrix or model pricing and use of independent pricing services, each supported by reference to principal market trades or other observable market assumptions for similar securities. More specifically, the matrix pricing approach </w:t>
      </w:r>
      <w:r>
        <w:rPr>
          <w:rFonts w:eastAsia="Times New Roman"/>
          <w:color w:val="000000"/>
          <w:sz w:val="20"/>
          <w:szCs w:val="20"/>
        </w:rPr>
        <w:t>to fair value is a discounted cash flow methodology that incorporates market interest rates commensurate with the credit quality and duration of the investment. For securities with reasonable price transparency, the significant inputs to these valuation me</w:t>
      </w:r>
      <w:r>
        <w:rPr>
          <w:rFonts w:eastAsia="Times New Roman"/>
          <w:color w:val="000000"/>
          <w:sz w:val="20"/>
          <w:szCs w:val="20"/>
        </w:rPr>
        <w:t xml:space="preserve">thodologies either are observable in the market or can be derived principally from or corroborated by observable market data. When the volume or level of activity results in little or no price transparency, significant inputs no longer can be supported by </w:t>
      </w:r>
      <w:r>
        <w:rPr>
          <w:rFonts w:eastAsia="Times New Roman"/>
          <w:color w:val="000000"/>
          <w:sz w:val="20"/>
          <w:szCs w:val="20"/>
        </w:rPr>
        <w:t>reference to market observable data but instead must be based on management’s estimation and judgment. Substantially the same approach is used by us to measure the fair values of freestanding and embedded derivatives with exception for consideration of the</w:t>
      </w:r>
      <w:r>
        <w:rPr>
          <w:rFonts w:eastAsia="Times New Roman"/>
          <w:color w:val="000000"/>
          <w:sz w:val="20"/>
          <w:szCs w:val="20"/>
        </w:rPr>
        <w:t xml:space="preserve"> effects of master netting agreements and collateral arrangements as well as incremental value or risk ascribed to changes in own or counterparty credit risk.</w:t>
      </w:r>
    </w:p>
    <w:p w:rsidR="00000000" w:rsidRDefault="00E54EC0">
      <w:pPr>
        <w:ind w:firstLine="360"/>
        <w:divId w:val="1461803706"/>
        <w:rPr>
          <w:rFonts w:eastAsia="Times New Roman"/>
        </w:rPr>
      </w:pPr>
      <w:r>
        <w:rPr>
          <w:rFonts w:eastAsia="Times New Roman"/>
          <w:color w:val="000000"/>
          <w:sz w:val="20"/>
          <w:szCs w:val="20"/>
        </w:rPr>
        <w:t>As required by the accounting guidance, we categorize our assets and liabilities measured at fair</w:t>
      </w:r>
      <w:r>
        <w:rPr>
          <w:rFonts w:eastAsia="Times New Roman"/>
          <w:color w:val="000000"/>
          <w:sz w:val="20"/>
          <w:szCs w:val="20"/>
        </w:rPr>
        <w:t xml:space="preserve"> value into a three-level hierarchy, based on the priority of the inputs to the respective valuation technique, giving the highest priority to quoted prices in active markets for identical assets and liabilities (Level 1) and the lowest priority to unobser</w:t>
      </w:r>
      <w:r>
        <w:rPr>
          <w:rFonts w:eastAsia="Times New Roman"/>
          <w:color w:val="000000"/>
          <w:sz w:val="20"/>
          <w:szCs w:val="20"/>
        </w:rPr>
        <w:t>vable inputs (Level 3). For additional information regarding the key estimates and assumptions surrounding the determinations of fair value measurements, see Note 8 of the Notes to the Consolidated Financial Statements.</w:t>
      </w:r>
    </w:p>
    <w:p w:rsidR="00000000" w:rsidRDefault="00E54EC0">
      <w:pPr>
        <w:divId w:val="641886755"/>
        <w:rPr>
          <w:rFonts w:eastAsia="Times New Roman"/>
        </w:rPr>
      </w:pPr>
      <w:r>
        <w:rPr>
          <w:rFonts w:eastAsia="Times New Roman"/>
          <w:i/>
          <w:iCs/>
          <w:color w:val="000000"/>
          <w:sz w:val="20"/>
          <w:szCs w:val="20"/>
          <w:u w:val="single"/>
        </w:rPr>
        <w:t>Impairments and Valuation Allowances</w:t>
      </w:r>
    </w:p>
    <w:p w:rsidR="00000000" w:rsidRDefault="00E54EC0">
      <w:pPr>
        <w:ind w:firstLine="360"/>
        <w:divId w:val="1828790577"/>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With the adoption of the Financial Instr</w:t>
      </w:r>
      <w:r>
        <w:rPr>
          <w:rFonts w:eastAsia="Times New Roman"/>
          <w:color w:val="000000"/>
          <w:sz w:val="20"/>
          <w:szCs w:val="20"/>
        </w:rPr>
        <w:t xml:space="preserve">uments-Credit Losses standard, changes in credit losses are recognized in investment gains (losses), net. </w:t>
      </w:r>
    </w:p>
    <w:p w:rsidR="00000000" w:rsidRDefault="00E54EC0">
      <w:pPr>
        <w:ind w:firstLine="360"/>
        <w:divId w:val="1787193379"/>
        <w:rPr>
          <w:rFonts w:eastAsia="Times New Roman"/>
        </w:rPr>
      </w:pPr>
      <w:r>
        <w:rPr>
          <w:rFonts w:eastAsia="Times New Roman"/>
          <w:color w:val="000000"/>
          <w:sz w:val="20"/>
          <w:szCs w:val="20"/>
        </w:rPr>
        <w:t>With the assistance of our investment advisors, we evaluate AFS debt securities that experience a decline in fair value below amortized cost for cred</w:t>
      </w:r>
      <w:r>
        <w:rPr>
          <w:rFonts w:eastAsia="Times New Roman"/>
          <w:color w:val="000000"/>
          <w:sz w:val="20"/>
          <w:szCs w:val="20"/>
        </w:rPr>
        <w:t>it losses which are evaluated in accordance with the financial instruments credit losses guidance. The remainder of the unrealized loss related to other factors, if any, is recognized in OCI. Integral to this review is an assessment made each quarter, on a</w:t>
      </w:r>
      <w:r>
        <w:rPr>
          <w:rFonts w:eastAsia="Times New Roman"/>
          <w:color w:val="000000"/>
          <w:sz w:val="20"/>
          <w:szCs w:val="20"/>
        </w:rPr>
        <w:t xml:space="preserve"> security-by-security basis, by our IUS Committee, of various indicators of credit deterioration to determine whether the investment security has experienced a credit loss. This assessment includes, but is not limited to, consideration of the severity of t</w:t>
      </w:r>
      <w:r>
        <w:rPr>
          <w:rFonts w:eastAsia="Times New Roman"/>
          <w:color w:val="000000"/>
          <w:sz w:val="20"/>
          <w:szCs w:val="20"/>
        </w:rPr>
        <w:t>he unrealized loss, failure, if any, of the issuer of the security to make scheduled payments, actions taken by rating agencies, adverse conditions specifically related to the security or sector, the financial strength, liquidity and continued viability of</w:t>
      </w:r>
      <w:r>
        <w:rPr>
          <w:rFonts w:eastAsia="Times New Roman"/>
          <w:color w:val="000000"/>
          <w:sz w:val="20"/>
          <w:szCs w:val="20"/>
        </w:rPr>
        <w:t xml:space="preserve"> the issuer.</w:t>
      </w:r>
    </w:p>
    <w:p w:rsidR="00000000" w:rsidRDefault="00E54EC0">
      <w:pPr>
        <w:jc w:val="center"/>
        <w:divId w:val="838500176"/>
        <w:rPr>
          <w:rFonts w:eastAsia="Times New Roman"/>
        </w:rPr>
      </w:pPr>
      <w:r>
        <w:rPr>
          <w:rFonts w:eastAsia="Times New Roman"/>
          <w:color w:val="000000"/>
          <w:sz w:val="20"/>
          <w:szCs w:val="20"/>
        </w:rPr>
        <w:t>115</w:t>
      </w:r>
    </w:p>
    <w:p w:rsidR="00000000" w:rsidRDefault="00E54EC0">
      <w:pPr>
        <w:rPr>
          <w:rFonts w:eastAsia="Times New Roman"/>
        </w:rPr>
      </w:pPr>
      <w:r>
        <w:rPr>
          <w:rFonts w:eastAsia="Times New Roman"/>
        </w:rPr>
        <w:pict>
          <v:rect id="_x0000_i1153" style="width:0;height:1.5pt" o:hralign="center" o:hrstd="t" o:hr="t" fillcolor="#a0a0a0" stroked="f"/>
        </w:pict>
      </w:r>
    </w:p>
    <w:p w:rsidR="00000000" w:rsidRDefault="00E54EC0">
      <w:pPr>
        <w:divId w:val="39283735"/>
        <w:rPr>
          <w:rFonts w:eastAsia="Times New Roman"/>
        </w:rPr>
      </w:pPr>
    </w:p>
    <w:p w:rsidR="00000000" w:rsidRDefault="00E54EC0">
      <w:pPr>
        <w:ind w:firstLine="360"/>
        <w:divId w:val="610476465"/>
        <w:rPr>
          <w:rFonts w:eastAsia="Times New Roman"/>
        </w:rPr>
      </w:pPr>
      <w:r>
        <w:rPr>
          <w:rFonts w:eastAsia="Times New Roman"/>
          <w:color w:val="000000"/>
          <w:sz w:val="20"/>
          <w:szCs w:val="20"/>
        </w:rPr>
        <w:t>We recognize an allowance for credit losses on AFS debt securities with a corresponding adjustment to earnings rather than a direct write down that reduces the cost basis of the investment, and credit</w:t>
      </w:r>
      <w:r>
        <w:rPr>
          <w:rFonts w:eastAsia="Times New Roman"/>
          <w:color w:val="000000"/>
          <w:sz w:val="20"/>
          <w:szCs w:val="20"/>
        </w:rPr>
        <w:t xml:space="preserve"> losses are limited to the amount by which the security’s amortized cost basis exceeds its fair value. Any improvements in estimated credit losses on AFS debt securities are recognized immediately in earnings. We do not use the length of time a security ha</w:t>
      </w:r>
      <w:r>
        <w:rPr>
          <w:rFonts w:eastAsia="Times New Roman"/>
          <w:color w:val="000000"/>
          <w:sz w:val="20"/>
          <w:szCs w:val="20"/>
        </w:rPr>
        <w:t xml:space="preserve">s been in an unrealized loss position as a factor, either by itself or in combination with other factors, to conclude that a credit loss does not exist, as was permitted to do prior to January 1, 2020. </w:t>
      </w:r>
    </w:p>
    <w:p w:rsidR="00000000" w:rsidRDefault="00E54EC0">
      <w:pPr>
        <w:ind w:firstLine="360"/>
        <w:divId w:val="112751773"/>
        <w:rPr>
          <w:rFonts w:eastAsia="Times New Roman"/>
        </w:rPr>
      </w:pPr>
      <w:r>
        <w:rPr>
          <w:rFonts w:eastAsia="Times New Roman"/>
          <w:color w:val="000000"/>
          <w:sz w:val="20"/>
          <w:szCs w:val="20"/>
        </w:rPr>
        <w:t>If there is no intent to sell or likely requirement to dispose of the fixed maturity security before its recovery, only the credit loss component of any resulting allowance is recognized in income (loss) and the remainder of the fair value loss is recogniz</w:t>
      </w:r>
      <w:r>
        <w:rPr>
          <w:rFonts w:eastAsia="Times New Roman"/>
          <w:color w:val="000000"/>
          <w:sz w:val="20"/>
          <w:szCs w:val="20"/>
        </w:rPr>
        <w:t>ed in OCI. The amount of credit loss is the shortfall of the present value of the cash flows expected to be collected as compared to the amortized cost basis of the security. The present value is calculated by discounting management’s best estimate of proj</w:t>
      </w:r>
      <w:r>
        <w:rPr>
          <w:rFonts w:eastAsia="Times New Roman"/>
          <w:color w:val="000000"/>
          <w:sz w:val="20"/>
          <w:szCs w:val="20"/>
        </w:rPr>
        <w:t>ected future cash flows at the effective interest rate implicit in the debt security at the date of acquisition. Projections of future cash flows are based on assumptions regarding probability of default and estimates regarding the amount and timing of rec</w:t>
      </w:r>
      <w:r>
        <w:rPr>
          <w:rFonts w:eastAsia="Times New Roman"/>
          <w:color w:val="000000"/>
          <w:sz w:val="20"/>
          <w:szCs w:val="20"/>
        </w:rPr>
        <w:t>overies. These assumptions and estimates require use of management judgment and consider internal credit analyses as well as market observable data relevant to the collectability of the security. For mortgage and asset-backed securities, projected future c</w:t>
      </w:r>
      <w:r>
        <w:rPr>
          <w:rFonts w:eastAsia="Times New Roman"/>
          <w:color w:val="000000"/>
          <w:sz w:val="20"/>
          <w:szCs w:val="20"/>
        </w:rPr>
        <w:t>ash flows also include assumptions regarding prepayments and underlying collateral value.</w:t>
      </w:r>
    </w:p>
    <w:p w:rsidR="00000000" w:rsidRDefault="00E54EC0">
      <w:pPr>
        <w:ind w:firstLine="360"/>
        <w:divId w:val="1753310862"/>
        <w:rPr>
          <w:rFonts w:eastAsia="Times New Roman"/>
        </w:rPr>
      </w:pPr>
      <w:r>
        <w:rPr>
          <w:rFonts w:eastAsia="Times New Roman"/>
          <w:color w:val="000000"/>
          <w:sz w:val="20"/>
          <w:szCs w:val="20"/>
        </w:rPr>
        <w:t>Write-offs of AFS debt securities are recorded when all or a portion of a financial asset is deemed uncollectible. Full or partial write-offs are recorded as reductio</w:t>
      </w:r>
      <w:r>
        <w:rPr>
          <w:rFonts w:eastAsia="Times New Roman"/>
          <w:color w:val="000000"/>
          <w:sz w:val="20"/>
          <w:szCs w:val="20"/>
        </w:rPr>
        <w:t>ns to the amortized cost basis of the AFS debt security and deducted from the allowance in the period in which the financial assets are deemed uncollectible. We elected to reverse accrued interest deemed uncollectible as a reversal of interest income. In i</w:t>
      </w:r>
      <w:r>
        <w:rPr>
          <w:rFonts w:eastAsia="Times New Roman"/>
          <w:color w:val="000000"/>
          <w:sz w:val="20"/>
          <w:szCs w:val="20"/>
        </w:rPr>
        <w:t>nstances where we collect cash that has previously been written off, the recovery will be recognized through earnings or as a reduction of the amortized cost basis for interest and principal, respectively.</w:t>
      </w:r>
    </w:p>
    <w:p w:rsidR="00000000" w:rsidRDefault="00E54EC0">
      <w:pPr>
        <w:ind w:firstLine="360"/>
        <w:divId w:val="157186727"/>
        <w:rPr>
          <w:rFonts w:eastAsia="Times New Roman"/>
        </w:rPr>
      </w:pPr>
      <w:r>
        <w:rPr>
          <w:rFonts w:eastAsia="Times New Roman"/>
          <w:color w:val="000000"/>
          <w:sz w:val="20"/>
          <w:szCs w:val="20"/>
        </w:rPr>
        <w:t>Mortgage loans are stated at unpaid principal bala</w:t>
      </w:r>
      <w:r>
        <w:rPr>
          <w:rFonts w:eastAsia="Times New Roman"/>
          <w:color w:val="000000"/>
          <w:sz w:val="20"/>
          <w:szCs w:val="20"/>
        </w:rPr>
        <w:t>nces, net of unamortized discounts and valuation allowances. For collectively evaluated mortgages, the Company estimates the allowance for credit losses based on the amortized cost basis of its mortgages over their expected life using a PD / LGD model. For</w:t>
      </w:r>
      <w:r>
        <w:rPr>
          <w:rFonts w:eastAsia="Times New Roman"/>
          <w:color w:val="000000"/>
          <w:sz w:val="20"/>
          <w:szCs w:val="20"/>
        </w:rPr>
        <w:t xml:space="preserve"> individually evaluated mortgages, the Company continues to recognize valuation allowances based on the present value of expected future cash flows discounted at the loan’s original effective interest rate or on its collateral value if the loan is collater</w:t>
      </w:r>
      <w:r>
        <w:rPr>
          <w:rFonts w:eastAsia="Times New Roman"/>
          <w:color w:val="000000"/>
          <w:sz w:val="20"/>
          <w:szCs w:val="20"/>
        </w:rPr>
        <w:t xml:space="preserve">al dependent. </w:t>
      </w:r>
    </w:p>
    <w:p w:rsidR="00000000" w:rsidRDefault="00E54EC0">
      <w:pPr>
        <w:ind w:firstLine="360"/>
        <w:divId w:val="283773944"/>
        <w:rPr>
          <w:rFonts w:eastAsia="Times New Roman"/>
        </w:rPr>
      </w:pPr>
      <w:r>
        <w:rPr>
          <w:rFonts w:eastAsia="Times New Roman"/>
          <w:color w:val="000000"/>
          <w:sz w:val="20"/>
          <w:szCs w:val="20"/>
        </w:rPr>
        <w:t xml:space="preserve">For commercial and agricultural mortgage loans, an allowance for credit loss is typically recommended when management believes it is probable that principal and interest will not be collected according to the contractual terms. Factors that </w:t>
      </w:r>
      <w:r>
        <w:rPr>
          <w:rFonts w:eastAsia="Times New Roman"/>
          <w:color w:val="000000"/>
          <w:sz w:val="20"/>
          <w:szCs w:val="20"/>
        </w:rPr>
        <w:t>influence management’s judgment in determining allowance for credit losses include the following:</w:t>
      </w:r>
    </w:p>
    <w:p w:rsidR="00000000" w:rsidRDefault="00E54EC0">
      <w:pPr>
        <w:ind w:hanging="360"/>
        <w:jc w:val="both"/>
        <w:divId w:val="617564444"/>
        <w:rPr>
          <w:rFonts w:eastAsia="Times New Roman"/>
        </w:rPr>
      </w:pPr>
      <w:r>
        <w:rPr>
          <w:rFonts w:eastAsia="Times New Roman"/>
          <w:color w:val="000000"/>
          <w:sz w:val="20"/>
          <w:szCs w:val="20"/>
        </w:rPr>
        <w:t xml:space="preserve">•LTV ratio—Derived from current loan balance divided by the fair market value of the property. An allowance for credit loss is typically recommended when the </w:t>
      </w:r>
      <w:r>
        <w:rPr>
          <w:rFonts w:eastAsia="Times New Roman"/>
          <w:color w:val="000000"/>
          <w:sz w:val="20"/>
          <w:szCs w:val="20"/>
        </w:rPr>
        <w:t>LTV ratio is in excess of 100%. In the case where the LTV is in excess of 100%, the allowance for credit loss is derived by taking the difference between the fair market value (less cost of sale) and the current loan balance.</w:t>
      </w:r>
    </w:p>
    <w:p w:rsidR="00000000" w:rsidRDefault="00E54EC0">
      <w:pPr>
        <w:ind w:hanging="360"/>
        <w:jc w:val="both"/>
        <w:divId w:val="1208109465"/>
        <w:rPr>
          <w:rFonts w:eastAsia="Times New Roman"/>
        </w:rPr>
      </w:pPr>
      <w:r>
        <w:rPr>
          <w:rFonts w:eastAsia="Times New Roman"/>
          <w:color w:val="000000"/>
          <w:sz w:val="20"/>
          <w:szCs w:val="20"/>
        </w:rPr>
        <w:t>•DSC ratio—Derived from actual</w:t>
      </w:r>
      <w:r>
        <w:rPr>
          <w:rFonts w:eastAsia="Times New Roman"/>
          <w:color w:val="000000"/>
          <w:sz w:val="20"/>
          <w:szCs w:val="20"/>
        </w:rPr>
        <w:t xml:space="preserve"> operating earnings divided by annual debt service. If the ratio is below 1.0x, then the income from the property does not support the debt.</w:t>
      </w:r>
    </w:p>
    <w:p w:rsidR="00000000" w:rsidRDefault="00E54EC0">
      <w:pPr>
        <w:ind w:hanging="360"/>
        <w:jc w:val="both"/>
        <w:divId w:val="463084736"/>
        <w:rPr>
          <w:rFonts w:eastAsia="Times New Roman"/>
        </w:rPr>
      </w:pPr>
      <w:r>
        <w:rPr>
          <w:rFonts w:eastAsia="Times New Roman"/>
          <w:color w:val="000000"/>
          <w:sz w:val="20"/>
          <w:szCs w:val="20"/>
        </w:rPr>
        <w:t>•Occupancy—Criteria vary by property type but low or below market occupancy is an indicator of sub-par property per</w:t>
      </w:r>
      <w:r>
        <w:rPr>
          <w:rFonts w:eastAsia="Times New Roman"/>
          <w:color w:val="000000"/>
          <w:sz w:val="20"/>
          <w:szCs w:val="20"/>
        </w:rPr>
        <w:t>formance.</w:t>
      </w:r>
    </w:p>
    <w:p w:rsidR="00000000" w:rsidRDefault="00E54EC0">
      <w:pPr>
        <w:ind w:hanging="360"/>
        <w:jc w:val="both"/>
        <w:divId w:val="18506345"/>
        <w:rPr>
          <w:rFonts w:eastAsia="Times New Roman"/>
        </w:rPr>
      </w:pPr>
      <w:r>
        <w:rPr>
          <w:rFonts w:eastAsia="Times New Roman"/>
          <w:color w:val="000000"/>
          <w:sz w:val="20"/>
          <w:szCs w:val="20"/>
        </w:rPr>
        <w:t xml:space="preserve">•Lease expirations—The percentage of leases expiring in the upcoming 12 to 36 months are monitored as a decline in rent and/or occupancy may negatively impact the debt service coverage ratio. In the case of single-tenant properties or properties </w:t>
      </w:r>
      <w:r>
        <w:rPr>
          <w:rFonts w:eastAsia="Times New Roman"/>
          <w:color w:val="000000"/>
          <w:sz w:val="20"/>
          <w:szCs w:val="20"/>
        </w:rPr>
        <w:t>with large tenant exposure, the lease expiration is a material risk factor.</w:t>
      </w:r>
    </w:p>
    <w:p w:rsidR="00000000" w:rsidRDefault="00E54EC0">
      <w:pPr>
        <w:ind w:hanging="360"/>
        <w:jc w:val="both"/>
        <w:divId w:val="1978028274"/>
        <w:rPr>
          <w:rFonts w:eastAsia="Times New Roman"/>
        </w:rPr>
      </w:pPr>
      <w:r>
        <w:rPr>
          <w:rFonts w:eastAsia="Times New Roman"/>
          <w:color w:val="000000"/>
          <w:sz w:val="20"/>
          <w:szCs w:val="20"/>
        </w:rPr>
        <w:t>•Maturity—Mortgage loans that are not fully amortizing and have upcoming maturities within the next 12 to 24 months are monitored in conjunction with the capital markets to determi</w:t>
      </w:r>
      <w:r>
        <w:rPr>
          <w:rFonts w:eastAsia="Times New Roman"/>
          <w:color w:val="000000"/>
          <w:sz w:val="20"/>
          <w:szCs w:val="20"/>
        </w:rPr>
        <w:t>ne the borrower’s ability to refinance the debt and/or pay off the balloon balance.</w:t>
      </w:r>
    </w:p>
    <w:p w:rsidR="00000000" w:rsidRDefault="00E54EC0">
      <w:pPr>
        <w:ind w:hanging="360"/>
        <w:jc w:val="both"/>
        <w:divId w:val="1813061436"/>
        <w:rPr>
          <w:rFonts w:eastAsia="Times New Roman"/>
        </w:rPr>
      </w:pPr>
      <w:r>
        <w:rPr>
          <w:rFonts w:eastAsia="Times New Roman"/>
          <w:color w:val="000000"/>
          <w:sz w:val="20"/>
          <w:szCs w:val="20"/>
        </w:rPr>
        <w:t>•Borrower/tenant related issues—Financial concerns, potential bankruptcy, or words or actions that indicate imminent default or abandonment of property.</w:t>
      </w:r>
    </w:p>
    <w:p w:rsidR="00000000" w:rsidRDefault="00E54EC0">
      <w:pPr>
        <w:ind w:hanging="360"/>
        <w:jc w:val="both"/>
        <w:divId w:val="1284536539"/>
        <w:rPr>
          <w:rFonts w:eastAsia="Times New Roman"/>
        </w:rPr>
      </w:pPr>
      <w:r>
        <w:rPr>
          <w:rFonts w:eastAsia="Times New Roman"/>
          <w:color w:val="000000"/>
          <w:sz w:val="20"/>
          <w:szCs w:val="20"/>
        </w:rPr>
        <w:t>•Payment status - c</w:t>
      </w:r>
      <w:r>
        <w:rPr>
          <w:rFonts w:eastAsia="Times New Roman"/>
          <w:color w:val="000000"/>
          <w:sz w:val="20"/>
          <w:szCs w:val="20"/>
        </w:rPr>
        <w:t>urrent vs. delinquent—A history of delinquent payments may be a cause for concern.</w:t>
      </w:r>
    </w:p>
    <w:p w:rsidR="00000000" w:rsidRDefault="00E54EC0">
      <w:pPr>
        <w:ind w:hanging="360"/>
        <w:jc w:val="both"/>
        <w:divId w:val="647327184"/>
        <w:rPr>
          <w:rFonts w:eastAsia="Times New Roman"/>
        </w:rPr>
      </w:pPr>
      <w:r>
        <w:rPr>
          <w:rFonts w:eastAsia="Times New Roman"/>
          <w:color w:val="000000"/>
          <w:sz w:val="20"/>
          <w:szCs w:val="20"/>
        </w:rPr>
        <w:t>•Property condition—Significant deferred maintenance observed during the lenders annual site inspections.</w:t>
      </w:r>
    </w:p>
    <w:p w:rsidR="00000000" w:rsidRDefault="00E54EC0">
      <w:pPr>
        <w:ind w:hanging="360"/>
        <w:divId w:val="2050568759"/>
        <w:rPr>
          <w:rFonts w:eastAsia="Times New Roman"/>
        </w:rPr>
      </w:pPr>
      <w:r>
        <w:rPr>
          <w:rFonts w:eastAsia="Times New Roman"/>
          <w:color w:val="000000"/>
          <w:sz w:val="20"/>
          <w:szCs w:val="20"/>
        </w:rPr>
        <w:t>•Other—Any other factors such as current economic conditions may ca</w:t>
      </w:r>
      <w:r>
        <w:rPr>
          <w:rFonts w:eastAsia="Times New Roman"/>
          <w:color w:val="000000"/>
          <w:sz w:val="20"/>
          <w:szCs w:val="20"/>
        </w:rPr>
        <w:t>ll into question the performance of the loan.</w:t>
      </w:r>
    </w:p>
    <w:p w:rsidR="00000000" w:rsidRDefault="00E54EC0">
      <w:pPr>
        <w:jc w:val="center"/>
        <w:divId w:val="2119567747"/>
        <w:rPr>
          <w:rFonts w:eastAsia="Times New Roman"/>
        </w:rPr>
      </w:pPr>
      <w:r>
        <w:rPr>
          <w:rFonts w:eastAsia="Times New Roman"/>
          <w:color w:val="000000"/>
          <w:sz w:val="20"/>
          <w:szCs w:val="20"/>
        </w:rPr>
        <w:t>116</w:t>
      </w:r>
    </w:p>
    <w:p w:rsidR="00000000" w:rsidRDefault="00E54EC0">
      <w:pPr>
        <w:rPr>
          <w:rFonts w:eastAsia="Times New Roman"/>
        </w:rPr>
      </w:pPr>
      <w:r>
        <w:rPr>
          <w:rFonts w:eastAsia="Times New Roman"/>
        </w:rPr>
        <w:pict>
          <v:rect id="_x0000_i1154" style="width:0;height:1.5pt" o:hralign="center" o:hrstd="t" o:hr="t" fillcolor="#a0a0a0" stroked="f"/>
        </w:pict>
      </w:r>
    </w:p>
    <w:p w:rsidR="00000000" w:rsidRDefault="00E54EC0">
      <w:pPr>
        <w:divId w:val="894855651"/>
        <w:rPr>
          <w:rFonts w:eastAsia="Times New Roman"/>
        </w:rPr>
      </w:pPr>
    </w:p>
    <w:p w:rsidR="00000000" w:rsidRDefault="00E54EC0">
      <w:pPr>
        <w:ind w:firstLine="360"/>
        <w:divId w:val="204803755"/>
        <w:rPr>
          <w:rFonts w:eastAsia="Times New Roman"/>
        </w:rPr>
      </w:pPr>
      <w:r>
        <w:rPr>
          <w:rFonts w:eastAsia="Times New Roman"/>
          <w:color w:val="000000"/>
          <w:sz w:val="20"/>
          <w:szCs w:val="20"/>
        </w:rPr>
        <w:t>Mortgage loans that do not share similar risk characteristics with other loans in the portfolio are individually evaluated quarterly by the IUS Committee for impairment</w:t>
      </w:r>
      <w:r>
        <w:rPr>
          <w:rFonts w:eastAsia="Times New Roman"/>
          <w:color w:val="000000"/>
          <w:sz w:val="20"/>
          <w:szCs w:val="20"/>
        </w:rPr>
        <w:t xml:space="preserve"> on a loan-by-loan basis, including an assessment of related collateral value. Commercial mortgages 60 days or more past due and agricultural mortgages 90 days or more past due, as well as all mortgages in the process of foreclosure, are identified as prob</w:t>
      </w:r>
      <w:r>
        <w:rPr>
          <w:rFonts w:eastAsia="Times New Roman"/>
          <w:color w:val="000000"/>
          <w:sz w:val="20"/>
          <w:szCs w:val="20"/>
        </w:rPr>
        <w:t xml:space="preserve">lem mortgages. Based on its monthly monitoring of mortgages, a class of potential problem mortgages also is identified, consisting of mortgage loans not currently classified as problems but for which management has doubts as to the ability of the borrower </w:t>
      </w:r>
      <w:r>
        <w:rPr>
          <w:rFonts w:eastAsia="Times New Roman"/>
          <w:color w:val="000000"/>
          <w:sz w:val="20"/>
          <w:szCs w:val="20"/>
        </w:rPr>
        <w:t>to comply with the present loan payment terms and which may result in the loan becoming a problem or being restructured. The decision whether to classify a performing mortgage loan as a potential problem involves significant subjective judgments by managem</w:t>
      </w:r>
      <w:r>
        <w:rPr>
          <w:rFonts w:eastAsia="Times New Roman"/>
          <w:color w:val="000000"/>
          <w:sz w:val="20"/>
          <w:szCs w:val="20"/>
        </w:rPr>
        <w:t>ent as to likely future industry conditions and developments with respect to the borrower or the individual mortgaged property.</w:t>
      </w:r>
    </w:p>
    <w:p w:rsidR="00000000" w:rsidRDefault="00E54EC0">
      <w:pPr>
        <w:ind w:firstLine="360"/>
        <w:divId w:val="1034501490"/>
        <w:rPr>
          <w:rFonts w:eastAsia="Times New Roman"/>
        </w:rPr>
      </w:pPr>
      <w:r>
        <w:rPr>
          <w:rFonts w:eastAsia="Times New Roman"/>
          <w:color w:val="000000"/>
          <w:sz w:val="20"/>
          <w:szCs w:val="20"/>
        </w:rPr>
        <w:t>For problem mortgage loans a valuation allowance is established to provide for the risk of credit losses inherent in the lending</w:t>
      </w:r>
      <w:r>
        <w:rPr>
          <w:rFonts w:eastAsia="Times New Roman"/>
          <w:color w:val="000000"/>
          <w:sz w:val="20"/>
          <w:szCs w:val="20"/>
        </w:rPr>
        <w:t xml:space="preserve"> process. The allowance includes loan specific reserves for loans determined to be non-performing as a result of the loan review process. A non-performing loan is defined as a loan for which it is probable that amounts due according to the contractual term</w:t>
      </w:r>
      <w:r>
        <w:rPr>
          <w:rFonts w:eastAsia="Times New Roman"/>
          <w:color w:val="000000"/>
          <w:sz w:val="20"/>
          <w:szCs w:val="20"/>
        </w:rPr>
        <w:t>s of the loan agreement will not be collected. The loan specific portion of the loss allowance is based on our assessment as to ultimate collectability of loan principal and interest. Valuation allowances for a non-performing loan are recorded based on the</w:t>
      </w:r>
      <w:r>
        <w:rPr>
          <w:rFonts w:eastAsia="Times New Roman"/>
          <w:color w:val="000000"/>
          <w:sz w:val="20"/>
          <w:szCs w:val="20"/>
        </w:rPr>
        <w:t xml:space="preserve"> present value of expected future cash flows discounted at the loan’s effective interest rate or based on the fair value of the collateral if the loan is collateral dependent. The valuation allowance for mortgage loans can increase or decrease from period </w:t>
      </w:r>
      <w:r>
        <w:rPr>
          <w:rFonts w:eastAsia="Times New Roman"/>
          <w:color w:val="000000"/>
          <w:sz w:val="20"/>
          <w:szCs w:val="20"/>
        </w:rPr>
        <w:t>to period based on such factors.</w:t>
      </w:r>
    </w:p>
    <w:p w:rsidR="00000000" w:rsidRDefault="00E54EC0">
      <w:pPr>
        <w:ind w:firstLine="360"/>
        <w:divId w:val="1742101068"/>
        <w:rPr>
          <w:rFonts w:eastAsia="Times New Roman"/>
        </w:rPr>
      </w:pPr>
      <w:r>
        <w:rPr>
          <w:rFonts w:eastAsia="Times New Roman"/>
          <w:color w:val="000000"/>
          <w:sz w:val="20"/>
          <w:szCs w:val="20"/>
        </w:rPr>
        <w:t>Impaired mortgage loans without provision for losses are mortgage loans where the fair value of the collateral or the net present value of the expected future cash flows related to the loan equals or exceeds the recorded in</w:t>
      </w:r>
      <w:r>
        <w:rPr>
          <w:rFonts w:eastAsia="Times New Roman"/>
          <w:color w:val="000000"/>
          <w:sz w:val="20"/>
          <w:szCs w:val="20"/>
        </w:rPr>
        <w:t>vestment. Interest income earned on mortgage loans where the collateral value is used to measure impairment is recorded on a cash basis. Interest income on mortgage loans where the present value method is used to measure impairment is accrued on the net ca</w:t>
      </w:r>
      <w:r>
        <w:rPr>
          <w:rFonts w:eastAsia="Times New Roman"/>
          <w:color w:val="000000"/>
          <w:sz w:val="20"/>
          <w:szCs w:val="20"/>
        </w:rPr>
        <w:t>rrying value amount of the loan at the interest rate used to discount the cash flows. Changes in the present value attributable to changes in the amount or timing of expected cash flows are reported as investment gains or losses.</w:t>
      </w:r>
    </w:p>
    <w:p w:rsidR="00000000" w:rsidRDefault="00E54EC0">
      <w:pPr>
        <w:ind w:firstLine="360"/>
        <w:divId w:val="1176110251"/>
        <w:rPr>
          <w:rFonts w:eastAsia="Times New Roman"/>
        </w:rPr>
      </w:pPr>
      <w:r>
        <w:rPr>
          <w:rFonts w:eastAsia="Times New Roman"/>
          <w:color w:val="000000"/>
          <w:sz w:val="20"/>
          <w:szCs w:val="20"/>
        </w:rPr>
        <w:t xml:space="preserve">Mortgage loans are placed </w:t>
      </w:r>
      <w:r>
        <w:rPr>
          <w:rFonts w:eastAsia="Times New Roman"/>
          <w:color w:val="000000"/>
          <w:sz w:val="20"/>
          <w:szCs w:val="20"/>
        </w:rPr>
        <w:t>on nonaccrual status once management believes the collection of accrued interest is doubtful. Once mortgage loans are classified as nonaccrual mortgage loans, interest income is recognized under the cash basis of accounting and the resumption of the intere</w:t>
      </w:r>
      <w:r>
        <w:rPr>
          <w:rFonts w:eastAsia="Times New Roman"/>
          <w:color w:val="000000"/>
          <w:sz w:val="20"/>
          <w:szCs w:val="20"/>
        </w:rPr>
        <w:t>st accrual would commence only after all past due interest has been collected or the mortgage loan on real estate has been restructured to where the collection of interest is considered likely.</w:t>
      </w:r>
    </w:p>
    <w:p w:rsidR="00000000" w:rsidRDefault="00E54EC0">
      <w:pPr>
        <w:ind w:firstLine="360"/>
        <w:divId w:val="310064748"/>
        <w:rPr>
          <w:rFonts w:eastAsia="Times New Roman"/>
        </w:rPr>
      </w:pPr>
      <w:r>
        <w:rPr>
          <w:rFonts w:eastAsia="Times New Roman"/>
          <w:color w:val="000000"/>
          <w:sz w:val="20"/>
          <w:szCs w:val="20"/>
        </w:rPr>
        <w:t>See Note 2 and Note 3 of the Notes to the Consolidated Financi</w:t>
      </w:r>
      <w:r>
        <w:rPr>
          <w:rFonts w:eastAsia="Times New Roman"/>
          <w:color w:val="000000"/>
          <w:sz w:val="20"/>
          <w:szCs w:val="20"/>
        </w:rPr>
        <w:t>al Statements for additional information relating to our determination of the amount of allowances and impairments.</w:t>
      </w:r>
    </w:p>
    <w:p w:rsidR="00000000" w:rsidRDefault="00E54EC0">
      <w:pPr>
        <w:jc w:val="both"/>
        <w:divId w:val="1661275095"/>
        <w:rPr>
          <w:rFonts w:eastAsia="Times New Roman"/>
        </w:rPr>
      </w:pPr>
      <w:r>
        <w:rPr>
          <w:rFonts w:eastAsia="Times New Roman"/>
          <w:b/>
          <w:bCs/>
          <w:i/>
          <w:iCs/>
          <w:color w:val="000000"/>
          <w:sz w:val="20"/>
          <w:szCs w:val="20"/>
        </w:rPr>
        <w:t xml:space="preserve">Derivatives </w:t>
      </w:r>
    </w:p>
    <w:p w:rsidR="00000000" w:rsidRDefault="00E54EC0">
      <w:pPr>
        <w:ind w:firstLine="360"/>
        <w:divId w:val="1231187160"/>
        <w:rPr>
          <w:rFonts w:eastAsia="Times New Roman"/>
        </w:rPr>
      </w:pPr>
      <w:r>
        <w:rPr>
          <w:rFonts w:eastAsia="Times New Roman"/>
          <w:color w:val="000000"/>
          <w:sz w:val="20"/>
          <w:szCs w:val="20"/>
        </w:rPr>
        <w:t>We use freestanding derivative instruments to hedge various capital market risks in our products, including: (i) certain guaran</w:t>
      </w:r>
      <w:r>
        <w:rPr>
          <w:rFonts w:eastAsia="Times New Roman"/>
          <w:color w:val="000000"/>
          <w:sz w:val="20"/>
          <w:szCs w:val="20"/>
        </w:rPr>
        <w:t xml:space="preserve">tees, some of which are reported as embedded derivatives; (ii) current or future changes in the fair value of our assets and liabilities; and (iii) current or future changes in cash flows. All derivatives, whether freestanding or embedded, are required to </w:t>
      </w:r>
      <w:r>
        <w:rPr>
          <w:rFonts w:eastAsia="Times New Roman"/>
          <w:color w:val="000000"/>
          <w:sz w:val="20"/>
          <w:szCs w:val="20"/>
        </w:rPr>
        <w:t>be carried on the balance sheet at fair value with changes reflected in either net income (loss) or in OCI, depending on the type of hedge. Below is a summary of critical accounting estimates by type of derivative.</w:t>
      </w:r>
    </w:p>
    <w:p w:rsidR="00000000" w:rsidRDefault="00E54EC0">
      <w:pPr>
        <w:divId w:val="1386948907"/>
        <w:rPr>
          <w:rFonts w:eastAsia="Times New Roman"/>
        </w:rPr>
      </w:pPr>
      <w:r>
        <w:rPr>
          <w:rFonts w:eastAsia="Times New Roman"/>
          <w:i/>
          <w:iCs/>
          <w:color w:val="000000"/>
          <w:sz w:val="20"/>
          <w:szCs w:val="20"/>
          <w:u w:val="single"/>
        </w:rPr>
        <w:t xml:space="preserve">Freestanding Derivatives </w:t>
      </w:r>
    </w:p>
    <w:p w:rsidR="00000000" w:rsidRDefault="00E54EC0">
      <w:pPr>
        <w:ind w:firstLine="360"/>
        <w:divId w:val="2062708789"/>
        <w:rPr>
          <w:rFonts w:eastAsia="Times New Roman"/>
        </w:rPr>
      </w:pPr>
      <w:r>
        <w:rPr>
          <w:rFonts w:eastAsia="Times New Roman"/>
          <w:color w:val="000000"/>
          <w:sz w:val="20"/>
          <w:szCs w:val="20"/>
        </w:rPr>
        <w:t>The determinati</w:t>
      </w:r>
      <w:r>
        <w:rPr>
          <w:rFonts w:eastAsia="Times New Roman"/>
          <w:color w:val="000000"/>
          <w:sz w:val="20"/>
          <w:szCs w:val="20"/>
        </w:rPr>
        <w:t>on of the estimated fair value of freestanding derivatives, when quoted market values are not available, is based on market standard valuation methodologies and inputs that management believes are consistent with what other market participants would use wh</w:t>
      </w:r>
      <w:r>
        <w:rPr>
          <w:rFonts w:eastAsia="Times New Roman"/>
          <w:color w:val="000000"/>
          <w:sz w:val="20"/>
          <w:szCs w:val="20"/>
        </w:rPr>
        <w:t>en pricing such instruments. Derivative valuations can be affected by changes in interest rates, foreign currency exchange rates, financial indices, credit spreads, default risk, nonperformance risk, volatility, liquidity and changes in estimates and assum</w:t>
      </w:r>
      <w:r>
        <w:rPr>
          <w:rFonts w:eastAsia="Times New Roman"/>
          <w:color w:val="000000"/>
          <w:sz w:val="20"/>
          <w:szCs w:val="20"/>
        </w:rPr>
        <w:t xml:space="preserve">ptions used in the pricing models. See Note 8 of the Notes to the Consolidated Financial Statements for additional details on significant inputs into the OTC derivative pricing models and credit risk adjustment. </w:t>
      </w:r>
    </w:p>
    <w:p w:rsidR="00000000" w:rsidRDefault="00E54EC0">
      <w:pPr>
        <w:jc w:val="center"/>
        <w:divId w:val="1256017635"/>
        <w:rPr>
          <w:rFonts w:eastAsia="Times New Roman"/>
        </w:rPr>
      </w:pPr>
      <w:r>
        <w:rPr>
          <w:rFonts w:eastAsia="Times New Roman"/>
          <w:color w:val="000000"/>
          <w:sz w:val="20"/>
          <w:szCs w:val="20"/>
        </w:rPr>
        <w:t>117</w:t>
      </w:r>
    </w:p>
    <w:p w:rsidR="00000000" w:rsidRDefault="00E54EC0">
      <w:pPr>
        <w:rPr>
          <w:rFonts w:eastAsia="Times New Roman"/>
        </w:rPr>
      </w:pPr>
      <w:r>
        <w:rPr>
          <w:rFonts w:eastAsia="Times New Roman"/>
        </w:rPr>
        <w:pict>
          <v:rect id="_x0000_i1155" style="width:0;height:1.5pt" o:hralign="center" o:hrstd="t" o:hr="t" fillcolor="#a0a0a0" stroked="f"/>
        </w:pict>
      </w:r>
    </w:p>
    <w:p w:rsidR="00000000" w:rsidRDefault="00E54EC0">
      <w:pPr>
        <w:divId w:val="1987935233"/>
        <w:rPr>
          <w:rFonts w:eastAsia="Times New Roman"/>
        </w:rPr>
      </w:pPr>
    </w:p>
    <w:p w:rsidR="00000000" w:rsidRDefault="00E54EC0">
      <w:pPr>
        <w:divId w:val="167451172"/>
        <w:rPr>
          <w:rFonts w:eastAsia="Times New Roman"/>
        </w:rPr>
      </w:pPr>
      <w:r>
        <w:rPr>
          <w:rFonts w:eastAsia="Times New Roman"/>
          <w:i/>
          <w:iCs/>
          <w:color w:val="000000"/>
          <w:sz w:val="20"/>
          <w:szCs w:val="20"/>
          <w:u w:val="single"/>
        </w:rPr>
        <w:t xml:space="preserve">Embedded Derivatives </w:t>
      </w:r>
    </w:p>
    <w:p w:rsidR="00000000" w:rsidRDefault="00E54EC0">
      <w:pPr>
        <w:ind w:firstLine="360"/>
        <w:divId w:val="1425302002"/>
        <w:rPr>
          <w:rFonts w:eastAsia="Times New Roman"/>
        </w:rPr>
      </w:pPr>
      <w:r>
        <w:rPr>
          <w:rFonts w:eastAsia="Times New Roman"/>
          <w:color w:val="000000"/>
          <w:sz w:val="20"/>
          <w:szCs w:val="20"/>
        </w:rPr>
        <w:t xml:space="preserve">We issue variable annuity products with guaranteed minimum benefits, some of which are embedded derivatives measured at estimated fair value separately from the host variable annuity product, with changes in estimated fair value reported in net derivative </w:t>
      </w:r>
      <w:r>
        <w:rPr>
          <w:rFonts w:eastAsia="Times New Roman"/>
          <w:color w:val="000000"/>
          <w:sz w:val="20"/>
          <w:szCs w:val="20"/>
        </w:rPr>
        <w:t>gains (losses). The estimated fair values of these embedded derivatives are determined based on the present value of projected future benefits minus the present value of projected future fees attributable to the guarantee. The projections of future benefit</w:t>
      </w:r>
      <w:r>
        <w:rPr>
          <w:rFonts w:eastAsia="Times New Roman"/>
          <w:color w:val="000000"/>
          <w:sz w:val="20"/>
          <w:szCs w:val="20"/>
        </w:rPr>
        <w:t>s and future fees require capital markets and actuarial assumptions, including expectations concerning policyholder behavior. A risk-neutral valuation methodology is used under which the cash flows from the guarantees are projected under multiple capital m</w:t>
      </w:r>
      <w:r>
        <w:rPr>
          <w:rFonts w:eastAsia="Times New Roman"/>
          <w:color w:val="000000"/>
          <w:sz w:val="20"/>
          <w:szCs w:val="20"/>
        </w:rPr>
        <w:t xml:space="preserve">arket scenarios using observable risk-free rates. </w:t>
      </w:r>
    </w:p>
    <w:p w:rsidR="00000000" w:rsidRDefault="00E54EC0">
      <w:pPr>
        <w:ind w:firstLine="360"/>
        <w:divId w:val="588778458"/>
        <w:rPr>
          <w:rFonts w:eastAsia="Times New Roman"/>
        </w:rPr>
      </w:pPr>
      <w:r>
        <w:rPr>
          <w:rFonts w:eastAsia="Times New Roman"/>
          <w:color w:val="000000"/>
          <w:sz w:val="20"/>
          <w:szCs w:val="20"/>
        </w:rPr>
        <w:t>Market conditions including, but not limited to, changes in interest rates, equity indices, market volatility and variations in actuarial assumptions, including policyholder behavior, mortality and risk ma</w:t>
      </w:r>
      <w:r>
        <w:rPr>
          <w:rFonts w:eastAsia="Times New Roman"/>
          <w:color w:val="000000"/>
          <w:sz w:val="20"/>
          <w:szCs w:val="20"/>
        </w:rPr>
        <w:t>rgins related to non-capital market inputs, as well as changes in our nonperformance risk adjustment may result in significant fluctuations in the estimated fair value of the guarantees that could materially affect net income. Changes to actuarial assumpti</w:t>
      </w:r>
      <w:r>
        <w:rPr>
          <w:rFonts w:eastAsia="Times New Roman"/>
          <w:color w:val="000000"/>
          <w:sz w:val="20"/>
          <w:szCs w:val="20"/>
        </w:rPr>
        <w:t>ons, principally related to contract holder behavior such as annuitization utilization and withdrawals associated with GMIB riders, can result in a change of expected future cash outflows of a guarantee between the accrual-based model for insurance liabili</w:t>
      </w:r>
      <w:r>
        <w:rPr>
          <w:rFonts w:eastAsia="Times New Roman"/>
          <w:color w:val="000000"/>
          <w:sz w:val="20"/>
          <w:szCs w:val="20"/>
        </w:rPr>
        <w:t>ties and the fair-value based model for embedded derivatives. See Note 2 of the Notes to the Consolidated Financial Statements for additional information relating to the determination of the accounting model. Risk margins are established to capture the non</w:t>
      </w:r>
      <w:r>
        <w:rPr>
          <w:rFonts w:eastAsia="Times New Roman"/>
          <w:color w:val="000000"/>
          <w:sz w:val="20"/>
          <w:szCs w:val="20"/>
        </w:rPr>
        <w:t>-capital market risks of the instrument which represent the additional compensation a market participant would require to assume the risks related to the uncertainties in certain actuarial assumptions. For direct liabilities, risk margins are applied to no</w:t>
      </w:r>
      <w:r>
        <w:rPr>
          <w:rFonts w:eastAsia="Times New Roman"/>
          <w:color w:val="000000"/>
          <w:sz w:val="20"/>
          <w:szCs w:val="20"/>
        </w:rPr>
        <w:t>n-capital market risk assumptions, while for reinsurance asset risk margins are based on the cost of capital a theoretical market participant would require to assume the risks. The establishment of risk margins requires the use of significant management ju</w:t>
      </w:r>
      <w:r>
        <w:rPr>
          <w:rFonts w:eastAsia="Times New Roman"/>
          <w:color w:val="000000"/>
          <w:sz w:val="20"/>
          <w:szCs w:val="20"/>
        </w:rPr>
        <w:t xml:space="preserve">dgment, including assumptions of the amount and cost of capital needed to cover the guarantees. </w:t>
      </w:r>
    </w:p>
    <w:p w:rsidR="00000000" w:rsidRDefault="00E54EC0">
      <w:pPr>
        <w:ind w:firstLine="360"/>
        <w:divId w:val="716467599"/>
        <w:rPr>
          <w:rFonts w:eastAsia="Times New Roman"/>
        </w:rPr>
      </w:pPr>
      <w:r>
        <w:rPr>
          <w:rFonts w:eastAsia="Times New Roman"/>
          <w:color w:val="000000"/>
          <w:sz w:val="20"/>
          <w:szCs w:val="20"/>
        </w:rPr>
        <w:t>With respect to assumptions regarding policyholder behavior, we have recorded charges, and in some cases benefits, in prior years as a result of the availabili</w:t>
      </w:r>
      <w:r>
        <w:rPr>
          <w:rFonts w:eastAsia="Times New Roman"/>
          <w:color w:val="000000"/>
          <w:sz w:val="20"/>
          <w:szCs w:val="20"/>
        </w:rPr>
        <w:t xml:space="preserve">ty of sufficient and credible data at the conclusion of each review. </w:t>
      </w:r>
    </w:p>
    <w:p w:rsidR="00000000" w:rsidRDefault="00E54EC0">
      <w:pPr>
        <w:ind w:firstLine="360"/>
        <w:divId w:val="947470736"/>
        <w:rPr>
          <w:rFonts w:eastAsia="Times New Roman"/>
        </w:rPr>
      </w:pPr>
      <w:r>
        <w:rPr>
          <w:rFonts w:eastAsia="Times New Roman"/>
          <w:color w:val="000000"/>
          <w:sz w:val="20"/>
          <w:szCs w:val="20"/>
        </w:rPr>
        <w:t>We ceded the risk associated with certain of the variable annuity products with GMxB features described in the preceding paragraphs. The value of the embedded derivatives on the ceded ri</w:t>
      </w:r>
      <w:r>
        <w:rPr>
          <w:rFonts w:eastAsia="Times New Roman"/>
          <w:color w:val="000000"/>
          <w:sz w:val="20"/>
          <w:szCs w:val="20"/>
        </w:rPr>
        <w:t>sk is determined using a methodology consistent with that described previously for the guarantees directly written by us with the exception of the input for nonperformance risk that reflects the credit of the reinsurer. However, because certain of the rein</w:t>
      </w:r>
      <w:r>
        <w:rPr>
          <w:rFonts w:eastAsia="Times New Roman"/>
          <w:color w:val="000000"/>
          <w:sz w:val="20"/>
          <w:szCs w:val="20"/>
        </w:rPr>
        <w:t>sured guarantees do not meet the definition of an embedded derivative and, thus are not accounted for at fair value, significant fluctuations in net income may occur when the change in the fair value of the reinsurance recoverable is recorded in net income</w:t>
      </w:r>
      <w:r>
        <w:rPr>
          <w:rFonts w:eastAsia="Times New Roman"/>
          <w:color w:val="000000"/>
          <w:sz w:val="20"/>
          <w:szCs w:val="20"/>
        </w:rPr>
        <w:t xml:space="preserve"> without a corresponding and offsetting change in fair value of the directly written guaranteed liability.</w:t>
      </w:r>
    </w:p>
    <w:p w:rsidR="00000000" w:rsidRDefault="00E54EC0">
      <w:pPr>
        <w:divId w:val="1012685780"/>
        <w:rPr>
          <w:rFonts w:eastAsia="Times New Roman"/>
        </w:rPr>
      </w:pPr>
      <w:r>
        <w:rPr>
          <w:rFonts w:eastAsia="Times New Roman"/>
          <w:i/>
          <w:iCs/>
          <w:color w:val="000000"/>
          <w:sz w:val="20"/>
          <w:szCs w:val="20"/>
          <w:u w:val="single"/>
        </w:rPr>
        <w:t>Nonperformance Risk Adjustment</w:t>
      </w:r>
    </w:p>
    <w:p w:rsidR="00000000" w:rsidRDefault="00E54EC0">
      <w:pPr>
        <w:ind w:firstLine="360"/>
        <w:divId w:val="1985623925"/>
        <w:rPr>
          <w:rFonts w:eastAsia="Times New Roman"/>
        </w:rPr>
      </w:pPr>
      <w:r>
        <w:rPr>
          <w:rFonts w:eastAsia="Times New Roman"/>
          <w:color w:val="000000"/>
          <w:sz w:val="20"/>
          <w:szCs w:val="20"/>
        </w:rPr>
        <w:t>The valuation of our embedded derivatives includes an adjustment for the risk that we fail to satisfy our obligations,</w:t>
      </w:r>
      <w:r>
        <w:rPr>
          <w:rFonts w:eastAsia="Times New Roman"/>
          <w:color w:val="000000"/>
          <w:sz w:val="20"/>
          <w:szCs w:val="20"/>
        </w:rPr>
        <w:t xml:space="preserve"> which we refer to as our nonperformance risk. The nonperformance risk adjustment, which is captured as a spread over the risk-free rate in determining the discount rate to discount the cash flows of the liability, is determined by taking into consideratio</w:t>
      </w:r>
      <w:r>
        <w:rPr>
          <w:rFonts w:eastAsia="Times New Roman"/>
          <w:color w:val="000000"/>
          <w:sz w:val="20"/>
          <w:szCs w:val="20"/>
        </w:rPr>
        <w:t>n publicly available information relating to spreads on corporate bonds in the secondary market comparable to Holdings’ financial strength rating.</w:t>
      </w:r>
    </w:p>
    <w:p w:rsidR="00000000" w:rsidRDefault="00E54EC0">
      <w:pPr>
        <w:ind w:firstLine="360"/>
        <w:divId w:val="223180986"/>
        <w:rPr>
          <w:rFonts w:eastAsia="Times New Roman"/>
        </w:rPr>
      </w:pPr>
      <w:r>
        <w:rPr>
          <w:rFonts w:eastAsia="Times New Roman"/>
          <w:color w:val="000000"/>
          <w:sz w:val="20"/>
          <w:szCs w:val="20"/>
        </w:rPr>
        <w:t>The table below illustrates the impact that a range of reasonably likely variances in credit spreads would ha</w:t>
      </w:r>
      <w:r>
        <w:rPr>
          <w:rFonts w:eastAsia="Times New Roman"/>
          <w:color w:val="000000"/>
          <w:sz w:val="20"/>
          <w:szCs w:val="20"/>
        </w:rPr>
        <w:t>ve on our consolidated balance sheet, excluding the effect of income tax, related to the embedded derivative valuation on certain variable annuity products measured at estimated fair value. Even when credit spreads do not change, the impact of the nonperfo</w:t>
      </w:r>
      <w:r>
        <w:rPr>
          <w:rFonts w:eastAsia="Times New Roman"/>
          <w:color w:val="000000"/>
          <w:sz w:val="20"/>
          <w:szCs w:val="20"/>
        </w:rPr>
        <w:t xml:space="preserve">rmance risk adjustment on fair value will change when the cash flows within the fair value measurement change. The table only reflects the impact of changes in credit spreads on our consolidated financial statements included elsewhere herein and not these </w:t>
      </w:r>
      <w:r>
        <w:rPr>
          <w:rFonts w:eastAsia="Times New Roman"/>
          <w:color w:val="000000"/>
          <w:sz w:val="20"/>
          <w:szCs w:val="20"/>
        </w:rPr>
        <w:t>other potential changes. In determining the ranges, we have considered current market conditions, as well as the market level of spreads that can reasonably be anticipated over the near term. The ranges do not reflect extreme market conditions such as thos</w:t>
      </w:r>
      <w:r>
        <w:rPr>
          <w:rFonts w:eastAsia="Times New Roman"/>
          <w:color w:val="000000"/>
          <w:sz w:val="20"/>
          <w:szCs w:val="20"/>
        </w:rPr>
        <w:t>e experienced during the 2008–2009 financial crisis as we do not consider those to be reasonably likely events in the near future.</w:t>
      </w:r>
    </w:p>
    <w:p w:rsidR="00000000" w:rsidRDefault="00E54EC0">
      <w:pPr>
        <w:jc w:val="center"/>
        <w:divId w:val="719594583"/>
        <w:rPr>
          <w:rFonts w:eastAsia="Times New Roman"/>
        </w:rPr>
      </w:pPr>
      <w:r>
        <w:rPr>
          <w:rFonts w:eastAsia="Times New Roman"/>
          <w:color w:val="000000"/>
          <w:sz w:val="20"/>
          <w:szCs w:val="20"/>
        </w:rPr>
        <w:t>118</w:t>
      </w:r>
    </w:p>
    <w:p w:rsidR="00000000" w:rsidRDefault="00E54EC0">
      <w:pPr>
        <w:rPr>
          <w:rFonts w:eastAsia="Times New Roman"/>
        </w:rPr>
      </w:pPr>
      <w:r>
        <w:rPr>
          <w:rFonts w:eastAsia="Times New Roman"/>
        </w:rPr>
        <w:pict>
          <v:rect id="_x0000_i1156" style="width:0;height:1.5pt" o:hralign="center" o:hrstd="t" o:hr="t" fillcolor="#a0a0a0" stroked="f"/>
        </w:pict>
      </w:r>
    </w:p>
    <w:p w:rsidR="00000000" w:rsidRDefault="00E54EC0">
      <w:pPr>
        <w:divId w:val="68540385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5865"/>
        <w:gridCol w:w="36"/>
        <w:gridCol w:w="121"/>
        <w:gridCol w:w="2197"/>
        <w:gridCol w:w="36"/>
      </w:tblGrid>
      <w:tr w:rsidR="00000000">
        <w:trPr>
          <w:divId w:val="1917979377"/>
        </w:trPr>
        <w:tc>
          <w:tcPr>
            <w:tcW w:w="50" w:type="pct"/>
            <w:vAlign w:val="center"/>
            <w:hideMark/>
          </w:tcPr>
          <w:p w:rsidR="00000000" w:rsidRDefault="00E54EC0">
            <w:pPr>
              <w:rPr>
                <w:rFonts w:eastAsia="Times New Roman"/>
              </w:rPr>
            </w:pPr>
          </w:p>
        </w:tc>
        <w:tc>
          <w:tcPr>
            <w:tcW w:w="35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3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91797937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Future policyholders’ </w:t>
            </w:r>
            <w:r>
              <w:rPr>
                <w:rFonts w:eastAsia="Times New Roman"/>
                <w:b/>
                <w:bCs/>
                <w:color w:val="000000"/>
                <w:sz w:val="16"/>
                <w:szCs w:val="16"/>
              </w:rPr>
              <w:t>benefits and other policyholders’ liabilities</w:t>
            </w:r>
            <w:r>
              <w:rPr>
                <w:rFonts w:eastAsia="Times New Roman"/>
                <w:b/>
                <w:bCs/>
                <w:color w:val="000000"/>
                <w:sz w:val="16"/>
                <w:szCs w:val="16"/>
              </w:rPr>
              <w:br/>
              <w:t>(before reinsurance ceded)</w:t>
            </w:r>
          </w:p>
        </w:tc>
      </w:tr>
      <w:tr w:rsidR="00000000">
        <w:trPr>
          <w:divId w:val="191797937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billions)</w:t>
            </w:r>
          </w:p>
        </w:tc>
      </w:tr>
      <w:tr w:rsidR="00000000">
        <w:trPr>
          <w:divId w:val="191797937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100% increase in Holdings’ credit spread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1797937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 reported</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1797937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50% decrease in Holdings’ credit spread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335912331"/>
        <w:rPr>
          <w:rFonts w:eastAsia="Times New Roman"/>
        </w:rPr>
      </w:pPr>
    </w:p>
    <w:p w:rsidR="00000000" w:rsidRDefault="00E54EC0">
      <w:pPr>
        <w:ind w:firstLine="360"/>
        <w:divId w:val="1678995679"/>
        <w:rPr>
          <w:rFonts w:eastAsia="Times New Roman"/>
        </w:rPr>
      </w:pPr>
      <w:r>
        <w:rPr>
          <w:rFonts w:eastAsia="Times New Roman"/>
          <w:color w:val="000000"/>
          <w:sz w:val="20"/>
          <w:szCs w:val="20"/>
        </w:rPr>
        <w:t>See Note 4 of the Notes to the Consolidated Financial Statements for additional information on our derivatives and hedging programs.</w:t>
      </w:r>
    </w:p>
    <w:p w:rsidR="00000000" w:rsidRDefault="00E54EC0">
      <w:pPr>
        <w:jc w:val="both"/>
        <w:divId w:val="1434277149"/>
        <w:rPr>
          <w:rFonts w:eastAsia="Times New Roman"/>
        </w:rPr>
      </w:pPr>
      <w:r>
        <w:rPr>
          <w:rFonts w:eastAsia="Times New Roman"/>
          <w:b/>
          <w:bCs/>
          <w:i/>
          <w:iCs/>
          <w:color w:val="000000"/>
          <w:sz w:val="20"/>
          <w:szCs w:val="20"/>
        </w:rPr>
        <w:t>Goodwill</w:t>
      </w:r>
    </w:p>
    <w:p w:rsidR="00000000" w:rsidRDefault="00E54EC0">
      <w:pPr>
        <w:ind w:firstLine="360"/>
        <w:divId w:val="1513494441"/>
        <w:rPr>
          <w:rFonts w:eastAsia="Times New Roman"/>
        </w:rPr>
      </w:pPr>
      <w:r>
        <w:rPr>
          <w:rFonts w:eastAsia="Times New Roman"/>
          <w:color w:val="000000"/>
          <w:sz w:val="20"/>
          <w:szCs w:val="20"/>
        </w:rPr>
        <w:t>Goodwill represents the excess of purchase price over the estimated fair value of identifiable net assets acquired</w:t>
      </w:r>
      <w:r>
        <w:rPr>
          <w:rFonts w:eastAsia="Times New Roman"/>
          <w:color w:val="000000"/>
          <w:sz w:val="20"/>
          <w:szCs w:val="20"/>
        </w:rPr>
        <w:t xml:space="preserve"> in a business combination. We test goodwill for recoverability each annual reporting period at December 31 and at interim periods if facts or circumstances are indicative of potential impairment. As of December 31, 2022, our goodwill of $5.1 billion resul</w:t>
      </w:r>
      <w:r>
        <w:rPr>
          <w:rFonts w:eastAsia="Times New Roman"/>
          <w:color w:val="000000"/>
          <w:sz w:val="20"/>
          <w:szCs w:val="20"/>
        </w:rPr>
        <w:t xml:space="preserve">ts solely from our investment in AB and is attributed to the Investment Management and Research segment, also deemed a reporting unit for purpose of assessing the recoverability of that goodwill. </w:t>
      </w:r>
    </w:p>
    <w:p w:rsidR="00000000" w:rsidRDefault="00E54EC0">
      <w:pPr>
        <w:ind w:firstLine="360"/>
        <w:divId w:val="917134249"/>
        <w:rPr>
          <w:rFonts w:eastAsia="Times New Roman"/>
        </w:rPr>
      </w:pPr>
      <w:r>
        <w:rPr>
          <w:rFonts w:eastAsia="Times New Roman"/>
          <w:color w:val="000000"/>
          <w:sz w:val="20"/>
          <w:szCs w:val="20"/>
        </w:rPr>
        <w:t>Estimating the fair value of reporting units for the purpos</w:t>
      </w:r>
      <w:r>
        <w:rPr>
          <w:rFonts w:eastAsia="Times New Roman"/>
          <w:color w:val="000000"/>
          <w:sz w:val="20"/>
          <w:szCs w:val="20"/>
        </w:rPr>
        <w:t>e of goodwill impairment testing is a subjective process that involves the use of significant judgements by management. Estimates of fair value are inherently uncertain and represent management’s reasonable expectation regarding future developments, giving</w:t>
      </w:r>
      <w:r>
        <w:rPr>
          <w:rFonts w:eastAsia="Times New Roman"/>
          <w:color w:val="000000"/>
          <w:sz w:val="20"/>
          <w:szCs w:val="20"/>
        </w:rPr>
        <w:t xml:space="preserve"> consideration to internal strategic plans and general market and economic forecasts. On an annual basis, or when circumstances warrant, goodwill is tested for impairment utilizing the market approach, where the fair value of the reporting unit is based on</w:t>
      </w:r>
      <w:r>
        <w:rPr>
          <w:rFonts w:eastAsia="Times New Roman"/>
          <w:color w:val="000000"/>
          <w:sz w:val="20"/>
          <w:szCs w:val="20"/>
        </w:rPr>
        <w:t xml:space="preserve"> its adjusted market valuation assuming a control premium.</w:t>
      </w:r>
    </w:p>
    <w:p w:rsidR="00000000" w:rsidRDefault="00E54EC0">
      <w:pPr>
        <w:jc w:val="both"/>
        <w:divId w:val="1934313958"/>
        <w:rPr>
          <w:rFonts w:eastAsia="Times New Roman"/>
        </w:rPr>
      </w:pPr>
      <w:r>
        <w:rPr>
          <w:rFonts w:eastAsia="Times New Roman"/>
          <w:b/>
          <w:bCs/>
          <w:i/>
          <w:iCs/>
          <w:color w:val="000000"/>
          <w:sz w:val="20"/>
          <w:szCs w:val="20"/>
        </w:rPr>
        <w:t xml:space="preserve">Litigation and Regulatory Contingencies </w:t>
      </w:r>
    </w:p>
    <w:p w:rsidR="00000000" w:rsidRDefault="00E54EC0">
      <w:pPr>
        <w:ind w:firstLine="360"/>
        <w:divId w:val="192039557"/>
        <w:rPr>
          <w:rFonts w:eastAsia="Times New Roman"/>
        </w:rPr>
      </w:pPr>
      <w:r>
        <w:rPr>
          <w:rFonts w:eastAsia="Times New Roman"/>
          <w:color w:val="000000"/>
          <w:sz w:val="20"/>
          <w:szCs w:val="20"/>
        </w:rPr>
        <w:t>We are a party to a number of legal actions and are involved in a number of regulatory investigations. Given the inherent unpredictability of these matters,</w:t>
      </w:r>
      <w:r>
        <w:rPr>
          <w:rFonts w:eastAsia="Times New Roman"/>
          <w:color w:val="000000"/>
          <w:sz w:val="20"/>
          <w:szCs w:val="20"/>
        </w:rPr>
        <w:t xml:space="preserve"> it is difficult to estimate the impact on our financial position, results of operations and cash flows. </w:t>
      </w:r>
    </w:p>
    <w:p w:rsidR="00000000" w:rsidRDefault="00E54EC0">
      <w:pPr>
        <w:ind w:firstLine="360"/>
        <w:divId w:val="1910072475"/>
        <w:rPr>
          <w:rFonts w:eastAsia="Times New Roman"/>
        </w:rPr>
      </w:pPr>
      <w:r>
        <w:rPr>
          <w:rFonts w:eastAsia="Times New Roman"/>
          <w:color w:val="000000"/>
          <w:sz w:val="20"/>
          <w:szCs w:val="20"/>
        </w:rPr>
        <w:t>Liabilities are established when it is probable that a loss has been incurred and the amount of the loss can be reasonably estimated. On a quarterly a</w:t>
      </w:r>
      <w:r>
        <w:rPr>
          <w:rFonts w:eastAsia="Times New Roman"/>
          <w:color w:val="000000"/>
          <w:sz w:val="20"/>
          <w:szCs w:val="20"/>
        </w:rPr>
        <w:t>nd annual basis, we review relevant information with respect to liabilities for litigation, regulatory investigations and litigation-related contingencies to be reflected in our consolidated financial statements included elsewhere herein. See Note 17 of th</w:t>
      </w:r>
      <w:r>
        <w:rPr>
          <w:rFonts w:eastAsia="Times New Roman"/>
          <w:color w:val="000000"/>
          <w:sz w:val="20"/>
          <w:szCs w:val="20"/>
        </w:rPr>
        <w:t>e Notes to the Consolidated Financial Statements for information regarding our assessment of litigation contingencies.</w:t>
      </w:r>
    </w:p>
    <w:p w:rsidR="00000000" w:rsidRDefault="00E54EC0">
      <w:pPr>
        <w:jc w:val="both"/>
        <w:divId w:val="809444951"/>
        <w:rPr>
          <w:rFonts w:eastAsia="Times New Roman"/>
        </w:rPr>
      </w:pPr>
      <w:r>
        <w:rPr>
          <w:rFonts w:eastAsia="Times New Roman"/>
          <w:b/>
          <w:bCs/>
          <w:i/>
          <w:iCs/>
          <w:color w:val="000000"/>
          <w:sz w:val="20"/>
          <w:szCs w:val="20"/>
        </w:rPr>
        <w:t>Income Taxes</w:t>
      </w:r>
    </w:p>
    <w:p w:rsidR="00000000" w:rsidRDefault="00E54EC0">
      <w:pPr>
        <w:ind w:firstLine="360"/>
        <w:divId w:val="1779056892"/>
        <w:rPr>
          <w:rFonts w:eastAsia="Times New Roman"/>
        </w:rPr>
      </w:pPr>
      <w:r>
        <w:rPr>
          <w:rFonts w:eastAsia="Times New Roman"/>
          <w:color w:val="000000"/>
          <w:sz w:val="20"/>
          <w:szCs w:val="20"/>
        </w:rPr>
        <w:t xml:space="preserve">Income taxes represent the net amount of income taxes that we expect to pay to or receive from various taxing jurisdictions </w:t>
      </w:r>
      <w:r>
        <w:rPr>
          <w:rFonts w:eastAsia="Times New Roman"/>
          <w:color w:val="000000"/>
          <w:sz w:val="20"/>
          <w:szCs w:val="20"/>
        </w:rPr>
        <w:t>in connection with its operations. We provide for Federal and state income taxes currently payable, as well as those deferred due to temporary differences between the financial reporting and tax bases of assets and liabilities. Deferred tax assets and liab</w:t>
      </w:r>
      <w:r>
        <w:rPr>
          <w:rFonts w:eastAsia="Times New Roman"/>
          <w:color w:val="000000"/>
          <w:sz w:val="20"/>
          <w:szCs w:val="20"/>
        </w:rPr>
        <w:t>ilities are measured at the balance sheet date using enacted tax rates expected to apply to taxable income in the years the temporary differences are expected to reverse. The realization of deferred tax assets depends upon the existence of sufficient taxab</w:t>
      </w:r>
      <w:r>
        <w:rPr>
          <w:rFonts w:eastAsia="Times New Roman"/>
          <w:color w:val="000000"/>
          <w:sz w:val="20"/>
          <w:szCs w:val="20"/>
        </w:rPr>
        <w:t>le income within the carryforward periods under the tax law in the applicable jurisdiction. Valuation allowances are established when management determines, based on available information, that it is more likely than not that deferred tax assets will not b</w:t>
      </w:r>
      <w:r>
        <w:rPr>
          <w:rFonts w:eastAsia="Times New Roman"/>
          <w:color w:val="000000"/>
          <w:sz w:val="20"/>
          <w:szCs w:val="20"/>
        </w:rPr>
        <w:t>e realized. Management considers all available evidence including past operating results, the existence of cumulative losses in the most recent years, forecasted earnings, future taxable income and prudent and feasible tax planning strategies. Our accounti</w:t>
      </w:r>
      <w:r>
        <w:rPr>
          <w:rFonts w:eastAsia="Times New Roman"/>
          <w:color w:val="000000"/>
          <w:sz w:val="20"/>
          <w:szCs w:val="20"/>
        </w:rPr>
        <w:t>ng for income taxes represents management’s best estimate of the tax consequences of various events and transactions. At December 31, 2022, we determined that it was more likely than not that a portion of our capital deferred tax assets would not be realiz</w:t>
      </w:r>
      <w:r>
        <w:rPr>
          <w:rFonts w:eastAsia="Times New Roman"/>
          <w:color w:val="000000"/>
          <w:sz w:val="20"/>
          <w:szCs w:val="20"/>
        </w:rPr>
        <w:t>ed. The Company recorded a valuation allowance of $1.6 billion through Other Comprehensive Income. For more information, see Note 16 - Income Taxes.</w:t>
      </w:r>
    </w:p>
    <w:p w:rsidR="00000000" w:rsidRDefault="00E54EC0">
      <w:pPr>
        <w:ind w:firstLine="360"/>
        <w:divId w:val="690495166"/>
        <w:rPr>
          <w:rFonts w:eastAsia="Times New Roman"/>
        </w:rPr>
      </w:pPr>
      <w:r>
        <w:rPr>
          <w:rFonts w:eastAsia="Times New Roman"/>
          <w:color w:val="000000"/>
          <w:sz w:val="20"/>
          <w:szCs w:val="20"/>
        </w:rPr>
        <w:t xml:space="preserve">Significant management judgment is required in determining the provision for income taxes and deferred tax </w:t>
      </w:r>
      <w:r>
        <w:rPr>
          <w:rFonts w:eastAsia="Times New Roman"/>
          <w:color w:val="000000"/>
          <w:sz w:val="20"/>
          <w:szCs w:val="20"/>
        </w:rPr>
        <w:t>assets and liabilities, and in evaluating our tax positions including evaluating uncertainties under the guidance for Accounting for Uncertainty in Income Taxes. Under the guidance, we determine whether it is more likely than not that a tax position will b</w:t>
      </w:r>
      <w:r>
        <w:rPr>
          <w:rFonts w:eastAsia="Times New Roman"/>
          <w:color w:val="000000"/>
          <w:sz w:val="20"/>
          <w:szCs w:val="20"/>
        </w:rPr>
        <w:t xml:space="preserve">e sustained upon examination by the appropriate taxing authorities before any part of the benefit can be recorded in the financial </w:t>
      </w:r>
    </w:p>
    <w:p w:rsidR="00000000" w:rsidRDefault="00E54EC0">
      <w:pPr>
        <w:jc w:val="center"/>
        <w:divId w:val="1597976218"/>
        <w:rPr>
          <w:rFonts w:eastAsia="Times New Roman"/>
        </w:rPr>
      </w:pPr>
      <w:r>
        <w:rPr>
          <w:rFonts w:eastAsia="Times New Roman"/>
          <w:color w:val="000000"/>
          <w:sz w:val="20"/>
          <w:szCs w:val="20"/>
        </w:rPr>
        <w:t>119</w:t>
      </w:r>
    </w:p>
    <w:p w:rsidR="00000000" w:rsidRDefault="00E54EC0">
      <w:pPr>
        <w:rPr>
          <w:rFonts w:eastAsia="Times New Roman"/>
        </w:rPr>
      </w:pPr>
      <w:r>
        <w:rPr>
          <w:rFonts w:eastAsia="Times New Roman"/>
        </w:rPr>
        <w:pict>
          <v:rect id="_x0000_i1157" style="width:0;height:1.5pt" o:hralign="center" o:hrstd="t" o:hr="t" fillcolor="#a0a0a0" stroked="f"/>
        </w:pict>
      </w:r>
    </w:p>
    <w:p w:rsidR="00000000" w:rsidRDefault="00E54EC0">
      <w:pPr>
        <w:divId w:val="661127632"/>
        <w:rPr>
          <w:rFonts w:eastAsia="Times New Roman"/>
        </w:rPr>
      </w:pPr>
    </w:p>
    <w:p w:rsidR="00000000" w:rsidRDefault="00E54EC0">
      <w:pPr>
        <w:divId w:val="441189935"/>
        <w:rPr>
          <w:rFonts w:eastAsia="Times New Roman"/>
        </w:rPr>
      </w:pPr>
      <w:r>
        <w:rPr>
          <w:rFonts w:eastAsia="Times New Roman"/>
          <w:color w:val="000000"/>
          <w:sz w:val="20"/>
          <w:szCs w:val="20"/>
        </w:rPr>
        <w:t>statements. Tax positions are then measured at the largest amount of benefit that is greater than 50 percent likely of being realized upon settlement.</w:t>
      </w:r>
    </w:p>
    <w:p w:rsidR="00000000" w:rsidRDefault="00E54EC0">
      <w:pPr>
        <w:ind w:firstLine="360"/>
        <w:divId w:val="1436902261"/>
        <w:rPr>
          <w:rFonts w:eastAsia="Times New Roman"/>
        </w:rPr>
      </w:pPr>
      <w:r>
        <w:rPr>
          <w:rFonts w:eastAsia="Times New Roman"/>
          <w:color w:val="000000"/>
          <w:sz w:val="20"/>
          <w:szCs w:val="20"/>
        </w:rPr>
        <w:t>Our tax positions are reviewed quarterly, and the balances are adjusted as new information becomes availa</w:t>
      </w:r>
      <w:r>
        <w:rPr>
          <w:rFonts w:eastAsia="Times New Roman"/>
          <w:color w:val="000000"/>
          <w:sz w:val="20"/>
          <w:szCs w:val="20"/>
        </w:rPr>
        <w:t>ble.</w:t>
      </w:r>
    </w:p>
    <w:p w:rsidR="00000000" w:rsidRDefault="00E54EC0">
      <w:pPr>
        <w:jc w:val="both"/>
        <w:divId w:val="545340037"/>
        <w:rPr>
          <w:rFonts w:eastAsia="Times New Roman"/>
        </w:rPr>
      </w:pPr>
      <w:r>
        <w:rPr>
          <w:rFonts w:eastAsia="Times New Roman"/>
          <w:b/>
          <w:bCs/>
          <w:i/>
          <w:iCs/>
          <w:color w:val="000000"/>
          <w:sz w:val="20"/>
          <w:szCs w:val="20"/>
        </w:rPr>
        <w:t>Adoption of New Accounting Pronouncements</w:t>
      </w:r>
    </w:p>
    <w:p w:rsidR="00000000" w:rsidRDefault="00E54EC0">
      <w:pPr>
        <w:ind w:firstLine="360"/>
        <w:divId w:val="301547029"/>
        <w:rPr>
          <w:rFonts w:eastAsia="Times New Roman"/>
        </w:rPr>
      </w:pPr>
      <w:r>
        <w:rPr>
          <w:rFonts w:eastAsia="Times New Roman"/>
          <w:color w:val="000000"/>
          <w:sz w:val="20"/>
          <w:szCs w:val="20"/>
        </w:rPr>
        <w:t>See Note 2 of the Notes to the Consolidated Financial Statements for a complete discussion of newly issued accounting pronouncements.</w:t>
      </w:r>
    </w:p>
    <w:p w:rsidR="00000000" w:rsidRDefault="00E54EC0">
      <w:pPr>
        <w:divId w:val="1469594551"/>
        <w:rPr>
          <w:rFonts w:eastAsia="Times New Roman"/>
        </w:rPr>
      </w:pPr>
      <w:r>
        <w:rPr>
          <w:rFonts w:eastAsia="Times New Roman"/>
          <w:b/>
          <w:bCs/>
          <w:color w:val="000000"/>
          <w:sz w:val="20"/>
          <w:szCs w:val="20"/>
        </w:rPr>
        <w:t>Part II, Item 7A.</w:t>
      </w:r>
    </w:p>
    <w:p w:rsidR="00000000" w:rsidRDefault="00E54EC0">
      <w:pPr>
        <w:divId w:val="1662737218"/>
        <w:rPr>
          <w:rFonts w:eastAsia="Times New Roman"/>
        </w:rPr>
      </w:pPr>
      <w:r>
        <w:rPr>
          <w:rFonts w:eastAsia="Times New Roman"/>
          <w:b/>
          <w:bCs/>
          <w:color w:val="000000"/>
          <w:sz w:val="20"/>
          <w:szCs w:val="20"/>
        </w:rPr>
        <w:t>        QUANTITATIVE AND QUALITATIVE DISCLOSURES ABOUT MA</w:t>
      </w:r>
      <w:r>
        <w:rPr>
          <w:rFonts w:eastAsia="Times New Roman"/>
          <w:b/>
          <w:bCs/>
          <w:color w:val="000000"/>
          <w:sz w:val="20"/>
          <w:szCs w:val="20"/>
        </w:rPr>
        <w:t xml:space="preserve">RKET RISK </w:t>
      </w:r>
    </w:p>
    <w:p w:rsidR="00000000" w:rsidRDefault="00E54EC0">
      <w:pPr>
        <w:ind w:firstLine="360"/>
        <w:divId w:val="380251118"/>
        <w:rPr>
          <w:rFonts w:eastAsia="Times New Roman"/>
        </w:rPr>
      </w:pPr>
      <w:r>
        <w:rPr>
          <w:rFonts w:eastAsia="Times New Roman"/>
          <w:color w:val="000000"/>
          <w:sz w:val="20"/>
          <w:szCs w:val="20"/>
        </w:rPr>
        <w:t>Our businesses are subject to financial, market, political and economic risks, as well as to risks inherent in our business operations. The discussion that follows provides additional information on market risks arising from our insurance asset/</w:t>
      </w:r>
      <w:r>
        <w:rPr>
          <w:rFonts w:eastAsia="Times New Roman"/>
          <w:color w:val="000000"/>
          <w:sz w:val="20"/>
          <w:szCs w:val="20"/>
        </w:rPr>
        <w:t>liability management and investment management activities. Such risks are evaluated and managed by each business on a decentralized basis. Primary market risk exposure results from interest rate fluctuations, equity price movements and changes in credit qu</w:t>
      </w:r>
      <w:r>
        <w:rPr>
          <w:rFonts w:eastAsia="Times New Roman"/>
          <w:color w:val="000000"/>
          <w:sz w:val="20"/>
          <w:szCs w:val="20"/>
        </w:rPr>
        <w:t>ality.</w:t>
      </w:r>
    </w:p>
    <w:p w:rsidR="00000000" w:rsidRDefault="00E54EC0">
      <w:pPr>
        <w:divId w:val="1722973337"/>
        <w:rPr>
          <w:rFonts w:eastAsia="Times New Roman"/>
        </w:rPr>
      </w:pPr>
      <w:r>
        <w:rPr>
          <w:rFonts w:eastAsia="Times New Roman"/>
          <w:b/>
          <w:bCs/>
          <w:color w:val="000000"/>
          <w:sz w:val="20"/>
          <w:szCs w:val="20"/>
        </w:rPr>
        <w:t>Individual Retirement, Group Retirement and Protection Solutions Segments</w:t>
      </w:r>
    </w:p>
    <w:p w:rsidR="00000000" w:rsidRDefault="00E54EC0">
      <w:pPr>
        <w:ind w:firstLine="360"/>
        <w:divId w:val="688533531"/>
        <w:rPr>
          <w:rFonts w:eastAsia="Times New Roman"/>
        </w:rPr>
      </w:pPr>
      <w:r>
        <w:rPr>
          <w:rFonts w:eastAsia="Times New Roman"/>
          <w:color w:val="000000"/>
          <w:sz w:val="20"/>
          <w:szCs w:val="20"/>
        </w:rPr>
        <w:t>Our results significantly depend on profit margins or “spreads” between investment results from assets held in the General Account investment portfolio and interest credited o</w:t>
      </w:r>
      <w:r>
        <w:rPr>
          <w:rFonts w:eastAsia="Times New Roman"/>
          <w:color w:val="000000"/>
          <w:sz w:val="20"/>
          <w:szCs w:val="20"/>
        </w:rPr>
        <w:t>n individual insurance and annuity products. Management believes its fixed rate liabilities should be supported by a portfolio principally composed of fixed rate investments that generate predictable, steady rates of return. Although these assets are purch</w:t>
      </w:r>
      <w:r>
        <w:rPr>
          <w:rFonts w:eastAsia="Times New Roman"/>
          <w:color w:val="000000"/>
          <w:sz w:val="20"/>
          <w:szCs w:val="20"/>
        </w:rPr>
        <w:t>ased for long-term investment, the portfolio management strategy considers them AFS in response to changes in market interest rates, changes in prepayment risk, changes in relative values of asset sectors and individual securities and loans, changes in cre</w:t>
      </w:r>
      <w:r>
        <w:rPr>
          <w:rFonts w:eastAsia="Times New Roman"/>
          <w:color w:val="000000"/>
          <w:sz w:val="20"/>
          <w:szCs w:val="20"/>
        </w:rPr>
        <w:t>dit quality outlook and other relevant factors. See the “Investments” section of Note 2 of the Notes to the Consolidated Financial Statements for the accounting policies for the investment portfolios. The objective of portfolio management is to maximize re</w:t>
      </w:r>
      <w:r>
        <w:rPr>
          <w:rFonts w:eastAsia="Times New Roman"/>
          <w:color w:val="000000"/>
          <w:sz w:val="20"/>
          <w:szCs w:val="20"/>
        </w:rPr>
        <w:t>turns, taking into account interest rate and credit risks. Insurance asset/liability management includes strategies to minimize exposure to loss as interest rates and economic and market conditions change. As a result, the fixed maturity portfolio has mode</w:t>
      </w:r>
      <w:r>
        <w:rPr>
          <w:rFonts w:eastAsia="Times New Roman"/>
          <w:color w:val="000000"/>
          <w:sz w:val="20"/>
          <w:szCs w:val="20"/>
        </w:rPr>
        <w:t>st exposure to call and prepayment risk and the vast majority of mortgage holdings are fixed rate mortgages that carry yield maintenance and prepayment provisions.</w:t>
      </w:r>
    </w:p>
    <w:p w:rsidR="00000000" w:rsidRDefault="00E54EC0">
      <w:pPr>
        <w:jc w:val="both"/>
        <w:divId w:val="438259753"/>
        <w:rPr>
          <w:rFonts w:eastAsia="Times New Roman"/>
        </w:rPr>
      </w:pPr>
      <w:r>
        <w:rPr>
          <w:rFonts w:eastAsia="Times New Roman"/>
          <w:b/>
          <w:bCs/>
          <w:i/>
          <w:iCs/>
          <w:color w:val="000000"/>
          <w:sz w:val="20"/>
          <w:szCs w:val="20"/>
        </w:rPr>
        <w:t>Investments with Interest Rate Risk – Fair Value</w:t>
      </w:r>
    </w:p>
    <w:p w:rsidR="00000000" w:rsidRDefault="00E54EC0">
      <w:pPr>
        <w:ind w:firstLine="360"/>
        <w:divId w:val="1623684268"/>
        <w:rPr>
          <w:rFonts w:eastAsia="Times New Roman"/>
        </w:rPr>
      </w:pPr>
      <w:r>
        <w:rPr>
          <w:rFonts w:eastAsia="Times New Roman"/>
          <w:color w:val="000000"/>
          <w:sz w:val="20"/>
          <w:szCs w:val="20"/>
        </w:rPr>
        <w:t xml:space="preserve">Assets with interest rate risk include AFS </w:t>
      </w:r>
      <w:r>
        <w:rPr>
          <w:rFonts w:eastAsia="Times New Roman"/>
          <w:color w:val="000000"/>
          <w:sz w:val="20"/>
          <w:szCs w:val="20"/>
        </w:rPr>
        <w:t xml:space="preserve">and trading fixed maturities and mortgage loans that make up </w:t>
      </w:r>
      <w:r>
        <w:rPr>
          <w:rFonts w:eastAsia="Times New Roman"/>
          <w:color w:val="000000"/>
          <w:sz w:val="20"/>
          <w:szCs w:val="20"/>
          <w:shd w:val="clear" w:color="auto" w:fill="FFFFFF"/>
        </w:rPr>
        <w:t>81.6%</w:t>
      </w:r>
      <w:r>
        <w:rPr>
          <w:rFonts w:eastAsia="Times New Roman"/>
          <w:color w:val="000000"/>
          <w:sz w:val="20"/>
          <w:szCs w:val="20"/>
        </w:rPr>
        <w:t xml:space="preserve"> and 83.7% of the fair value of the General Account investment portfolio as of December 31, 2022 and 2021, respectively. As part of our asset/liability management, quantitative analyses are </w:t>
      </w:r>
      <w:r>
        <w:rPr>
          <w:rFonts w:eastAsia="Times New Roman"/>
          <w:color w:val="000000"/>
          <w:sz w:val="20"/>
          <w:szCs w:val="20"/>
        </w:rPr>
        <w:t xml:space="preserve">used to model the impact various changes in interest rates have on assets with interest rate risk. The table that follows shows the impact an immediate one percent increase/decrease in interest rates as of December 31, 2022 and 2021 would have on the fair </w:t>
      </w:r>
      <w:r>
        <w:rPr>
          <w:rFonts w:eastAsia="Times New Roman"/>
          <w:color w:val="000000"/>
          <w:sz w:val="20"/>
          <w:szCs w:val="20"/>
        </w:rPr>
        <w:t>value of fixed maturities and mortgage loans:</w:t>
      </w:r>
    </w:p>
    <w:p w:rsidR="00000000" w:rsidRDefault="00E54EC0">
      <w:pPr>
        <w:jc w:val="center"/>
        <w:divId w:val="514149071"/>
        <w:rPr>
          <w:rFonts w:eastAsia="Times New Roman"/>
        </w:rPr>
      </w:pPr>
      <w:r>
        <w:rPr>
          <w:rFonts w:eastAsia="Times New Roman"/>
          <w:color w:val="000000"/>
          <w:sz w:val="20"/>
          <w:szCs w:val="20"/>
        </w:rPr>
        <w:t>120</w:t>
      </w:r>
    </w:p>
    <w:p w:rsidR="00000000" w:rsidRDefault="00E54EC0">
      <w:pPr>
        <w:rPr>
          <w:rFonts w:eastAsia="Times New Roman"/>
        </w:rPr>
      </w:pPr>
      <w:r>
        <w:rPr>
          <w:rFonts w:eastAsia="Times New Roman"/>
        </w:rPr>
        <w:pict>
          <v:rect id="_x0000_i1158" style="width:0;height:1.5pt" o:hralign="center" o:hrstd="t" o:hr="t" fillcolor="#a0a0a0" stroked="f"/>
        </w:pict>
      </w:r>
    </w:p>
    <w:p w:rsidR="00000000" w:rsidRDefault="00E54EC0">
      <w:pPr>
        <w:divId w:val="985820877"/>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364"/>
        <w:gridCol w:w="36"/>
        <w:gridCol w:w="120"/>
        <w:gridCol w:w="600"/>
        <w:gridCol w:w="36"/>
        <w:gridCol w:w="36"/>
        <w:gridCol w:w="36"/>
        <w:gridCol w:w="36"/>
        <w:gridCol w:w="120"/>
        <w:gridCol w:w="584"/>
        <w:gridCol w:w="36"/>
        <w:gridCol w:w="36"/>
        <w:gridCol w:w="36"/>
        <w:gridCol w:w="36"/>
        <w:gridCol w:w="120"/>
        <w:gridCol w:w="500"/>
        <w:gridCol w:w="36"/>
        <w:gridCol w:w="36"/>
        <w:gridCol w:w="36"/>
        <w:gridCol w:w="36"/>
        <w:gridCol w:w="120"/>
        <w:gridCol w:w="600"/>
        <w:gridCol w:w="36"/>
        <w:gridCol w:w="36"/>
        <w:gridCol w:w="36"/>
        <w:gridCol w:w="36"/>
        <w:gridCol w:w="120"/>
        <w:gridCol w:w="584"/>
        <w:gridCol w:w="36"/>
        <w:gridCol w:w="36"/>
        <w:gridCol w:w="36"/>
        <w:gridCol w:w="36"/>
        <w:gridCol w:w="120"/>
        <w:gridCol w:w="500"/>
        <w:gridCol w:w="36"/>
      </w:tblGrid>
      <w:tr w:rsidR="00000000">
        <w:trPr>
          <w:divId w:val="11760102"/>
          <w:jc w:val="center"/>
        </w:trPr>
        <w:tc>
          <w:tcPr>
            <w:tcW w:w="50" w:type="pct"/>
            <w:vAlign w:val="center"/>
            <w:hideMark/>
          </w:tcPr>
          <w:p w:rsidR="00000000" w:rsidRDefault="00E54EC0">
            <w:pPr>
              <w:rPr>
                <w:rFonts w:eastAsia="Times New Roman"/>
              </w:rPr>
            </w:pPr>
          </w:p>
        </w:tc>
        <w:tc>
          <w:tcPr>
            <w:tcW w:w="210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760102"/>
          <w:jc w:val="center"/>
        </w:trPr>
        <w:tc>
          <w:tcPr>
            <w:tcW w:w="0" w:type="auto"/>
            <w:gridSpan w:val="36"/>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Interest Rate Risk Exposure</w:t>
            </w:r>
          </w:p>
        </w:tc>
      </w:tr>
      <w:tr w:rsidR="00000000">
        <w:trPr>
          <w:divId w:val="11760102"/>
          <w:trHeight w:val="12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760102"/>
          <w:jc w:val="center"/>
        </w:trPr>
        <w:tc>
          <w:tcPr>
            <w:tcW w:w="0" w:type="auto"/>
            <w:gridSpan w:val="3"/>
            <w:tcMar>
              <w:top w:w="30" w:type="dxa"/>
              <w:left w:w="20" w:type="dxa"/>
              <w:bottom w:w="30" w:type="dxa"/>
              <w:right w:w="20" w:type="dxa"/>
            </w:tcMar>
            <w:vAlign w:val="bottom"/>
            <w:hideMark/>
          </w:tcPr>
          <w:p w:rsidR="00000000" w:rsidRDefault="00E54EC0">
            <w:pPr>
              <w:spacing w:after="100"/>
              <w:divId w:val="369915240"/>
              <w:rPr>
                <w:rFonts w:eastAsia="Times New Roman"/>
              </w:rPr>
            </w:pPr>
            <w:r>
              <w:rPr>
                <w:rFonts w:eastAsia="Times New Roman"/>
                <w:b/>
                <w:bCs/>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r>
      <w:tr w:rsidR="00000000">
        <w:trPr>
          <w:divId w:val="11760102"/>
          <w:jc w:val="center"/>
        </w:trPr>
        <w:tc>
          <w:tcPr>
            <w:tcW w:w="0" w:type="auto"/>
            <w:gridSpan w:val="3"/>
            <w:tcMar>
              <w:top w:w="30" w:type="dxa"/>
              <w:left w:w="20" w:type="dxa"/>
              <w:bottom w:w="30" w:type="dxa"/>
              <w:right w:w="20" w:type="dxa"/>
            </w:tcMar>
            <w:vAlign w:val="bottom"/>
            <w:hideMark/>
          </w:tcPr>
          <w:p w:rsidR="00000000" w:rsidRDefault="00E54EC0">
            <w:pPr>
              <w:spacing w:after="100"/>
              <w:divId w:val="1244802481"/>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Impact of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Impact of -1% Change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Impact of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Impact of -1% Change</w:t>
            </w:r>
          </w:p>
        </w:tc>
      </w:tr>
      <w:tr w:rsidR="00000000">
        <w:trPr>
          <w:divId w:val="1176010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760102"/>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u w:val="single"/>
              </w:rPr>
              <w:t>Fixed Income Investments: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760102"/>
          <w:jc w:val="center"/>
        </w:trPr>
        <w:tc>
          <w:tcPr>
            <w:tcW w:w="0" w:type="auto"/>
            <w:gridSpan w:val="3"/>
            <w:tcMar>
              <w:top w:w="30" w:type="dxa"/>
              <w:left w:w="15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AFS securities: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760102"/>
          <w:jc w:val="center"/>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rate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(3,992)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70,242 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(7,166)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760102"/>
          <w:jc w:val="center"/>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Floating rate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760102"/>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Trading securities: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760102"/>
          <w:jc w:val="center"/>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rate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760102"/>
          <w:jc w:val="center"/>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Floating rate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760102"/>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Mortgage loans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14,690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833256145"/>
        <w:rPr>
          <w:rFonts w:eastAsia="Times New Roman"/>
        </w:rPr>
      </w:pPr>
      <w:r>
        <w:rPr>
          <w:rFonts w:eastAsia="Times New Roman"/>
          <w:color w:val="000000"/>
          <w:sz w:val="20"/>
          <w:szCs w:val="20"/>
        </w:rPr>
        <w:t>A one percent increase/decrease in interest rates is a hypothetical rate scenario used to demonstrate potential risk; it does not represent management’s view of fut</w:t>
      </w:r>
      <w:r>
        <w:rPr>
          <w:rFonts w:eastAsia="Times New Roman"/>
          <w:color w:val="000000"/>
          <w:sz w:val="20"/>
          <w:szCs w:val="20"/>
        </w:rPr>
        <w:t xml:space="preserve">ure market changes. While these fair value measurements provide a representation of interest rate sensitivity of fixed maturities and mortgage loans, they are based on various portfolio exposures at a particular point in time and may not be representative </w:t>
      </w:r>
      <w:r>
        <w:rPr>
          <w:rFonts w:eastAsia="Times New Roman"/>
          <w:color w:val="000000"/>
          <w:sz w:val="20"/>
          <w:szCs w:val="20"/>
        </w:rPr>
        <w:t>of future market results. These exposures will change as a result of ongoing portfolio activities in response to management’s assessment of changing market conditions and available investment opportunities.</w:t>
      </w:r>
    </w:p>
    <w:p w:rsidR="00000000" w:rsidRDefault="00E54EC0">
      <w:pPr>
        <w:jc w:val="both"/>
        <w:divId w:val="1221818530"/>
        <w:rPr>
          <w:rFonts w:eastAsia="Times New Roman"/>
        </w:rPr>
      </w:pPr>
      <w:r>
        <w:rPr>
          <w:rFonts w:eastAsia="Times New Roman"/>
          <w:b/>
          <w:bCs/>
          <w:i/>
          <w:iCs/>
          <w:color w:val="000000"/>
          <w:sz w:val="20"/>
          <w:szCs w:val="20"/>
        </w:rPr>
        <w:t>Investments with Equity Price Risk – Fair Value</w:t>
      </w:r>
    </w:p>
    <w:p w:rsidR="00000000" w:rsidRDefault="00E54EC0">
      <w:pPr>
        <w:ind w:firstLine="360"/>
        <w:divId w:val="40597085"/>
        <w:rPr>
          <w:rFonts w:eastAsia="Times New Roman"/>
        </w:rPr>
      </w:pPr>
      <w:r>
        <w:rPr>
          <w:rFonts w:eastAsia="Times New Roman"/>
          <w:color w:val="000000"/>
          <w:sz w:val="20"/>
          <w:szCs w:val="20"/>
        </w:rPr>
        <w:t>T</w:t>
      </w:r>
      <w:r>
        <w:rPr>
          <w:rFonts w:eastAsia="Times New Roman"/>
          <w:color w:val="000000"/>
          <w:sz w:val="20"/>
          <w:szCs w:val="20"/>
        </w:rPr>
        <w:t>he investment portfolios also have direct holdings of public and private equity securities. The following table shows the potential exposure from those equity security investments, measured in terms of fair value, to an immediate 10% increase/decrease in e</w:t>
      </w:r>
      <w:r>
        <w:rPr>
          <w:rFonts w:eastAsia="Times New Roman"/>
          <w:color w:val="000000"/>
          <w:sz w:val="20"/>
          <w:szCs w:val="20"/>
        </w:rPr>
        <w:t>quity prices from those prevailing as of December 31, 2022 and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2135"/>
        <w:gridCol w:w="36"/>
        <w:gridCol w:w="120"/>
        <w:gridCol w:w="633"/>
        <w:gridCol w:w="36"/>
        <w:gridCol w:w="36"/>
        <w:gridCol w:w="36"/>
        <w:gridCol w:w="36"/>
        <w:gridCol w:w="121"/>
        <w:gridCol w:w="981"/>
        <w:gridCol w:w="36"/>
        <w:gridCol w:w="36"/>
        <w:gridCol w:w="36"/>
        <w:gridCol w:w="36"/>
        <w:gridCol w:w="121"/>
        <w:gridCol w:w="864"/>
        <w:gridCol w:w="36"/>
        <w:gridCol w:w="36"/>
        <w:gridCol w:w="36"/>
        <w:gridCol w:w="36"/>
        <w:gridCol w:w="120"/>
        <w:gridCol w:w="360"/>
        <w:gridCol w:w="36"/>
        <w:gridCol w:w="36"/>
        <w:gridCol w:w="36"/>
        <w:gridCol w:w="36"/>
        <w:gridCol w:w="121"/>
        <w:gridCol w:w="922"/>
        <w:gridCol w:w="36"/>
        <w:gridCol w:w="36"/>
        <w:gridCol w:w="36"/>
        <w:gridCol w:w="36"/>
        <w:gridCol w:w="121"/>
        <w:gridCol w:w="808"/>
        <w:gridCol w:w="36"/>
      </w:tblGrid>
      <w:tr w:rsidR="00000000">
        <w:trPr>
          <w:jc w:val="center"/>
        </w:trPr>
        <w:tc>
          <w:tcPr>
            <w:tcW w:w="50" w:type="pct"/>
            <w:vAlign w:val="center"/>
            <w:hideMark/>
          </w:tcPr>
          <w:p w:rsidR="00000000" w:rsidRDefault="00E54EC0">
            <w:pPr>
              <w:ind w:firstLine="360"/>
              <w:rPr>
                <w:rFonts w:eastAsia="Times New Roman"/>
              </w:rPr>
            </w:pPr>
          </w:p>
        </w:tc>
        <w:tc>
          <w:tcPr>
            <w:tcW w:w="143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1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6"/>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Equity Price Risk Exposure</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Impact of+10%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Impact of -10% Equity Price Change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Impact of+10%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Impact of -10% Equity Price Change</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Investments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1059136147"/>
        <w:rPr>
          <w:rFonts w:eastAsia="Times New Roman"/>
        </w:rPr>
      </w:pPr>
    </w:p>
    <w:p w:rsidR="00000000" w:rsidRDefault="00E54EC0">
      <w:pPr>
        <w:ind w:firstLine="360"/>
        <w:divId w:val="51396046"/>
        <w:rPr>
          <w:rFonts w:eastAsia="Times New Roman"/>
        </w:rPr>
      </w:pPr>
      <w:r>
        <w:rPr>
          <w:rFonts w:eastAsia="Times New Roman"/>
          <w:color w:val="000000"/>
          <w:sz w:val="20"/>
          <w:szCs w:val="20"/>
        </w:rPr>
        <w:t xml:space="preserve">A 10% decrease in equity prices is a hypothetical scenario used to calibrate potential risk and does not represent management’s view of future market changes. The fair value measurements shown are based on the equity securities </w:t>
      </w:r>
      <w:r>
        <w:rPr>
          <w:rFonts w:eastAsia="Times New Roman"/>
          <w:color w:val="000000"/>
          <w:sz w:val="20"/>
          <w:szCs w:val="20"/>
        </w:rPr>
        <w:t>portfolio exposures at a particular point in time and these exposures will change as a result of ongoing portfolio activities in response to management’s assessment of changing market conditions and available investment opportunities.</w:t>
      </w:r>
    </w:p>
    <w:p w:rsidR="00000000" w:rsidRDefault="00E54EC0">
      <w:pPr>
        <w:jc w:val="both"/>
        <w:divId w:val="277565850"/>
        <w:rPr>
          <w:rFonts w:eastAsia="Times New Roman"/>
        </w:rPr>
      </w:pPr>
      <w:r>
        <w:rPr>
          <w:rFonts w:eastAsia="Times New Roman"/>
          <w:b/>
          <w:bCs/>
          <w:i/>
          <w:iCs/>
          <w:color w:val="000000"/>
          <w:sz w:val="20"/>
          <w:szCs w:val="20"/>
        </w:rPr>
        <w:t>Liabilities with Inte</w:t>
      </w:r>
      <w:r>
        <w:rPr>
          <w:rFonts w:eastAsia="Times New Roman"/>
          <w:b/>
          <w:bCs/>
          <w:i/>
          <w:iCs/>
          <w:color w:val="000000"/>
          <w:sz w:val="20"/>
          <w:szCs w:val="20"/>
        </w:rPr>
        <w:t>rest Rate Risk – Fair Value</w:t>
      </w:r>
    </w:p>
    <w:p w:rsidR="00000000" w:rsidRDefault="00E54EC0">
      <w:pPr>
        <w:ind w:firstLine="360"/>
        <w:divId w:val="414664600"/>
        <w:rPr>
          <w:rFonts w:eastAsia="Times New Roman"/>
        </w:rPr>
      </w:pPr>
      <w:r>
        <w:rPr>
          <w:rFonts w:eastAsia="Times New Roman"/>
          <w:color w:val="000000"/>
          <w:sz w:val="20"/>
          <w:szCs w:val="20"/>
        </w:rPr>
        <w:t xml:space="preserve">As of December 31, 2022 and 2021, the aggregate carrying values of insurance contracts with interest rate risk were </w:t>
      </w:r>
      <w:r>
        <w:rPr>
          <w:rFonts w:eastAsia="Times New Roman"/>
          <w:color w:val="000000"/>
          <w:sz w:val="20"/>
          <w:szCs w:val="20"/>
          <w:shd w:val="clear" w:color="auto" w:fill="FFFFFF"/>
        </w:rPr>
        <w:t>$17.5 billion and $15.4 billion, respectively. The aggregate fair value of such liabilities as of December 31, 2</w:t>
      </w:r>
      <w:r>
        <w:rPr>
          <w:rFonts w:eastAsia="Times New Roman"/>
          <w:color w:val="000000"/>
          <w:sz w:val="20"/>
          <w:szCs w:val="20"/>
          <w:shd w:val="clear" w:color="auto" w:fill="FFFFFF"/>
        </w:rPr>
        <w:t xml:space="preserve">022 and 2021 were $16.5 billion </w:t>
      </w:r>
      <w:r>
        <w:rPr>
          <w:rFonts w:eastAsia="Times New Roman"/>
          <w:color w:val="000000"/>
          <w:sz w:val="20"/>
          <w:szCs w:val="20"/>
        </w:rPr>
        <w:t>and $15.4 billion, respectively. The impact of a relative 1% decrease in interest rates would be an increase in the fair value of those liabilities of $394 million and $355 million, respectively. While these fair value measu</w:t>
      </w:r>
      <w:r>
        <w:rPr>
          <w:rFonts w:eastAsia="Times New Roman"/>
          <w:color w:val="000000"/>
          <w:sz w:val="20"/>
          <w:szCs w:val="20"/>
        </w:rPr>
        <w:t xml:space="preserve">rements provide a representation of the interest rate sensitivity of insurance liabilities, they are based on the composition of such liabilities at a particular point in time and may not be representative of future results. </w:t>
      </w:r>
    </w:p>
    <w:p w:rsidR="00000000" w:rsidRDefault="00E54EC0">
      <w:pPr>
        <w:ind w:firstLine="360"/>
        <w:divId w:val="573660278"/>
        <w:rPr>
          <w:rFonts w:eastAsia="Times New Roman"/>
        </w:rPr>
      </w:pPr>
      <w:r>
        <w:rPr>
          <w:rFonts w:eastAsia="Times New Roman"/>
          <w:color w:val="000000"/>
          <w:sz w:val="20"/>
          <w:szCs w:val="20"/>
        </w:rPr>
        <w:t xml:space="preserve">Asset/liability management is </w:t>
      </w:r>
      <w:r>
        <w:rPr>
          <w:rFonts w:eastAsia="Times New Roman"/>
          <w:color w:val="000000"/>
          <w:sz w:val="20"/>
          <w:szCs w:val="20"/>
        </w:rPr>
        <w:t>integrated into many aspects of the Individual Retirement, Group Retirement and Protection Solutions segments’ operations, including investment decisions, product development and determination of crediting rates. As part of our risk management process, num</w:t>
      </w:r>
      <w:r>
        <w:rPr>
          <w:rFonts w:eastAsia="Times New Roman"/>
          <w:color w:val="000000"/>
          <w:sz w:val="20"/>
          <w:szCs w:val="20"/>
        </w:rPr>
        <w:t>erous economic scenarios are modeled, including cash flow testing required for insurance regulatory purposes, to determine if existing assets would be sufficient to meet projected liability cash flows. Key variables include policyholder behavior, such as p</w:t>
      </w:r>
      <w:r>
        <w:rPr>
          <w:rFonts w:eastAsia="Times New Roman"/>
          <w:color w:val="000000"/>
          <w:sz w:val="20"/>
          <w:szCs w:val="20"/>
        </w:rPr>
        <w:t>ersistency, under differing crediting rate strategies.</w:t>
      </w:r>
    </w:p>
    <w:p w:rsidR="00000000" w:rsidRDefault="00E54EC0">
      <w:pPr>
        <w:jc w:val="center"/>
        <w:divId w:val="1038623301"/>
        <w:rPr>
          <w:rFonts w:eastAsia="Times New Roman"/>
        </w:rPr>
      </w:pPr>
      <w:r>
        <w:rPr>
          <w:rFonts w:eastAsia="Times New Roman"/>
          <w:color w:val="000000"/>
          <w:sz w:val="20"/>
          <w:szCs w:val="20"/>
        </w:rPr>
        <w:t>121</w:t>
      </w:r>
    </w:p>
    <w:p w:rsidR="00000000" w:rsidRDefault="00E54EC0">
      <w:pPr>
        <w:rPr>
          <w:rFonts w:eastAsia="Times New Roman"/>
        </w:rPr>
      </w:pPr>
      <w:r>
        <w:rPr>
          <w:rFonts w:eastAsia="Times New Roman"/>
        </w:rPr>
        <w:pict>
          <v:rect id="_x0000_i1159" style="width:0;height:1.5pt" o:hralign="center" o:hrstd="t" o:hr="t" fillcolor="#a0a0a0" stroked="f"/>
        </w:pict>
      </w:r>
    </w:p>
    <w:p w:rsidR="00000000" w:rsidRDefault="00E54EC0">
      <w:pPr>
        <w:divId w:val="834148380"/>
        <w:rPr>
          <w:rFonts w:eastAsia="Times New Roman"/>
        </w:rPr>
      </w:pPr>
    </w:p>
    <w:p w:rsidR="00000000" w:rsidRDefault="00E54EC0">
      <w:pPr>
        <w:jc w:val="both"/>
        <w:divId w:val="1945795651"/>
        <w:rPr>
          <w:rFonts w:eastAsia="Times New Roman"/>
        </w:rPr>
      </w:pPr>
      <w:r>
        <w:rPr>
          <w:rFonts w:eastAsia="Times New Roman"/>
          <w:b/>
          <w:bCs/>
          <w:i/>
          <w:iCs/>
          <w:color w:val="000000"/>
          <w:sz w:val="20"/>
          <w:szCs w:val="20"/>
        </w:rPr>
        <w:t>Derivatives and Interest Rate and Equity Risks – Fair Value</w:t>
      </w:r>
    </w:p>
    <w:p w:rsidR="00000000" w:rsidRDefault="00E54EC0">
      <w:pPr>
        <w:ind w:firstLine="360"/>
        <w:divId w:val="1107694116"/>
        <w:rPr>
          <w:rFonts w:eastAsia="Times New Roman"/>
        </w:rPr>
      </w:pPr>
      <w:r>
        <w:rPr>
          <w:rFonts w:eastAsia="Times New Roman"/>
          <w:color w:val="000000"/>
          <w:sz w:val="20"/>
          <w:szCs w:val="20"/>
        </w:rPr>
        <w:t>We primarily use derivative contracts for asset/liability risk management, to mitigate our exposure to equity market decline and interest rate risks and for hedging individual securities. In addition, we periodically enter into forward, exchange-traded fut</w:t>
      </w:r>
      <w:r>
        <w:rPr>
          <w:rFonts w:eastAsia="Times New Roman"/>
          <w:color w:val="000000"/>
          <w:sz w:val="20"/>
          <w:szCs w:val="20"/>
        </w:rPr>
        <w:t xml:space="preserve">ures and interest rate swap, swaptions and floor contracts to reduce the economic impact of movements in the equity and fixed income markets, including the program to hedge certain risks associated with the GMxB features. As more fully described in Note 2 </w:t>
      </w:r>
      <w:r>
        <w:rPr>
          <w:rFonts w:eastAsia="Times New Roman"/>
          <w:color w:val="000000"/>
          <w:sz w:val="20"/>
          <w:szCs w:val="20"/>
        </w:rPr>
        <w:t>and Note 4 of the Notes to the Consolidated Financial Statements, various traditional derivative financial instruments are used to achieve these objectives. To minimize credit risk exposure associated with its derivative transactions, each counterparty’s c</w:t>
      </w:r>
      <w:r>
        <w:rPr>
          <w:rFonts w:eastAsia="Times New Roman"/>
          <w:color w:val="000000"/>
          <w:sz w:val="20"/>
          <w:szCs w:val="20"/>
        </w:rPr>
        <w:t>redit is appraised and approved, and risk control limits and monitoring procedures are applied. Credit limits are established and monitored on the basis of potential exposures that take into consideration current market values and estimates of potential fu</w:t>
      </w:r>
      <w:r>
        <w:rPr>
          <w:rFonts w:eastAsia="Times New Roman"/>
          <w:color w:val="000000"/>
          <w:sz w:val="20"/>
          <w:szCs w:val="20"/>
        </w:rPr>
        <w:t>ture movements in market values given potential fluctuations in market interest rates. To reduce credit exposures in OTC derivative transactions, we enter into master agreements that provide for a netting of financial exposures with the counterparty and al</w:t>
      </w:r>
      <w:r>
        <w:rPr>
          <w:rFonts w:eastAsia="Times New Roman"/>
          <w:color w:val="000000"/>
          <w:sz w:val="20"/>
          <w:szCs w:val="20"/>
        </w:rPr>
        <w:t>low for collateral arrangements. We further control and minimize counterparty exposure through a credit appraisal and approval process. Under the ISDA Master Agreement, we have executed a CSA with each of our OTC derivative counterparties that require both</w:t>
      </w:r>
      <w:r>
        <w:rPr>
          <w:rFonts w:eastAsia="Times New Roman"/>
          <w:color w:val="000000"/>
          <w:sz w:val="20"/>
          <w:szCs w:val="20"/>
        </w:rPr>
        <w:t xml:space="preserve"> posting and accepting collateral either in the form of cash or high-quality securities, such as U.S. Treasury securities or those issued by government agencies.</w:t>
      </w:r>
    </w:p>
    <w:p w:rsidR="00000000" w:rsidRDefault="00E54EC0">
      <w:pPr>
        <w:ind w:firstLine="360"/>
        <w:divId w:val="198475435"/>
        <w:rPr>
          <w:rFonts w:eastAsia="Times New Roman"/>
        </w:rPr>
      </w:pPr>
      <w:r>
        <w:rPr>
          <w:rFonts w:eastAsia="Times New Roman"/>
          <w:color w:val="000000"/>
          <w:sz w:val="20"/>
          <w:szCs w:val="20"/>
        </w:rPr>
        <w:t>Mark to market exposure is a point-in-time measure of the value of a derivative contract in th</w:t>
      </w:r>
      <w:r>
        <w:rPr>
          <w:rFonts w:eastAsia="Times New Roman"/>
          <w:color w:val="000000"/>
          <w:sz w:val="20"/>
          <w:szCs w:val="20"/>
        </w:rPr>
        <w:t>e open market. A positive value indicates existence of credit risk for us because the counterparty would owe money to us if the contract were closed. Alternatively, a negative value indicates we would owe money to the counterparty if the contract were clos</w:t>
      </w:r>
      <w:r>
        <w:rPr>
          <w:rFonts w:eastAsia="Times New Roman"/>
          <w:color w:val="000000"/>
          <w:sz w:val="20"/>
          <w:szCs w:val="20"/>
        </w:rPr>
        <w:t>ed. If there is more than one derivative transaction outstanding with a counterparty, a master netting arrangement exists with the counterparty. In that case, the market risk represents the net of the positive and negative exposures with the single counter</w:t>
      </w:r>
      <w:r>
        <w:rPr>
          <w:rFonts w:eastAsia="Times New Roman"/>
          <w:color w:val="000000"/>
          <w:sz w:val="20"/>
          <w:szCs w:val="20"/>
        </w:rPr>
        <w:t xml:space="preserve">party. In management’s view, the net potential exposure is the better measure of credit risk. As of December 31, 2022 and 2021, the net fair values of our derivatives were $1.1 billion and $1.6 billion, respectively. </w:t>
      </w:r>
    </w:p>
    <w:p w:rsidR="00000000" w:rsidRDefault="00E54EC0">
      <w:pPr>
        <w:ind w:firstLine="360"/>
        <w:divId w:val="185757129"/>
        <w:rPr>
          <w:rFonts w:eastAsia="Times New Roman"/>
        </w:rPr>
      </w:pPr>
      <w:r>
        <w:rPr>
          <w:rFonts w:eastAsia="Times New Roman"/>
          <w:color w:val="000000"/>
          <w:sz w:val="20"/>
          <w:szCs w:val="20"/>
        </w:rPr>
        <w:t>The tables below show the interest rat</w:t>
      </w:r>
      <w:r>
        <w:rPr>
          <w:rFonts w:eastAsia="Times New Roman"/>
          <w:color w:val="000000"/>
          <w:sz w:val="20"/>
          <w:szCs w:val="20"/>
        </w:rPr>
        <w:t>e or equity sensitivities of those derivatives, measured in terms of fair value. These exposures will change as a result of ongoing portfolio and risk management activities.</w:t>
      </w:r>
    </w:p>
    <w:p w:rsidR="00000000" w:rsidRDefault="00E54EC0">
      <w:pPr>
        <w:jc w:val="center"/>
        <w:rPr>
          <w:rFonts w:eastAsia="Times New Roman"/>
        </w:rPr>
      </w:pPr>
      <w:r>
        <w:rPr>
          <w:rFonts w:eastAsia="Times New Roman"/>
          <w:b/>
          <w:bCs/>
          <w:color w:val="000000"/>
          <w:sz w:val="20"/>
          <w:szCs w:val="20"/>
        </w:rPr>
        <w:t>Derivative Financial Instruments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08"/>
        <w:gridCol w:w="37"/>
        <w:gridCol w:w="120"/>
        <w:gridCol w:w="823"/>
        <w:gridCol w:w="36"/>
        <w:gridCol w:w="36"/>
        <w:gridCol w:w="36"/>
        <w:gridCol w:w="36"/>
        <w:gridCol w:w="61"/>
        <w:gridCol w:w="762"/>
        <w:gridCol w:w="36"/>
        <w:gridCol w:w="36"/>
        <w:gridCol w:w="36"/>
        <w:gridCol w:w="36"/>
        <w:gridCol w:w="120"/>
        <w:gridCol w:w="786"/>
        <w:gridCol w:w="36"/>
        <w:gridCol w:w="36"/>
        <w:gridCol w:w="36"/>
        <w:gridCol w:w="36"/>
        <w:gridCol w:w="120"/>
        <w:gridCol w:w="787"/>
        <w:gridCol w:w="36"/>
        <w:gridCol w:w="36"/>
        <w:gridCol w:w="36"/>
        <w:gridCol w:w="36"/>
        <w:gridCol w:w="120"/>
        <w:gridCol w:w="787"/>
        <w:gridCol w:w="36"/>
      </w:tblGrid>
      <w:tr w:rsidR="00000000">
        <w:trPr>
          <w:jc w:val="center"/>
        </w:trPr>
        <w:tc>
          <w:tcPr>
            <w:tcW w:w="50" w:type="pct"/>
            <w:vAlign w:val="center"/>
            <w:hideMark/>
          </w:tcPr>
          <w:p w:rsidR="00000000" w:rsidRDefault="00E54EC0">
            <w:pPr>
              <w:jc w:val="center"/>
              <w:rPr>
                <w:rFonts w:eastAsia="Times New Roman"/>
              </w:rPr>
            </w:pPr>
          </w:p>
        </w:tc>
        <w:tc>
          <w:tcPr>
            <w:tcW w:w="19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divId w:val="1440492726"/>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divId w:val="1450508673"/>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divId w:val="685717263"/>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Interest Rate Sensitivity</w:t>
            </w: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divId w:val="1371491845"/>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 Average Term (Years)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Impact of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w:t>
            </w:r>
          </w:p>
          <w:p w:rsidR="00000000" w:rsidRDefault="00E54EC0">
            <w:pPr>
              <w:spacing w:after="100"/>
              <w:jc w:val="center"/>
              <w:rPr>
                <w:rFonts w:eastAsia="Times New Roman"/>
              </w:rPr>
            </w:pPr>
            <w:r>
              <w:rPr>
                <w:rFonts w:eastAsia="Times New Roman"/>
                <w:b/>
                <w:bCs/>
                <w:color w:val="000000"/>
                <w:sz w:val="16"/>
                <w:szCs w:val="16"/>
              </w:rPr>
              <w:t>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Impact of +1% Change</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for Weighted Average Term)</w:t>
            </w: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Swaps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12,975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15,425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Swaps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12,598 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1577477743"/>
        <w:rPr>
          <w:rFonts w:eastAsia="Times New Roman"/>
        </w:rPr>
      </w:pPr>
      <w:r>
        <w:rPr>
          <w:rFonts w:eastAsia="Times New Roman"/>
          <w:color w:val="000000"/>
          <w:sz w:val="20"/>
          <w:szCs w:val="20"/>
        </w:rPr>
        <w:t>122</w:t>
      </w:r>
    </w:p>
    <w:p w:rsidR="00000000" w:rsidRDefault="00E54EC0">
      <w:pPr>
        <w:rPr>
          <w:rFonts w:eastAsia="Times New Roman"/>
        </w:rPr>
      </w:pPr>
      <w:r>
        <w:rPr>
          <w:rFonts w:eastAsia="Times New Roman"/>
        </w:rPr>
        <w:pict>
          <v:rect id="_x0000_i1160" style="width:0;height:1.5pt" o:hralign="center" o:hrstd="t" o:hr="t" fillcolor="#a0a0a0" stroked="f"/>
        </w:pict>
      </w:r>
    </w:p>
    <w:p w:rsidR="00000000" w:rsidRDefault="00E54EC0">
      <w:pPr>
        <w:divId w:val="177073662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086"/>
        <w:gridCol w:w="36"/>
        <w:gridCol w:w="120"/>
        <w:gridCol w:w="839"/>
        <w:gridCol w:w="36"/>
        <w:gridCol w:w="36"/>
        <w:gridCol w:w="36"/>
        <w:gridCol w:w="36"/>
        <w:gridCol w:w="62"/>
        <w:gridCol w:w="746"/>
        <w:gridCol w:w="36"/>
        <w:gridCol w:w="36"/>
        <w:gridCol w:w="36"/>
        <w:gridCol w:w="36"/>
        <w:gridCol w:w="120"/>
        <w:gridCol w:w="1326"/>
        <w:gridCol w:w="36"/>
        <w:gridCol w:w="36"/>
        <w:gridCol w:w="36"/>
        <w:gridCol w:w="36"/>
        <w:gridCol w:w="121"/>
        <w:gridCol w:w="1328"/>
        <w:gridCol w:w="36"/>
      </w:tblGrid>
      <w:tr w:rsidR="00000000">
        <w:trPr>
          <w:divId w:val="74866920"/>
        </w:trPr>
        <w:tc>
          <w:tcPr>
            <w:tcW w:w="50" w:type="pct"/>
            <w:vAlign w:val="center"/>
            <w:hideMark/>
          </w:tcPr>
          <w:p w:rsidR="00000000" w:rsidRDefault="00E54EC0">
            <w:pPr>
              <w:rPr>
                <w:rFonts w:eastAsia="Times New Roman"/>
              </w:rPr>
            </w:pPr>
          </w:p>
        </w:tc>
        <w:tc>
          <w:tcPr>
            <w:tcW w:w="188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3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486692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divId w:val="2032604676"/>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divId w:val="447168146"/>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Equity Sensitivity</w:t>
            </w:r>
          </w:p>
        </w:tc>
      </w:tr>
      <w:tr w:rsidR="00000000">
        <w:trPr>
          <w:divId w:val="7486692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 Average Term (Years)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Balance after -10% Equity Price Shift</w:t>
            </w:r>
          </w:p>
        </w:tc>
      </w:tr>
      <w:tr w:rsidR="00000000">
        <w:trPr>
          <w:divId w:val="7486692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for Weighted Average Term)</w:t>
            </w:r>
          </w:p>
        </w:tc>
      </w:tr>
      <w:tr w:rsidR="00000000">
        <w:trPr>
          <w:divId w:val="74866920"/>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486692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55,945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4,209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3,536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486692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486692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13,310 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48,439 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486692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64,233 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6,964 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6,810 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1414817677"/>
        <w:rPr>
          <w:rFonts w:eastAsia="Times New Roman"/>
        </w:rPr>
      </w:pPr>
      <w:r>
        <w:rPr>
          <w:rFonts w:eastAsia="Times New Roman"/>
          <w:color w:val="000000"/>
          <w:sz w:val="20"/>
          <w:szCs w:val="20"/>
        </w:rPr>
        <w:t>In addition to the freestanding derivatives discu</w:t>
      </w:r>
      <w:r>
        <w:rPr>
          <w:rFonts w:eastAsia="Times New Roman"/>
          <w:color w:val="000000"/>
          <w:sz w:val="20"/>
          <w:szCs w:val="20"/>
        </w:rPr>
        <w:t>ssed above, we have entered into reinsurance contracts to mitigate the risk associated with the impact of potential market fluctuations on future policyholder elections of GMIB features contained in certain annuity contracts. These reinsurance contracts ar</w:t>
      </w:r>
      <w:r>
        <w:rPr>
          <w:rFonts w:eastAsia="Times New Roman"/>
          <w:color w:val="000000"/>
          <w:sz w:val="20"/>
          <w:szCs w:val="20"/>
        </w:rPr>
        <w:t>e considered derivatives under the guidance on derivatives and hedging. GMIB reinsurance contract assets were reported at their fair values of $1.2 billion and $1.8 billion as of December 31, 2022 and 2021, respectively. The potential fair value exposure t</w:t>
      </w:r>
      <w:r>
        <w:rPr>
          <w:rFonts w:eastAsia="Times New Roman"/>
          <w:color w:val="000000"/>
          <w:sz w:val="20"/>
          <w:szCs w:val="20"/>
        </w:rPr>
        <w:t>o an immediate 10% drop in equity prices from those prevailing as of December 31, 2022 and 2021, respectively, would increase the balances of the reinsurance contract asset by $120 million and $169 million</w:t>
      </w:r>
      <w:r>
        <w:rPr>
          <w:rFonts w:eastAsia="Times New Roman"/>
          <w:color w:val="000000"/>
          <w:sz w:val="20"/>
          <w:szCs w:val="20"/>
          <w:shd w:val="clear" w:color="auto" w:fill="FFFFFF"/>
        </w:rPr>
        <w:t xml:space="preserve">. </w:t>
      </w:r>
      <w:r>
        <w:rPr>
          <w:rFonts w:eastAsia="Times New Roman"/>
          <w:color w:val="000000"/>
          <w:sz w:val="20"/>
          <w:szCs w:val="20"/>
        </w:rPr>
        <w:t>The Amounts due from Reinsurers at fair value was</w:t>
      </w:r>
      <w:r>
        <w:rPr>
          <w:rFonts w:eastAsia="Times New Roman"/>
          <w:color w:val="000000"/>
          <w:sz w:val="20"/>
          <w:szCs w:val="20"/>
        </w:rPr>
        <w:t xml:space="preserve"> $4.1 billion and $5.8 billion at December 31, 2022 and 2021. The potential fair value exposure to an immediate 10% drop in equity prices from those prevailing as of December 31, 2022 and 2021 is $344 million and $447 million, respectively. </w:t>
      </w:r>
    </w:p>
    <w:p w:rsidR="00000000" w:rsidRDefault="00E54EC0">
      <w:pPr>
        <w:ind w:firstLine="360"/>
        <w:divId w:val="1070227987"/>
        <w:rPr>
          <w:rFonts w:eastAsia="Times New Roman"/>
        </w:rPr>
      </w:pPr>
      <w:r>
        <w:rPr>
          <w:rFonts w:eastAsia="Times New Roman"/>
          <w:color w:val="000000"/>
          <w:sz w:val="20"/>
          <w:szCs w:val="20"/>
        </w:rPr>
        <w:t>Also, the GMxB</w:t>
      </w:r>
      <w:r>
        <w:rPr>
          <w:rFonts w:eastAsia="Times New Roman"/>
          <w:color w:val="000000"/>
          <w:sz w:val="20"/>
          <w:szCs w:val="20"/>
        </w:rPr>
        <w:t xml:space="preserve"> feature’s liability associated with certain annuity contracts is similarly considered to be a derivative for accounting purposes and was reported at its fair value. The liability for embedded derivative liability features was $5.8 billion and $8.5 billion</w:t>
      </w:r>
      <w:r>
        <w:rPr>
          <w:rFonts w:eastAsia="Times New Roman"/>
          <w:color w:val="000000"/>
          <w:sz w:val="20"/>
          <w:szCs w:val="20"/>
        </w:rPr>
        <w:t xml:space="preserve"> as of December 31, 2022 and 2021, respectively. The potential fair value exposure to an immediate 10% drop in equity prices from those prevailing as of December 31, 2022 and 2021, respectively, would be to increase the liability balance by $708 million an</w:t>
      </w:r>
      <w:r>
        <w:rPr>
          <w:rFonts w:eastAsia="Times New Roman"/>
          <w:color w:val="000000"/>
          <w:sz w:val="20"/>
          <w:szCs w:val="20"/>
        </w:rPr>
        <w:t>d $990 million.</w:t>
      </w:r>
    </w:p>
    <w:p w:rsidR="00000000" w:rsidRDefault="00E54EC0">
      <w:pPr>
        <w:divId w:val="322704557"/>
        <w:rPr>
          <w:rFonts w:eastAsia="Times New Roman"/>
        </w:rPr>
      </w:pPr>
      <w:r>
        <w:rPr>
          <w:rFonts w:eastAsia="Times New Roman"/>
          <w:b/>
          <w:bCs/>
          <w:color w:val="000000"/>
          <w:sz w:val="20"/>
          <w:szCs w:val="20"/>
        </w:rPr>
        <w:t>Investment Management and Research</w:t>
      </w:r>
    </w:p>
    <w:p w:rsidR="00000000" w:rsidRDefault="00E54EC0">
      <w:pPr>
        <w:ind w:firstLine="360"/>
        <w:divId w:val="1357075998"/>
        <w:rPr>
          <w:rFonts w:eastAsia="Times New Roman"/>
        </w:rPr>
      </w:pPr>
      <w:r>
        <w:rPr>
          <w:rFonts w:eastAsia="Times New Roman"/>
          <w:color w:val="000000"/>
          <w:sz w:val="20"/>
          <w:szCs w:val="20"/>
        </w:rPr>
        <w:t>The investments of our Investment Management and Research segment consist of trading and AFS investments and other investments. AB’s trading and AFS investments include U.S. Treasury bills and equity and f</w:t>
      </w:r>
      <w:r>
        <w:rPr>
          <w:rFonts w:eastAsia="Times New Roman"/>
          <w:color w:val="000000"/>
          <w:sz w:val="20"/>
          <w:szCs w:val="20"/>
        </w:rPr>
        <w:t>ixed income mutual funds’ investments. Trading investments are purchased for short-term investment, principally to fund liabilities related to deferred compensation plans and to seed new investment services. Although AFS investments are purchased for long-</w:t>
      </w:r>
      <w:r>
        <w:rPr>
          <w:rFonts w:eastAsia="Times New Roman"/>
          <w:color w:val="000000"/>
          <w:sz w:val="20"/>
          <w:szCs w:val="20"/>
        </w:rPr>
        <w:t>term investment, the portfolio strategy considers them AFS from time to time due to changes in market interest rates, equity prices and other relevant factors. Other investments include investments in hedge funds sponsored by AB and other private investmen</w:t>
      </w:r>
      <w:r>
        <w:rPr>
          <w:rFonts w:eastAsia="Times New Roman"/>
          <w:color w:val="000000"/>
          <w:sz w:val="20"/>
          <w:szCs w:val="20"/>
        </w:rPr>
        <w:t>t vehicles.</w:t>
      </w:r>
    </w:p>
    <w:p w:rsidR="00000000" w:rsidRDefault="00E54EC0">
      <w:pPr>
        <w:jc w:val="both"/>
        <w:divId w:val="1816608617"/>
        <w:rPr>
          <w:rFonts w:eastAsia="Times New Roman"/>
        </w:rPr>
      </w:pPr>
      <w:r>
        <w:rPr>
          <w:rFonts w:eastAsia="Times New Roman"/>
          <w:b/>
          <w:bCs/>
          <w:i/>
          <w:iCs/>
          <w:color w:val="000000"/>
          <w:sz w:val="20"/>
          <w:szCs w:val="20"/>
        </w:rPr>
        <w:t>Investments with Interest Rate Risk – Fair Value</w:t>
      </w:r>
    </w:p>
    <w:p w:rsidR="00000000" w:rsidRDefault="00E54EC0">
      <w:pPr>
        <w:ind w:firstLine="360"/>
        <w:divId w:val="943079832"/>
        <w:rPr>
          <w:rFonts w:eastAsia="Times New Roman"/>
        </w:rPr>
      </w:pPr>
      <w:r>
        <w:rPr>
          <w:rFonts w:eastAsia="Times New Roman"/>
          <w:color w:val="000000"/>
          <w:sz w:val="20"/>
          <w:szCs w:val="20"/>
        </w:rPr>
        <w:t>The table below provides AB’s potential exposure with respect to its fixed income investments, measured in terms of fair value, to an immediate 1% increase in interest rates at all maturities fro</w:t>
      </w:r>
      <w:r>
        <w:rPr>
          <w:rFonts w:eastAsia="Times New Roman"/>
          <w:color w:val="000000"/>
          <w:sz w:val="20"/>
          <w:szCs w:val="20"/>
        </w:rPr>
        <w:t>m the levels prevailing as of December 31, 2022 and 2021:</w:t>
      </w:r>
    </w:p>
    <w:p w:rsidR="00000000" w:rsidRDefault="00E54EC0">
      <w:pPr>
        <w:jc w:val="center"/>
        <w:rPr>
          <w:rFonts w:eastAsia="Times New Roman"/>
        </w:rPr>
      </w:pPr>
      <w:r>
        <w:rPr>
          <w:rFonts w:eastAsia="Times New Roman"/>
          <w:b/>
          <w:bCs/>
          <w:color w:val="000000"/>
          <w:sz w:val="20"/>
          <w:szCs w:val="20"/>
        </w:rPr>
        <w:t>Interest Rate Risk Exposure</w:t>
      </w:r>
    </w:p>
    <w:tbl>
      <w:tblPr>
        <w:tblW w:w="5000" w:type="pct"/>
        <w:tblCellMar>
          <w:top w:w="15" w:type="dxa"/>
          <w:left w:w="15" w:type="dxa"/>
          <w:bottom w:w="15" w:type="dxa"/>
          <w:right w:w="15" w:type="dxa"/>
        </w:tblCellMar>
        <w:tblLook w:val="04A0" w:firstRow="1" w:lastRow="0" w:firstColumn="1" w:lastColumn="0" w:noHBand="0" w:noVBand="1"/>
      </w:tblPr>
      <w:tblGrid>
        <w:gridCol w:w="37"/>
        <w:gridCol w:w="2469"/>
        <w:gridCol w:w="36"/>
        <w:gridCol w:w="121"/>
        <w:gridCol w:w="635"/>
        <w:gridCol w:w="36"/>
        <w:gridCol w:w="36"/>
        <w:gridCol w:w="36"/>
        <w:gridCol w:w="36"/>
        <w:gridCol w:w="121"/>
        <w:gridCol w:w="708"/>
        <w:gridCol w:w="36"/>
        <w:gridCol w:w="36"/>
        <w:gridCol w:w="36"/>
        <w:gridCol w:w="36"/>
        <w:gridCol w:w="121"/>
        <w:gridCol w:w="828"/>
        <w:gridCol w:w="36"/>
        <w:gridCol w:w="36"/>
        <w:gridCol w:w="36"/>
        <w:gridCol w:w="36"/>
        <w:gridCol w:w="120"/>
        <w:gridCol w:w="588"/>
        <w:gridCol w:w="36"/>
        <w:gridCol w:w="36"/>
        <w:gridCol w:w="36"/>
        <w:gridCol w:w="36"/>
        <w:gridCol w:w="121"/>
        <w:gridCol w:w="708"/>
        <w:gridCol w:w="36"/>
        <w:gridCol w:w="36"/>
        <w:gridCol w:w="36"/>
        <w:gridCol w:w="36"/>
        <w:gridCol w:w="121"/>
        <w:gridCol w:w="708"/>
        <w:gridCol w:w="36"/>
        <w:gridCol w:w="36"/>
        <w:gridCol w:w="36"/>
        <w:gridCol w:w="36"/>
      </w:tblGrid>
      <w:tr w:rsidR="00000000">
        <w:trPr>
          <w:divId w:val="1689982423"/>
        </w:trPr>
        <w:tc>
          <w:tcPr>
            <w:tcW w:w="50" w:type="pct"/>
            <w:vAlign w:val="center"/>
            <w:hideMark/>
          </w:tcPr>
          <w:p w:rsidR="00000000" w:rsidRDefault="00E54EC0">
            <w:pPr>
              <w:jc w:val="center"/>
              <w:rPr>
                <w:rFonts w:eastAsia="Times New Roman"/>
              </w:rPr>
            </w:pPr>
          </w:p>
        </w:tc>
        <w:tc>
          <w:tcPr>
            <w:tcW w:w="154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8998242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E54EC0">
            <w:pPr>
              <w:spacing w:after="100"/>
              <w:jc w:val="center"/>
              <w:rPr>
                <w:rFonts w:eastAsia="Times New Roman"/>
              </w:rPr>
            </w:pPr>
          </w:p>
        </w:tc>
      </w:tr>
      <w:tr w:rsidR="00000000">
        <w:trPr>
          <w:divId w:val="168998242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Balance After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Balance After +1% Change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Balance After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Balance After +1% Change</w:t>
            </w:r>
          </w:p>
        </w:tc>
        <w:tc>
          <w:tcPr>
            <w:tcW w:w="0" w:type="auto"/>
            <w:gridSpan w:val="3"/>
            <w:vAlign w:val="center"/>
            <w:hideMark/>
          </w:tcPr>
          <w:p w:rsidR="00000000" w:rsidRDefault="00E54EC0">
            <w:pPr>
              <w:spacing w:after="100"/>
              <w:jc w:val="center"/>
              <w:rPr>
                <w:rFonts w:eastAsia="Times New Roman"/>
              </w:rPr>
            </w:pPr>
          </w:p>
        </w:tc>
      </w:tr>
      <w:tr w:rsidR="00000000">
        <w:trPr>
          <w:divId w:val="168998242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89982423"/>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Income Investments: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89982423"/>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bl>
    <w:p w:rsidR="00000000" w:rsidRDefault="00E54EC0">
      <w:pPr>
        <w:jc w:val="center"/>
        <w:divId w:val="1882785875"/>
        <w:rPr>
          <w:rFonts w:eastAsia="Times New Roman"/>
        </w:rPr>
      </w:pPr>
      <w:r>
        <w:rPr>
          <w:rFonts w:eastAsia="Times New Roman"/>
          <w:color w:val="000000"/>
          <w:sz w:val="20"/>
          <w:szCs w:val="20"/>
        </w:rPr>
        <w:t>123</w:t>
      </w:r>
    </w:p>
    <w:p w:rsidR="00000000" w:rsidRDefault="00E54EC0">
      <w:pPr>
        <w:rPr>
          <w:rFonts w:eastAsia="Times New Roman"/>
        </w:rPr>
      </w:pPr>
      <w:r>
        <w:rPr>
          <w:rFonts w:eastAsia="Times New Roman"/>
        </w:rPr>
        <w:pict>
          <v:rect id="_x0000_i1161" style="width:0;height:1.5pt" o:hralign="center" o:hrstd="t" o:hr="t" fillcolor="#a0a0a0" stroked="f"/>
        </w:pict>
      </w:r>
    </w:p>
    <w:p w:rsidR="00000000" w:rsidRDefault="00E54EC0">
      <w:pPr>
        <w:divId w:val="2020614909"/>
        <w:rPr>
          <w:rFonts w:eastAsia="Times New Roman"/>
        </w:rPr>
      </w:pPr>
    </w:p>
    <w:p w:rsidR="00000000" w:rsidRDefault="00E54EC0">
      <w:pPr>
        <w:divId w:val="2100247625"/>
        <w:rPr>
          <w:rFonts w:eastAsia="Times New Roman"/>
        </w:rPr>
      </w:pPr>
    </w:p>
    <w:p w:rsidR="00000000" w:rsidRDefault="00E54EC0">
      <w:pPr>
        <w:ind w:firstLine="360"/>
        <w:divId w:val="1132165643"/>
        <w:rPr>
          <w:rFonts w:eastAsia="Times New Roman"/>
        </w:rPr>
      </w:pPr>
      <w:r>
        <w:rPr>
          <w:rFonts w:eastAsia="Times New Roman"/>
          <w:color w:val="000000"/>
          <w:sz w:val="20"/>
          <w:szCs w:val="20"/>
        </w:rPr>
        <w:t>Such a fluctuation in interest rates is a hypothetical rate scenario used to calibrate potential risk and does not represent AB management’s view of future market changes. Althou</w:t>
      </w:r>
      <w:r>
        <w:rPr>
          <w:rFonts w:eastAsia="Times New Roman"/>
          <w:color w:val="000000"/>
          <w:sz w:val="20"/>
          <w:szCs w:val="20"/>
        </w:rPr>
        <w:t>gh these fair value measurements provide a representation of interest rate sensitivity of its investments in fixed income mutual funds and fixed income hedge funds, they are based on AB’s exposures at a particular point in time and may not be representativ</w:t>
      </w:r>
      <w:r>
        <w:rPr>
          <w:rFonts w:eastAsia="Times New Roman"/>
          <w:color w:val="000000"/>
          <w:sz w:val="20"/>
          <w:szCs w:val="20"/>
        </w:rPr>
        <w:t>e of future market results. These exposures will change as a result of ongoing changes in investments in response to AB management’s assessment of changing market conditions and available investment opportunities.</w:t>
      </w:r>
    </w:p>
    <w:p w:rsidR="00000000" w:rsidRDefault="00E54EC0">
      <w:pPr>
        <w:jc w:val="both"/>
        <w:divId w:val="813834418"/>
        <w:rPr>
          <w:rFonts w:eastAsia="Times New Roman"/>
        </w:rPr>
      </w:pPr>
      <w:r>
        <w:rPr>
          <w:rFonts w:eastAsia="Times New Roman"/>
          <w:b/>
          <w:bCs/>
          <w:i/>
          <w:iCs/>
          <w:color w:val="000000"/>
          <w:sz w:val="20"/>
          <w:szCs w:val="20"/>
        </w:rPr>
        <w:t xml:space="preserve">Investments with Equity Price Risk – Fair </w:t>
      </w:r>
      <w:r>
        <w:rPr>
          <w:rFonts w:eastAsia="Times New Roman"/>
          <w:b/>
          <w:bCs/>
          <w:i/>
          <w:iCs/>
          <w:color w:val="000000"/>
          <w:sz w:val="20"/>
          <w:szCs w:val="20"/>
        </w:rPr>
        <w:t>Value</w:t>
      </w:r>
    </w:p>
    <w:p w:rsidR="00000000" w:rsidRDefault="00E54EC0">
      <w:pPr>
        <w:ind w:firstLine="360"/>
        <w:divId w:val="1880237834"/>
        <w:rPr>
          <w:rFonts w:eastAsia="Times New Roman"/>
        </w:rPr>
      </w:pPr>
      <w:r>
        <w:rPr>
          <w:rFonts w:eastAsia="Times New Roman"/>
          <w:color w:val="000000"/>
          <w:sz w:val="20"/>
          <w:szCs w:val="20"/>
        </w:rPr>
        <w:t>AB’s investments include investments in equity mutual funds and equity hedge funds. The following table presents AB’s potential exposure from its equity investments, measured in terms of fair value, to an immediate 10% drop in equity prices from thos</w:t>
      </w:r>
      <w:r>
        <w:rPr>
          <w:rFonts w:eastAsia="Times New Roman"/>
          <w:color w:val="000000"/>
          <w:sz w:val="20"/>
          <w:szCs w:val="20"/>
        </w:rPr>
        <w:t>e prevailing as of December 31, 2022 and 2021:</w:t>
      </w:r>
    </w:p>
    <w:p w:rsidR="00000000" w:rsidRDefault="00E54EC0">
      <w:pPr>
        <w:jc w:val="center"/>
        <w:rPr>
          <w:rFonts w:eastAsia="Times New Roman"/>
        </w:rPr>
      </w:pPr>
      <w:r>
        <w:rPr>
          <w:rFonts w:eastAsia="Times New Roman"/>
          <w:b/>
          <w:bCs/>
          <w:color w:val="000000"/>
          <w:sz w:val="20"/>
          <w:szCs w:val="20"/>
        </w:rPr>
        <w:t>Equity Price Risk Exposure</w:t>
      </w:r>
    </w:p>
    <w:tbl>
      <w:tblPr>
        <w:tblW w:w="5000" w:type="pct"/>
        <w:tblCellMar>
          <w:top w:w="15" w:type="dxa"/>
          <w:left w:w="15" w:type="dxa"/>
          <w:bottom w:w="15" w:type="dxa"/>
          <w:right w:w="15" w:type="dxa"/>
        </w:tblCellMar>
        <w:tblLook w:val="04A0" w:firstRow="1" w:lastRow="0" w:firstColumn="1" w:lastColumn="0" w:noHBand="0" w:noVBand="1"/>
      </w:tblPr>
      <w:tblGrid>
        <w:gridCol w:w="38"/>
        <w:gridCol w:w="2332"/>
        <w:gridCol w:w="37"/>
        <w:gridCol w:w="121"/>
        <w:gridCol w:w="746"/>
        <w:gridCol w:w="36"/>
        <w:gridCol w:w="36"/>
        <w:gridCol w:w="36"/>
        <w:gridCol w:w="36"/>
        <w:gridCol w:w="121"/>
        <w:gridCol w:w="858"/>
        <w:gridCol w:w="36"/>
        <w:gridCol w:w="36"/>
        <w:gridCol w:w="36"/>
        <w:gridCol w:w="36"/>
        <w:gridCol w:w="121"/>
        <w:gridCol w:w="634"/>
        <w:gridCol w:w="36"/>
        <w:gridCol w:w="36"/>
        <w:gridCol w:w="36"/>
        <w:gridCol w:w="36"/>
        <w:gridCol w:w="121"/>
        <w:gridCol w:w="690"/>
        <w:gridCol w:w="36"/>
        <w:gridCol w:w="36"/>
        <w:gridCol w:w="36"/>
        <w:gridCol w:w="36"/>
        <w:gridCol w:w="121"/>
        <w:gridCol w:w="801"/>
        <w:gridCol w:w="36"/>
        <w:gridCol w:w="36"/>
        <w:gridCol w:w="36"/>
        <w:gridCol w:w="36"/>
        <w:gridCol w:w="121"/>
        <w:gridCol w:w="580"/>
        <w:gridCol w:w="36"/>
        <w:gridCol w:w="36"/>
        <w:gridCol w:w="36"/>
        <w:gridCol w:w="36"/>
      </w:tblGrid>
      <w:tr w:rsidR="00000000">
        <w:trPr>
          <w:divId w:val="1873686430"/>
        </w:trPr>
        <w:tc>
          <w:tcPr>
            <w:tcW w:w="50" w:type="pct"/>
            <w:vAlign w:val="center"/>
            <w:hideMark/>
          </w:tcPr>
          <w:p w:rsidR="00000000" w:rsidRDefault="00E54EC0">
            <w:pPr>
              <w:jc w:val="center"/>
              <w:rPr>
                <w:rFonts w:eastAsia="Times New Roman"/>
              </w:rPr>
            </w:pPr>
          </w:p>
        </w:tc>
        <w:tc>
          <w:tcPr>
            <w:tcW w:w="147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73686430"/>
        </w:trPr>
        <w:tc>
          <w:tcPr>
            <w:tcW w:w="0" w:type="auto"/>
            <w:gridSpan w:val="3"/>
            <w:tcMar>
              <w:top w:w="30" w:type="dxa"/>
              <w:left w:w="20" w:type="dxa"/>
              <w:bottom w:w="30" w:type="dxa"/>
              <w:right w:w="20" w:type="dxa"/>
            </w:tcMar>
            <w:vAlign w:val="bottom"/>
            <w:hideMark/>
          </w:tcPr>
          <w:p w:rsidR="00000000" w:rsidRDefault="00E54EC0">
            <w:pPr>
              <w:spacing w:after="100"/>
              <w:divId w:val="1310016684"/>
              <w:rPr>
                <w:rFonts w:eastAsia="Times New Roman"/>
              </w:rPr>
            </w:pPr>
            <w:r>
              <w:rPr>
                <w:rFonts w:eastAsia="Times New Roman"/>
                <w:b/>
                <w:bCs/>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E54EC0">
            <w:pPr>
              <w:spacing w:after="100"/>
              <w:jc w:val="center"/>
              <w:rPr>
                <w:rFonts w:eastAsia="Times New Roman"/>
              </w:rPr>
            </w:pPr>
          </w:p>
        </w:tc>
      </w:tr>
      <w:tr w:rsidR="00000000">
        <w:trPr>
          <w:divId w:val="1873686430"/>
        </w:trPr>
        <w:tc>
          <w:tcPr>
            <w:tcW w:w="0" w:type="auto"/>
            <w:gridSpan w:val="3"/>
            <w:tcMar>
              <w:top w:w="30" w:type="dxa"/>
              <w:left w:w="20" w:type="dxa"/>
              <w:bottom w:w="30" w:type="dxa"/>
              <w:right w:w="20" w:type="dxa"/>
            </w:tcMar>
            <w:vAlign w:val="bottom"/>
            <w:hideMark/>
          </w:tcPr>
          <w:p w:rsidR="00000000" w:rsidRDefault="00E54EC0">
            <w:pPr>
              <w:spacing w:after="100"/>
              <w:divId w:val="138428258"/>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Balance After +10% </w:t>
            </w:r>
            <w:r>
              <w:rPr>
                <w:rFonts w:eastAsia="Times New Roman"/>
                <w:b/>
                <w:bCs/>
                <w:color w:val="000000"/>
                <w:sz w:val="16"/>
                <w:szCs w:val="16"/>
              </w:rPr>
              <w:t>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Balance After -10% Equity Price Change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Balance After +10%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Balance After -10% Equity Price Change</w:t>
            </w:r>
          </w:p>
        </w:tc>
        <w:tc>
          <w:tcPr>
            <w:tcW w:w="0" w:type="auto"/>
            <w:gridSpan w:val="3"/>
            <w:vAlign w:val="center"/>
            <w:hideMark/>
          </w:tcPr>
          <w:p w:rsidR="00000000" w:rsidRDefault="00E54EC0">
            <w:pPr>
              <w:spacing w:after="100"/>
              <w:jc w:val="center"/>
              <w:rPr>
                <w:rFonts w:eastAsia="Times New Roman"/>
              </w:rPr>
            </w:pPr>
          </w:p>
        </w:tc>
      </w:tr>
      <w:tr w:rsidR="00000000">
        <w:trPr>
          <w:divId w:val="187368643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873686430"/>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Investments: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73686430"/>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1873686430"/>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investments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bl>
    <w:p w:rsidR="00000000" w:rsidRDefault="00E54EC0">
      <w:pPr>
        <w:divId w:val="1390375207"/>
        <w:rPr>
          <w:rFonts w:eastAsia="Times New Roman"/>
        </w:rPr>
      </w:pPr>
    </w:p>
    <w:p w:rsidR="00000000" w:rsidRDefault="00E54EC0">
      <w:pPr>
        <w:ind w:firstLine="360"/>
        <w:divId w:val="106511947"/>
        <w:rPr>
          <w:rFonts w:eastAsia="Times New Roman"/>
        </w:rPr>
      </w:pPr>
      <w:r>
        <w:rPr>
          <w:rFonts w:eastAsia="Times New Roman"/>
          <w:color w:val="000000"/>
          <w:sz w:val="20"/>
          <w:szCs w:val="20"/>
        </w:rPr>
        <w:t xml:space="preserve">A 10% decrease in equity prices is a hypothetical scenario used to calibrate potential risk and does not represent AB management’s view of future market changes. While these fair value </w:t>
      </w:r>
      <w:r>
        <w:rPr>
          <w:rFonts w:eastAsia="Times New Roman"/>
          <w:color w:val="000000"/>
          <w:sz w:val="20"/>
          <w:szCs w:val="20"/>
        </w:rPr>
        <w:t>measurements provide a representation of equity price sensitivity of AB’s investments in equity mutual funds and equity hedge funds, they are based on AB’s exposure at a particular point in time and may not be representative of future market results. These</w:t>
      </w:r>
      <w:r>
        <w:rPr>
          <w:rFonts w:eastAsia="Times New Roman"/>
          <w:color w:val="000000"/>
          <w:sz w:val="20"/>
          <w:szCs w:val="20"/>
        </w:rPr>
        <w:t xml:space="preserve"> exposures will change as a result of ongoing portfolio activities in response to AB management’s assessment of changing market conditions and available investment opportunities.</w:t>
      </w:r>
    </w:p>
    <w:p w:rsidR="00000000" w:rsidRDefault="00E54EC0">
      <w:pPr>
        <w:jc w:val="center"/>
        <w:divId w:val="1347637877"/>
        <w:rPr>
          <w:rFonts w:eastAsia="Times New Roman"/>
        </w:rPr>
      </w:pPr>
      <w:r>
        <w:rPr>
          <w:rFonts w:eastAsia="Times New Roman"/>
          <w:color w:val="000000"/>
          <w:sz w:val="20"/>
          <w:szCs w:val="20"/>
        </w:rPr>
        <w:t>124</w:t>
      </w:r>
    </w:p>
    <w:p w:rsidR="00000000" w:rsidRDefault="00E54EC0">
      <w:pPr>
        <w:rPr>
          <w:rFonts w:eastAsia="Times New Roman"/>
        </w:rPr>
      </w:pPr>
      <w:r>
        <w:rPr>
          <w:rFonts w:eastAsia="Times New Roman"/>
        </w:rPr>
        <w:pict>
          <v:rect id="_x0000_i1162" style="width:0;height:1.5pt" o:hralign="center" o:hrstd="t" o:hr="t" fillcolor="#a0a0a0" stroked="f"/>
        </w:pict>
      </w:r>
    </w:p>
    <w:p w:rsidR="00000000" w:rsidRDefault="00E54EC0">
      <w:pPr>
        <w:divId w:val="1709529344"/>
        <w:rPr>
          <w:rFonts w:eastAsia="Times New Roman"/>
        </w:rPr>
      </w:pPr>
    </w:p>
    <w:p w:rsidR="00000000" w:rsidRDefault="00E54EC0">
      <w:pPr>
        <w:divId w:val="599752385"/>
        <w:rPr>
          <w:rFonts w:eastAsia="Times New Roman"/>
        </w:rPr>
      </w:pPr>
      <w:r>
        <w:rPr>
          <w:rFonts w:eastAsia="Times New Roman"/>
          <w:b/>
          <w:bCs/>
          <w:color w:val="000000"/>
          <w:sz w:val="20"/>
          <w:szCs w:val="20"/>
        </w:rPr>
        <w:t>Item 8. Financial Statements and S</w:t>
      </w:r>
      <w:r>
        <w:rPr>
          <w:rFonts w:eastAsia="Times New Roman"/>
          <w:b/>
          <w:bCs/>
          <w:color w:val="000000"/>
          <w:sz w:val="20"/>
          <w:szCs w:val="20"/>
        </w:rPr>
        <w:t>upplementary Data</w:t>
      </w:r>
    </w:p>
    <w:p w:rsidR="00000000" w:rsidRDefault="00E54EC0">
      <w:pPr>
        <w:divId w:val="1756246768"/>
        <w:rPr>
          <w:rFonts w:eastAsia="Times New Roman"/>
        </w:rPr>
      </w:pPr>
    </w:p>
    <w:p w:rsidR="00000000" w:rsidRDefault="00E54EC0">
      <w:pPr>
        <w:jc w:val="center"/>
        <w:divId w:val="1153642972"/>
        <w:rPr>
          <w:rFonts w:eastAsia="Times New Roman"/>
        </w:rPr>
      </w:pPr>
      <w:r>
        <w:rPr>
          <w:rFonts w:eastAsia="Times New Roman"/>
          <w:b/>
          <w:bCs/>
          <w:color w:val="000000"/>
          <w:sz w:val="20"/>
          <w:szCs w:val="20"/>
        </w:rPr>
        <w:t>INDEX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64"/>
        <w:gridCol w:w="37"/>
        <w:gridCol w:w="69"/>
        <w:gridCol w:w="332"/>
        <w:gridCol w:w="36"/>
      </w:tblGrid>
      <w:tr w:rsidR="00000000">
        <w:trPr>
          <w:divId w:val="303509289"/>
          <w:jc w:val="center"/>
        </w:trPr>
        <w:tc>
          <w:tcPr>
            <w:tcW w:w="50" w:type="pct"/>
            <w:vAlign w:val="center"/>
            <w:hideMark/>
          </w:tcPr>
          <w:p w:rsidR="00000000" w:rsidRDefault="00E54EC0">
            <w:pPr>
              <w:jc w:val="center"/>
              <w:rPr>
                <w:rFonts w:eastAsia="Times New Roman"/>
              </w:rPr>
            </w:pPr>
          </w:p>
        </w:tc>
        <w:tc>
          <w:tcPr>
            <w:tcW w:w="46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Audited Consolidated Financial Statements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595894752"/>
              <w:rPr>
                <w:rFonts w:eastAsia="Times New Roman"/>
              </w:rPr>
            </w:pPr>
            <w:hyperlink w:anchor="ifa77335c8c4046aba89b8098f04be9d1_628" w:history="1">
              <w:r>
                <w:rPr>
                  <w:rStyle w:val="a3"/>
                  <w:rFonts w:eastAsia="Times New Roman"/>
                  <w:sz w:val="20"/>
                  <w:szCs w:val="20"/>
                </w:rPr>
                <w:t>Report of Independent Registered Public Accounting Firm</w:t>
              </w:r>
            </w:hyperlink>
            <w:r>
              <w:rPr>
                <w:rFonts w:eastAsia="Times New Roman"/>
                <w:color w:val="000000"/>
                <w:sz w:val="20"/>
                <w:szCs w:val="20"/>
              </w:rPr>
              <w:t xml:space="preserve"> </w:t>
            </w:r>
            <w:r>
              <w:rPr>
                <w:rFonts w:eastAsia="Times New Roman"/>
                <w:color w:val="000000"/>
                <w:sz w:val="16"/>
                <w:szCs w:val="16"/>
              </w:rPr>
              <w:t>(PricewaterhouseCoopers LLP, New York, New York, PCAOB ID: 238)</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28" w:history="1">
              <w:r>
                <w:rPr>
                  <w:rStyle w:val="a3"/>
                  <w:rFonts w:eastAsia="Times New Roman"/>
                  <w:sz w:val="20"/>
                  <w:szCs w:val="20"/>
                </w:rPr>
                <w:t>126</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307442828"/>
              <w:rPr>
                <w:rFonts w:eastAsia="Times New Roman"/>
              </w:rPr>
            </w:pPr>
            <w:hyperlink w:anchor="ifa77335c8c4046aba89b8098f04be9d1_25" w:history="1">
              <w:r>
                <w:rPr>
                  <w:rStyle w:val="a3"/>
                  <w:rFonts w:eastAsia="Times New Roman"/>
                  <w:sz w:val="20"/>
                  <w:szCs w:val="20"/>
                </w:rPr>
                <w:t>Consolid</w:t>
              </w:r>
              <w:r>
                <w:rPr>
                  <w:rStyle w:val="a3"/>
                  <w:rFonts w:eastAsia="Times New Roman"/>
                  <w:sz w:val="20"/>
                  <w:szCs w:val="20"/>
                </w:rPr>
                <w:t>ated Balance Sheets, December 31, 2022 and 2021</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5" w:history="1">
              <w:r>
                <w:rPr>
                  <w:rStyle w:val="a3"/>
                  <w:rFonts w:eastAsia="Times New Roman"/>
                  <w:sz w:val="20"/>
                  <w:szCs w:val="20"/>
                </w:rPr>
                <w:t>130</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2025934900"/>
              <w:rPr>
                <w:rFonts w:eastAsia="Times New Roman"/>
              </w:rPr>
            </w:pPr>
            <w:hyperlink w:anchor="ifa77335c8c4046aba89b8098f04be9d1_31" w:history="1">
              <w:r>
                <w:rPr>
                  <w:rStyle w:val="a3"/>
                  <w:rFonts w:eastAsia="Times New Roman"/>
                  <w:sz w:val="20"/>
                  <w:szCs w:val="20"/>
                </w:rPr>
                <w:t>Consolidated Statements of Income (Loss),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31" w:history="1">
              <w:r>
                <w:rPr>
                  <w:rStyle w:val="a3"/>
                  <w:rFonts w:eastAsia="Times New Roman"/>
                  <w:sz w:val="20"/>
                  <w:szCs w:val="20"/>
                </w:rPr>
                <w:t>131</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931157881"/>
              <w:rPr>
                <w:rFonts w:eastAsia="Times New Roman"/>
              </w:rPr>
            </w:pPr>
            <w:hyperlink w:anchor="ifa77335c8c4046aba89b8098f04be9d1_34" w:history="1">
              <w:r>
                <w:rPr>
                  <w:rStyle w:val="a3"/>
                  <w:rFonts w:eastAsia="Times New Roman"/>
                  <w:sz w:val="20"/>
                  <w:szCs w:val="20"/>
                </w:rPr>
                <w:t>Consolidated Statements of Comprehensive I</w:t>
              </w:r>
              <w:r>
                <w:rPr>
                  <w:rStyle w:val="a3"/>
                  <w:rFonts w:eastAsia="Times New Roman"/>
                  <w:sz w:val="20"/>
                  <w:szCs w:val="20"/>
                </w:rPr>
                <w:t>ncome (Loss),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34" w:history="1">
              <w:r>
                <w:rPr>
                  <w:rStyle w:val="a3"/>
                  <w:rFonts w:eastAsia="Times New Roman"/>
                  <w:sz w:val="20"/>
                  <w:szCs w:val="20"/>
                </w:rPr>
                <w:t>132</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724373149"/>
              <w:rPr>
                <w:rFonts w:eastAsia="Times New Roman"/>
              </w:rPr>
            </w:pPr>
            <w:hyperlink w:anchor="ifa77335c8c4046aba89b8098f04be9d1_40" w:history="1">
              <w:r>
                <w:rPr>
                  <w:rStyle w:val="a3"/>
                  <w:rFonts w:eastAsia="Times New Roman"/>
                  <w:sz w:val="20"/>
                  <w:szCs w:val="20"/>
                </w:rPr>
                <w:t>Consolidated Statements of Equity, Years Ended December 31, 2022, 2021</w:t>
              </w:r>
              <w:r>
                <w:rPr>
                  <w:rStyle w:val="a3"/>
                  <w:rFonts w:eastAsia="Times New Roman"/>
                  <w:sz w:val="20"/>
                  <w:szCs w:val="20"/>
                </w:rPr>
                <w:t xml:space="preserve">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40" w:history="1">
              <w:r>
                <w:rPr>
                  <w:rStyle w:val="a3"/>
                  <w:rFonts w:eastAsia="Times New Roman"/>
                  <w:sz w:val="20"/>
                  <w:szCs w:val="20"/>
                </w:rPr>
                <w:t>133</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437454506"/>
              <w:rPr>
                <w:rFonts w:eastAsia="Times New Roman"/>
              </w:rPr>
            </w:pPr>
            <w:hyperlink w:anchor="ifa77335c8c4046aba89b8098f04be9d1_52" w:history="1">
              <w:r>
                <w:rPr>
                  <w:rStyle w:val="a3"/>
                  <w:rFonts w:eastAsia="Times New Roman"/>
                  <w:sz w:val="20"/>
                  <w:szCs w:val="20"/>
                </w:rPr>
                <w:t>Consolidated Statements of Cash Flows,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52" w:history="1">
              <w:r>
                <w:rPr>
                  <w:rStyle w:val="a3"/>
                  <w:rFonts w:eastAsia="Times New Roman"/>
                  <w:sz w:val="20"/>
                  <w:szCs w:val="20"/>
                </w:rPr>
                <w:t>134</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936254253"/>
              <w:rPr>
                <w:rFonts w:eastAsia="Times New Roman"/>
              </w:rPr>
            </w:pPr>
            <w:hyperlink w:anchor="ifa77335c8c4046aba89b8098f04be9d1_58"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368260149"/>
              <w:rPr>
                <w:rFonts w:eastAsia="Times New Roman"/>
              </w:rPr>
            </w:pPr>
            <w:hyperlink w:anchor="ifa77335c8c4046aba89b8098f04be9d1_61" w:history="1">
              <w:r>
                <w:rPr>
                  <w:rStyle w:val="a3"/>
                  <w:rFonts w:eastAsia="Times New Roman"/>
                  <w:sz w:val="20"/>
                  <w:szCs w:val="20"/>
                </w:rPr>
                <w:t>Note 1 - Organization</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1" w:history="1">
              <w:r>
                <w:rPr>
                  <w:rStyle w:val="a3"/>
                  <w:rFonts w:eastAsia="Times New Roman"/>
                  <w:sz w:val="20"/>
                  <w:szCs w:val="20"/>
                  <w:u w:val="none"/>
                </w:rPr>
                <w:t>136</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957641933"/>
              <w:rPr>
                <w:rFonts w:eastAsia="Times New Roman"/>
              </w:rPr>
            </w:pPr>
            <w:hyperlink w:anchor="ifa77335c8c4046aba89b8098f04be9d1_67" w:history="1">
              <w:r>
                <w:rPr>
                  <w:rStyle w:val="a3"/>
                  <w:rFonts w:eastAsia="Times New Roman"/>
                  <w:sz w:val="20"/>
                  <w:szCs w:val="20"/>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7" w:history="1">
              <w:r>
                <w:rPr>
                  <w:rStyle w:val="a3"/>
                  <w:rFonts w:eastAsia="Times New Roman"/>
                  <w:sz w:val="20"/>
                  <w:szCs w:val="20"/>
                  <w:u w:val="none"/>
                </w:rPr>
                <w:t>137</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254052362"/>
              <w:rPr>
                <w:rFonts w:eastAsia="Times New Roman"/>
              </w:rPr>
            </w:pPr>
            <w:hyperlink w:anchor="ifa77335c8c4046aba89b8098f04be9d1_109" w:history="1">
              <w:r>
                <w:rPr>
                  <w:rStyle w:val="a3"/>
                  <w:rFonts w:eastAsia="Times New Roman"/>
                  <w:sz w:val="20"/>
                  <w:szCs w:val="20"/>
                </w:rPr>
                <w:t>Note 3 - Investments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109" w:history="1">
              <w:r>
                <w:rPr>
                  <w:rStyle w:val="a3"/>
                  <w:rFonts w:eastAsia="Times New Roman"/>
                  <w:sz w:val="20"/>
                  <w:szCs w:val="20"/>
                  <w:u w:val="none"/>
                </w:rPr>
                <w:t>156</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780221028"/>
              <w:rPr>
                <w:rFonts w:eastAsia="Times New Roman"/>
              </w:rPr>
            </w:pPr>
            <w:hyperlink w:anchor="ifa77335c8c4046aba89b8098f04be9d1_124" w:history="1">
              <w:r>
                <w:rPr>
                  <w:rStyle w:val="a3"/>
                  <w:rFonts w:eastAsia="Times New Roman"/>
                  <w:sz w:val="20"/>
                  <w:szCs w:val="20"/>
                </w:rPr>
                <w:t>Note 4 - Derivatives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124" w:history="1">
              <w:r>
                <w:rPr>
                  <w:rStyle w:val="a3"/>
                  <w:rFonts w:eastAsia="Times New Roman"/>
                  <w:sz w:val="20"/>
                  <w:szCs w:val="20"/>
                  <w:u w:val="none"/>
                </w:rPr>
                <w:t>168</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735546920"/>
              <w:rPr>
                <w:rFonts w:eastAsia="Times New Roman"/>
              </w:rPr>
            </w:pPr>
            <w:hyperlink w:anchor="ifa77335c8c4046aba89b8098f04be9d1_634" w:history="1">
              <w:r>
                <w:rPr>
                  <w:rStyle w:val="a3"/>
                  <w:rFonts w:eastAsia="Times New Roman"/>
                  <w:sz w:val="20"/>
                  <w:szCs w:val="20"/>
                </w:rPr>
                <w:t>Note 5 - Goodwill and Other Intangible Assets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34" w:history="1">
              <w:r>
                <w:rPr>
                  <w:rStyle w:val="a3"/>
                  <w:rFonts w:eastAsia="Times New Roman"/>
                  <w:sz w:val="20"/>
                  <w:szCs w:val="20"/>
                  <w:u w:val="none"/>
                </w:rPr>
                <w:t>175</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496504348"/>
              <w:rPr>
                <w:rFonts w:eastAsia="Times New Roman"/>
              </w:rPr>
            </w:pPr>
            <w:hyperlink w:anchor="ifa77335c8c4046aba89b8098f04be9d1_139" w:history="1">
              <w:r>
                <w:rPr>
                  <w:rStyle w:val="a3"/>
                  <w:rFonts w:eastAsia="Times New Roman"/>
                  <w:sz w:val="20"/>
                  <w:szCs w:val="20"/>
                </w:rPr>
                <w:t>Note 6 - Closed Block</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139" w:history="1">
              <w:r>
                <w:rPr>
                  <w:rStyle w:val="a3"/>
                  <w:rFonts w:eastAsia="Times New Roman"/>
                  <w:sz w:val="20"/>
                  <w:szCs w:val="20"/>
                  <w:u w:val="none"/>
                </w:rPr>
                <w:t>175</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252661987"/>
              <w:rPr>
                <w:rFonts w:eastAsia="Times New Roman"/>
              </w:rPr>
            </w:pPr>
            <w:hyperlink w:anchor="ifa77335c8c4046aba89b8098f04be9d1_640" w:history="1">
              <w:r>
                <w:rPr>
                  <w:rStyle w:val="a3"/>
                  <w:rFonts w:eastAsia="Times New Roman"/>
                  <w:sz w:val="20"/>
                  <w:szCs w:val="20"/>
                </w:rPr>
                <w:t>Note 7 - DAC and Policyholder Bonus Interest Credits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40" w:history="1">
              <w:r>
                <w:rPr>
                  <w:rStyle w:val="a3"/>
                  <w:rFonts w:eastAsia="Times New Roman"/>
                  <w:sz w:val="20"/>
                  <w:szCs w:val="20"/>
                  <w:u w:val="none"/>
                </w:rPr>
                <w:t>178</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79439248"/>
              <w:rPr>
                <w:rFonts w:eastAsia="Times New Roman"/>
              </w:rPr>
            </w:pPr>
            <w:hyperlink w:anchor="ifa77335c8c4046aba89b8098f04be9d1_169" w:history="1">
              <w:r>
                <w:rPr>
                  <w:rStyle w:val="a3"/>
                  <w:rFonts w:eastAsia="Times New Roman"/>
                  <w:sz w:val="20"/>
                  <w:szCs w:val="20"/>
                </w:rPr>
                <w:t xml:space="preserve">Note 8 - Fair </w:t>
              </w:r>
              <w:r>
                <w:rPr>
                  <w:rStyle w:val="a3"/>
                  <w:rFonts w:eastAsia="Times New Roman"/>
                  <w:sz w:val="20"/>
                  <w:szCs w:val="20"/>
                </w:rPr>
                <w:t>Value Disclosures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169" w:history="1">
              <w:r>
                <w:rPr>
                  <w:rStyle w:val="a3"/>
                  <w:rFonts w:eastAsia="Times New Roman"/>
                  <w:sz w:val="20"/>
                  <w:szCs w:val="20"/>
                  <w:u w:val="none"/>
                </w:rPr>
                <w:t>178</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021132262"/>
              <w:rPr>
                <w:rFonts w:eastAsia="Times New Roman"/>
              </w:rPr>
            </w:pPr>
            <w:hyperlink w:anchor="ifa77335c8c4046aba89b8098f04be9d1_157" w:history="1">
              <w:r>
                <w:rPr>
                  <w:rStyle w:val="a3"/>
                  <w:rFonts w:eastAsia="Times New Roman"/>
                  <w:sz w:val="20"/>
                  <w:szCs w:val="20"/>
                </w:rPr>
                <w:t>Note 9 - Insurance Liabilities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157" w:history="1">
              <w:r>
                <w:rPr>
                  <w:rStyle w:val="a3"/>
                  <w:rFonts w:eastAsia="Times New Roman"/>
                  <w:sz w:val="20"/>
                  <w:szCs w:val="20"/>
                  <w:u w:val="none"/>
                </w:rPr>
                <w:t>193</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224606273"/>
              <w:rPr>
                <w:rFonts w:eastAsia="Times New Roman"/>
              </w:rPr>
            </w:pPr>
            <w:hyperlink w:anchor="ifa77335c8c4046aba89b8098f04be9d1_649" w:history="1">
              <w:r>
                <w:rPr>
                  <w:rStyle w:val="a3"/>
                  <w:rFonts w:eastAsia="Times New Roman"/>
                  <w:sz w:val="20"/>
                  <w:szCs w:val="20"/>
                </w:rPr>
                <w:t>Note 10 - Leases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49" w:history="1">
              <w:r>
                <w:rPr>
                  <w:rStyle w:val="a3"/>
                  <w:rFonts w:eastAsia="Times New Roman"/>
                  <w:sz w:val="20"/>
                  <w:szCs w:val="20"/>
                  <w:u w:val="none"/>
                </w:rPr>
                <w:t>196</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987928188"/>
              <w:rPr>
                <w:rFonts w:eastAsia="Times New Roman"/>
              </w:rPr>
            </w:pPr>
            <w:hyperlink w:anchor="ifa77335c8c4046aba89b8098f04be9d1_643" w:history="1">
              <w:r>
                <w:rPr>
                  <w:rStyle w:val="a3"/>
                  <w:rFonts w:eastAsia="Times New Roman"/>
                  <w:sz w:val="20"/>
                  <w:szCs w:val="20"/>
                </w:rPr>
                <w:t>Note 11 - Reinsurance</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43" w:history="1">
              <w:r>
                <w:rPr>
                  <w:rStyle w:val="a3"/>
                  <w:rFonts w:eastAsia="Times New Roman"/>
                  <w:sz w:val="20"/>
                  <w:szCs w:val="20"/>
                  <w:u w:val="none"/>
                </w:rPr>
                <w:t>199</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743988646"/>
              <w:rPr>
                <w:rFonts w:eastAsia="Times New Roman"/>
              </w:rPr>
            </w:pPr>
            <w:hyperlink w:anchor="ifa77335c8c4046aba89b8098f04be9d1_652" w:history="1">
              <w:r>
                <w:rPr>
                  <w:rStyle w:val="a3"/>
                  <w:rFonts w:eastAsia="Times New Roman"/>
                  <w:sz w:val="20"/>
                  <w:szCs w:val="20"/>
                </w:rPr>
                <w:t>Note 12 - Short-term and Long-term Debt</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52" w:history="1">
              <w:r>
                <w:rPr>
                  <w:rStyle w:val="a3"/>
                  <w:rFonts w:eastAsia="Times New Roman"/>
                  <w:sz w:val="20"/>
                  <w:szCs w:val="20"/>
                  <w:u w:val="none"/>
                </w:rPr>
                <w:t>201</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579631823"/>
              <w:rPr>
                <w:rFonts w:eastAsia="Times New Roman"/>
              </w:rPr>
            </w:pPr>
            <w:hyperlink w:anchor="ifa77335c8c4046aba89b8098f04be9d1_664" w:history="1">
              <w:r>
                <w:rPr>
                  <w:rStyle w:val="a3"/>
                  <w:rFonts w:eastAsia="Times New Roman"/>
                  <w:sz w:val="20"/>
                  <w:szCs w:val="20"/>
                </w:rPr>
                <w:t>Note 13 - Related Party Transactions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64" w:history="1">
              <w:r>
                <w:rPr>
                  <w:rStyle w:val="a3"/>
                  <w:rFonts w:eastAsia="Times New Roman"/>
                  <w:sz w:val="20"/>
                  <w:szCs w:val="20"/>
                  <w:u w:val="none"/>
                </w:rPr>
                <w:t>203</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206675128"/>
              <w:rPr>
                <w:rFonts w:eastAsia="Times New Roman"/>
              </w:rPr>
            </w:pPr>
            <w:hyperlink w:anchor="ifa77335c8c4046aba89b8098f04be9d1_658" w:history="1">
              <w:r>
                <w:rPr>
                  <w:rStyle w:val="a3"/>
                  <w:rFonts w:eastAsia="Times New Roman"/>
                  <w:sz w:val="20"/>
                  <w:szCs w:val="20"/>
                </w:rPr>
                <w:t>Note 14 - Employee Benefit Plans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58" w:history="1">
              <w:r>
                <w:rPr>
                  <w:rStyle w:val="a3"/>
                  <w:rFonts w:eastAsia="Times New Roman"/>
                  <w:sz w:val="20"/>
                  <w:szCs w:val="20"/>
                  <w:u w:val="none"/>
                </w:rPr>
                <w:t>203</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347440181"/>
              <w:rPr>
                <w:rFonts w:eastAsia="Times New Roman"/>
              </w:rPr>
            </w:pPr>
            <w:hyperlink w:anchor="ifa77335c8c4046aba89b8098f04be9d1_667" w:history="1">
              <w:r>
                <w:rPr>
                  <w:rStyle w:val="a3"/>
                  <w:rFonts w:eastAsia="Times New Roman"/>
                  <w:sz w:val="20"/>
                  <w:szCs w:val="20"/>
                </w:rPr>
                <w:t>Note 15 - Share-Based and Other Compensation Programs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67" w:history="1">
              <w:r>
                <w:rPr>
                  <w:rStyle w:val="a3"/>
                  <w:rFonts w:eastAsia="Times New Roman"/>
                  <w:sz w:val="20"/>
                  <w:szCs w:val="20"/>
                  <w:u w:val="none"/>
                </w:rPr>
                <w:t>211</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727410549"/>
              <w:rPr>
                <w:rFonts w:eastAsia="Times New Roman"/>
              </w:rPr>
            </w:pPr>
            <w:hyperlink w:anchor="ifa77335c8c4046aba89b8098f04be9d1_190" w:history="1">
              <w:r>
                <w:rPr>
                  <w:rStyle w:val="a3"/>
                  <w:rFonts w:eastAsia="Times New Roman"/>
                  <w:sz w:val="20"/>
                  <w:szCs w:val="20"/>
                </w:rPr>
                <w:t>Note 16 - Income Taxes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190" w:history="1">
              <w:r>
                <w:rPr>
                  <w:rStyle w:val="a3"/>
                  <w:rFonts w:eastAsia="Times New Roman"/>
                  <w:sz w:val="20"/>
                  <w:szCs w:val="20"/>
                  <w:u w:val="none"/>
                </w:rPr>
                <w:t>214</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914116614"/>
              <w:rPr>
                <w:rFonts w:eastAsia="Times New Roman"/>
              </w:rPr>
            </w:pPr>
            <w:hyperlink w:anchor="ifa77335c8c4046aba89b8098f04be9d1_205" w:history="1">
              <w:r>
                <w:rPr>
                  <w:rStyle w:val="a3"/>
                  <w:rFonts w:eastAsia="Times New Roman"/>
                  <w:sz w:val="20"/>
                  <w:szCs w:val="20"/>
                </w:rPr>
                <w:t>Note 17 - Commitments and Contingent Liabilities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05" w:history="1">
              <w:r>
                <w:rPr>
                  <w:rStyle w:val="a3"/>
                  <w:rFonts w:eastAsia="Times New Roman"/>
                  <w:sz w:val="20"/>
                  <w:szCs w:val="20"/>
                  <w:u w:val="none"/>
                </w:rPr>
                <w:t>216</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443649163"/>
              <w:rPr>
                <w:rFonts w:eastAsia="Times New Roman"/>
              </w:rPr>
            </w:pPr>
            <w:hyperlink w:anchor="ifa77335c8c4046aba89b8098f04be9d1_217" w:history="1">
              <w:r>
                <w:rPr>
                  <w:rStyle w:val="a3"/>
                  <w:rFonts w:eastAsia="Times New Roman"/>
                  <w:sz w:val="20"/>
                  <w:szCs w:val="20"/>
                </w:rPr>
                <w:t>Note 18 - Insurance Group Statutory Financial Information</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17" w:history="1">
              <w:r>
                <w:rPr>
                  <w:rStyle w:val="a3"/>
                  <w:rFonts w:eastAsia="Times New Roman"/>
                  <w:sz w:val="20"/>
                  <w:szCs w:val="20"/>
                  <w:u w:val="none"/>
                </w:rPr>
                <w:t>219</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965742500"/>
              <w:rPr>
                <w:rFonts w:eastAsia="Times New Roman"/>
              </w:rPr>
            </w:pPr>
            <w:hyperlink w:anchor="ifa77335c8c4046aba89b8098f04be9d1_229" w:history="1">
              <w:r>
                <w:rPr>
                  <w:rStyle w:val="a3"/>
                  <w:rFonts w:eastAsia="Times New Roman"/>
                  <w:sz w:val="20"/>
                  <w:szCs w:val="20"/>
                </w:rPr>
                <w:t>Note 19 - Business Segment Information</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29" w:history="1">
              <w:r>
                <w:rPr>
                  <w:rStyle w:val="a3"/>
                  <w:rFonts w:eastAsia="Times New Roman"/>
                  <w:sz w:val="20"/>
                  <w:szCs w:val="20"/>
                  <w:u w:val="none"/>
                </w:rPr>
                <w:t>222</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84234543"/>
              <w:rPr>
                <w:rFonts w:eastAsia="Times New Roman"/>
              </w:rPr>
            </w:pPr>
            <w:hyperlink w:anchor="ifa77335c8c4046aba89b8098f04be9d1_676" w:history="1">
              <w:r>
                <w:rPr>
                  <w:rStyle w:val="a3"/>
                  <w:rFonts w:eastAsia="Times New Roman"/>
                  <w:sz w:val="20"/>
                  <w:szCs w:val="20"/>
                </w:rPr>
                <w:t>Note 20 - Equity</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76" w:history="1">
              <w:r>
                <w:rPr>
                  <w:rStyle w:val="a3"/>
                  <w:rFonts w:eastAsia="Times New Roman"/>
                  <w:sz w:val="20"/>
                  <w:szCs w:val="20"/>
                  <w:u w:val="none"/>
                </w:rPr>
                <w:t>225</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722145068"/>
              <w:rPr>
                <w:rFonts w:eastAsia="Times New Roman"/>
              </w:rPr>
            </w:pPr>
            <w:hyperlink w:anchor="ifa77335c8c4046aba89b8098f04be9d1_235" w:history="1">
              <w:r>
                <w:rPr>
                  <w:rStyle w:val="a3"/>
                  <w:rFonts w:eastAsia="Times New Roman"/>
                  <w:sz w:val="20"/>
                  <w:szCs w:val="20"/>
                </w:rPr>
                <w:t>Note 21 - Earnings Per Share</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35" w:history="1">
              <w:r>
                <w:rPr>
                  <w:rStyle w:val="a3"/>
                  <w:rFonts w:eastAsia="Times New Roman"/>
                  <w:sz w:val="20"/>
                  <w:szCs w:val="20"/>
                  <w:u w:val="none"/>
                </w:rPr>
                <w:t>229</w:t>
              </w:r>
            </w:hyperlink>
          </w:p>
        </w:tc>
      </w:tr>
      <w:tr w:rsidR="00000000">
        <w:trPr>
          <w:divId w:val="303509289"/>
          <w:jc w:val="center"/>
        </w:trPr>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299194721"/>
              <w:rPr>
                <w:rFonts w:eastAsia="Times New Roman"/>
              </w:rPr>
            </w:pPr>
            <w:hyperlink w:anchor="ifa77335c8c4046aba89b8098f04be9d1_202" w:history="1">
              <w:r>
                <w:rPr>
                  <w:rStyle w:val="a3"/>
                  <w:rFonts w:eastAsia="Times New Roman"/>
                  <w:sz w:val="20"/>
                  <w:szCs w:val="20"/>
                </w:rPr>
                <w:t>Note 22 - Redeemable Noncontrolling Interest</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02" w:history="1">
              <w:r>
                <w:rPr>
                  <w:rStyle w:val="a3"/>
                  <w:rFonts w:eastAsia="Times New Roman"/>
                  <w:sz w:val="20"/>
                  <w:szCs w:val="20"/>
                  <w:u w:val="none"/>
                </w:rPr>
                <w:t>229</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1876042869"/>
              <w:rPr>
                <w:rFonts w:eastAsia="Times New Roman"/>
              </w:rPr>
            </w:pPr>
            <w:hyperlink w:anchor="ifa77335c8c4046aba89b8098f04be9d1_238" w:history="1">
              <w:r>
                <w:rPr>
                  <w:rStyle w:val="a3"/>
                  <w:rFonts w:eastAsia="Times New Roman"/>
                  <w:sz w:val="20"/>
                  <w:szCs w:val="20"/>
                </w:rPr>
                <w:t>Note 23 - Held-For-Sale</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38" w:history="1">
              <w:r>
                <w:rPr>
                  <w:rStyle w:val="a3"/>
                  <w:rFonts w:eastAsia="Times New Roman"/>
                  <w:sz w:val="20"/>
                  <w:szCs w:val="20"/>
                  <w:u w:val="none"/>
                </w:rPr>
                <w:t>229</w:t>
              </w:r>
            </w:hyperlink>
          </w:p>
        </w:tc>
      </w:tr>
      <w:tr w:rsidR="00000000">
        <w:trPr>
          <w:divId w:val="303509289"/>
          <w:jc w:val="center"/>
        </w:trPr>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divId w:val="533612438"/>
              <w:rPr>
                <w:rFonts w:eastAsia="Times New Roman"/>
              </w:rPr>
            </w:pPr>
            <w:hyperlink w:anchor="ifa77335c8c4046aba89b8098f04be9d1_241" w:history="1">
              <w:r>
                <w:rPr>
                  <w:rStyle w:val="a3"/>
                  <w:rFonts w:eastAsia="Times New Roman"/>
                  <w:sz w:val="20"/>
                  <w:szCs w:val="20"/>
                </w:rPr>
                <w:t>Note 24 - Subsequent Events</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241" w:history="1">
              <w:r>
                <w:rPr>
                  <w:rStyle w:val="a3"/>
                  <w:rFonts w:eastAsia="Times New Roman"/>
                  <w:sz w:val="20"/>
                  <w:szCs w:val="20"/>
                  <w:u w:val="none"/>
                </w:rPr>
                <w:t>230</w:t>
              </w:r>
            </w:hyperlink>
          </w:p>
        </w:tc>
      </w:tr>
      <w:tr w:rsidR="00000000">
        <w:trPr>
          <w:divId w:val="303509289"/>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Audited Consolidated Financial Statement Schedules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415736503"/>
              <w:rPr>
                <w:rFonts w:eastAsia="Times New Roman"/>
              </w:rPr>
            </w:pPr>
            <w:hyperlink w:anchor="ifa77335c8c4046aba89b8098f04be9d1_682" w:history="1">
              <w:r>
                <w:rPr>
                  <w:rStyle w:val="a3"/>
                  <w:rFonts w:eastAsia="Times New Roman"/>
                  <w:sz w:val="20"/>
                  <w:szCs w:val="20"/>
                </w:rPr>
                <w:t>Schedule I - Summary of Investments - Other than Investments in Related Parties, December 31, 2022</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82" w:history="1">
              <w:r>
                <w:rPr>
                  <w:rStyle w:val="a3"/>
                  <w:rFonts w:eastAsia="Times New Roman"/>
                  <w:sz w:val="20"/>
                  <w:szCs w:val="20"/>
                </w:rPr>
                <w:t>232</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476412719"/>
              <w:rPr>
                <w:rFonts w:eastAsia="Times New Roman"/>
              </w:rPr>
            </w:pPr>
            <w:hyperlink w:anchor="ifa77335c8c4046aba89b8098f04be9d1_685" w:history="1">
              <w:r>
                <w:rPr>
                  <w:rStyle w:val="a3"/>
                  <w:rFonts w:eastAsia="Times New Roman"/>
                  <w:sz w:val="20"/>
                  <w:szCs w:val="20"/>
                </w:rPr>
                <w:t>Schedule II - Balance Sheets ( Parent Company), December 31, 2022 and 2021 and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85" w:history="1">
              <w:r>
                <w:rPr>
                  <w:rStyle w:val="a3"/>
                  <w:rFonts w:eastAsia="Times New Roman"/>
                  <w:sz w:val="20"/>
                  <w:szCs w:val="20"/>
                </w:rPr>
                <w:t>233</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016276438"/>
              <w:rPr>
                <w:rFonts w:eastAsia="Times New Roman"/>
              </w:rPr>
            </w:pPr>
            <w:hyperlink w:anchor="ifa77335c8c4046aba89b8098f04be9d1_691" w:history="1">
              <w:r>
                <w:rPr>
                  <w:rStyle w:val="a3"/>
                  <w:rFonts w:eastAsia="Times New Roman"/>
                  <w:sz w:val="20"/>
                  <w:szCs w:val="20"/>
                </w:rPr>
                <w:t>Schedule III - Supplementary Insurance Information, as of and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91" w:history="1">
              <w:r>
                <w:rPr>
                  <w:rStyle w:val="a3"/>
                  <w:rFonts w:eastAsia="Times New Roman"/>
                  <w:sz w:val="20"/>
                  <w:szCs w:val="20"/>
                </w:rPr>
                <w:t>237</w:t>
              </w:r>
            </w:hyperlink>
          </w:p>
        </w:tc>
      </w:tr>
      <w:tr w:rsidR="00000000">
        <w:trPr>
          <w:divId w:val="303509289"/>
          <w:jc w:val="center"/>
        </w:trPr>
        <w:tc>
          <w:tcPr>
            <w:tcW w:w="0" w:type="auto"/>
            <w:gridSpan w:val="3"/>
            <w:tcMar>
              <w:top w:w="30" w:type="dxa"/>
              <w:left w:w="20" w:type="dxa"/>
              <w:bottom w:w="30" w:type="dxa"/>
              <w:right w:w="20" w:type="dxa"/>
            </w:tcMar>
            <w:hideMark/>
          </w:tcPr>
          <w:p w:rsidR="00000000" w:rsidRDefault="00E54EC0">
            <w:pPr>
              <w:spacing w:after="100"/>
              <w:divId w:val="166945053"/>
              <w:rPr>
                <w:rFonts w:eastAsia="Times New Roman"/>
              </w:rPr>
            </w:pPr>
            <w:hyperlink w:anchor="ifa77335c8c4046aba89b8098f04be9d1_694" w:history="1">
              <w:r>
                <w:rPr>
                  <w:rStyle w:val="a3"/>
                  <w:rFonts w:eastAsia="Times New Roman"/>
                  <w:sz w:val="20"/>
                  <w:szCs w:val="20"/>
                </w:rPr>
                <w:t>Schedule IV - Reinsurance,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94" w:history="1">
              <w:r>
                <w:rPr>
                  <w:rStyle w:val="a3"/>
                  <w:rFonts w:eastAsia="Times New Roman"/>
                  <w:sz w:val="20"/>
                  <w:szCs w:val="20"/>
                </w:rPr>
                <w:t>238</w:t>
              </w:r>
            </w:hyperlink>
          </w:p>
        </w:tc>
      </w:tr>
      <w:tr w:rsidR="00000000">
        <w:trPr>
          <w:divId w:val="303509289"/>
          <w:trHeight w:val="6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1580797205"/>
        <w:rPr>
          <w:rFonts w:eastAsia="Times New Roman"/>
        </w:rPr>
      </w:pPr>
      <w:r>
        <w:rPr>
          <w:rFonts w:eastAsia="Times New Roman"/>
          <w:color w:val="000000"/>
          <w:sz w:val="20"/>
          <w:szCs w:val="20"/>
        </w:rPr>
        <w:t>125</w:t>
      </w:r>
    </w:p>
    <w:p w:rsidR="00000000" w:rsidRDefault="00E54EC0">
      <w:pPr>
        <w:rPr>
          <w:rFonts w:eastAsia="Times New Roman"/>
        </w:rPr>
      </w:pPr>
      <w:r>
        <w:rPr>
          <w:rFonts w:eastAsia="Times New Roman"/>
        </w:rPr>
        <w:pict>
          <v:rect id="_x0000_i1163" style="width:0;height:1.5pt" o:hralign="center" o:hrstd="t" o:hr="t" fillcolor="#a0a0a0" stroked="f"/>
        </w:pict>
      </w:r>
    </w:p>
    <w:p w:rsidR="00000000" w:rsidRDefault="00E54EC0">
      <w:pPr>
        <w:divId w:val="1324621225"/>
        <w:rPr>
          <w:rFonts w:eastAsia="Times New Roman"/>
        </w:rPr>
      </w:pPr>
    </w:p>
    <w:p w:rsidR="00000000" w:rsidRDefault="00E54EC0">
      <w:pPr>
        <w:jc w:val="center"/>
        <w:rPr>
          <w:rFonts w:eastAsia="Times New Roman"/>
        </w:rPr>
      </w:pPr>
      <w:r>
        <w:rPr>
          <w:rFonts w:eastAsia="Times New Roman"/>
          <w:b/>
          <w:bCs/>
          <w:color w:val="000000"/>
          <w:sz w:val="20"/>
          <w:szCs w:val="20"/>
        </w:rPr>
        <w:t>Report of Independent Registered Public Accounting Firm</w:t>
      </w:r>
    </w:p>
    <w:p w:rsidR="00000000" w:rsidRDefault="00E54EC0">
      <w:pPr>
        <w:divId w:val="660036637"/>
        <w:rPr>
          <w:rFonts w:eastAsia="Times New Roman"/>
        </w:rPr>
      </w:pPr>
    </w:p>
    <w:p w:rsidR="00000000" w:rsidRDefault="00E54EC0">
      <w:pPr>
        <w:divId w:val="1886722003"/>
        <w:rPr>
          <w:rFonts w:eastAsia="Times New Roman"/>
        </w:rPr>
      </w:pPr>
      <w:r>
        <w:rPr>
          <w:rFonts w:eastAsia="Times New Roman"/>
          <w:color w:val="000000"/>
          <w:sz w:val="20"/>
          <w:szCs w:val="20"/>
        </w:rPr>
        <w:t>To the Board of Directors and Stockholders of Equitable Holdings, Inc.</w:t>
      </w:r>
    </w:p>
    <w:p w:rsidR="00000000" w:rsidRDefault="00E54EC0">
      <w:pPr>
        <w:divId w:val="1991251727"/>
        <w:rPr>
          <w:rFonts w:eastAsia="Times New Roman"/>
        </w:rPr>
      </w:pPr>
      <w:r>
        <w:rPr>
          <w:rFonts w:eastAsia="Times New Roman"/>
          <w:b/>
          <w:bCs/>
          <w:color w:val="000000"/>
          <w:sz w:val="20"/>
          <w:szCs w:val="20"/>
        </w:rPr>
        <w:t>Opinions on the Financial Statements and Internal Control over Financial Reporting</w:t>
      </w:r>
    </w:p>
    <w:p w:rsidR="00000000" w:rsidRDefault="00E54EC0">
      <w:pPr>
        <w:divId w:val="491062581"/>
        <w:rPr>
          <w:rFonts w:eastAsia="Times New Roman"/>
        </w:rPr>
      </w:pPr>
      <w:r>
        <w:rPr>
          <w:rFonts w:eastAsia="Times New Roman"/>
          <w:color w:val="000000"/>
          <w:sz w:val="20"/>
          <w:szCs w:val="20"/>
        </w:rPr>
        <w:t>We have audited the consolidated financial statements, including the related notes and financial statement schedules, of Equitable Holdings, Inc. and its subsidiaries (the “</w:t>
      </w:r>
      <w:r>
        <w:rPr>
          <w:rFonts w:eastAsia="Times New Roman"/>
          <w:color w:val="000000"/>
          <w:sz w:val="20"/>
          <w:szCs w:val="20"/>
        </w:rPr>
        <w:t>Company”) as listed in the accompanying index (collectively referred to as the “consolidated financial statements”). We also have audited the Company's internal control over financial reporting as of December 31, 2022, based on criteria established in Inte</w:t>
      </w:r>
      <w:r>
        <w:rPr>
          <w:rFonts w:eastAsia="Times New Roman"/>
          <w:color w:val="000000"/>
          <w:sz w:val="20"/>
          <w:szCs w:val="20"/>
        </w:rPr>
        <w:t>rnal Control - Integrated Framework (2013) issued by the Committee of Sponsoring Organizations of the Treadway Commission (COSO).</w:t>
      </w:r>
    </w:p>
    <w:p w:rsidR="00000000" w:rsidRDefault="00E54EC0">
      <w:pPr>
        <w:divId w:val="1570386102"/>
        <w:rPr>
          <w:rFonts w:eastAsia="Times New Roman"/>
        </w:rPr>
      </w:pPr>
      <w:r>
        <w:rPr>
          <w:rFonts w:eastAsia="Times New Roman"/>
          <w:color w:val="000000"/>
          <w:sz w:val="20"/>
          <w:szCs w:val="20"/>
        </w:rPr>
        <w:t>In our opinion, the consolidated financial statements referred to above present fairly, in all material respects, the financial position of the Company as of December 31, 2022 and 2021, and the results of its operations and its cash flows for each of the t</w:t>
      </w:r>
      <w:r>
        <w:rPr>
          <w:rFonts w:eastAsia="Times New Roman"/>
          <w:color w:val="000000"/>
          <w:sz w:val="20"/>
          <w:szCs w:val="20"/>
        </w:rPr>
        <w:t>hree years in the period ended December 31, 2022 in conformity with accounting principles generally accepted in the United States of America. Also in our opinion, the Company maintained, in all material respects, effective internal control over financial r</w:t>
      </w:r>
      <w:r>
        <w:rPr>
          <w:rFonts w:eastAsia="Times New Roman"/>
          <w:color w:val="000000"/>
          <w:sz w:val="20"/>
          <w:szCs w:val="20"/>
        </w:rPr>
        <w:t>eporting as of December 31, 2022, based on criteria established in Internal Control - Integrated Framework (2013) issued by the COSO.</w:t>
      </w:r>
    </w:p>
    <w:p w:rsidR="00000000" w:rsidRDefault="00E54EC0">
      <w:pPr>
        <w:divId w:val="1448936308"/>
        <w:rPr>
          <w:rFonts w:eastAsia="Times New Roman"/>
        </w:rPr>
      </w:pPr>
      <w:r>
        <w:rPr>
          <w:rFonts w:eastAsia="Times New Roman"/>
          <w:b/>
          <w:bCs/>
          <w:color w:val="000000"/>
          <w:sz w:val="20"/>
          <w:szCs w:val="20"/>
        </w:rPr>
        <w:t>Basis for Opinions</w:t>
      </w:r>
    </w:p>
    <w:p w:rsidR="00000000" w:rsidRDefault="00E54EC0">
      <w:pPr>
        <w:divId w:val="2101287603"/>
        <w:rPr>
          <w:rFonts w:eastAsia="Times New Roman"/>
        </w:rPr>
      </w:pPr>
      <w:r>
        <w:rPr>
          <w:rFonts w:eastAsia="Times New Roman"/>
          <w:color w:val="000000"/>
          <w:sz w:val="20"/>
          <w:szCs w:val="20"/>
        </w:rPr>
        <w:t>The Company's management is responsible for these consolidated financial statements, for maintaining ef</w:t>
      </w:r>
      <w:r>
        <w:rPr>
          <w:rFonts w:eastAsia="Times New Roman"/>
          <w:color w:val="000000"/>
          <w:sz w:val="20"/>
          <w:szCs w:val="20"/>
        </w:rPr>
        <w:t>fective internal control over financial reporting, and for its assessment of the effectiveness of internal control over financial reporting, included in Management’s Annual Report on Internal Control Over Financial Reporting appearing under Item 9A. Our re</w:t>
      </w:r>
      <w:r>
        <w:rPr>
          <w:rFonts w:eastAsia="Times New Roman"/>
          <w:color w:val="000000"/>
          <w:sz w:val="20"/>
          <w:szCs w:val="20"/>
        </w:rPr>
        <w:t>sponsibility is to express opinions on the Company’s consolidated financial statements and on the Company's internal control over financial reporting based on our audits. We are a public accounting firm registered with the Public Company Accounting Oversig</w:t>
      </w:r>
      <w:r>
        <w:rPr>
          <w:rFonts w:eastAsia="Times New Roman"/>
          <w:color w:val="000000"/>
          <w:sz w:val="20"/>
          <w:szCs w:val="20"/>
        </w:rPr>
        <w:t>ht Board (United States) (PCAOB) and are required to be independent with respect to the Company in accordance with the U.S. federal securities laws and the applicable rules and regulations of the Securities and Exchange Commission and the PCAOB.</w:t>
      </w:r>
    </w:p>
    <w:p w:rsidR="00000000" w:rsidRDefault="00E54EC0">
      <w:pPr>
        <w:divId w:val="1715082295"/>
        <w:rPr>
          <w:rFonts w:eastAsia="Times New Roman"/>
        </w:rPr>
      </w:pPr>
      <w:r>
        <w:rPr>
          <w:rFonts w:eastAsia="Times New Roman"/>
          <w:color w:val="000000"/>
          <w:sz w:val="20"/>
          <w:szCs w:val="20"/>
        </w:rPr>
        <w:t>We conduct</w:t>
      </w:r>
      <w:r>
        <w:rPr>
          <w:rFonts w:eastAsia="Times New Roman"/>
          <w:color w:val="000000"/>
          <w:sz w:val="20"/>
          <w:szCs w:val="20"/>
        </w:rPr>
        <w:t>ed our audits in accordance with the standards of the PCAOB. Those standards require that we plan and perform the audits to obtain reasonable assurance about whether the consolidated financial statements are free of material misstatement, whether due to er</w:t>
      </w:r>
      <w:r>
        <w:rPr>
          <w:rFonts w:eastAsia="Times New Roman"/>
          <w:color w:val="000000"/>
          <w:sz w:val="20"/>
          <w:szCs w:val="20"/>
        </w:rPr>
        <w:t>ror or fraud, and whether effective internal control over financial reporting was maintained in all material respects.</w:t>
      </w:r>
    </w:p>
    <w:p w:rsidR="00000000" w:rsidRDefault="00E54EC0">
      <w:pPr>
        <w:divId w:val="347105689"/>
        <w:rPr>
          <w:rFonts w:eastAsia="Times New Roman"/>
        </w:rPr>
      </w:pPr>
      <w:r>
        <w:rPr>
          <w:rFonts w:eastAsia="Times New Roman"/>
          <w:color w:val="000000"/>
          <w:sz w:val="20"/>
          <w:szCs w:val="20"/>
        </w:rPr>
        <w:t>Our audits of the consolidated financial statements included performing procedures to assess the risks of material misstatement of the co</w:t>
      </w:r>
      <w:r>
        <w:rPr>
          <w:rFonts w:eastAsia="Times New Roman"/>
          <w:color w:val="000000"/>
          <w:sz w:val="20"/>
          <w:szCs w:val="20"/>
        </w:rPr>
        <w:t>nsolidated financial statements, whether due to error or fraud, and performing procedures that respond to those risks. Such procedures included examining, on a test basis, evidence regarding the amounts and disclosures in the consolidated financial stateme</w:t>
      </w:r>
      <w:r>
        <w:rPr>
          <w:rFonts w:eastAsia="Times New Roman"/>
          <w:color w:val="000000"/>
          <w:sz w:val="20"/>
          <w:szCs w:val="20"/>
        </w:rPr>
        <w:t>nts. Our audits also included evaluating the accounting principles used and significant estimates made by management, as well as evaluating the overall presentation of the consolidated financial statements. Our audit of internal control over financial repo</w:t>
      </w:r>
      <w:r>
        <w:rPr>
          <w:rFonts w:eastAsia="Times New Roman"/>
          <w:color w:val="000000"/>
          <w:sz w:val="20"/>
          <w:szCs w:val="20"/>
        </w:rPr>
        <w:t>rting included obtaining an understanding of internal control over financial reporting, assessing the risk that a material weakness exists, and testing and evaluating the design and operating effectiveness of internal control based on the assessed risk. Ou</w:t>
      </w:r>
      <w:r>
        <w:rPr>
          <w:rFonts w:eastAsia="Times New Roman"/>
          <w:color w:val="000000"/>
          <w:sz w:val="20"/>
          <w:szCs w:val="20"/>
        </w:rPr>
        <w:t>r audits also included performing such other procedures as we considered necessary in the circumstances. We believe that our audits provide a reasonable basis for our opinions.</w:t>
      </w:r>
    </w:p>
    <w:p w:rsidR="00000000" w:rsidRDefault="00E54EC0">
      <w:pPr>
        <w:divId w:val="1197890573"/>
        <w:rPr>
          <w:rFonts w:eastAsia="Times New Roman"/>
        </w:rPr>
      </w:pPr>
      <w:r>
        <w:rPr>
          <w:rFonts w:eastAsia="Times New Roman"/>
          <w:color w:val="000000"/>
          <w:sz w:val="20"/>
          <w:szCs w:val="20"/>
        </w:rPr>
        <w:t>As described in Management’s Annual Report on Internal Control Over Financial R</w:t>
      </w:r>
      <w:r>
        <w:rPr>
          <w:rFonts w:eastAsia="Times New Roman"/>
          <w:color w:val="000000"/>
          <w:sz w:val="20"/>
          <w:szCs w:val="20"/>
        </w:rPr>
        <w:t>eporting, management has excluded CarVal Investors L.P. (CarVal) from its assessment of internal control over financial reporting as of December 31, 2022 because it was acquired by AllianceBernstein L.P., a subsidiary of the Company, during 2022. We have a</w:t>
      </w:r>
      <w:r>
        <w:rPr>
          <w:rFonts w:eastAsia="Times New Roman"/>
          <w:color w:val="000000"/>
          <w:sz w:val="20"/>
          <w:szCs w:val="20"/>
        </w:rPr>
        <w:t xml:space="preserve">lso excluded CarVal from our audit of internal control over financial reporting. Total assets and total revenues of CarVal that were excluded from management’s assessment and our audit of internal control over financial reporting each constitute less than </w:t>
      </w:r>
      <w:r>
        <w:rPr>
          <w:rFonts w:eastAsia="Times New Roman"/>
          <w:color w:val="000000"/>
          <w:sz w:val="20"/>
          <w:szCs w:val="20"/>
        </w:rPr>
        <w:t>1% of the related consolidated financial statement amounts as of and for the year ended December 31, 2022.</w:t>
      </w:r>
    </w:p>
    <w:p w:rsidR="00000000" w:rsidRDefault="00E54EC0">
      <w:pPr>
        <w:divId w:val="1995135294"/>
        <w:rPr>
          <w:rFonts w:eastAsia="Times New Roman"/>
        </w:rPr>
      </w:pPr>
      <w:r>
        <w:rPr>
          <w:rFonts w:eastAsia="Times New Roman"/>
          <w:b/>
          <w:bCs/>
          <w:color w:val="000000"/>
          <w:sz w:val="20"/>
          <w:szCs w:val="20"/>
        </w:rPr>
        <w:t>Definition and Limitations of Internal Control over Financial Reporting</w:t>
      </w:r>
    </w:p>
    <w:p w:rsidR="00000000" w:rsidRDefault="00E54EC0">
      <w:pPr>
        <w:divId w:val="1129976545"/>
        <w:rPr>
          <w:rFonts w:eastAsia="Times New Roman"/>
        </w:rPr>
      </w:pPr>
      <w:r>
        <w:rPr>
          <w:rFonts w:eastAsia="Times New Roman"/>
          <w:color w:val="000000"/>
          <w:sz w:val="20"/>
          <w:szCs w:val="20"/>
        </w:rPr>
        <w:t>A company’s internal control over financial reporting is a process designed t</w:t>
      </w:r>
      <w:r>
        <w:rPr>
          <w:rFonts w:eastAsia="Times New Roman"/>
          <w:color w:val="000000"/>
          <w:sz w:val="20"/>
          <w:szCs w:val="20"/>
        </w:rPr>
        <w:t xml:space="preserve">o provide reasonable assurance regarding the reliability of financial reporting and the preparation of financial statements for external purposes in accordance </w:t>
      </w:r>
    </w:p>
    <w:p w:rsidR="00000000" w:rsidRDefault="00E54EC0">
      <w:pPr>
        <w:jc w:val="center"/>
        <w:divId w:val="1026324230"/>
        <w:rPr>
          <w:rFonts w:eastAsia="Times New Roman"/>
        </w:rPr>
      </w:pPr>
      <w:r>
        <w:rPr>
          <w:rFonts w:eastAsia="Times New Roman"/>
          <w:color w:val="000000"/>
          <w:sz w:val="20"/>
          <w:szCs w:val="20"/>
        </w:rPr>
        <w:t>126</w:t>
      </w:r>
    </w:p>
    <w:p w:rsidR="00000000" w:rsidRDefault="00E54EC0">
      <w:pPr>
        <w:rPr>
          <w:rFonts w:eastAsia="Times New Roman"/>
        </w:rPr>
      </w:pPr>
      <w:r>
        <w:rPr>
          <w:rFonts w:eastAsia="Times New Roman"/>
        </w:rPr>
        <w:pict>
          <v:rect id="_x0000_i1164" style="width:0;height:1.5pt" o:hralign="center" o:hrstd="t" o:hr="t" fillcolor="#a0a0a0" stroked="f"/>
        </w:pict>
      </w:r>
    </w:p>
    <w:p w:rsidR="00000000" w:rsidRDefault="00E54EC0">
      <w:pPr>
        <w:divId w:val="51773725"/>
        <w:rPr>
          <w:rFonts w:eastAsia="Times New Roman"/>
        </w:rPr>
      </w:pPr>
      <w:r>
        <w:rPr>
          <w:rFonts w:eastAsia="Times New Roman"/>
          <w:b/>
          <w:bCs/>
          <w:color w:val="0000FF"/>
          <w:sz w:val="20"/>
          <w:szCs w:val="20"/>
          <w:u w:val="single"/>
        </w:rPr>
        <w:t>Table of Contents</w:t>
      </w:r>
    </w:p>
    <w:p w:rsidR="00000000" w:rsidRDefault="00E54EC0">
      <w:pPr>
        <w:divId w:val="1757096926"/>
        <w:rPr>
          <w:rFonts w:eastAsia="Times New Roman"/>
        </w:rPr>
      </w:pPr>
      <w:r>
        <w:rPr>
          <w:rFonts w:eastAsia="Times New Roman"/>
          <w:color w:val="000000"/>
          <w:sz w:val="20"/>
          <w:szCs w:val="20"/>
        </w:rPr>
        <w:t>with generally accepted accounting p</w:t>
      </w:r>
      <w:r>
        <w:rPr>
          <w:rFonts w:eastAsia="Times New Roman"/>
          <w:color w:val="000000"/>
          <w:sz w:val="20"/>
          <w:szCs w:val="20"/>
        </w:rPr>
        <w:t>rinciples. A company’s internal control over financial reporting includes those policies and procedures that (i) pertain to the maintenance of records that, in reasonable detail, accurately and fairly reflect the transactions and dispositions of the assets</w:t>
      </w:r>
      <w:r>
        <w:rPr>
          <w:rFonts w:eastAsia="Times New Roman"/>
          <w:color w:val="000000"/>
          <w:sz w:val="20"/>
          <w:szCs w:val="20"/>
        </w:rPr>
        <w:t xml:space="preserve"> of the company; (ii) provide reasonable assurance that transactions are recorded as necessary to permit preparation of financial statements in accordance with generally accepted accounting principles, and that receipts and expenditures of the company are </w:t>
      </w:r>
      <w:r>
        <w:rPr>
          <w:rFonts w:eastAsia="Times New Roman"/>
          <w:color w:val="000000"/>
          <w:sz w:val="20"/>
          <w:szCs w:val="20"/>
        </w:rPr>
        <w:t>being made only in accordance with authorizations of management and directors of the company; and (iii) provide reasonable assurance regarding prevention or timely detection of unauthorized acquisition, use, or disposition of the company’s assets that coul</w:t>
      </w:r>
      <w:r>
        <w:rPr>
          <w:rFonts w:eastAsia="Times New Roman"/>
          <w:color w:val="000000"/>
          <w:sz w:val="20"/>
          <w:szCs w:val="20"/>
        </w:rPr>
        <w:t>d have a material effect on the financial statements.</w:t>
      </w:r>
    </w:p>
    <w:p w:rsidR="00000000" w:rsidRDefault="00E54EC0">
      <w:pPr>
        <w:divId w:val="1782996772"/>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w:t>
      </w:r>
      <w:r>
        <w:rPr>
          <w:rFonts w:eastAsia="Times New Roman"/>
          <w:color w:val="000000"/>
          <w:sz w:val="20"/>
          <w:szCs w:val="20"/>
        </w:rPr>
        <w:t xml:space="preserve"> to the risk that controls may become inadequate because of changes in conditions, or that the degree of compliance with the policies or procedures may deteriorate.</w:t>
      </w:r>
    </w:p>
    <w:p w:rsidR="00000000" w:rsidRDefault="00E54EC0">
      <w:pPr>
        <w:divId w:val="135100550"/>
        <w:rPr>
          <w:rFonts w:eastAsia="Times New Roman"/>
        </w:rPr>
      </w:pPr>
      <w:r>
        <w:rPr>
          <w:rFonts w:eastAsia="Times New Roman"/>
          <w:b/>
          <w:bCs/>
          <w:color w:val="000000"/>
          <w:sz w:val="20"/>
          <w:szCs w:val="20"/>
        </w:rPr>
        <w:t>Critical Audit Matters</w:t>
      </w:r>
    </w:p>
    <w:p w:rsidR="00000000" w:rsidRDefault="00E54EC0">
      <w:pPr>
        <w:divId w:val="1756823695"/>
        <w:rPr>
          <w:rFonts w:eastAsia="Times New Roman"/>
        </w:rPr>
      </w:pPr>
      <w:r>
        <w:rPr>
          <w:rFonts w:eastAsia="Times New Roman"/>
          <w:color w:val="000000"/>
          <w:sz w:val="20"/>
          <w:szCs w:val="20"/>
        </w:rPr>
        <w:t>The critical audit matters communicated below are matters arising fr</w:t>
      </w:r>
      <w:r>
        <w:rPr>
          <w:rFonts w:eastAsia="Times New Roman"/>
          <w:color w:val="000000"/>
          <w:sz w:val="20"/>
          <w:szCs w:val="20"/>
        </w:rPr>
        <w:t xml:space="preserve">om the current period audit of the consolidated financial statements that were communicated or required to be communicated to the audit committee and that (i) relate to accounts or disclosures that are material to the consolidated financial statements and </w:t>
      </w:r>
      <w:r>
        <w:rPr>
          <w:rFonts w:eastAsia="Times New Roman"/>
          <w:color w:val="000000"/>
          <w:sz w:val="20"/>
          <w:szCs w:val="20"/>
        </w:rPr>
        <w:t>(ii) involved our especially challenging, subjective, or complex judgments. The communication of critical audit matters does not alter in any way our opinion on the consolidated financial statements, taken as a whole, and we are not, by communicating the c</w:t>
      </w:r>
      <w:r>
        <w:rPr>
          <w:rFonts w:eastAsia="Times New Roman"/>
          <w:color w:val="000000"/>
          <w:sz w:val="20"/>
          <w:szCs w:val="20"/>
        </w:rPr>
        <w:t>ritical audit matters below, providing separate opinions on the critical audit matters or on the accounts or disclosures to which they relate.</w:t>
      </w:r>
    </w:p>
    <w:p w:rsidR="00000000" w:rsidRDefault="00E54EC0">
      <w:pPr>
        <w:divId w:val="136577633"/>
        <w:rPr>
          <w:rFonts w:eastAsia="Times New Roman"/>
        </w:rPr>
      </w:pPr>
      <w:r>
        <w:rPr>
          <w:rFonts w:eastAsia="Times New Roman"/>
          <w:i/>
          <w:iCs/>
          <w:color w:val="000000"/>
          <w:sz w:val="20"/>
          <w:szCs w:val="20"/>
        </w:rPr>
        <w:t>Amortization and Valuation of Deferred Policy Acquisition Costs (“DAC”) related to Variable and Interest Sensitiv</w:t>
      </w:r>
      <w:r>
        <w:rPr>
          <w:rFonts w:eastAsia="Times New Roman"/>
          <w:i/>
          <w:iCs/>
          <w:color w:val="000000"/>
          <w:sz w:val="20"/>
          <w:szCs w:val="20"/>
        </w:rPr>
        <w:t>e Life Products and Variable Annuity Products with Guaranteed Minimum Benefits</w:t>
      </w:r>
    </w:p>
    <w:p w:rsidR="00000000" w:rsidRDefault="00E54EC0">
      <w:pPr>
        <w:divId w:val="1437599340"/>
        <w:rPr>
          <w:rFonts w:eastAsia="Times New Roman"/>
        </w:rPr>
      </w:pPr>
      <w:r>
        <w:rPr>
          <w:rFonts w:eastAsia="Times New Roman"/>
          <w:color w:val="000000"/>
          <w:sz w:val="20"/>
          <w:szCs w:val="20"/>
        </w:rPr>
        <w:t xml:space="preserve">As described in Note 2 to the consolidated financial statements, DAC represents acquisition costs that vary with and are primarily related to the acquisition of new and renewal </w:t>
      </w:r>
      <w:r>
        <w:rPr>
          <w:rFonts w:eastAsia="Times New Roman"/>
          <w:color w:val="000000"/>
          <w:sz w:val="20"/>
          <w:szCs w:val="20"/>
        </w:rPr>
        <w:t xml:space="preserve">insurance business that are deferred. A significant portion of the $8.2 billion of DAC as of December 31, 2022, is associated with the variable and interest sensitive life and variable annuity products with guaranteed minimum benefits. DAC associated with </w:t>
      </w:r>
      <w:r>
        <w:rPr>
          <w:rFonts w:eastAsia="Times New Roman"/>
          <w:color w:val="000000"/>
          <w:sz w:val="20"/>
          <w:szCs w:val="20"/>
        </w:rPr>
        <w:t>certain variable annuity products is amortized based on estimated assessments, with DAC on the remainder of variable annuities, Universal Life and investment-type products amortized over the expected total life of the contract group as a constant percentag</w:t>
      </w:r>
      <w:r>
        <w:rPr>
          <w:rFonts w:eastAsia="Times New Roman"/>
          <w:color w:val="000000"/>
          <w:sz w:val="20"/>
          <w:szCs w:val="20"/>
        </w:rPr>
        <w:t>e of estimated gross profits. DAC is subject to recoverability testing at the time of policy issue and loss recognition testing at the end of each accounting period. The DAC amortization and valuation estimates for these products are determined using model</w:t>
      </w:r>
      <w:r>
        <w:rPr>
          <w:rFonts w:eastAsia="Times New Roman"/>
          <w:color w:val="000000"/>
          <w:sz w:val="20"/>
          <w:szCs w:val="20"/>
        </w:rPr>
        <w:t xml:space="preserve">s and significant assumptions related to projected future separate account performance, mortality, contract persistency, and general account investment spread. </w:t>
      </w:r>
    </w:p>
    <w:p w:rsidR="00000000" w:rsidRDefault="00E54EC0">
      <w:pPr>
        <w:divId w:val="2039162515"/>
        <w:rPr>
          <w:rFonts w:eastAsia="Times New Roman"/>
        </w:rPr>
      </w:pPr>
      <w:r>
        <w:rPr>
          <w:rFonts w:eastAsia="Times New Roman"/>
          <w:color w:val="000000"/>
          <w:sz w:val="20"/>
          <w:szCs w:val="20"/>
        </w:rPr>
        <w:t>The principal considerations for our determination that performing procedures relating to the a</w:t>
      </w:r>
      <w:r>
        <w:rPr>
          <w:rFonts w:eastAsia="Times New Roman"/>
          <w:color w:val="000000"/>
          <w:sz w:val="20"/>
          <w:szCs w:val="20"/>
        </w:rPr>
        <w:t>mortization and valuation of DAC related to variable and interest sensitive life products and variable annuity products with guaranteed minimum benefits is a critical audit matter are (i) the significant judgment by management when determining the amortiza</w:t>
      </w:r>
      <w:r>
        <w:rPr>
          <w:rFonts w:eastAsia="Times New Roman"/>
          <w:color w:val="000000"/>
          <w:sz w:val="20"/>
          <w:szCs w:val="20"/>
        </w:rPr>
        <w:t>tion and valuation estimates, (ii) a high degree of auditor judgment, subjectivity and effort in performing procedures and evaluating audit evidence relating to the relevant models and significant assumptions related to projected future separate account pe</w:t>
      </w:r>
      <w:r>
        <w:rPr>
          <w:rFonts w:eastAsia="Times New Roman"/>
          <w:color w:val="000000"/>
          <w:sz w:val="20"/>
          <w:szCs w:val="20"/>
        </w:rPr>
        <w:t xml:space="preserve">rformance, mortality, contract persistency, and general account investment spread, and (iii) the audit effort involved the use of professionals with specialized skill and knowledge. </w:t>
      </w:r>
    </w:p>
    <w:p w:rsidR="00000000" w:rsidRDefault="00E54EC0">
      <w:pPr>
        <w:divId w:val="1884516290"/>
        <w:rPr>
          <w:rFonts w:eastAsia="Times New Roman"/>
        </w:rPr>
      </w:pPr>
      <w:r>
        <w:rPr>
          <w:rFonts w:eastAsia="Times New Roman"/>
          <w:color w:val="000000"/>
          <w:sz w:val="20"/>
          <w:szCs w:val="20"/>
        </w:rPr>
        <w:t>Addressing the matter involved performing procedures and evaluating audit</w:t>
      </w:r>
      <w:r>
        <w:rPr>
          <w:rFonts w:eastAsia="Times New Roman"/>
          <w:color w:val="000000"/>
          <w:sz w:val="20"/>
          <w:szCs w:val="20"/>
        </w:rPr>
        <w:t xml:space="preserve"> evidence in connection with forming our overall opinion on the consolidated financial statements. These procedures included testing the effectiveness of controls relating to the amortization and valuation of DAC related to variable and interest sensitive </w:t>
      </w:r>
      <w:r>
        <w:rPr>
          <w:rFonts w:eastAsia="Times New Roman"/>
          <w:color w:val="000000"/>
          <w:sz w:val="20"/>
          <w:szCs w:val="20"/>
        </w:rPr>
        <w:t>life products and variable annuity products with guaranteed minimum benefits, including controls over the relevant models and development of the significant assumptions. These procedures also included, among others, testing management’s process for determi</w:t>
      </w:r>
      <w:r>
        <w:rPr>
          <w:rFonts w:eastAsia="Times New Roman"/>
          <w:color w:val="000000"/>
          <w:sz w:val="20"/>
          <w:szCs w:val="20"/>
        </w:rPr>
        <w:t>ning the amortization and valuation estimates of DAC, which included (i) testing the completeness and accuracy of the historical data used by management to develop and update the significant assumptions, (ii) testing that significant assumptions are accura</w:t>
      </w:r>
      <w:r>
        <w:rPr>
          <w:rFonts w:eastAsia="Times New Roman"/>
          <w:color w:val="000000"/>
          <w:sz w:val="20"/>
          <w:szCs w:val="20"/>
        </w:rPr>
        <w:t>tely reflected in the relevant models, and (iii) the use of professionals with specialized skill and knowledge to assist in evaluating the appropriateness of the relevant models and the reasonableness of the significant assumptions related to projected fut</w:t>
      </w:r>
      <w:r>
        <w:rPr>
          <w:rFonts w:eastAsia="Times New Roman"/>
          <w:color w:val="000000"/>
          <w:sz w:val="20"/>
          <w:szCs w:val="20"/>
        </w:rPr>
        <w:t>ure separate account performance, mortality, contract persistency, and general account investment spread based on consideration of the Company’s experience, industry trends, and market conditions, as applicable.</w:t>
      </w:r>
    </w:p>
    <w:p w:rsidR="00000000" w:rsidRDefault="00E54EC0">
      <w:pPr>
        <w:jc w:val="center"/>
        <w:divId w:val="2128116204"/>
        <w:rPr>
          <w:rFonts w:eastAsia="Times New Roman"/>
        </w:rPr>
      </w:pPr>
      <w:r>
        <w:rPr>
          <w:rFonts w:eastAsia="Times New Roman"/>
          <w:color w:val="000000"/>
          <w:sz w:val="20"/>
          <w:szCs w:val="20"/>
        </w:rPr>
        <w:t>127</w:t>
      </w:r>
    </w:p>
    <w:p w:rsidR="00000000" w:rsidRDefault="00E54EC0">
      <w:pPr>
        <w:rPr>
          <w:rFonts w:eastAsia="Times New Roman"/>
        </w:rPr>
      </w:pPr>
      <w:r>
        <w:rPr>
          <w:rFonts w:eastAsia="Times New Roman"/>
        </w:rPr>
        <w:pict>
          <v:rect id="_x0000_i1165" style="width:0;height:1.5pt" o:hralign="center" o:hrstd="t" o:hr="t" fillcolor="#a0a0a0" stroked="f"/>
        </w:pict>
      </w:r>
    </w:p>
    <w:p w:rsidR="00000000" w:rsidRDefault="00E54EC0">
      <w:pPr>
        <w:divId w:val="1779714649"/>
        <w:rPr>
          <w:rFonts w:eastAsia="Times New Roman"/>
        </w:rPr>
      </w:pPr>
      <w:r>
        <w:rPr>
          <w:rFonts w:eastAsia="Times New Roman"/>
          <w:b/>
          <w:bCs/>
          <w:color w:val="0000FF"/>
          <w:sz w:val="20"/>
          <w:szCs w:val="20"/>
          <w:u w:val="single"/>
        </w:rPr>
        <w:t>Tabl</w:t>
      </w:r>
      <w:r>
        <w:rPr>
          <w:rFonts w:eastAsia="Times New Roman"/>
          <w:b/>
          <w:bCs/>
          <w:color w:val="0000FF"/>
          <w:sz w:val="20"/>
          <w:szCs w:val="20"/>
          <w:u w:val="single"/>
        </w:rPr>
        <w:t>e of Contents</w:t>
      </w:r>
    </w:p>
    <w:p w:rsidR="00000000" w:rsidRDefault="00E54EC0">
      <w:pPr>
        <w:divId w:val="35395808"/>
        <w:rPr>
          <w:rFonts w:eastAsia="Times New Roman"/>
        </w:rPr>
      </w:pPr>
      <w:r>
        <w:rPr>
          <w:rFonts w:eastAsia="Times New Roman"/>
          <w:i/>
          <w:iCs/>
          <w:color w:val="000000"/>
          <w:sz w:val="20"/>
          <w:szCs w:val="20"/>
        </w:rPr>
        <w:t>Valuation of Guaranteed Minimum Benefit Features related to Certain Life and Annuity Contracts included within Future Policy Benefits and Other Policyholders’ Liabilities and Amounts Due From Reinsurers</w:t>
      </w:r>
    </w:p>
    <w:p w:rsidR="00000000" w:rsidRDefault="00E54EC0">
      <w:pPr>
        <w:divId w:val="1421948940"/>
        <w:rPr>
          <w:rFonts w:eastAsia="Times New Roman"/>
        </w:rPr>
      </w:pPr>
      <w:r>
        <w:rPr>
          <w:rFonts w:eastAsia="Times New Roman"/>
          <w:color w:val="000000"/>
          <w:sz w:val="20"/>
          <w:szCs w:val="20"/>
        </w:rPr>
        <w:t xml:space="preserve">As described in Note 2 to the consolidated financial </w:t>
      </w:r>
      <w:r>
        <w:rPr>
          <w:rFonts w:eastAsia="Times New Roman"/>
          <w:color w:val="000000"/>
          <w:sz w:val="20"/>
          <w:szCs w:val="20"/>
        </w:rPr>
        <w:t>statements, future policy benefits and other policyholders’ liabilities of $34.1 billion as of December 31, 2022, includes reserves related to guaranteed minimum death benefits (“GMDB”) and guaranteed minimum income benefit (“GMIB”) features for certain li</w:t>
      </w:r>
      <w:r>
        <w:rPr>
          <w:rFonts w:eastAsia="Times New Roman"/>
          <w:color w:val="000000"/>
          <w:sz w:val="20"/>
          <w:szCs w:val="20"/>
        </w:rPr>
        <w:t>fe and annuity contracts, other than those accounted for as embedded derivatives. Amounts due from reinsurers of $17.2 billion as of December 31, 2022, includes reinsurance recoverables related to GMDB and GMIB features for certain life and annuity contrac</w:t>
      </w:r>
      <w:r>
        <w:rPr>
          <w:rFonts w:eastAsia="Times New Roman"/>
          <w:color w:val="000000"/>
          <w:sz w:val="20"/>
          <w:szCs w:val="20"/>
        </w:rPr>
        <w:t>ts ceded under reinsurance contracts other than those accounted for as embedded derivatives. For certain contracts with guaranteed minimum benefit features, the benefits are accounted for as reserves and determined by estimating the expected value of death</w:t>
      </w:r>
      <w:r>
        <w:rPr>
          <w:rFonts w:eastAsia="Times New Roman"/>
          <w:color w:val="000000"/>
          <w:sz w:val="20"/>
          <w:szCs w:val="20"/>
        </w:rPr>
        <w:t xml:space="preserve"> or income benefits in excess of the projected contract accumulation value and recognizing the excess over the estimated life based on expected assessments (i.e., benefit ratio). The liability equals the current benefit ratio multiplied by cumulative asses</w:t>
      </w:r>
      <w:r>
        <w:rPr>
          <w:rFonts w:eastAsia="Times New Roman"/>
          <w:color w:val="000000"/>
          <w:sz w:val="20"/>
          <w:szCs w:val="20"/>
        </w:rPr>
        <w:t xml:space="preserve">sments recognized to date, plus interest, less cumulative excess payments to date. The determination of this estimated liability is based on models that involve numerous assumptions and subjective judgments, including those regarding expected market rates </w:t>
      </w:r>
      <w:r>
        <w:rPr>
          <w:rFonts w:eastAsia="Times New Roman"/>
          <w:color w:val="000000"/>
          <w:sz w:val="20"/>
          <w:szCs w:val="20"/>
        </w:rPr>
        <w:t>of return and volatility, contract surrender and withdrawal rates, mortality experience, and, for contracts with the GMIB feature, GMIB election rates. Amounts due from reinsurers, other than those accounted for as embedded derivatives, are calculated usin</w:t>
      </w:r>
      <w:r>
        <w:rPr>
          <w:rFonts w:eastAsia="Times New Roman"/>
          <w:color w:val="000000"/>
          <w:sz w:val="20"/>
          <w:szCs w:val="20"/>
        </w:rPr>
        <w:t xml:space="preserve">g methodologies and assumptions that are consistent with those used to calculate the direct liabilities. </w:t>
      </w:r>
    </w:p>
    <w:p w:rsidR="00000000" w:rsidRDefault="00E54EC0">
      <w:pPr>
        <w:divId w:val="1145314028"/>
        <w:rPr>
          <w:rFonts w:eastAsia="Times New Roman"/>
        </w:rPr>
      </w:pPr>
      <w:r>
        <w:rPr>
          <w:rFonts w:eastAsia="Times New Roman"/>
          <w:color w:val="000000"/>
          <w:sz w:val="20"/>
          <w:szCs w:val="20"/>
        </w:rPr>
        <w:t>The principal considerations for our determination that performing procedures relating to the valuation of guaranteed minimum benefit features related</w:t>
      </w:r>
      <w:r>
        <w:rPr>
          <w:rFonts w:eastAsia="Times New Roman"/>
          <w:color w:val="000000"/>
          <w:sz w:val="20"/>
          <w:szCs w:val="20"/>
        </w:rPr>
        <w:t xml:space="preserve"> to certain life and annuity contracts included within future policy benefits and other policyholders’ liabilities and amounts due from reinsurers is a critical audit matter are (i) the significant judgment by management when determining the valuation of t</w:t>
      </w:r>
      <w:r>
        <w:rPr>
          <w:rFonts w:eastAsia="Times New Roman"/>
          <w:color w:val="000000"/>
          <w:sz w:val="20"/>
          <w:szCs w:val="20"/>
        </w:rPr>
        <w:t xml:space="preserve">hese guaranteed minimum benefit features, (ii) a high degree of auditor judgment, subjectivity and effort in performing procedures and evaluating audit evidence relating to the relevant models and significant assumptions of expected market rates of return </w:t>
      </w:r>
      <w:r>
        <w:rPr>
          <w:rFonts w:eastAsia="Times New Roman"/>
          <w:color w:val="000000"/>
          <w:sz w:val="20"/>
          <w:szCs w:val="20"/>
        </w:rPr>
        <w:t>and volatility, contract surrender and withdrawal rates, mortality experience, and, for contracts with the GMIB feature, GMIB election rates (collectively referred to as “the significant assumptions”), and (iii) the audit effort involved the use of profess</w:t>
      </w:r>
      <w:r>
        <w:rPr>
          <w:rFonts w:eastAsia="Times New Roman"/>
          <w:color w:val="000000"/>
          <w:sz w:val="20"/>
          <w:szCs w:val="20"/>
        </w:rPr>
        <w:t xml:space="preserve">ionals with specialized skill and knowledge. </w:t>
      </w:r>
    </w:p>
    <w:p w:rsidR="00000000" w:rsidRDefault="00E54EC0">
      <w:pPr>
        <w:divId w:val="1536305116"/>
        <w:rPr>
          <w:rFonts w:eastAsia="Times New Roman"/>
        </w:rPr>
      </w:pPr>
      <w:r>
        <w:rPr>
          <w:rFonts w:eastAsia="Times New Roman"/>
          <w:color w:val="000000"/>
          <w:sz w:val="20"/>
          <w:szCs w:val="20"/>
        </w:rPr>
        <w:t xml:space="preserve">Addressing the matter involved performing procedures and evaluating audit evidence in connection with forming our overall opinion on the consolidated financial statements. These procedures included testing the </w:t>
      </w:r>
      <w:r>
        <w:rPr>
          <w:rFonts w:eastAsia="Times New Roman"/>
          <w:color w:val="000000"/>
          <w:sz w:val="20"/>
          <w:szCs w:val="20"/>
        </w:rPr>
        <w:t>effectiveness of controls relating to valuation of guaranteed minimum benefit features related to certain life and annuity contracts, including controls over the relevant models and development of the significant assumptions. These procedures also included</w:t>
      </w:r>
      <w:r>
        <w:rPr>
          <w:rFonts w:eastAsia="Times New Roman"/>
          <w:color w:val="000000"/>
          <w:sz w:val="20"/>
          <w:szCs w:val="20"/>
        </w:rPr>
        <w:t xml:space="preserve">, among others, testing management’s process for determining the valuation of the guaranteed minimum benefit features, which included (i) testing the completeness and accuracy of the historical data used by management to develop and update the significant </w:t>
      </w:r>
      <w:r>
        <w:rPr>
          <w:rFonts w:eastAsia="Times New Roman"/>
          <w:color w:val="000000"/>
          <w:sz w:val="20"/>
          <w:szCs w:val="20"/>
        </w:rPr>
        <w:t>assumptions, (ii) testing that significant assumptions are accurately reflected in the relevant models, and (iii) the use of professionals with specialized skill and knowledge to assist in evaluating the appropriateness of the relevant models and the reaso</w:t>
      </w:r>
      <w:r>
        <w:rPr>
          <w:rFonts w:eastAsia="Times New Roman"/>
          <w:color w:val="000000"/>
          <w:sz w:val="20"/>
          <w:szCs w:val="20"/>
        </w:rPr>
        <w:t>nableness of the significant assumptions based on consideration of the Company’s experience, industry trends, and market conditions, as applicable.</w:t>
      </w:r>
    </w:p>
    <w:p w:rsidR="00000000" w:rsidRDefault="00E54EC0">
      <w:pPr>
        <w:divId w:val="682710045"/>
        <w:rPr>
          <w:rFonts w:eastAsia="Times New Roman"/>
        </w:rPr>
      </w:pPr>
      <w:r>
        <w:rPr>
          <w:rFonts w:eastAsia="Times New Roman"/>
          <w:i/>
          <w:iCs/>
          <w:color w:val="000000"/>
          <w:sz w:val="20"/>
          <w:szCs w:val="20"/>
        </w:rPr>
        <w:t>Valuation of GMIB Features accounted for as Derivatives included within Future Policy Benefits and Other Pol</w:t>
      </w:r>
      <w:r>
        <w:rPr>
          <w:rFonts w:eastAsia="Times New Roman"/>
          <w:i/>
          <w:iCs/>
          <w:color w:val="000000"/>
          <w:sz w:val="20"/>
          <w:szCs w:val="20"/>
        </w:rPr>
        <w:t>icyholders’ Liabilities, GMIB Reinsurance Contract Asset, at fair value and Amounts Due from Reinsurers</w:t>
      </w:r>
    </w:p>
    <w:p w:rsidR="00000000" w:rsidRDefault="00E54EC0">
      <w:pPr>
        <w:divId w:val="2029716282"/>
        <w:rPr>
          <w:rFonts w:eastAsia="Times New Roman"/>
        </w:rPr>
      </w:pPr>
      <w:r>
        <w:rPr>
          <w:rFonts w:eastAsia="Times New Roman"/>
          <w:color w:val="000000"/>
          <w:sz w:val="20"/>
          <w:szCs w:val="20"/>
        </w:rPr>
        <w:t>As described in Notes 2 and 8 to the consolidated financial statements, the Company issues certain annuity contracts that contain GMIB features that are</w:t>
      </w:r>
      <w:r>
        <w:rPr>
          <w:rFonts w:eastAsia="Times New Roman"/>
          <w:color w:val="000000"/>
          <w:sz w:val="20"/>
          <w:szCs w:val="20"/>
        </w:rPr>
        <w:t xml:space="preserve"> accounted for as embedded derivatives, recorded at fair value and presented within policy benefits and other policyholders’ liabilities. The reinsurance of certain of these GMIB features are accounted for as embedded derivatives and are presented at fair </w:t>
      </w:r>
      <w:r>
        <w:rPr>
          <w:rFonts w:eastAsia="Times New Roman"/>
          <w:color w:val="000000"/>
          <w:sz w:val="20"/>
          <w:szCs w:val="20"/>
        </w:rPr>
        <w:t>value within amounts due from reinsurers. Additionally, there are ceded reinsurance contracts that are net settled, accounted for as a derivative at fair value and presented within GMIB reinsurance contract asset, at fair value. As of December 31, 2022, th</w:t>
      </w:r>
      <w:r>
        <w:rPr>
          <w:rFonts w:eastAsia="Times New Roman"/>
          <w:color w:val="000000"/>
          <w:sz w:val="20"/>
          <w:szCs w:val="20"/>
        </w:rPr>
        <w:t>e fair value of the GMIB features accounted for as embedded derivatives and presented within future policy benefits and other policyholders’ liabilities was $5.8 billion, GMIB reinsurance contract asset, at fair value was $1.2 billion, and amounts due from</w:t>
      </w:r>
      <w:r>
        <w:rPr>
          <w:rFonts w:eastAsia="Times New Roman"/>
          <w:color w:val="000000"/>
          <w:sz w:val="20"/>
          <w:szCs w:val="20"/>
        </w:rPr>
        <w:t xml:space="preserve"> reinsurers was $4.1 billion. Management determined the fair values the of the GMIB features presented as embedded derivatives using a discounted cash flow valuation technique that incorporates significant unobservable inputs with respect to (i) non-perfor</w:t>
      </w:r>
      <w:r>
        <w:rPr>
          <w:rFonts w:eastAsia="Times New Roman"/>
          <w:color w:val="000000"/>
          <w:sz w:val="20"/>
          <w:szCs w:val="20"/>
        </w:rPr>
        <w:t>mance risk, lapse rates, withdrawal rates, annuitization rates, and mortality rates for future policy benefits and other policyholders’ liabilities, and (ii) non-performance risk, lapse rates, withdrawal rates, utilization rates, volatility rates, and mort</w:t>
      </w:r>
      <w:r>
        <w:rPr>
          <w:rFonts w:eastAsia="Times New Roman"/>
          <w:color w:val="000000"/>
          <w:sz w:val="20"/>
          <w:szCs w:val="20"/>
        </w:rPr>
        <w:t xml:space="preserve">ality rates for the GMIB reinsurance contract asset, at fair value and the amounts due from reinsurers. </w:t>
      </w:r>
    </w:p>
    <w:p w:rsidR="00000000" w:rsidRDefault="00E54EC0">
      <w:pPr>
        <w:divId w:val="1671522831"/>
        <w:rPr>
          <w:rFonts w:eastAsia="Times New Roman"/>
        </w:rPr>
      </w:pPr>
      <w:r>
        <w:rPr>
          <w:rFonts w:eastAsia="Times New Roman"/>
          <w:color w:val="000000"/>
          <w:sz w:val="20"/>
          <w:szCs w:val="20"/>
        </w:rPr>
        <w:t>The principal considerations for our determination that performing procedures relating to the valuation of GMIB features accounted for as derivatives a</w:t>
      </w:r>
      <w:r>
        <w:rPr>
          <w:rFonts w:eastAsia="Times New Roman"/>
          <w:color w:val="000000"/>
          <w:sz w:val="20"/>
          <w:szCs w:val="20"/>
        </w:rPr>
        <w:t xml:space="preserve">nd included within future policy benefits and other policyholders’ liabilities, GMIB reinsurance contract asset, at fair value, and amounts due from reinsurers is a critical audit matter are (i) the </w:t>
      </w:r>
    </w:p>
    <w:p w:rsidR="00000000" w:rsidRDefault="00E54EC0">
      <w:pPr>
        <w:jc w:val="center"/>
        <w:divId w:val="1703507050"/>
        <w:rPr>
          <w:rFonts w:eastAsia="Times New Roman"/>
        </w:rPr>
      </w:pPr>
      <w:r>
        <w:rPr>
          <w:rFonts w:eastAsia="Times New Roman"/>
          <w:color w:val="000000"/>
          <w:sz w:val="20"/>
          <w:szCs w:val="20"/>
        </w:rPr>
        <w:t>128</w:t>
      </w:r>
    </w:p>
    <w:p w:rsidR="00000000" w:rsidRDefault="00E54EC0">
      <w:pPr>
        <w:rPr>
          <w:rFonts w:eastAsia="Times New Roman"/>
        </w:rPr>
      </w:pPr>
      <w:r>
        <w:rPr>
          <w:rFonts w:eastAsia="Times New Roman"/>
        </w:rPr>
        <w:pict>
          <v:rect id="_x0000_i1166" style="width:0;height:1.5pt" o:hralign="center" o:hrstd="t" o:hr="t" fillcolor="#a0a0a0" stroked="f"/>
        </w:pict>
      </w:r>
    </w:p>
    <w:p w:rsidR="00000000" w:rsidRDefault="00E54EC0">
      <w:pPr>
        <w:divId w:val="1051154733"/>
        <w:rPr>
          <w:rFonts w:eastAsia="Times New Roman"/>
        </w:rPr>
      </w:pPr>
      <w:r>
        <w:rPr>
          <w:rFonts w:eastAsia="Times New Roman"/>
          <w:b/>
          <w:bCs/>
          <w:color w:val="0000FF"/>
          <w:sz w:val="20"/>
          <w:szCs w:val="20"/>
          <w:u w:val="single"/>
        </w:rPr>
        <w:t>Table of Content</w:t>
      </w:r>
      <w:r>
        <w:rPr>
          <w:rFonts w:eastAsia="Times New Roman"/>
          <w:b/>
          <w:bCs/>
          <w:color w:val="0000FF"/>
          <w:sz w:val="20"/>
          <w:szCs w:val="20"/>
          <w:u w:val="single"/>
        </w:rPr>
        <w:t>s</w:t>
      </w:r>
    </w:p>
    <w:p w:rsidR="00000000" w:rsidRDefault="00E54EC0">
      <w:pPr>
        <w:divId w:val="2008164940"/>
        <w:rPr>
          <w:rFonts w:eastAsia="Times New Roman"/>
        </w:rPr>
      </w:pPr>
      <w:r>
        <w:rPr>
          <w:rFonts w:eastAsia="Times New Roman"/>
          <w:color w:val="000000"/>
          <w:sz w:val="20"/>
          <w:szCs w:val="20"/>
        </w:rPr>
        <w:t>significant judgment by management when determining the fair values of the GMIB features accounted for as derivatives, (ii) a high degree of auditor judgment, subjectivity, and effort in performing procedures and evaluating audit evidence relating to the</w:t>
      </w:r>
      <w:r>
        <w:rPr>
          <w:rFonts w:eastAsia="Times New Roman"/>
          <w:color w:val="000000"/>
          <w:sz w:val="20"/>
          <w:szCs w:val="20"/>
        </w:rPr>
        <w:t xml:space="preserve"> valuation technique and significant unobservable inputs with related to non-performance risk, lapse rates, withdrawal rates, annuitization rates, and mortality rates for the reinsurance contract asset and the amounts due from reinsurers, and non-performan</w:t>
      </w:r>
      <w:r>
        <w:rPr>
          <w:rFonts w:eastAsia="Times New Roman"/>
          <w:color w:val="000000"/>
          <w:sz w:val="20"/>
          <w:szCs w:val="20"/>
        </w:rPr>
        <w:t>ce risk, lapse rates, withdrawal rates, annuitization rates and mortality rates for future policyholders’ liabilities (collectively referred to as “the significant unobservable inputs”), and (iii) the audit effort involved the use of professionals with spe</w:t>
      </w:r>
      <w:r>
        <w:rPr>
          <w:rFonts w:eastAsia="Times New Roman"/>
          <w:color w:val="000000"/>
          <w:sz w:val="20"/>
          <w:szCs w:val="20"/>
        </w:rPr>
        <w:t xml:space="preserve">cialized skill and knowledge. </w:t>
      </w:r>
    </w:p>
    <w:p w:rsidR="00000000" w:rsidRDefault="00E54EC0">
      <w:pPr>
        <w:divId w:val="959921046"/>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procedures included testing the effectiveness o</w:t>
      </w:r>
      <w:r>
        <w:rPr>
          <w:rFonts w:eastAsia="Times New Roman"/>
          <w:color w:val="000000"/>
          <w:sz w:val="20"/>
          <w:szCs w:val="20"/>
        </w:rPr>
        <w:t>f controls relating to determining the fair value of the GMIB features accounted for as derivatives included within future policy benefits and other policyholders’ liabilities, GMIB reinsurance contract asset, at fair value, and amounts due from reinsurers</w:t>
      </w:r>
      <w:r>
        <w:rPr>
          <w:rFonts w:eastAsia="Times New Roman"/>
          <w:color w:val="000000"/>
          <w:sz w:val="20"/>
          <w:szCs w:val="20"/>
        </w:rPr>
        <w:t>, including controls over the valuation technique and determination of significant unobservable inputs. These procedures also included, among others, testing management’s process for determining the fair value of the GMIB features accounted for as derivati</w:t>
      </w:r>
      <w:r>
        <w:rPr>
          <w:rFonts w:eastAsia="Times New Roman"/>
          <w:color w:val="000000"/>
          <w:sz w:val="20"/>
          <w:szCs w:val="20"/>
        </w:rPr>
        <w:t>ves, which included (i) testing the completeness and accuracy of the historical data used by management to develop and update the significant unobservable inputs, (ii) testing that significant unobservable inputs are accurately reflected in the relevant va</w:t>
      </w:r>
      <w:r>
        <w:rPr>
          <w:rFonts w:eastAsia="Times New Roman"/>
          <w:color w:val="000000"/>
          <w:sz w:val="20"/>
          <w:szCs w:val="20"/>
        </w:rPr>
        <w:t>luation technique, and (iii) the use of professionals with specialized skill and knowledge to assist in evaluating the appropriateness of the valuation technique and the reasonableness of the significant unobservable inputs based on consideration of the Co</w:t>
      </w:r>
      <w:r>
        <w:rPr>
          <w:rFonts w:eastAsia="Times New Roman"/>
          <w:color w:val="000000"/>
          <w:sz w:val="20"/>
          <w:szCs w:val="20"/>
        </w:rPr>
        <w:t>mpany’s experience, industry trends, and market conditions, as applicable.</w:t>
      </w:r>
    </w:p>
    <w:p w:rsidR="00000000" w:rsidRDefault="00E54EC0">
      <w:pPr>
        <w:divId w:val="1940721587"/>
        <w:rPr>
          <w:rFonts w:eastAsia="Times New Roman"/>
        </w:rPr>
      </w:pPr>
    </w:p>
    <w:p w:rsidR="00000000" w:rsidRDefault="00E54EC0">
      <w:pPr>
        <w:divId w:val="1335961494"/>
        <w:rPr>
          <w:rFonts w:eastAsia="Times New Roman"/>
        </w:rPr>
      </w:pPr>
      <w:r>
        <w:rPr>
          <w:rFonts w:eastAsia="Times New Roman"/>
          <w:color w:val="000000"/>
          <w:sz w:val="20"/>
          <w:szCs w:val="20"/>
        </w:rPr>
        <w:t xml:space="preserve">/s/ PricewaterhouseCoopers LLP </w:t>
      </w:r>
    </w:p>
    <w:p w:rsidR="00000000" w:rsidRDefault="00E54EC0">
      <w:pPr>
        <w:divId w:val="804395572"/>
        <w:rPr>
          <w:rFonts w:eastAsia="Times New Roman"/>
        </w:rPr>
      </w:pPr>
      <w:r>
        <w:rPr>
          <w:rFonts w:eastAsia="Times New Roman"/>
          <w:color w:val="000000"/>
          <w:sz w:val="20"/>
          <w:szCs w:val="20"/>
        </w:rPr>
        <w:t>New York, New York</w:t>
      </w:r>
    </w:p>
    <w:p w:rsidR="00000000" w:rsidRDefault="00E54EC0">
      <w:pPr>
        <w:divId w:val="1350913260"/>
        <w:rPr>
          <w:rFonts w:eastAsia="Times New Roman"/>
        </w:rPr>
      </w:pPr>
      <w:r>
        <w:rPr>
          <w:rFonts w:eastAsia="Times New Roman"/>
          <w:color w:val="000000"/>
          <w:sz w:val="20"/>
          <w:szCs w:val="20"/>
        </w:rPr>
        <w:t>February 21, 2023</w:t>
      </w:r>
    </w:p>
    <w:p w:rsidR="00000000" w:rsidRDefault="00E54EC0">
      <w:pPr>
        <w:divId w:val="145702992"/>
        <w:rPr>
          <w:rFonts w:eastAsia="Times New Roman"/>
        </w:rPr>
      </w:pPr>
      <w:r>
        <w:rPr>
          <w:rFonts w:eastAsia="Times New Roman"/>
          <w:color w:val="000000"/>
          <w:sz w:val="20"/>
          <w:szCs w:val="20"/>
        </w:rPr>
        <w:t>We have served as the Company’s auditor since 1993.</w:t>
      </w:r>
    </w:p>
    <w:p w:rsidR="00000000" w:rsidRDefault="00E54EC0">
      <w:pPr>
        <w:divId w:val="1690908525"/>
        <w:rPr>
          <w:rFonts w:eastAsia="Times New Roman"/>
        </w:rPr>
      </w:pPr>
    </w:p>
    <w:p w:rsidR="00000000" w:rsidRDefault="00E54EC0">
      <w:pPr>
        <w:divId w:val="1885407866"/>
        <w:rPr>
          <w:rFonts w:eastAsia="Times New Roman"/>
        </w:rPr>
      </w:pPr>
    </w:p>
    <w:p w:rsidR="00000000" w:rsidRDefault="00E54EC0">
      <w:pPr>
        <w:jc w:val="center"/>
        <w:divId w:val="1751393238"/>
        <w:rPr>
          <w:rFonts w:eastAsia="Times New Roman"/>
        </w:rPr>
      </w:pPr>
      <w:r>
        <w:rPr>
          <w:rFonts w:eastAsia="Times New Roman"/>
          <w:color w:val="000000"/>
          <w:sz w:val="20"/>
          <w:szCs w:val="20"/>
        </w:rPr>
        <w:t>129</w:t>
      </w:r>
    </w:p>
    <w:p w:rsidR="00000000" w:rsidRDefault="00E54EC0">
      <w:pPr>
        <w:rPr>
          <w:rFonts w:eastAsia="Times New Roman"/>
        </w:rPr>
      </w:pPr>
      <w:r>
        <w:rPr>
          <w:rFonts w:eastAsia="Times New Roman"/>
        </w:rPr>
        <w:pict>
          <v:rect id="_x0000_i1167" style="width:0;height:1.5pt" o:hralign="center" o:hrstd="t" o:hr="t" fillcolor="#a0a0a0" stroked="f"/>
        </w:pict>
      </w:r>
    </w:p>
    <w:p w:rsidR="00000000" w:rsidRDefault="00E54EC0">
      <w:pPr>
        <w:jc w:val="center"/>
        <w:divId w:val="1625961718"/>
        <w:rPr>
          <w:rFonts w:eastAsia="Times New Roman"/>
        </w:rPr>
      </w:pPr>
      <w:r>
        <w:rPr>
          <w:rFonts w:eastAsia="Times New Roman"/>
          <w:b/>
          <w:bCs/>
          <w:color w:val="000000"/>
          <w:sz w:val="20"/>
          <w:szCs w:val="20"/>
        </w:rPr>
        <w:t>EQUITABLE HOLDINGS, INC.</w:t>
      </w:r>
    </w:p>
    <w:p w:rsidR="00000000" w:rsidRDefault="00E54EC0">
      <w:pPr>
        <w:jc w:val="center"/>
        <w:divId w:val="1625961718"/>
        <w:rPr>
          <w:rFonts w:eastAsia="Times New Roman"/>
        </w:rPr>
      </w:pPr>
      <w:r>
        <w:rPr>
          <w:rFonts w:eastAsia="Times New Roman"/>
          <w:b/>
          <w:bCs/>
          <w:color w:val="000000"/>
          <w:sz w:val="20"/>
          <w:szCs w:val="20"/>
        </w:rPr>
        <w:t>Consolidated Balance Sheets</w:t>
      </w:r>
    </w:p>
    <w:p w:rsidR="00000000" w:rsidRDefault="00E54EC0">
      <w:pPr>
        <w:jc w:val="center"/>
        <w:divId w:val="1625961718"/>
        <w:rPr>
          <w:rFonts w:eastAsia="Times New Roman"/>
        </w:rPr>
      </w:pPr>
      <w:r>
        <w:rPr>
          <w:rFonts w:eastAsia="Times New Roman"/>
          <w:b/>
          <w:bCs/>
          <w:color w:val="000000"/>
          <w:sz w:val="20"/>
          <w:szCs w:val="20"/>
        </w:rPr>
        <w:t xml:space="preserve">December 31, 2022 and 2021 </w:t>
      </w:r>
    </w:p>
    <w:tbl>
      <w:tblPr>
        <w:tblW w:w="4994" w:type="pct"/>
        <w:tblCellMar>
          <w:top w:w="15" w:type="dxa"/>
          <w:left w:w="15" w:type="dxa"/>
          <w:bottom w:w="15" w:type="dxa"/>
          <w:right w:w="15" w:type="dxa"/>
        </w:tblCellMar>
        <w:tblLook w:val="04A0" w:firstRow="1" w:lastRow="0" w:firstColumn="1" w:lastColumn="0" w:noHBand="0" w:noVBand="1"/>
      </w:tblPr>
      <w:tblGrid>
        <w:gridCol w:w="40"/>
        <w:gridCol w:w="5837"/>
        <w:gridCol w:w="38"/>
        <w:gridCol w:w="120"/>
        <w:gridCol w:w="1018"/>
        <w:gridCol w:w="36"/>
        <w:gridCol w:w="36"/>
        <w:gridCol w:w="36"/>
        <w:gridCol w:w="36"/>
        <w:gridCol w:w="120"/>
        <w:gridCol w:w="943"/>
        <w:gridCol w:w="36"/>
      </w:tblGrid>
      <w:tr w:rsidR="00000000">
        <w:tc>
          <w:tcPr>
            <w:tcW w:w="50" w:type="pct"/>
            <w:vAlign w:val="center"/>
            <w:hideMark/>
          </w:tcPr>
          <w:p w:rsidR="00000000" w:rsidRDefault="00E54EC0">
            <w:pPr>
              <w:jc w:val="center"/>
              <w:rPr>
                <w:rFonts w:eastAsia="Times New Roman"/>
              </w:rPr>
            </w:pPr>
          </w:p>
        </w:tc>
        <w:tc>
          <w:tcPr>
            <w:tcW w:w="354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1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share data)</w:t>
            </w:r>
          </w:p>
        </w:tc>
      </w:tr>
      <w:tr w:rsidR="00000000">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divId w:val="1692760121"/>
              <w:rPr>
                <w:rFonts w:eastAsia="Times New Roman"/>
              </w:rPr>
            </w:pPr>
            <w:r>
              <w:rPr>
                <w:rFonts w:eastAsia="Times New Roman"/>
                <w:color w:val="000000"/>
                <w:sz w:val="20"/>
                <w:szCs w:val="20"/>
              </w:rPr>
              <w:t>Fixed maturities available-for-sale, at fair value (amortized cost of $72,991 and $73,429) (allowance for credit losses of $24 and $22)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78,216 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divId w:val="1637375500"/>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divId w:val="551696009"/>
              <w:rPr>
                <w:rFonts w:eastAsia="Times New Roman"/>
              </w:rPr>
            </w:pPr>
            <w:r>
              <w:rPr>
                <w:rFonts w:eastAsia="Times New Roman"/>
                <w:color w:val="000000"/>
                <w:sz w:val="20"/>
                <w:szCs w:val="20"/>
              </w:rPr>
              <w:t>Mortgage loans on real estate (net of allowance for credit losses of $129 and $62)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93,097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5,188 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5,491 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divId w:val="1299340686"/>
              <w:rPr>
                <w:rFonts w:eastAsia="Times New Roman"/>
              </w:rPr>
            </w:pPr>
            <w:r>
              <w:rPr>
                <w:rFonts w:eastAsia="Times New Roman"/>
                <w:color w:val="000000"/>
                <w:sz w:val="20"/>
                <w:szCs w:val="20"/>
              </w:rPr>
              <w:t>Amounts due from reinsurers (allowance for credit losses of $10 and $5) (includes amounts accounted for at fair value of $4,114 and $5,813)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Assets held-for-sale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 assets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114,853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147,306 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253,468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83,855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79,357 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36,717 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1,283 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Customer related payables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Short-term debt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Liabilities held-for-sale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114,853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147,306 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249,615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278,699 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Redeemable noncontrolling interest (1)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Commitments and contingent liabilities (4)</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divId w:val="1200167997"/>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divId w:val="1857186787"/>
              <w:rPr>
                <w:rFonts w:eastAsia="Times New Roman"/>
              </w:rPr>
            </w:pPr>
            <w:r>
              <w:rPr>
                <w:rFonts w:eastAsia="Times New Roman"/>
                <w:color w:val="000000"/>
                <w:sz w:val="20"/>
                <w:szCs w:val="20"/>
              </w:rPr>
              <w:t xml:space="preserve">Common stock, $0.01 par value, 2,000,000,000 shares authorized; 508,418,442 and </w:t>
            </w:r>
            <w:r>
              <w:rPr>
                <w:rFonts w:eastAsia="Times New Roman"/>
                <w:color w:val="000000"/>
                <w:sz w:val="20"/>
                <w:szCs w:val="20"/>
              </w:rPr>
              <w:t>520,918,331 shares issued, respectively; 365,081,940 and 391,290,224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divId w:val="182786414"/>
              <w:rPr>
                <w:rFonts w:eastAsia="Times New Roman"/>
              </w:rPr>
            </w:pPr>
            <w:r>
              <w:rPr>
                <w:rFonts w:eastAsia="Times New Roman"/>
                <w:color w:val="000000"/>
                <w:sz w:val="20"/>
                <w:szCs w:val="20"/>
              </w:rPr>
              <w:t xml:space="preserve">Treasury stock, at cost, 143,336,502 and 129,628,107 </w:t>
            </w:r>
            <w:r>
              <w:rPr>
                <w:rFonts w:eastAsia="Times New Roman"/>
                <w:color w:val="000000"/>
                <w:sz w:val="20"/>
                <w:szCs w:val="20"/>
              </w:rPr>
              <w:t>shares, respectively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8,880 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(8,834)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3,398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253,468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066613429"/>
        <w:rPr>
          <w:rFonts w:eastAsia="Times New Roman"/>
        </w:rPr>
      </w:pPr>
      <w:r>
        <w:rPr>
          <w:rFonts w:eastAsia="Times New Roman"/>
          <w:color w:val="000000"/>
          <w:sz w:val="20"/>
          <w:szCs w:val="20"/>
        </w:rPr>
        <w:t>____________</w:t>
      </w:r>
    </w:p>
    <w:p w:rsidR="00000000" w:rsidRDefault="00E54EC0">
      <w:pPr>
        <w:ind w:hanging="360"/>
        <w:divId w:val="1018199892"/>
        <w:rPr>
          <w:rFonts w:eastAsia="Times New Roman"/>
        </w:rPr>
      </w:pPr>
      <w:r>
        <w:rPr>
          <w:rFonts w:eastAsia="Times New Roman"/>
          <w:color w:val="000000"/>
          <w:sz w:val="18"/>
          <w:szCs w:val="18"/>
        </w:rPr>
        <w:t>(1) See Note 2 of the Notes to these Consolidated Financial Statements for details of balances with VIEs.</w:t>
      </w:r>
    </w:p>
    <w:p w:rsidR="00000000" w:rsidRDefault="00E54EC0">
      <w:pPr>
        <w:ind w:hanging="360"/>
        <w:divId w:val="1601989462"/>
        <w:rPr>
          <w:rFonts w:eastAsia="Times New Roman"/>
        </w:rPr>
      </w:pPr>
      <w:r>
        <w:rPr>
          <w:rFonts w:eastAsia="Times New Roman"/>
          <w:color w:val="000000"/>
          <w:sz w:val="18"/>
          <w:szCs w:val="18"/>
        </w:rPr>
        <w:t xml:space="preserve">(2) </w:t>
      </w:r>
      <w:r>
        <w:rPr>
          <w:rFonts w:eastAsia="Times New Roman"/>
          <w:color w:val="000000"/>
          <w:sz w:val="18"/>
          <w:szCs w:val="18"/>
        </w:rPr>
        <w:t>See Note 22 of the Notes to these Consolidated Financial Statements for details of redeemable noncontrolling interest.</w:t>
      </w:r>
    </w:p>
    <w:p w:rsidR="00000000" w:rsidRDefault="00E54EC0">
      <w:pPr>
        <w:ind w:hanging="360"/>
        <w:divId w:val="1839273636"/>
        <w:rPr>
          <w:rFonts w:eastAsia="Times New Roman"/>
        </w:rPr>
      </w:pPr>
      <w:r>
        <w:rPr>
          <w:rFonts w:eastAsia="Times New Roman"/>
          <w:color w:val="000000"/>
          <w:sz w:val="18"/>
          <w:szCs w:val="18"/>
        </w:rPr>
        <w:t xml:space="preserve">(3) Represents the fair value of the ceded reserves to Venerable. See Note 1 of the Notes to these Consolidated Financial Statements for </w:t>
      </w:r>
      <w:r>
        <w:rPr>
          <w:rFonts w:eastAsia="Times New Roman"/>
          <w:color w:val="000000"/>
          <w:sz w:val="18"/>
          <w:szCs w:val="18"/>
        </w:rPr>
        <w:t>details of the Venerable Transaction and Note 8 of the Notes to these Consolidated Financial Statements.</w:t>
      </w:r>
    </w:p>
    <w:p w:rsidR="00000000" w:rsidRDefault="00E54EC0">
      <w:pPr>
        <w:ind w:hanging="360"/>
        <w:divId w:val="846596435"/>
        <w:rPr>
          <w:rFonts w:eastAsia="Times New Roman"/>
        </w:rPr>
      </w:pPr>
      <w:r>
        <w:rPr>
          <w:rFonts w:eastAsia="Times New Roman"/>
          <w:color w:val="000000"/>
          <w:sz w:val="18"/>
          <w:szCs w:val="18"/>
        </w:rPr>
        <w:t>(4) See Note 17 of the Notes to these Consolidated Financial Statements for details of commitments and contingent liabilities.</w:t>
      </w:r>
    </w:p>
    <w:p w:rsidR="00000000" w:rsidRDefault="00E54EC0">
      <w:pPr>
        <w:jc w:val="center"/>
        <w:rPr>
          <w:rFonts w:eastAsia="Times New Roman"/>
        </w:rPr>
      </w:pPr>
      <w:r>
        <w:rPr>
          <w:rFonts w:eastAsia="Times New Roman"/>
          <w:color w:val="000000"/>
          <w:sz w:val="20"/>
          <w:szCs w:val="20"/>
        </w:rPr>
        <w:t>See Notes to Consolidate</w:t>
      </w:r>
      <w:r>
        <w:rPr>
          <w:rFonts w:eastAsia="Times New Roman"/>
          <w:color w:val="000000"/>
          <w:sz w:val="20"/>
          <w:szCs w:val="20"/>
        </w:rPr>
        <w:t>d Financial Statements.</w:t>
      </w:r>
    </w:p>
    <w:p w:rsidR="00000000" w:rsidRDefault="00E54EC0">
      <w:pPr>
        <w:jc w:val="center"/>
        <w:divId w:val="1177427229"/>
        <w:rPr>
          <w:rFonts w:eastAsia="Times New Roman"/>
        </w:rPr>
      </w:pPr>
      <w:r>
        <w:rPr>
          <w:rFonts w:eastAsia="Times New Roman"/>
          <w:color w:val="000000"/>
          <w:sz w:val="20"/>
          <w:szCs w:val="20"/>
        </w:rPr>
        <w:t>130</w:t>
      </w:r>
    </w:p>
    <w:p w:rsidR="00000000" w:rsidRDefault="00E54EC0">
      <w:pPr>
        <w:rPr>
          <w:rFonts w:eastAsia="Times New Roman"/>
        </w:rPr>
      </w:pPr>
      <w:r>
        <w:rPr>
          <w:rFonts w:eastAsia="Times New Roman"/>
        </w:rPr>
        <w:pict>
          <v:rect id="_x0000_i1168" style="width:0;height:1.5pt" o:hralign="center" o:hrstd="t" o:hr="t" fillcolor="#a0a0a0" stroked="f"/>
        </w:pict>
      </w:r>
    </w:p>
    <w:p w:rsidR="00000000" w:rsidRDefault="00E54EC0">
      <w:pPr>
        <w:jc w:val="center"/>
        <w:divId w:val="1404986884"/>
        <w:rPr>
          <w:rFonts w:eastAsia="Times New Roman"/>
        </w:rPr>
      </w:pPr>
      <w:r>
        <w:rPr>
          <w:rFonts w:eastAsia="Times New Roman"/>
          <w:b/>
          <w:bCs/>
          <w:color w:val="000000"/>
          <w:sz w:val="20"/>
          <w:szCs w:val="20"/>
        </w:rPr>
        <w:t>EQUITABLE HOLDINGS, INC.</w:t>
      </w:r>
    </w:p>
    <w:p w:rsidR="00000000" w:rsidRDefault="00E54EC0">
      <w:pPr>
        <w:jc w:val="center"/>
        <w:divId w:val="1404986884"/>
        <w:rPr>
          <w:rFonts w:eastAsia="Times New Roman"/>
        </w:rPr>
      </w:pPr>
      <w:r>
        <w:rPr>
          <w:rFonts w:eastAsia="Times New Roman"/>
          <w:b/>
          <w:bCs/>
          <w:color w:val="000000"/>
          <w:sz w:val="20"/>
          <w:szCs w:val="20"/>
        </w:rPr>
        <w:t>Consolidated Statements of Income (Loss)</w:t>
      </w:r>
    </w:p>
    <w:p w:rsidR="00000000" w:rsidRDefault="00E54EC0">
      <w:pPr>
        <w:jc w:val="center"/>
        <w:divId w:val="1404986884"/>
        <w:rPr>
          <w:rFonts w:eastAsia="Times New Roman"/>
        </w:rPr>
      </w:pPr>
      <w:r>
        <w:rPr>
          <w:rFonts w:eastAsia="Times New Roman"/>
          <w:b/>
          <w:bCs/>
          <w:color w:val="000000"/>
          <w:sz w:val="20"/>
          <w:szCs w:val="20"/>
        </w:rPr>
        <w:t>Years Ended December 31, 2022, 2021 and 2020</w:t>
      </w:r>
    </w:p>
    <w:p w:rsidR="00000000" w:rsidRDefault="00E54EC0">
      <w:pPr>
        <w:divId w:val="14817297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79"/>
        <w:gridCol w:w="37"/>
        <w:gridCol w:w="36"/>
        <w:gridCol w:w="36"/>
        <w:gridCol w:w="36"/>
        <w:gridCol w:w="36"/>
        <w:gridCol w:w="120"/>
        <w:gridCol w:w="768"/>
        <w:gridCol w:w="36"/>
        <w:gridCol w:w="36"/>
        <w:gridCol w:w="36"/>
        <w:gridCol w:w="36"/>
        <w:gridCol w:w="120"/>
        <w:gridCol w:w="728"/>
        <w:gridCol w:w="36"/>
        <w:gridCol w:w="36"/>
        <w:gridCol w:w="36"/>
        <w:gridCol w:w="36"/>
        <w:gridCol w:w="120"/>
        <w:gridCol w:w="728"/>
        <w:gridCol w:w="36"/>
      </w:tblGrid>
      <w:tr w:rsidR="00000000">
        <w:trPr>
          <w:divId w:val="1490903863"/>
        </w:trPr>
        <w:tc>
          <w:tcPr>
            <w:tcW w:w="50" w:type="pct"/>
            <w:vAlign w:val="center"/>
            <w:hideMark/>
          </w:tcPr>
          <w:p w:rsidR="00000000" w:rsidRDefault="00E54EC0">
            <w:pPr>
              <w:rPr>
                <w:rFonts w:eastAsia="Times New Roman"/>
              </w:rPr>
            </w:pPr>
          </w:p>
        </w:tc>
        <w:tc>
          <w:tcPr>
            <w:tcW w:w="32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49090386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per share data)</w:t>
            </w:r>
          </w:p>
        </w:tc>
      </w:tr>
      <w:tr w:rsidR="00000000">
        <w:trPr>
          <w:divId w:val="1490903863"/>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and fee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(4,465)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Credit and intent to sell losses on available for sale debt securities and loans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51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Height w:val="24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3,218 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and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2,360 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 (expense) benefit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Less: Preferred stock dividends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Height w:val="24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Basic</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(1.24)</w:t>
            </w:r>
          </w:p>
        </w:tc>
        <w:tc>
          <w:tcPr>
            <w:tcW w:w="0" w:type="auto"/>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(1.56)</w:t>
            </w:r>
          </w:p>
        </w:tc>
        <w:tc>
          <w:tcPr>
            <w:tcW w:w="0" w:type="auto"/>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90903863"/>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Basic</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90903863"/>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379.9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549293223"/>
        <w:rPr>
          <w:rFonts w:eastAsia="Times New Roman"/>
        </w:rPr>
      </w:pPr>
    </w:p>
    <w:p w:rsidR="00000000" w:rsidRDefault="00E54EC0">
      <w:pPr>
        <w:jc w:val="center"/>
        <w:rPr>
          <w:rFonts w:eastAsia="Times New Roman"/>
        </w:rPr>
      </w:pPr>
    </w:p>
    <w:p w:rsidR="00000000" w:rsidRDefault="00E54EC0">
      <w:pPr>
        <w:jc w:val="center"/>
        <w:rPr>
          <w:rFonts w:eastAsia="Times New Roman"/>
        </w:rPr>
      </w:pPr>
      <w:r>
        <w:rPr>
          <w:rFonts w:eastAsia="Times New Roman"/>
          <w:color w:val="000000"/>
          <w:sz w:val="20"/>
          <w:szCs w:val="20"/>
        </w:rPr>
        <w:t>See Notes to Consolidated Financial Statements.</w:t>
      </w:r>
    </w:p>
    <w:p w:rsidR="00000000" w:rsidRDefault="00E54EC0">
      <w:pPr>
        <w:jc w:val="center"/>
        <w:divId w:val="1913079913"/>
        <w:rPr>
          <w:rFonts w:eastAsia="Times New Roman"/>
        </w:rPr>
      </w:pPr>
      <w:r>
        <w:rPr>
          <w:rFonts w:eastAsia="Times New Roman"/>
          <w:color w:val="000000"/>
          <w:sz w:val="20"/>
          <w:szCs w:val="20"/>
        </w:rPr>
        <w:t>131</w:t>
      </w:r>
    </w:p>
    <w:p w:rsidR="00000000" w:rsidRDefault="00E54EC0">
      <w:pPr>
        <w:rPr>
          <w:rFonts w:eastAsia="Times New Roman"/>
        </w:rPr>
      </w:pPr>
      <w:r>
        <w:rPr>
          <w:rFonts w:eastAsia="Times New Roman"/>
        </w:rPr>
        <w:pict>
          <v:rect id="_x0000_i1169" style="width:0;height:1.5pt" o:hralign="center" o:hrstd="t" o:hr="t" fillcolor="#a0a0a0" stroked="f"/>
        </w:pict>
      </w:r>
    </w:p>
    <w:p w:rsidR="00000000" w:rsidRDefault="00E54EC0">
      <w:pPr>
        <w:divId w:val="1016618006"/>
        <w:rPr>
          <w:rFonts w:eastAsia="Times New Roman"/>
        </w:rPr>
      </w:pPr>
    </w:p>
    <w:p w:rsidR="00000000" w:rsidRDefault="00E54EC0">
      <w:pPr>
        <w:jc w:val="center"/>
        <w:divId w:val="1429352838"/>
        <w:rPr>
          <w:rFonts w:eastAsia="Times New Roman"/>
        </w:rPr>
      </w:pPr>
      <w:r>
        <w:rPr>
          <w:rFonts w:eastAsia="Times New Roman"/>
          <w:b/>
          <w:bCs/>
          <w:color w:val="000000"/>
          <w:sz w:val="20"/>
          <w:szCs w:val="20"/>
        </w:rPr>
        <w:t>EQUITABLE HOLDINGS, INC.</w:t>
      </w:r>
    </w:p>
    <w:p w:rsidR="00000000" w:rsidRDefault="00E54EC0">
      <w:pPr>
        <w:jc w:val="center"/>
        <w:divId w:val="1429352838"/>
        <w:rPr>
          <w:rFonts w:eastAsia="Times New Roman"/>
        </w:rPr>
      </w:pPr>
      <w:r>
        <w:rPr>
          <w:rFonts w:eastAsia="Times New Roman"/>
          <w:b/>
          <w:bCs/>
          <w:color w:val="000000"/>
          <w:sz w:val="20"/>
          <w:szCs w:val="20"/>
        </w:rPr>
        <w:t>Consolidated Statements of Comprehensive Income (Loss)</w:t>
      </w:r>
    </w:p>
    <w:p w:rsidR="00000000" w:rsidRDefault="00E54EC0">
      <w:pPr>
        <w:jc w:val="center"/>
        <w:divId w:val="1429352838"/>
        <w:rPr>
          <w:rFonts w:eastAsia="Times New Roman"/>
        </w:rPr>
      </w:pPr>
      <w:r>
        <w:rPr>
          <w:rFonts w:eastAsia="Times New Roman"/>
          <w:b/>
          <w:bCs/>
          <w:color w:val="000000"/>
          <w:sz w:val="20"/>
          <w:szCs w:val="20"/>
        </w:rPr>
        <w:t xml:space="preserve">Years Ended December 31, 2022, 2021 and 2020 </w:t>
      </w:r>
    </w:p>
    <w:p w:rsidR="00000000" w:rsidRDefault="00E54E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324"/>
        <w:gridCol w:w="36"/>
        <w:gridCol w:w="36"/>
        <w:gridCol w:w="36"/>
        <w:gridCol w:w="36"/>
        <w:gridCol w:w="36"/>
        <w:gridCol w:w="120"/>
        <w:gridCol w:w="723"/>
        <w:gridCol w:w="36"/>
        <w:gridCol w:w="36"/>
        <w:gridCol w:w="36"/>
        <w:gridCol w:w="36"/>
        <w:gridCol w:w="120"/>
        <w:gridCol w:w="679"/>
        <w:gridCol w:w="36"/>
        <w:gridCol w:w="36"/>
        <w:gridCol w:w="36"/>
        <w:gridCol w:w="36"/>
        <w:gridCol w:w="120"/>
        <w:gridCol w:w="679"/>
        <w:gridCol w:w="36"/>
      </w:tblGrid>
      <w:tr w:rsidR="00000000">
        <w:trPr>
          <w:divId w:val="1413238897"/>
        </w:trPr>
        <w:tc>
          <w:tcPr>
            <w:tcW w:w="50" w:type="pct"/>
            <w:vAlign w:val="center"/>
            <w:hideMark/>
          </w:tcPr>
          <w:p w:rsidR="00000000" w:rsidRDefault="00E54EC0">
            <w:pPr>
              <w:jc w:val="center"/>
              <w:rPr>
                <w:rFonts w:eastAsia="Times New Roman"/>
              </w:rPr>
            </w:pPr>
          </w:p>
        </w:tc>
        <w:tc>
          <w:tcPr>
            <w:tcW w:w="32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1323889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1323889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41323889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413238897"/>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COMPREHENSIVE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1323889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comprehensive income (loss) net of income taxes: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13238897"/>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(losses), net of reclassification adjustment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(10,826)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Comprehensive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323889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Comprehensive income (loss) attributable to Holdings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rPr>
          <w:rFonts w:eastAsia="Times New Roman"/>
        </w:rPr>
      </w:pPr>
    </w:p>
    <w:p w:rsidR="00000000" w:rsidRDefault="00E54EC0">
      <w:pPr>
        <w:jc w:val="center"/>
        <w:rPr>
          <w:rFonts w:eastAsia="Times New Roman"/>
        </w:rPr>
      </w:pPr>
      <w:r>
        <w:rPr>
          <w:rFonts w:eastAsia="Times New Roman"/>
          <w:color w:val="000000"/>
          <w:sz w:val="20"/>
          <w:szCs w:val="20"/>
        </w:rPr>
        <w:t>See Notes to Consolidated Financial Statements.</w:t>
      </w:r>
    </w:p>
    <w:p w:rsidR="00000000" w:rsidRDefault="00E54EC0">
      <w:pPr>
        <w:jc w:val="center"/>
        <w:divId w:val="739522362"/>
        <w:rPr>
          <w:rFonts w:eastAsia="Times New Roman"/>
        </w:rPr>
      </w:pPr>
      <w:r>
        <w:rPr>
          <w:rFonts w:eastAsia="Times New Roman"/>
          <w:color w:val="000000"/>
          <w:sz w:val="20"/>
          <w:szCs w:val="20"/>
        </w:rPr>
        <w:t>132</w:t>
      </w:r>
    </w:p>
    <w:p w:rsidR="00000000" w:rsidRDefault="00E54EC0">
      <w:pPr>
        <w:rPr>
          <w:rFonts w:eastAsia="Times New Roman"/>
        </w:rPr>
      </w:pPr>
      <w:r>
        <w:rPr>
          <w:rFonts w:eastAsia="Times New Roman"/>
        </w:rPr>
        <w:pict>
          <v:rect id="_x0000_i1170" style="width:0;height:1.5pt" o:hralign="center" o:hrstd="t" o:hr="t" fillcolor="#a0a0a0" stroked="f"/>
        </w:pict>
      </w:r>
    </w:p>
    <w:p w:rsidR="00000000" w:rsidRDefault="00E54EC0">
      <w:pPr>
        <w:jc w:val="center"/>
        <w:divId w:val="592206600"/>
        <w:rPr>
          <w:rFonts w:eastAsia="Times New Roman"/>
        </w:rPr>
      </w:pPr>
      <w:r>
        <w:rPr>
          <w:rFonts w:eastAsia="Times New Roman"/>
          <w:b/>
          <w:bCs/>
          <w:color w:val="000000"/>
          <w:sz w:val="20"/>
          <w:szCs w:val="20"/>
        </w:rPr>
        <w:t xml:space="preserve">EQUITABLE HOLDINGS, INC. </w:t>
      </w:r>
    </w:p>
    <w:p w:rsidR="00000000" w:rsidRDefault="00E54EC0">
      <w:pPr>
        <w:jc w:val="center"/>
        <w:divId w:val="592206600"/>
        <w:rPr>
          <w:rFonts w:eastAsia="Times New Roman"/>
        </w:rPr>
      </w:pPr>
      <w:r>
        <w:rPr>
          <w:rFonts w:eastAsia="Times New Roman"/>
          <w:b/>
          <w:bCs/>
          <w:color w:val="000000"/>
          <w:sz w:val="20"/>
          <w:szCs w:val="20"/>
        </w:rPr>
        <w:t>Consolidated Statements of Equity</w:t>
      </w:r>
    </w:p>
    <w:p w:rsidR="00000000" w:rsidRDefault="00E54EC0">
      <w:pPr>
        <w:jc w:val="center"/>
        <w:divId w:val="592206600"/>
        <w:rPr>
          <w:rFonts w:eastAsia="Times New Roman"/>
        </w:rPr>
      </w:pPr>
      <w:r>
        <w:rPr>
          <w:rFonts w:eastAsia="Times New Roman"/>
          <w:b/>
          <w:bCs/>
          <w:color w:val="000000"/>
          <w:sz w:val="20"/>
          <w:szCs w:val="20"/>
        </w:rPr>
        <w:t>Years Ended December 31, 2022, 2021 and 2020</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trPr>
          <w:jc w:val="center"/>
        </w:trPr>
        <w:tc>
          <w:tcPr>
            <w:tcW w:w="50" w:type="pct"/>
            <w:vAlign w:val="center"/>
            <w:hideMark/>
          </w:tcPr>
          <w:p w:rsidR="00000000" w:rsidRDefault="00E54EC0">
            <w:pPr>
              <w:jc w:val="center"/>
              <w:rPr>
                <w:rFonts w:eastAsia="Times New Roman"/>
              </w:rPr>
            </w:pPr>
          </w:p>
        </w:tc>
        <w:tc>
          <w:tcPr>
            <w:tcW w:w="126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Year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4"/>
                <w:szCs w:val="14"/>
              </w:rPr>
              <w:t>(in millions)</w:t>
            </w: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4"/>
                <w:szCs w:val="14"/>
              </w:rPr>
              <w:t>January 1, 2022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1,919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(2,850)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8,880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2,004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11,519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13,095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125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199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324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(815)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b/>
                <w:bCs/>
                <w:color w:val="000000"/>
                <w:sz w:val="14"/>
                <w:szCs w:val="14"/>
              </w:rPr>
              <w:t>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330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(330)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(401)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(401)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Issuance of AB Units for CarVal acquisition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314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314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275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589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704398479"/>
              <w:rPr>
                <w:rFonts w:eastAsia="Times New Roman"/>
              </w:rPr>
            </w:pPr>
            <w:r>
              <w:rPr>
                <w:rFonts w:eastAsia="Times New Roman"/>
                <w:color w:val="000000"/>
                <w:sz w:val="14"/>
                <w:szCs w:val="14"/>
              </w:rPr>
              <w:t>Dividends on common stock (cash dividends declared per common share of $0.78)</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(294)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(294)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(294)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1,785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1,785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2,085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b/>
                <w:bCs/>
                <w:color w:val="000000"/>
                <w:sz w:val="14"/>
                <w:szCs w:val="14"/>
              </w:rPr>
              <w:t>10,838)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(10,838)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(10,854)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4"/>
                <w:szCs w:val="14"/>
              </w:rPr>
              <w:t>December 31,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2,299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(3,297)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9,924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(8,834)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1,658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1,740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4"/>
                <w:szCs w:val="14"/>
              </w:rPr>
              <w:t>3,398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506672287"/>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043"/>
        <w:gridCol w:w="38"/>
        <w:gridCol w:w="90"/>
        <w:gridCol w:w="500"/>
        <w:gridCol w:w="36"/>
        <w:gridCol w:w="36"/>
        <w:gridCol w:w="36"/>
        <w:gridCol w:w="36"/>
        <w:gridCol w:w="90"/>
        <w:gridCol w:w="378"/>
        <w:gridCol w:w="36"/>
        <w:gridCol w:w="36"/>
        <w:gridCol w:w="36"/>
        <w:gridCol w:w="36"/>
        <w:gridCol w:w="90"/>
        <w:gridCol w:w="453"/>
        <w:gridCol w:w="36"/>
        <w:gridCol w:w="36"/>
        <w:gridCol w:w="36"/>
        <w:gridCol w:w="36"/>
        <w:gridCol w:w="90"/>
        <w:gridCol w:w="409"/>
        <w:gridCol w:w="36"/>
        <w:gridCol w:w="36"/>
        <w:gridCol w:w="36"/>
        <w:gridCol w:w="36"/>
        <w:gridCol w:w="90"/>
        <w:gridCol w:w="420"/>
        <w:gridCol w:w="36"/>
        <w:gridCol w:w="36"/>
        <w:gridCol w:w="36"/>
        <w:gridCol w:w="36"/>
        <w:gridCol w:w="90"/>
        <w:gridCol w:w="626"/>
        <w:gridCol w:w="36"/>
        <w:gridCol w:w="36"/>
        <w:gridCol w:w="36"/>
        <w:gridCol w:w="36"/>
        <w:gridCol w:w="90"/>
        <w:gridCol w:w="453"/>
        <w:gridCol w:w="36"/>
        <w:gridCol w:w="36"/>
        <w:gridCol w:w="36"/>
        <w:gridCol w:w="36"/>
        <w:gridCol w:w="90"/>
        <w:gridCol w:w="467"/>
        <w:gridCol w:w="36"/>
        <w:gridCol w:w="36"/>
        <w:gridCol w:w="36"/>
        <w:gridCol w:w="36"/>
        <w:gridCol w:w="90"/>
        <w:gridCol w:w="480"/>
        <w:gridCol w:w="36"/>
      </w:tblGrid>
      <w:tr w:rsidR="00000000">
        <w:trPr>
          <w:divId w:val="506672287"/>
          <w:jc w:val="center"/>
        </w:trPr>
        <w:tc>
          <w:tcPr>
            <w:tcW w:w="50" w:type="pct"/>
            <w:vAlign w:val="center"/>
            <w:hideMark/>
          </w:tcPr>
          <w:p w:rsidR="00000000" w:rsidRDefault="00E54EC0">
            <w:pPr>
              <w:jc w:val="center"/>
              <w:rPr>
                <w:rFonts w:eastAsia="Times New Roman"/>
              </w:rPr>
            </w:pPr>
          </w:p>
        </w:tc>
        <w:tc>
          <w:tcPr>
            <w:tcW w:w="12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1,269 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1,985 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10,699 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3,863 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15,576 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1,601 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17,177 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6672287"/>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66 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286 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(1,610)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(1,638)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(1,638)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954 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(954)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(262)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(262)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(393)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(393)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948586664"/>
              <w:rPr>
                <w:rFonts w:eastAsia="Times New Roman"/>
              </w:rPr>
            </w:pPr>
            <w:r>
              <w:rPr>
                <w:rFonts w:eastAsia="Times New Roman"/>
                <w:color w:val="000000"/>
                <w:sz w:val="14"/>
                <w:szCs w:val="14"/>
              </w:rPr>
              <w:t>Dividends on common stock (cash dividends declared per common share of $0.71)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(79)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(79)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(79)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(1,858)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50667228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(2,850)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8,880 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2,004 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11,519 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13,095 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2043"/>
        <w:gridCol w:w="39"/>
        <w:gridCol w:w="90"/>
        <w:gridCol w:w="498"/>
        <w:gridCol w:w="36"/>
        <w:gridCol w:w="36"/>
        <w:gridCol w:w="36"/>
        <w:gridCol w:w="36"/>
        <w:gridCol w:w="90"/>
        <w:gridCol w:w="377"/>
        <w:gridCol w:w="36"/>
        <w:gridCol w:w="36"/>
        <w:gridCol w:w="36"/>
        <w:gridCol w:w="36"/>
        <w:gridCol w:w="90"/>
        <w:gridCol w:w="451"/>
        <w:gridCol w:w="36"/>
        <w:gridCol w:w="36"/>
        <w:gridCol w:w="36"/>
        <w:gridCol w:w="36"/>
        <w:gridCol w:w="90"/>
        <w:gridCol w:w="409"/>
        <w:gridCol w:w="36"/>
        <w:gridCol w:w="36"/>
        <w:gridCol w:w="36"/>
        <w:gridCol w:w="36"/>
        <w:gridCol w:w="90"/>
        <w:gridCol w:w="420"/>
        <w:gridCol w:w="36"/>
        <w:gridCol w:w="36"/>
        <w:gridCol w:w="36"/>
        <w:gridCol w:w="36"/>
        <w:gridCol w:w="90"/>
        <w:gridCol w:w="622"/>
        <w:gridCol w:w="36"/>
        <w:gridCol w:w="36"/>
        <w:gridCol w:w="36"/>
        <w:gridCol w:w="36"/>
        <w:gridCol w:w="90"/>
        <w:gridCol w:w="451"/>
        <w:gridCol w:w="36"/>
        <w:gridCol w:w="36"/>
        <w:gridCol w:w="36"/>
        <w:gridCol w:w="36"/>
        <w:gridCol w:w="90"/>
        <w:gridCol w:w="465"/>
        <w:gridCol w:w="36"/>
        <w:gridCol w:w="36"/>
        <w:gridCol w:w="36"/>
        <w:gridCol w:w="36"/>
        <w:gridCol w:w="90"/>
        <w:gridCol w:w="420"/>
        <w:gridCol w:w="36"/>
      </w:tblGrid>
      <w:tr w:rsidR="00000000">
        <w:trPr>
          <w:divId w:val="1632862159"/>
          <w:jc w:val="center"/>
        </w:trPr>
        <w:tc>
          <w:tcPr>
            <w:tcW w:w="50" w:type="pct"/>
            <w:vAlign w:val="center"/>
            <w:hideMark/>
          </w:tcPr>
          <w:p w:rsidR="00000000" w:rsidRDefault="00E54EC0">
            <w:pPr>
              <w:jc w:val="center"/>
              <w:rPr>
                <w:rFonts w:eastAsia="Times New Roman"/>
              </w:rPr>
            </w:pPr>
          </w:p>
        </w:tc>
        <w:tc>
          <w:tcPr>
            <w:tcW w:w="126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6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January 1, 2020</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775 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1,920 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(1,832)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11,744 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844 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13,456 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15,047 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Cumulative effect of adoption of ASU 2016-03, Current Expected Credit Los</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69 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32862159"/>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(101)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571772847"/>
              <w:rPr>
                <w:rFonts w:eastAsia="Times New Roman"/>
              </w:rPr>
            </w:pPr>
            <w:r>
              <w:rPr>
                <w:rFonts w:eastAsia="Times New Roman"/>
                <w:color w:val="000000"/>
                <w:sz w:val="14"/>
                <w:szCs w:val="14"/>
              </w:rPr>
              <w:t>Dividends on common stock (cash dividends declared per common share of $0.66)</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(648)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(648)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3,026 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63286215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4"/>
                <w:szCs w:val="14"/>
              </w:rPr>
              <w:t>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(2,245)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10,699 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3,863 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15,576 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14"/>
                <w:szCs w:val="14"/>
              </w:rPr>
              <w:t>17,177 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rPr>
          <w:rFonts w:eastAsia="Times New Roman"/>
        </w:rPr>
      </w:pPr>
    </w:p>
    <w:p w:rsidR="00000000" w:rsidRDefault="00E54EC0">
      <w:pPr>
        <w:divId w:val="1386221371"/>
        <w:rPr>
          <w:rFonts w:eastAsia="Times New Roman"/>
        </w:rPr>
      </w:pPr>
    </w:p>
    <w:p w:rsidR="00000000" w:rsidRDefault="00E54EC0">
      <w:pPr>
        <w:jc w:val="center"/>
        <w:rPr>
          <w:rFonts w:eastAsia="Times New Roman"/>
        </w:rPr>
      </w:pPr>
      <w:r>
        <w:rPr>
          <w:rFonts w:eastAsia="Times New Roman"/>
          <w:color w:val="000000"/>
          <w:sz w:val="20"/>
          <w:szCs w:val="20"/>
        </w:rPr>
        <w:t xml:space="preserve">See Notes to Consolidated Financial </w:t>
      </w:r>
      <w:r>
        <w:rPr>
          <w:rFonts w:eastAsia="Times New Roman"/>
          <w:color w:val="000000"/>
          <w:sz w:val="20"/>
          <w:szCs w:val="20"/>
        </w:rPr>
        <w:t>Statements.</w:t>
      </w:r>
    </w:p>
    <w:p w:rsidR="00000000" w:rsidRDefault="00E54EC0">
      <w:pPr>
        <w:jc w:val="center"/>
        <w:divId w:val="1659841922"/>
        <w:rPr>
          <w:rFonts w:eastAsia="Times New Roman"/>
        </w:rPr>
      </w:pPr>
      <w:r>
        <w:rPr>
          <w:rFonts w:eastAsia="Times New Roman"/>
          <w:color w:val="000000"/>
          <w:sz w:val="20"/>
          <w:szCs w:val="20"/>
        </w:rPr>
        <w:t>133</w:t>
      </w:r>
    </w:p>
    <w:p w:rsidR="00000000" w:rsidRDefault="00E54EC0">
      <w:pPr>
        <w:rPr>
          <w:rFonts w:eastAsia="Times New Roman"/>
        </w:rPr>
      </w:pPr>
      <w:r>
        <w:rPr>
          <w:rFonts w:eastAsia="Times New Roman"/>
        </w:rPr>
        <w:pict>
          <v:rect id="_x0000_i1171" style="width:0;height:1.5pt" o:hralign="center" o:hrstd="t" o:hr="t" fillcolor="#a0a0a0" stroked="f"/>
        </w:pict>
      </w:r>
    </w:p>
    <w:p w:rsidR="00000000" w:rsidRDefault="00E54EC0">
      <w:pPr>
        <w:jc w:val="center"/>
        <w:divId w:val="760179163"/>
        <w:rPr>
          <w:rFonts w:eastAsia="Times New Roman"/>
        </w:rPr>
      </w:pPr>
      <w:r>
        <w:rPr>
          <w:rFonts w:eastAsia="Times New Roman"/>
          <w:b/>
          <w:bCs/>
          <w:color w:val="000000"/>
          <w:sz w:val="20"/>
          <w:szCs w:val="20"/>
        </w:rPr>
        <w:t>EQUITABLE HOLDINGS, INC.</w:t>
      </w:r>
    </w:p>
    <w:p w:rsidR="00000000" w:rsidRDefault="00E54EC0">
      <w:pPr>
        <w:jc w:val="center"/>
        <w:divId w:val="532964255"/>
        <w:rPr>
          <w:rFonts w:eastAsia="Times New Roman"/>
        </w:rPr>
      </w:pPr>
      <w:r>
        <w:rPr>
          <w:rFonts w:eastAsia="Times New Roman"/>
          <w:b/>
          <w:bCs/>
          <w:color w:val="000000"/>
          <w:sz w:val="20"/>
          <w:szCs w:val="20"/>
        </w:rPr>
        <w:t>Consolidated Statements of Cash Flows</w:t>
      </w:r>
    </w:p>
    <w:p w:rsidR="00000000" w:rsidRDefault="00E54EC0">
      <w:pPr>
        <w:jc w:val="center"/>
        <w:divId w:val="532964255"/>
        <w:rPr>
          <w:rFonts w:eastAsia="Times New Roman"/>
        </w:rPr>
      </w:pPr>
      <w:r>
        <w:rPr>
          <w:rFonts w:eastAsia="Times New Roman"/>
          <w:b/>
          <w:bCs/>
          <w:color w:val="000000"/>
          <w:sz w:val="20"/>
          <w:szCs w:val="20"/>
        </w:rPr>
        <w:t>Years Ended December 31, 2022, 2021 and 2020</w:t>
      </w:r>
    </w:p>
    <w:p w:rsidR="00000000" w:rsidRDefault="00E54EC0">
      <w:pPr>
        <w:jc w:val="center"/>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1"/>
        <w:gridCol w:w="5704"/>
        <w:gridCol w:w="40"/>
        <w:gridCol w:w="120"/>
        <w:gridCol w:w="600"/>
        <w:gridCol w:w="36"/>
        <w:gridCol w:w="36"/>
        <w:gridCol w:w="36"/>
        <w:gridCol w:w="36"/>
        <w:gridCol w:w="120"/>
        <w:gridCol w:w="600"/>
        <w:gridCol w:w="36"/>
        <w:gridCol w:w="36"/>
        <w:gridCol w:w="36"/>
        <w:gridCol w:w="36"/>
        <w:gridCol w:w="120"/>
        <w:gridCol w:w="600"/>
        <w:gridCol w:w="36"/>
      </w:tblGrid>
      <w:tr w:rsidR="00000000">
        <w:trPr>
          <w:divId w:val="1425498154"/>
        </w:trPr>
        <w:tc>
          <w:tcPr>
            <w:tcW w:w="50" w:type="pct"/>
            <w:vAlign w:val="center"/>
            <w:hideMark/>
          </w:tcPr>
          <w:p w:rsidR="00000000" w:rsidRDefault="00E54EC0">
            <w:pPr>
              <w:jc w:val="center"/>
              <w:rPr>
                <w:rFonts w:eastAsia="Times New Roman"/>
              </w:rPr>
            </w:pPr>
          </w:p>
        </w:tc>
        <w:tc>
          <w:tcPr>
            <w:tcW w:w="37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42549815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42549815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425498154"/>
        </w:trPr>
        <w:tc>
          <w:tcPr>
            <w:tcW w:w="0" w:type="auto"/>
            <w:gridSpan w:val="3"/>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E54EC0">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CCEEFF"/>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(3,637)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Credit and intent to sell losses on available for 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(Gains) losses on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Non-cash long-term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0" w:type="dxa"/>
              <w:bottom w:w="30" w:type="dxa"/>
              <w:right w:w="155" w:type="dxa"/>
            </w:tcMar>
            <w:hideMark/>
          </w:tcPr>
          <w:p w:rsidR="00000000" w:rsidRDefault="00E54EC0">
            <w:pPr>
              <w:spacing w:after="100"/>
              <w:jc w:val="both"/>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FFFF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Reinsurance recoverable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(1,106)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20" w:type="dxa"/>
              <w:bottom w:w="30" w:type="dxa"/>
              <w:right w:w="380" w:type="dxa"/>
            </w:tcMar>
            <w:hideMark/>
          </w:tcPr>
          <w:p w:rsidR="00000000" w:rsidRDefault="00E54EC0">
            <w:pPr>
              <w:spacing w:after="100"/>
              <w:jc w:val="both"/>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20" w:type="dxa"/>
              <w:bottom w:w="30" w:type="dxa"/>
              <w:right w:w="155" w:type="dxa"/>
            </w:tcMar>
            <w:hideMark/>
          </w:tcPr>
          <w:p w:rsidR="00000000" w:rsidRDefault="00E54EC0">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CCEEFF"/>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15,547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34,434 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18,986 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5,159 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Real estate joint ventures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(18,502)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(43,344)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(28,197)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(1,792)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(3,683)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(1,747)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Purchase of business, net of cash acquired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from the sale of business, net of cash sold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settlements related to derivative instruments,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25498154"/>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jc w:val="center"/>
        <w:divId w:val="1583372357"/>
        <w:rPr>
          <w:rFonts w:eastAsia="Times New Roman"/>
        </w:rPr>
      </w:pPr>
    </w:p>
    <w:p w:rsidR="00000000" w:rsidRDefault="00E54EC0">
      <w:pPr>
        <w:jc w:val="center"/>
        <w:divId w:val="1583372357"/>
        <w:rPr>
          <w:rFonts w:eastAsia="Times New Roman"/>
        </w:rPr>
      </w:pPr>
    </w:p>
    <w:p w:rsidR="00000000" w:rsidRDefault="00E54EC0">
      <w:pPr>
        <w:jc w:val="center"/>
        <w:divId w:val="1583372357"/>
        <w:rPr>
          <w:rFonts w:eastAsia="Times New Roman"/>
        </w:rPr>
      </w:pPr>
    </w:p>
    <w:p w:rsidR="00000000" w:rsidRDefault="00E54EC0">
      <w:pPr>
        <w:jc w:val="center"/>
        <w:divId w:val="1583372357"/>
        <w:rPr>
          <w:rFonts w:eastAsia="Times New Roman"/>
        </w:rPr>
      </w:pPr>
      <w:r>
        <w:rPr>
          <w:rFonts w:eastAsia="Times New Roman"/>
          <w:color w:val="000000"/>
          <w:sz w:val="20"/>
          <w:szCs w:val="20"/>
        </w:rPr>
        <w:t>See Notes to Consolidated Financial Statements.</w:t>
      </w:r>
    </w:p>
    <w:p w:rsidR="00000000" w:rsidRDefault="00E54EC0">
      <w:pPr>
        <w:jc w:val="center"/>
        <w:divId w:val="1583372357"/>
        <w:rPr>
          <w:rFonts w:eastAsia="Times New Roman"/>
        </w:rPr>
      </w:pPr>
      <w:r>
        <w:rPr>
          <w:rFonts w:eastAsia="Times New Roman"/>
          <w:color w:val="000000"/>
          <w:sz w:val="20"/>
          <w:szCs w:val="20"/>
        </w:rPr>
        <w:t>134</w:t>
      </w:r>
    </w:p>
    <w:p w:rsidR="00000000" w:rsidRDefault="00E54EC0">
      <w:pPr>
        <w:rPr>
          <w:rFonts w:eastAsia="Times New Roman"/>
        </w:rPr>
      </w:pPr>
      <w:r>
        <w:rPr>
          <w:rFonts w:eastAsia="Times New Roman"/>
        </w:rPr>
        <w:pict>
          <v:rect id="_x0000_i1172" style="width:0;height:1.5pt" o:hralign="center" o:hrstd="t" o:hr="t" fillcolor="#a0a0a0" stroked="f"/>
        </w:pict>
      </w:r>
    </w:p>
    <w:p w:rsidR="00000000" w:rsidRDefault="00E54EC0">
      <w:pPr>
        <w:jc w:val="center"/>
        <w:divId w:val="962730701"/>
        <w:rPr>
          <w:rFonts w:eastAsia="Times New Roman"/>
        </w:rPr>
      </w:pPr>
      <w:r>
        <w:rPr>
          <w:rFonts w:eastAsia="Times New Roman"/>
          <w:b/>
          <w:bCs/>
          <w:color w:val="000000"/>
          <w:sz w:val="20"/>
          <w:szCs w:val="20"/>
        </w:rPr>
        <w:t>EQUITABLE HOLDINGS, INC.</w:t>
      </w:r>
    </w:p>
    <w:p w:rsidR="00000000" w:rsidRDefault="00E54EC0">
      <w:pPr>
        <w:jc w:val="center"/>
        <w:divId w:val="1010764855"/>
        <w:rPr>
          <w:rFonts w:eastAsia="Times New Roman"/>
        </w:rPr>
      </w:pPr>
      <w:r>
        <w:rPr>
          <w:rFonts w:eastAsia="Times New Roman"/>
          <w:b/>
          <w:bCs/>
          <w:color w:val="000000"/>
          <w:sz w:val="20"/>
          <w:szCs w:val="20"/>
        </w:rPr>
        <w:t>Consolidated Statements of Cash Flows</w:t>
      </w:r>
    </w:p>
    <w:p w:rsidR="00000000" w:rsidRDefault="00E54EC0">
      <w:pPr>
        <w:jc w:val="center"/>
        <w:divId w:val="1010764855"/>
        <w:rPr>
          <w:rFonts w:eastAsia="Times New Roman"/>
        </w:rPr>
      </w:pPr>
      <w:r>
        <w:rPr>
          <w:rFonts w:eastAsia="Times New Roman"/>
          <w:b/>
          <w:bCs/>
          <w:color w:val="000000"/>
          <w:sz w:val="20"/>
          <w:szCs w:val="20"/>
        </w:rPr>
        <w:t>Years Ended December 31, 2022, 2021 and 2020</w:t>
      </w:r>
    </w:p>
    <w:tbl>
      <w:tblPr>
        <w:tblW w:w="4978" w:type="pct"/>
        <w:tblCellMar>
          <w:top w:w="15" w:type="dxa"/>
          <w:left w:w="15" w:type="dxa"/>
          <w:bottom w:w="15" w:type="dxa"/>
          <w:right w:w="15" w:type="dxa"/>
        </w:tblCellMar>
        <w:tblLook w:val="04A0" w:firstRow="1" w:lastRow="0" w:firstColumn="1" w:lastColumn="0" w:noHBand="0" w:noVBand="1"/>
      </w:tblPr>
      <w:tblGrid>
        <w:gridCol w:w="38"/>
        <w:gridCol w:w="5642"/>
        <w:gridCol w:w="37"/>
        <w:gridCol w:w="120"/>
        <w:gridCol w:w="600"/>
        <w:gridCol w:w="36"/>
        <w:gridCol w:w="36"/>
        <w:gridCol w:w="36"/>
        <w:gridCol w:w="36"/>
        <w:gridCol w:w="120"/>
        <w:gridCol w:w="684"/>
        <w:gridCol w:w="36"/>
        <w:gridCol w:w="36"/>
        <w:gridCol w:w="36"/>
        <w:gridCol w:w="36"/>
        <w:gridCol w:w="120"/>
        <w:gridCol w:w="584"/>
        <w:gridCol w:w="36"/>
      </w:tblGrid>
      <w:tr w:rsidR="00000000">
        <w:trPr>
          <w:divId w:val="1553728782"/>
        </w:trPr>
        <w:tc>
          <w:tcPr>
            <w:tcW w:w="50" w:type="pct"/>
            <w:vAlign w:val="center"/>
            <w:hideMark/>
          </w:tcPr>
          <w:p w:rsidR="00000000" w:rsidRDefault="00E54EC0">
            <w:pPr>
              <w:jc w:val="center"/>
              <w:rPr>
                <w:rFonts w:eastAsia="Times New Roman"/>
              </w:rPr>
            </w:pPr>
          </w:p>
        </w:tc>
        <w:tc>
          <w:tcPr>
            <w:tcW w:w="37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55372878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55372878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17,521 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(6,962)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(7,069)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(4,332)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2,452 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Repayment of acquisition-related debt obligation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4,405 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Supplemental cash flow information:</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paid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taxes (refunded) paid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173)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Transfer of assets to reinsurer</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(2,762)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(9,023)</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53728782"/>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53728782"/>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1940598344"/>
        <w:rPr>
          <w:rFonts w:eastAsia="Times New Roman"/>
        </w:rPr>
      </w:pPr>
      <w:r>
        <w:rPr>
          <w:rFonts w:eastAsia="Times New Roman"/>
          <w:color w:val="000000"/>
          <w:sz w:val="18"/>
          <w:szCs w:val="18"/>
        </w:rPr>
        <w:t>_______________</w:t>
      </w:r>
    </w:p>
    <w:p w:rsidR="00000000" w:rsidRDefault="00E54EC0">
      <w:pPr>
        <w:ind w:hanging="360"/>
        <w:divId w:val="555817389"/>
        <w:rPr>
          <w:rFonts w:eastAsia="Times New Roman"/>
        </w:rPr>
      </w:pPr>
      <w:r>
        <w:rPr>
          <w:rFonts w:eastAsia="Times New Roman"/>
          <w:color w:val="000000"/>
          <w:sz w:val="18"/>
          <w:szCs w:val="18"/>
        </w:rPr>
        <w:t>(1)Amount includes cash paid for Global Atlantic Transaction in 2022 of $7 million and for Venerable Transaction in 2021 of $494 million. See Note 1 of the Notes to these Consolidated</w:t>
      </w:r>
      <w:r>
        <w:rPr>
          <w:rFonts w:eastAsia="Times New Roman"/>
          <w:color w:val="000000"/>
          <w:sz w:val="18"/>
          <w:szCs w:val="18"/>
        </w:rPr>
        <w:t xml:space="preserve"> Financial Statements.</w:t>
      </w:r>
    </w:p>
    <w:p w:rsidR="00000000" w:rsidRDefault="00E54EC0">
      <w:pPr>
        <w:jc w:val="center"/>
        <w:divId w:val="356395515"/>
        <w:rPr>
          <w:rFonts w:eastAsia="Times New Roman"/>
        </w:rPr>
      </w:pPr>
    </w:p>
    <w:p w:rsidR="00000000" w:rsidRDefault="00E54EC0">
      <w:pPr>
        <w:jc w:val="center"/>
        <w:divId w:val="356395515"/>
        <w:rPr>
          <w:rFonts w:eastAsia="Times New Roman"/>
        </w:rPr>
      </w:pPr>
    </w:p>
    <w:p w:rsidR="00000000" w:rsidRDefault="00E54EC0">
      <w:pPr>
        <w:jc w:val="center"/>
        <w:divId w:val="356395515"/>
        <w:rPr>
          <w:rFonts w:eastAsia="Times New Roman"/>
        </w:rPr>
      </w:pPr>
    </w:p>
    <w:p w:rsidR="00000000" w:rsidRDefault="00E54EC0">
      <w:pPr>
        <w:jc w:val="center"/>
        <w:divId w:val="356395515"/>
        <w:rPr>
          <w:rFonts w:eastAsia="Times New Roman"/>
        </w:rPr>
      </w:pPr>
      <w:r>
        <w:rPr>
          <w:rFonts w:eastAsia="Times New Roman"/>
          <w:color w:val="000000"/>
          <w:sz w:val="20"/>
          <w:szCs w:val="20"/>
        </w:rPr>
        <w:t>See Notes to Consolidated Financial Statements.</w:t>
      </w:r>
    </w:p>
    <w:p w:rsidR="00000000" w:rsidRDefault="00E54EC0">
      <w:pPr>
        <w:jc w:val="center"/>
        <w:divId w:val="356395515"/>
        <w:rPr>
          <w:rFonts w:eastAsia="Times New Roman"/>
        </w:rPr>
      </w:pPr>
      <w:r>
        <w:rPr>
          <w:rFonts w:eastAsia="Times New Roman"/>
          <w:color w:val="000000"/>
          <w:sz w:val="20"/>
          <w:szCs w:val="20"/>
        </w:rPr>
        <w:t>135</w:t>
      </w:r>
    </w:p>
    <w:p w:rsidR="00000000" w:rsidRDefault="00E54EC0">
      <w:pPr>
        <w:rPr>
          <w:rFonts w:eastAsia="Times New Roman"/>
        </w:rPr>
      </w:pPr>
      <w:r>
        <w:rPr>
          <w:rFonts w:eastAsia="Times New Roman"/>
        </w:rPr>
        <w:pict>
          <v:rect id="_x0000_i1173" style="width:0;height:1.5pt" o:hralign="center" o:hrstd="t" o:hr="t" fillcolor="#a0a0a0" stroked="f"/>
        </w:pict>
      </w:r>
    </w:p>
    <w:p w:rsidR="00000000" w:rsidRDefault="00E54EC0">
      <w:pPr>
        <w:divId w:val="1411927154"/>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231234409"/>
        <w:rPr>
          <w:rFonts w:eastAsia="Times New Roman"/>
        </w:rPr>
      </w:pPr>
      <w:r>
        <w:rPr>
          <w:rFonts w:eastAsia="Times New Roman"/>
          <w:b/>
          <w:bCs/>
          <w:color w:val="000000"/>
          <w:sz w:val="20"/>
          <w:szCs w:val="20"/>
        </w:rPr>
        <w:t>EQUITABLE HOLDINGS, INC.</w:t>
      </w:r>
    </w:p>
    <w:p w:rsidR="00000000" w:rsidRDefault="00E54EC0">
      <w:pPr>
        <w:jc w:val="center"/>
        <w:divId w:val="1231234409"/>
        <w:rPr>
          <w:rFonts w:eastAsia="Times New Roman"/>
        </w:rPr>
      </w:pPr>
      <w:r>
        <w:rPr>
          <w:rFonts w:eastAsia="Times New Roman"/>
          <w:b/>
          <w:bCs/>
          <w:color w:val="000000"/>
          <w:sz w:val="20"/>
          <w:szCs w:val="20"/>
        </w:rPr>
        <w:t>Notes to Consolidated Financial Statements</w:t>
      </w:r>
    </w:p>
    <w:p w:rsidR="00000000" w:rsidRDefault="00E54EC0">
      <w:pPr>
        <w:divId w:val="850726444"/>
        <w:rPr>
          <w:rFonts w:eastAsia="Times New Roman"/>
        </w:rPr>
      </w:pPr>
    </w:p>
    <w:p w:rsidR="00000000" w:rsidRDefault="00E54EC0">
      <w:pPr>
        <w:divId w:val="1274823077"/>
        <w:rPr>
          <w:rFonts w:eastAsia="Times New Roman"/>
        </w:rPr>
      </w:pPr>
      <w:r>
        <w:rPr>
          <w:rFonts w:eastAsia="Times New Roman"/>
          <w:b/>
          <w:bCs/>
          <w:color w:val="000000"/>
          <w:sz w:val="20"/>
          <w:szCs w:val="20"/>
        </w:rPr>
        <w:t xml:space="preserve">1)    ORGANIZATION </w:t>
      </w:r>
    </w:p>
    <w:p w:rsidR="00000000" w:rsidRDefault="00E54EC0">
      <w:pPr>
        <w:divId w:val="2066636123"/>
        <w:rPr>
          <w:rFonts w:eastAsia="Times New Roman"/>
        </w:rPr>
      </w:pPr>
      <w:r>
        <w:rPr>
          <w:rFonts w:eastAsia="Times New Roman"/>
          <w:color w:val="000000"/>
          <w:sz w:val="20"/>
          <w:szCs w:val="20"/>
        </w:rPr>
        <w:t xml:space="preserve">Equitable Holdings, Inc. is the holding company for a diversified financial services organization. The Company conducts operations in four segments: Individual Retirement, Group Retirement, Investment Management and Research, and Protection Solutions. The </w:t>
      </w:r>
      <w:r>
        <w:rPr>
          <w:rFonts w:eastAsia="Times New Roman"/>
          <w:color w:val="000000"/>
          <w:sz w:val="20"/>
          <w:szCs w:val="20"/>
        </w:rPr>
        <w:t xml:space="preserve">Company’s management evaluates the performance of each of these segments independently. </w:t>
      </w:r>
    </w:p>
    <w:p w:rsidR="00000000" w:rsidRDefault="00E54EC0">
      <w:pPr>
        <w:ind w:hanging="360"/>
        <w:jc w:val="both"/>
        <w:divId w:val="183986128"/>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w:t>
      </w:r>
      <w:r>
        <w:rPr>
          <w:rFonts w:eastAsia="Times New Roman"/>
          <w:color w:val="000000"/>
          <w:sz w:val="20"/>
          <w:szCs w:val="20"/>
        </w:rPr>
        <w:t>etirement or seeking retirement income.</w:t>
      </w:r>
    </w:p>
    <w:p w:rsidR="00000000" w:rsidRDefault="00E54EC0">
      <w:pPr>
        <w:ind w:hanging="360"/>
        <w:jc w:val="both"/>
        <w:divId w:val="864172629"/>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w:t>
      </w:r>
      <w:r>
        <w:rPr>
          <w:rFonts w:eastAsia="Times New Roman"/>
          <w:color w:val="000000"/>
          <w:sz w:val="20"/>
          <w:szCs w:val="20"/>
        </w:rPr>
        <w:t>ed businesses.</w:t>
      </w:r>
    </w:p>
    <w:p w:rsidR="00000000" w:rsidRDefault="00E54EC0">
      <w:pPr>
        <w:ind w:hanging="360"/>
        <w:jc w:val="both"/>
        <w:divId w:val="1582791873"/>
        <w:rPr>
          <w:rFonts w:eastAsia="Times New Roman"/>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 a</w:t>
      </w:r>
      <w:r>
        <w:rPr>
          <w:rFonts w:eastAsia="Times New Roman"/>
          <w:color w:val="000000"/>
          <w:sz w:val="20"/>
          <w:szCs w:val="20"/>
        </w:rPr>
        <w:t>nd distributes its institutional research products and solutions through Bernstein Research Services. The Investment Management and Research segment reflects the business of AB Holding and ABLP and their subsidiaries (collectively, AB).</w:t>
      </w:r>
    </w:p>
    <w:p w:rsidR="00000000" w:rsidRDefault="00E54EC0">
      <w:pPr>
        <w:ind w:hanging="360"/>
        <w:divId w:val="731462339"/>
        <w:rPr>
          <w:rFonts w:eastAsia="Times New Roman"/>
        </w:rPr>
      </w:pPr>
      <w:r>
        <w:rPr>
          <w:rFonts w:eastAsia="Times New Roman"/>
          <w:color w:val="000000"/>
          <w:sz w:val="20"/>
          <w:szCs w:val="20"/>
        </w:rPr>
        <w:t>•The Protection Sol</w:t>
      </w:r>
      <w:r>
        <w:rPr>
          <w:rFonts w:eastAsia="Times New Roman"/>
          <w:color w:val="000000"/>
          <w:sz w:val="20"/>
          <w:szCs w:val="20"/>
        </w:rPr>
        <w:t>utions segment includes the Company’s life insurance and group employee benefits businesses. The life insurance business offers a variety of VUL, IUL and term life products to help affluent and high net worth individuals, as well as small and medium-sized </w:t>
      </w:r>
      <w:r>
        <w:rPr>
          <w:rFonts w:eastAsia="Times New Roman"/>
          <w:color w:val="000000"/>
          <w:sz w:val="20"/>
          <w:szCs w:val="20"/>
        </w:rPr>
        <w:t>business owners, with their wealth protection, wealth transfer and corporate needs. Our group employee benefits business offers a suite of life, short- and long-term disability, dental and vision insurance products to small and medium-size businesses acros</w:t>
      </w:r>
      <w:r>
        <w:rPr>
          <w:rFonts w:eastAsia="Times New Roman"/>
          <w:color w:val="000000"/>
          <w:sz w:val="20"/>
          <w:szCs w:val="20"/>
        </w:rPr>
        <w:t>s the United States.</w:t>
      </w:r>
    </w:p>
    <w:p w:rsidR="00000000" w:rsidRDefault="00E54EC0">
      <w:pPr>
        <w:divId w:val="1485319824"/>
        <w:rPr>
          <w:rFonts w:eastAsia="Times New Roman"/>
        </w:rPr>
      </w:pPr>
      <w:r>
        <w:rPr>
          <w:rFonts w:eastAsia="Times New Roman"/>
          <w:color w:val="000000"/>
          <w:sz w:val="20"/>
          <w:szCs w:val="20"/>
        </w:rPr>
        <w:t>The Company reports certain activities and items that are not included in our segments in Corporate and Other. Corporate and Other includes certain of our financing and investment expenses. It also includes: Equitable Advisors broker-d</w:t>
      </w:r>
      <w:r>
        <w:rPr>
          <w:rFonts w:eastAsia="Times New Roman"/>
          <w:color w:val="000000"/>
          <w:sz w:val="20"/>
          <w:szCs w:val="20"/>
        </w:rPr>
        <w:t>ealer business, closed block of life insurance (the “Closed Block”), run-off variable annuity reinsurance business, run-off group pension business, run-off health business, benefit plans for our employees, certain strategic investments and certain unalloca</w:t>
      </w:r>
      <w:r>
        <w:rPr>
          <w:rFonts w:eastAsia="Times New Roman"/>
          <w:color w:val="000000"/>
          <w:sz w:val="20"/>
          <w:szCs w:val="20"/>
        </w:rPr>
        <w:t>ted items, including capital and related investments, interest expense and corporate expense. AB’s results of operations are reflected in the Investment Management and Research segment. Accordingly, Corporate and Other does not include any items applicable</w:t>
      </w:r>
      <w:r>
        <w:rPr>
          <w:rFonts w:eastAsia="Times New Roman"/>
          <w:color w:val="000000"/>
          <w:sz w:val="20"/>
          <w:szCs w:val="20"/>
        </w:rPr>
        <w:t xml:space="preserve"> to AB.</w:t>
      </w:r>
    </w:p>
    <w:p w:rsidR="00000000" w:rsidRDefault="00E54EC0">
      <w:pPr>
        <w:divId w:val="1718317219"/>
        <w:rPr>
          <w:rFonts w:eastAsia="Times New Roman"/>
        </w:rPr>
      </w:pPr>
      <w:r>
        <w:rPr>
          <w:rFonts w:eastAsia="Times New Roman"/>
          <w:color w:val="000000"/>
          <w:sz w:val="20"/>
          <w:szCs w:val="20"/>
          <w:u w:val="single"/>
        </w:rPr>
        <w:t xml:space="preserve">Global Atlantic Reinsurance Transaction </w:t>
      </w:r>
    </w:p>
    <w:p w:rsidR="00000000" w:rsidRDefault="00E54EC0">
      <w:pPr>
        <w:divId w:val="1360659987"/>
        <w:rPr>
          <w:rFonts w:eastAsia="Times New Roman"/>
        </w:rPr>
      </w:pPr>
      <w:r>
        <w:rPr>
          <w:rFonts w:eastAsia="Times New Roman"/>
          <w:color w:val="000000"/>
          <w:sz w:val="20"/>
          <w:szCs w:val="20"/>
        </w:rPr>
        <w:t>On October 3, 2022, Equitable Financial completed the transactions (the “Global Atlantic Transaction”) contemplated by the previously announced Master Transaction Agreement, dated August 16, 2022, by and bet</w:t>
      </w:r>
      <w:r>
        <w:rPr>
          <w:rFonts w:eastAsia="Times New Roman"/>
          <w:color w:val="000000"/>
          <w:sz w:val="20"/>
          <w:szCs w:val="20"/>
        </w:rPr>
        <w:t>ween Equitable Financial and First Allmerica Financial Life Insurance Company, a Massachusetts-domiciled insurance company (the “Reinsurer”), a wholly owned subsidiary of Global Atlantic Financial Group.</w:t>
      </w:r>
    </w:p>
    <w:p w:rsidR="00000000" w:rsidRDefault="00E54EC0">
      <w:pPr>
        <w:divId w:val="89858015"/>
        <w:rPr>
          <w:rFonts w:eastAsia="Times New Roman"/>
        </w:rPr>
      </w:pPr>
      <w:r>
        <w:rPr>
          <w:rFonts w:eastAsia="Times New Roman"/>
          <w:color w:val="000000"/>
          <w:sz w:val="20"/>
          <w:szCs w:val="20"/>
        </w:rPr>
        <w:t>At the closing of the Global Atlantic Transaction, E</w:t>
      </w:r>
      <w:r>
        <w:rPr>
          <w:rFonts w:eastAsia="Times New Roman"/>
          <w:color w:val="000000"/>
          <w:sz w:val="20"/>
          <w:szCs w:val="20"/>
        </w:rPr>
        <w:t>quitable Financial and the Reinsurer entered into a Coinsurance and Modified Coinsurance Agreement (the “EQUI-VEST Reinsurance Agreement”), pursuant to which Equitable Financial ceded to the Reinsurer, on a combined coinsurance and modified coinsurance bas</w:t>
      </w:r>
      <w:r>
        <w:rPr>
          <w:rFonts w:eastAsia="Times New Roman"/>
          <w:color w:val="000000"/>
          <w:sz w:val="20"/>
          <w:szCs w:val="20"/>
        </w:rPr>
        <w:t>is, a 50% quota share of approximately 360,000 legacy Group EQUI-VEST deferred variable annuity contracts issued by Equitable Financial between 1980 and 2008, which predominately include Equitable Financial’s highest guaranteed general account crediting ra</w:t>
      </w:r>
      <w:r>
        <w:rPr>
          <w:rFonts w:eastAsia="Times New Roman"/>
          <w:color w:val="000000"/>
          <w:sz w:val="20"/>
          <w:szCs w:val="20"/>
        </w:rPr>
        <w:t>tes of 3%, supported by general account assets of approximately $4 billion and $5 billion of Separate Account value (the “Reinsured Contracts”). The Reinsured Contracts predominately include certain of Equitable Financial’s contracts that offer the highest</w:t>
      </w:r>
      <w:r>
        <w:rPr>
          <w:rFonts w:eastAsia="Times New Roman"/>
          <w:color w:val="000000"/>
          <w:sz w:val="20"/>
          <w:szCs w:val="20"/>
        </w:rPr>
        <w:t xml:space="preserve"> guaranteed general account crediting rates of 3%. At the closing of the Global Atlantic Transaction, the Reinsurer deposited assets supporting the general account liabilities relating to the Reinsured Contracts into a trust account for the benefit of Equi</w:t>
      </w:r>
      <w:r>
        <w:rPr>
          <w:rFonts w:eastAsia="Times New Roman"/>
          <w:color w:val="000000"/>
          <w:sz w:val="20"/>
          <w:szCs w:val="20"/>
        </w:rPr>
        <w:t>table Financial, which assets will secure its obligations to Equitable Financial under the EQUI-VEST Reinsurance Agreement. Commonwealth Annuity and Life Insurance Company, an insurance company domiciled in the Commonwealth of Massachusetts and affiliate o</w:t>
      </w:r>
      <w:r>
        <w:rPr>
          <w:rFonts w:eastAsia="Times New Roman"/>
          <w:color w:val="000000"/>
          <w:sz w:val="20"/>
          <w:szCs w:val="20"/>
        </w:rPr>
        <w:t>f the Reinsurer (“Commonwealth”), provided a guarantee of the Reinsurer’s payment obligation to Equitable Financial under the EQUI-VEST Reinsurance Agreement.</w:t>
      </w:r>
    </w:p>
    <w:p w:rsidR="00000000" w:rsidRDefault="00E54EC0">
      <w:pPr>
        <w:divId w:val="1222860668"/>
        <w:rPr>
          <w:rFonts w:eastAsia="Times New Roman"/>
        </w:rPr>
      </w:pPr>
      <w:r>
        <w:rPr>
          <w:rFonts w:eastAsia="Times New Roman"/>
          <w:color w:val="000000"/>
          <w:sz w:val="20"/>
          <w:szCs w:val="20"/>
        </w:rPr>
        <w:t>The Company transferred assets of $2.8 billion, including primarily available-for-sale securities</w:t>
      </w:r>
      <w:r>
        <w:rPr>
          <w:rFonts w:eastAsia="Times New Roman"/>
          <w:color w:val="000000"/>
          <w:sz w:val="20"/>
          <w:szCs w:val="20"/>
        </w:rPr>
        <w:t>, cash and policy loans as the consideration for the reinsurance transaction. In addition, the Company recorded $4.1 billion of direct insurance liabilities ceded under the reinsurance contract included in amounts due from reinsurers and $1.2 billion of de</w:t>
      </w:r>
      <w:r>
        <w:rPr>
          <w:rFonts w:eastAsia="Times New Roman"/>
          <w:color w:val="000000"/>
          <w:sz w:val="20"/>
          <w:szCs w:val="20"/>
        </w:rPr>
        <w:t xml:space="preserve">ferred </w:t>
      </w:r>
    </w:p>
    <w:p w:rsidR="00000000" w:rsidRDefault="00E54EC0">
      <w:pPr>
        <w:jc w:val="center"/>
        <w:divId w:val="908268866"/>
        <w:rPr>
          <w:rFonts w:eastAsia="Times New Roman"/>
        </w:rPr>
      </w:pPr>
      <w:r>
        <w:rPr>
          <w:rFonts w:eastAsia="Times New Roman"/>
          <w:color w:val="000000"/>
          <w:sz w:val="20"/>
          <w:szCs w:val="20"/>
        </w:rPr>
        <w:t>136</w:t>
      </w:r>
    </w:p>
    <w:p w:rsidR="00000000" w:rsidRDefault="00E54EC0">
      <w:pPr>
        <w:rPr>
          <w:rFonts w:eastAsia="Times New Roman"/>
        </w:rPr>
      </w:pPr>
      <w:r>
        <w:rPr>
          <w:rFonts w:eastAsia="Times New Roman"/>
        </w:rPr>
        <w:pict>
          <v:rect id="_x0000_i1174" style="width:0;height:1.5pt" o:hralign="center" o:hrstd="t" o:hr="t" fillcolor="#a0a0a0" stroked="f"/>
        </w:pict>
      </w:r>
    </w:p>
    <w:p w:rsidR="00000000" w:rsidRDefault="00E54EC0">
      <w:pPr>
        <w:divId w:val="320503186"/>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830124632"/>
        <w:rPr>
          <w:rFonts w:eastAsia="Times New Roman"/>
        </w:rPr>
      </w:pPr>
      <w:r>
        <w:rPr>
          <w:rFonts w:eastAsia="Times New Roman"/>
          <w:b/>
          <w:bCs/>
          <w:color w:val="000000"/>
          <w:sz w:val="20"/>
          <w:szCs w:val="20"/>
        </w:rPr>
        <w:t>EQUITABLE HOLDINGS, INC.</w:t>
      </w:r>
    </w:p>
    <w:p w:rsidR="00000000" w:rsidRDefault="00E54EC0">
      <w:pPr>
        <w:jc w:val="center"/>
        <w:divId w:val="1830124632"/>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830124632"/>
        <w:rPr>
          <w:rFonts w:eastAsia="Times New Roman"/>
        </w:rPr>
      </w:pPr>
    </w:p>
    <w:p w:rsidR="00000000" w:rsidRDefault="00E54EC0">
      <w:pPr>
        <w:divId w:val="1808621668"/>
        <w:rPr>
          <w:rFonts w:eastAsia="Times New Roman"/>
        </w:rPr>
      </w:pPr>
      <w:r>
        <w:rPr>
          <w:rFonts w:eastAsia="Times New Roman"/>
          <w:color w:val="000000"/>
          <w:sz w:val="20"/>
          <w:szCs w:val="20"/>
        </w:rPr>
        <w:t xml:space="preserve">gain on cost of reinsurance included within other </w:t>
      </w:r>
      <w:r>
        <w:rPr>
          <w:rFonts w:eastAsia="Times New Roman"/>
          <w:color w:val="000000"/>
          <w:sz w:val="20"/>
          <w:szCs w:val="20"/>
        </w:rPr>
        <w:t>liabilities. Additionally, $5.3 billion of Separate Account liabilities were ceded under a modified coinsurance portion of the agreement.</w:t>
      </w:r>
    </w:p>
    <w:p w:rsidR="00000000" w:rsidRDefault="00E54EC0">
      <w:pPr>
        <w:divId w:val="1844781250"/>
        <w:rPr>
          <w:rFonts w:eastAsia="Times New Roman"/>
        </w:rPr>
      </w:pPr>
      <w:r>
        <w:rPr>
          <w:rFonts w:eastAsia="Times New Roman"/>
          <w:color w:val="000000"/>
          <w:sz w:val="20"/>
          <w:szCs w:val="20"/>
          <w:u w:val="single"/>
        </w:rPr>
        <w:t xml:space="preserve">Carval Acquisition </w:t>
      </w:r>
    </w:p>
    <w:p w:rsidR="00000000" w:rsidRDefault="00E54EC0">
      <w:pPr>
        <w:divId w:val="1170293384"/>
        <w:rPr>
          <w:rFonts w:eastAsia="Times New Roman"/>
        </w:rPr>
      </w:pPr>
      <w:r>
        <w:rPr>
          <w:rFonts w:eastAsia="Times New Roman"/>
          <w:color w:val="000000"/>
          <w:sz w:val="20"/>
          <w:szCs w:val="20"/>
        </w:rPr>
        <w:t xml:space="preserve">As of December 31, 2022 and 2021, the Company’s economic interest in AB was approximately 61% and </w:t>
      </w:r>
      <w:r>
        <w:rPr>
          <w:rFonts w:eastAsia="Times New Roman"/>
          <w:color w:val="000000"/>
          <w:sz w:val="20"/>
          <w:szCs w:val="20"/>
        </w:rPr>
        <w:t>65%, respectively. The slight decrease was due to the issuance of AB Units relating to AB’s 100% acquisition of CarVal Investments L.P. (“CarVal”). On July 1, 2022, AB issued 3.2 million AB Units (with a fair value of $133 million) with the remaining 12.1 </w:t>
      </w:r>
      <w:r>
        <w:rPr>
          <w:rFonts w:eastAsia="Times New Roman"/>
          <w:color w:val="000000"/>
          <w:sz w:val="20"/>
          <w:szCs w:val="20"/>
        </w:rPr>
        <w:t>million AB units (with a fair value of $456 million) issued on November 1, 2022. AB also recorded a contingent consideration payable of $229 million (to be paid predominantly in AB Units) based on CarVal achieving certain performance objectives over a six-</w:t>
      </w:r>
      <w:r>
        <w:rPr>
          <w:rFonts w:eastAsia="Times New Roman"/>
          <w:color w:val="000000"/>
          <w:sz w:val="20"/>
          <w:szCs w:val="20"/>
        </w:rPr>
        <w:t>year period ending December 31, 2027. The General Partner of AB is a wholly-owned subsidiary of the Company. Because the General Partner has the authority to manage and control the business of AB, AB is consolidated in the Company’s financial statements fo</w:t>
      </w:r>
      <w:r>
        <w:rPr>
          <w:rFonts w:eastAsia="Times New Roman"/>
          <w:color w:val="000000"/>
          <w:sz w:val="20"/>
          <w:szCs w:val="20"/>
        </w:rPr>
        <w:t>r all periods presented.</w:t>
      </w:r>
    </w:p>
    <w:p w:rsidR="00000000" w:rsidRDefault="00E54EC0">
      <w:pPr>
        <w:divId w:val="121385167"/>
        <w:rPr>
          <w:rFonts w:eastAsia="Times New Roman"/>
        </w:rPr>
      </w:pPr>
      <w:r>
        <w:rPr>
          <w:rFonts w:eastAsia="Times New Roman"/>
          <w:color w:val="000000"/>
          <w:sz w:val="20"/>
          <w:szCs w:val="20"/>
          <w:u w:val="single"/>
        </w:rPr>
        <w:t>Venerable Reinsurance Transaction</w:t>
      </w:r>
    </w:p>
    <w:p w:rsidR="00000000" w:rsidRDefault="00E54EC0">
      <w:pPr>
        <w:divId w:val="34432376"/>
        <w:rPr>
          <w:rFonts w:eastAsia="Times New Roman"/>
        </w:rPr>
      </w:pPr>
      <w:r>
        <w:rPr>
          <w:rFonts w:eastAsia="Times New Roman"/>
          <w:color w:val="000000"/>
          <w:sz w:val="20"/>
          <w:szCs w:val="20"/>
        </w:rPr>
        <w:t>On June 1, 2021, Holdings completed the sale (the “Venerable Transaction”) of CS Life, to Venerable Insurance and Annuity Company, an insurance company domiciled in Iowa (“VIAC”), pursuant to the M</w:t>
      </w:r>
      <w:r>
        <w:rPr>
          <w:rFonts w:eastAsia="Times New Roman"/>
          <w:color w:val="000000"/>
          <w:sz w:val="20"/>
          <w:szCs w:val="20"/>
        </w:rPr>
        <w:t>aster Transaction Agreement, dated October 27, 2020 (the “Master Transaction Agreement”), among the Company, VIAC and, solely with respect to Article XIV thereof, Venerable Holdings, Inc., a Delaware corporation (“Venerable”).</w:t>
      </w:r>
    </w:p>
    <w:p w:rsidR="00000000" w:rsidRDefault="00E54EC0">
      <w:pPr>
        <w:divId w:val="1697346332"/>
        <w:rPr>
          <w:rFonts w:eastAsia="Times New Roman"/>
        </w:rPr>
      </w:pPr>
      <w:r>
        <w:rPr>
          <w:rFonts w:eastAsia="Times New Roman"/>
          <w:color w:val="000000"/>
          <w:sz w:val="20"/>
          <w:szCs w:val="20"/>
        </w:rPr>
        <w:t>Pursuant to the Master Transa</w:t>
      </w:r>
      <w:r>
        <w:rPr>
          <w:rFonts w:eastAsia="Times New Roman"/>
          <w:color w:val="000000"/>
          <w:sz w:val="20"/>
          <w:szCs w:val="20"/>
        </w:rPr>
        <w:t>ction Agreement, immediately prior to the closing of the Venerable Transaction, CS Life effected the recapture of all of the business that was ceded to CS Life Re Company, a wholly owned subsidiary of CS Life (“Reinsurance Subsidiary”), and sold 100% of th</w:t>
      </w:r>
      <w:r>
        <w:rPr>
          <w:rFonts w:eastAsia="Times New Roman"/>
          <w:color w:val="000000"/>
          <w:sz w:val="20"/>
          <w:szCs w:val="20"/>
        </w:rPr>
        <w:t>e equity of the Reinsurance Subsidiary to another wholly owned subsidiary of the Company.</w:t>
      </w:r>
    </w:p>
    <w:p w:rsidR="00000000" w:rsidRDefault="00E54EC0">
      <w:pPr>
        <w:divId w:val="645548874"/>
        <w:rPr>
          <w:rFonts w:eastAsia="Times New Roman"/>
        </w:rPr>
      </w:pPr>
      <w:r>
        <w:rPr>
          <w:rFonts w:eastAsia="Times New Roman"/>
          <w:color w:val="000000"/>
          <w:sz w:val="20"/>
          <w:szCs w:val="20"/>
        </w:rPr>
        <w:t>VIAC paid the Company a cash purchase price of $215 million for CS Life at closing. The post-closing true-up adjustment was immaterial. VIAC also issued a surplus not</w:t>
      </w:r>
      <w:r>
        <w:rPr>
          <w:rFonts w:eastAsia="Times New Roman"/>
          <w:color w:val="000000"/>
          <w:sz w:val="20"/>
          <w:szCs w:val="20"/>
        </w:rPr>
        <w:t xml:space="preserve">e in aggregate principal amount of $60 million, to Equitable Financial Life Insurance Company, a New York-domiciled life insurance company and a wholly owned subsidiary of Holdings, for cash consideration. </w:t>
      </w:r>
    </w:p>
    <w:p w:rsidR="00000000" w:rsidRDefault="00E54EC0">
      <w:pPr>
        <w:divId w:val="1892231424"/>
        <w:rPr>
          <w:rFonts w:eastAsia="Times New Roman"/>
        </w:rPr>
      </w:pPr>
      <w:r>
        <w:rPr>
          <w:rFonts w:eastAsia="Times New Roman"/>
          <w:color w:val="000000"/>
          <w:sz w:val="20"/>
          <w:szCs w:val="20"/>
        </w:rPr>
        <w:t>Immediately following the closing of the Venerabl</w:t>
      </w:r>
      <w:r>
        <w:rPr>
          <w:rFonts w:eastAsia="Times New Roman"/>
          <w:color w:val="000000"/>
          <w:sz w:val="20"/>
          <w:szCs w:val="20"/>
        </w:rPr>
        <w:t>e Transaction, CS Life and Equitable Financial entered into a coinsurance and modified coinsurance agreement (the “Reinsurance Agreement”), pursuant to which Equitable Financial ceded to CS Life, on a combined coinsurance and modified coinsurance basis, le</w:t>
      </w:r>
      <w:r>
        <w:rPr>
          <w:rFonts w:eastAsia="Times New Roman"/>
          <w:color w:val="000000"/>
          <w:sz w:val="20"/>
          <w:szCs w:val="20"/>
        </w:rPr>
        <w:t xml:space="preserve">gacy variable annuity policies sold by Equitable Financial between 2006-2008 (the “Block”), comprised of non-New York “Accumulator” policies containing fixed rate Guaranteed Minimum Income Benefit and/or Guaranteed Minimum Death Benefit guarantees. At the </w:t>
      </w:r>
      <w:r>
        <w:rPr>
          <w:rFonts w:eastAsia="Times New Roman"/>
          <w:color w:val="000000"/>
          <w:sz w:val="20"/>
          <w:szCs w:val="20"/>
        </w:rPr>
        <w:t>closing of the Transaction, CS Life deposited assets supporting the general account liabilities relating to the Block into a trust account for the benefit of Equitable Financial, which assets will secure its obligations to Equitable Financial under the Rei</w:t>
      </w:r>
      <w:r>
        <w:rPr>
          <w:rFonts w:eastAsia="Times New Roman"/>
          <w:color w:val="000000"/>
          <w:sz w:val="20"/>
          <w:szCs w:val="20"/>
        </w:rPr>
        <w:t>nsurance Agreement. At the closing of the Transaction, ABLP, entered into an investment advisory agreement with CS Life pursuant to which ABLP will serve as the preferred investment manager of the general account assets transferred to the trust account. Th</w:t>
      </w:r>
      <w:r>
        <w:rPr>
          <w:rFonts w:eastAsia="Times New Roman"/>
          <w:color w:val="000000"/>
          <w:sz w:val="20"/>
          <w:szCs w:val="20"/>
        </w:rPr>
        <w:t>e Company transferred assets of $9.5 billion, including primarily available for sale securities and cash, to a collateral trust account as the consideration for the reinsurance transaction. In addition, the Company recorded $9.6 billion of direct insurance</w:t>
      </w:r>
      <w:r>
        <w:rPr>
          <w:rFonts w:eastAsia="Times New Roman"/>
          <w:color w:val="000000"/>
          <w:sz w:val="20"/>
          <w:szCs w:val="20"/>
        </w:rPr>
        <w:t xml:space="preserve"> liabilities ceded under the reinsurance contract, of which $5.3 billion is accounted at fair value, as the reinsurance of GMxB with no lapse guarantee riders are embedded derivatives. Additionally, $16.9 billion of Separate Account liabilities were ceded </w:t>
      </w:r>
      <w:r>
        <w:rPr>
          <w:rFonts w:eastAsia="Times New Roman"/>
          <w:color w:val="000000"/>
          <w:sz w:val="20"/>
          <w:szCs w:val="20"/>
        </w:rPr>
        <w:t>under a modified coinsurance portion of the agreement.</w:t>
      </w:r>
    </w:p>
    <w:p w:rsidR="00000000" w:rsidRDefault="00E54EC0">
      <w:pPr>
        <w:divId w:val="2144691803"/>
        <w:rPr>
          <w:rFonts w:eastAsia="Times New Roman"/>
        </w:rPr>
      </w:pPr>
      <w:r>
        <w:rPr>
          <w:rFonts w:eastAsia="Times New Roman"/>
          <w:color w:val="000000"/>
          <w:sz w:val="20"/>
          <w:szCs w:val="20"/>
        </w:rPr>
        <w:t xml:space="preserve">In addition, upon the completion of the Venerable Transaction, EIMG acquired an approximate 9.09% equity interest in Venerable’s parent holding company, VA Capital Company LLC. In connection with such </w:t>
      </w:r>
      <w:r>
        <w:rPr>
          <w:rFonts w:eastAsia="Times New Roman"/>
          <w:color w:val="000000"/>
          <w:sz w:val="20"/>
          <w:szCs w:val="20"/>
        </w:rPr>
        <w:t>investment, EIMG designated a member to the Board of Managers of VA Capital Company LLC.</w:t>
      </w:r>
    </w:p>
    <w:p w:rsidR="00000000" w:rsidRDefault="00E54EC0">
      <w:pPr>
        <w:divId w:val="1777142040"/>
        <w:rPr>
          <w:rFonts w:eastAsia="Times New Roman"/>
        </w:rPr>
      </w:pPr>
    </w:p>
    <w:p w:rsidR="00000000" w:rsidRDefault="00E54EC0">
      <w:pPr>
        <w:divId w:val="2018846508"/>
        <w:rPr>
          <w:rFonts w:eastAsia="Times New Roman"/>
        </w:rPr>
      </w:pPr>
      <w:r>
        <w:rPr>
          <w:rFonts w:eastAsia="Times New Roman"/>
          <w:b/>
          <w:bCs/>
          <w:color w:val="000000"/>
          <w:sz w:val="20"/>
          <w:szCs w:val="20"/>
        </w:rPr>
        <w:t xml:space="preserve">2)     SIGNIFICANT ACCOUNTING POLICIES </w:t>
      </w:r>
    </w:p>
    <w:p w:rsidR="00000000" w:rsidRDefault="00E54EC0">
      <w:pPr>
        <w:divId w:val="1699163803"/>
        <w:rPr>
          <w:rFonts w:eastAsia="Times New Roman"/>
        </w:rPr>
      </w:pPr>
      <w:r>
        <w:rPr>
          <w:rFonts w:eastAsia="Times New Roman"/>
          <w:color w:val="000000"/>
          <w:sz w:val="20"/>
          <w:szCs w:val="20"/>
          <w:u w:val="single"/>
        </w:rPr>
        <w:t>Basis of Presentation and Principles of Consolidation</w:t>
      </w:r>
    </w:p>
    <w:p w:rsidR="00000000" w:rsidRDefault="00E54EC0">
      <w:pPr>
        <w:divId w:val="379671299"/>
        <w:rPr>
          <w:rFonts w:eastAsia="Times New Roman"/>
        </w:rPr>
      </w:pPr>
      <w:r>
        <w:rPr>
          <w:rFonts w:eastAsia="Times New Roman"/>
          <w:color w:val="000000"/>
          <w:sz w:val="20"/>
          <w:szCs w:val="20"/>
        </w:rPr>
        <w:t>The preparation of the accompanying consolidated financial statements in conformity with U.S. GAAP requires management to make estimates and assumptions (including normal, recurring accruals) that affect the reported amounts of assets and liabilities and t</w:t>
      </w:r>
      <w:r>
        <w:rPr>
          <w:rFonts w:eastAsia="Times New Roman"/>
          <w:color w:val="000000"/>
          <w:sz w:val="20"/>
          <w:szCs w:val="20"/>
        </w:rPr>
        <w:t xml:space="preserve">he disclosure of contingent assets and liabilities at the date of the consolidated financial statements and the reported amounts of revenues and expenses during the reporting periods. Actual results could differ from these estimates. </w:t>
      </w:r>
    </w:p>
    <w:p w:rsidR="00000000" w:rsidRDefault="00E54EC0">
      <w:pPr>
        <w:jc w:val="center"/>
        <w:divId w:val="1033307938"/>
        <w:rPr>
          <w:rFonts w:eastAsia="Times New Roman"/>
        </w:rPr>
      </w:pPr>
    </w:p>
    <w:p w:rsidR="00000000" w:rsidRDefault="00E54EC0">
      <w:pPr>
        <w:jc w:val="center"/>
        <w:divId w:val="1033307938"/>
        <w:rPr>
          <w:rFonts w:eastAsia="Times New Roman"/>
        </w:rPr>
      </w:pPr>
      <w:r>
        <w:rPr>
          <w:rFonts w:eastAsia="Times New Roman"/>
          <w:color w:val="000000"/>
          <w:sz w:val="20"/>
          <w:szCs w:val="20"/>
        </w:rPr>
        <w:t>137</w:t>
      </w:r>
    </w:p>
    <w:p w:rsidR="00000000" w:rsidRDefault="00E54EC0">
      <w:pPr>
        <w:rPr>
          <w:rFonts w:eastAsia="Times New Roman"/>
        </w:rPr>
      </w:pPr>
      <w:r>
        <w:rPr>
          <w:rFonts w:eastAsia="Times New Roman"/>
        </w:rPr>
        <w:pict>
          <v:rect id="_x0000_i1175" style="width:0;height:1.5pt" o:hralign="center" o:hrstd="t" o:hr="t" fillcolor="#a0a0a0" stroked="f"/>
        </w:pict>
      </w:r>
    </w:p>
    <w:p w:rsidR="00000000" w:rsidRDefault="00E54EC0">
      <w:pPr>
        <w:divId w:val="389185518"/>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77282049"/>
        <w:rPr>
          <w:rFonts w:eastAsia="Times New Roman"/>
        </w:rPr>
      </w:pPr>
      <w:r>
        <w:rPr>
          <w:rFonts w:eastAsia="Times New Roman"/>
          <w:b/>
          <w:bCs/>
          <w:color w:val="000000"/>
          <w:sz w:val="20"/>
          <w:szCs w:val="20"/>
        </w:rPr>
        <w:t>EQUITABLE HOLDINGS, INC.</w:t>
      </w:r>
    </w:p>
    <w:p w:rsidR="00000000" w:rsidRDefault="00E54EC0">
      <w:pPr>
        <w:jc w:val="center"/>
        <w:divId w:val="177282049"/>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77282049"/>
        <w:rPr>
          <w:rFonts w:eastAsia="Times New Roman"/>
        </w:rPr>
      </w:pPr>
    </w:p>
    <w:p w:rsidR="00000000" w:rsidRDefault="00E54EC0">
      <w:pPr>
        <w:divId w:val="1838107087"/>
        <w:rPr>
          <w:rFonts w:eastAsia="Times New Roman"/>
        </w:rPr>
      </w:pPr>
      <w:r>
        <w:rPr>
          <w:rFonts w:eastAsia="Times New Roman"/>
          <w:color w:val="000000"/>
          <w:sz w:val="20"/>
          <w:szCs w:val="20"/>
        </w:rPr>
        <w:t xml:space="preserve">The accompanying consolidated financial statements present the consolidated </w:t>
      </w:r>
      <w:r>
        <w:rPr>
          <w:rFonts w:eastAsia="Times New Roman"/>
          <w:color w:val="000000"/>
          <w:sz w:val="20"/>
          <w:szCs w:val="20"/>
        </w:rPr>
        <w:t>results of operations, financial condition, and cash flows of the Company and its subsidiaries and those investment companies, partnerships and joint ventures in which the Company has control and a majority economic interest as well as those VIEs that meet</w:t>
      </w:r>
      <w:r>
        <w:rPr>
          <w:rFonts w:eastAsia="Times New Roman"/>
          <w:color w:val="000000"/>
          <w:sz w:val="20"/>
          <w:szCs w:val="20"/>
        </w:rPr>
        <w:t xml:space="preserve"> the requirements for consolidation. </w:t>
      </w:r>
    </w:p>
    <w:p w:rsidR="00000000" w:rsidRDefault="00E54EC0">
      <w:pPr>
        <w:divId w:val="840509261"/>
        <w:rPr>
          <w:rFonts w:eastAsia="Times New Roman"/>
        </w:rPr>
      </w:pPr>
      <w:r>
        <w:rPr>
          <w:rFonts w:eastAsia="Times New Roman"/>
          <w:color w:val="000000"/>
          <w:sz w:val="20"/>
          <w:szCs w:val="20"/>
        </w:rPr>
        <w:t>Financial results in the historical consolidated financial statements may not be indicative of the results of operations, comprehensive income (loss), financial position, equity or cash flows that would have been achie</w:t>
      </w:r>
      <w:r>
        <w:rPr>
          <w:rFonts w:eastAsia="Times New Roman"/>
          <w:color w:val="000000"/>
          <w:sz w:val="20"/>
          <w:szCs w:val="20"/>
        </w:rPr>
        <w:t>ved had we operated as a separate, standalone entity during the reporting periods presented. We believe that the consolidated financial statements include all adjustments necessary for a fair presentation of the results of operations of the Company.</w:t>
      </w:r>
    </w:p>
    <w:p w:rsidR="00000000" w:rsidRDefault="00E54EC0">
      <w:pPr>
        <w:divId w:val="1491864500"/>
        <w:rPr>
          <w:rFonts w:eastAsia="Times New Roman"/>
        </w:rPr>
      </w:pPr>
      <w:r>
        <w:rPr>
          <w:rFonts w:eastAsia="Times New Roman"/>
          <w:color w:val="000000"/>
          <w:sz w:val="20"/>
          <w:szCs w:val="20"/>
        </w:rPr>
        <w:t>All si</w:t>
      </w:r>
      <w:r>
        <w:rPr>
          <w:rFonts w:eastAsia="Times New Roman"/>
          <w:color w:val="000000"/>
          <w:sz w:val="20"/>
          <w:szCs w:val="20"/>
        </w:rPr>
        <w:t>gnificant intercompany transactions and balances have been eliminated in consolidation. The years “2022”, “2021” and “2020” refer to the years ended December 31, 2022, 2021 and 2020, respectively.</w:t>
      </w:r>
    </w:p>
    <w:p w:rsidR="00000000" w:rsidRDefault="00E54EC0">
      <w:pPr>
        <w:divId w:val="2045324459"/>
        <w:rPr>
          <w:rFonts w:eastAsia="Times New Roman"/>
        </w:rPr>
      </w:pPr>
      <w:r>
        <w:rPr>
          <w:rFonts w:eastAsia="Times New Roman"/>
          <w:color w:val="000000"/>
          <w:sz w:val="20"/>
          <w:szCs w:val="20"/>
          <w:u w:val="single"/>
        </w:rPr>
        <w:t>Recent Accounting Pronouncements</w:t>
      </w:r>
    </w:p>
    <w:p w:rsidR="00000000" w:rsidRDefault="00E54EC0">
      <w:pPr>
        <w:divId w:val="906264048"/>
        <w:rPr>
          <w:rFonts w:eastAsia="Times New Roman"/>
        </w:rPr>
      </w:pPr>
      <w:r>
        <w:rPr>
          <w:rFonts w:eastAsia="Times New Roman"/>
          <w:color w:val="000000"/>
          <w:sz w:val="20"/>
          <w:szCs w:val="20"/>
        </w:rPr>
        <w:t>Changes to U.S. GAAP are e</w:t>
      </w:r>
      <w:r>
        <w:rPr>
          <w:rFonts w:eastAsia="Times New Roman"/>
          <w:color w:val="000000"/>
          <w:sz w:val="20"/>
          <w:szCs w:val="20"/>
        </w:rPr>
        <w:t>stablished by the Financial Accounting Standards Board (“FASB”) in the form of Accounting Standards Updates (“ASUs”) to the FASB Accounting Standards Codification (“ASC”). The Company considers the applicability and impact of all ASUs. ASUs listed below in</w:t>
      </w:r>
      <w:r>
        <w:rPr>
          <w:rFonts w:eastAsia="Times New Roman"/>
          <w:color w:val="000000"/>
          <w:sz w:val="20"/>
          <w:szCs w:val="20"/>
        </w:rPr>
        <w:t>clude those that have been adopted during the current fiscal year and/or those that have been issued but not yet adopted as of December 31, 2022, and as of the date of this filing. ASUs not listed below were assessed and determined to be either not applica</w:t>
      </w:r>
      <w:r>
        <w:rPr>
          <w:rFonts w:eastAsia="Times New Roman"/>
          <w:color w:val="000000"/>
          <w:sz w:val="20"/>
          <w:szCs w:val="20"/>
        </w:rPr>
        <w:t>ble or not material.</w:t>
      </w:r>
    </w:p>
    <w:p w:rsidR="00000000" w:rsidRDefault="00E54EC0">
      <w:pPr>
        <w:jc w:val="center"/>
        <w:divId w:val="276184580"/>
        <w:rPr>
          <w:rFonts w:eastAsia="Times New Roman"/>
        </w:rPr>
      </w:pPr>
      <w:r>
        <w:rPr>
          <w:rFonts w:eastAsia="Times New Roman"/>
          <w:color w:val="000000"/>
          <w:sz w:val="20"/>
          <w:szCs w:val="20"/>
        </w:rPr>
        <w:t>138</w:t>
      </w:r>
    </w:p>
    <w:p w:rsidR="00000000" w:rsidRDefault="00E54EC0">
      <w:pPr>
        <w:rPr>
          <w:rFonts w:eastAsia="Times New Roman"/>
        </w:rPr>
      </w:pPr>
      <w:r>
        <w:rPr>
          <w:rFonts w:eastAsia="Times New Roman"/>
        </w:rPr>
        <w:pict>
          <v:rect id="_x0000_i1176" style="width:0;height:1.5pt" o:hralign="center" o:hrstd="t" o:hr="t" fillcolor="#a0a0a0" stroked="f"/>
        </w:pict>
      </w:r>
    </w:p>
    <w:p w:rsidR="00000000" w:rsidRDefault="00E54EC0">
      <w:pPr>
        <w:divId w:val="416753877"/>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388962169"/>
        <w:rPr>
          <w:rFonts w:eastAsia="Times New Roman"/>
        </w:rPr>
      </w:pPr>
      <w:r>
        <w:rPr>
          <w:rFonts w:eastAsia="Times New Roman"/>
          <w:b/>
          <w:bCs/>
          <w:color w:val="000000"/>
          <w:sz w:val="20"/>
          <w:szCs w:val="20"/>
        </w:rPr>
        <w:t>EQUITABLE HOLDINGS, INC.</w:t>
      </w:r>
    </w:p>
    <w:p w:rsidR="00000000" w:rsidRDefault="00E54EC0">
      <w:pPr>
        <w:jc w:val="center"/>
        <w:divId w:val="388962169"/>
        <w:rPr>
          <w:rFonts w:eastAsia="Times New Roman"/>
        </w:rPr>
      </w:pPr>
      <w:r>
        <w:rPr>
          <w:rFonts w:eastAsia="Times New Roman"/>
          <w:b/>
          <w:bCs/>
          <w:color w:val="000000"/>
          <w:sz w:val="20"/>
          <w:szCs w:val="20"/>
        </w:rPr>
        <w:t>Notes to Consolidated Financial Statements, Continued</w:t>
      </w:r>
    </w:p>
    <w:p w:rsidR="00000000" w:rsidRDefault="00E54EC0">
      <w:pPr>
        <w:jc w:val="center"/>
        <w:divId w:val="388962169"/>
        <w:rPr>
          <w:rFonts w:eastAsia="Times New Roman"/>
        </w:rPr>
      </w:pPr>
    </w:p>
    <w:p w:rsidR="00000000" w:rsidRDefault="00E54EC0">
      <w:pPr>
        <w:divId w:val="1354263067"/>
        <w:rPr>
          <w:rFonts w:eastAsia="Times New Roman"/>
        </w:rPr>
      </w:pPr>
      <w:r>
        <w:rPr>
          <w:rFonts w:eastAsia="Times New Roman"/>
          <w:color w:val="000000"/>
          <w:sz w:val="20"/>
          <w:szCs w:val="20"/>
          <w:u w:val="single"/>
        </w:rPr>
        <w:t>Future Adoption of New Accounting Pr</w:t>
      </w:r>
      <w:r>
        <w:rPr>
          <w:rFonts w:eastAsia="Times New Roman"/>
          <w:color w:val="000000"/>
          <w:sz w:val="20"/>
          <w:szCs w:val="20"/>
          <w:u w:val="single"/>
        </w:rPr>
        <w:t>onouncements</w:t>
      </w:r>
    </w:p>
    <w:tbl>
      <w:tblPr>
        <w:tblW w:w="4649" w:type="pct"/>
        <w:tblCellMar>
          <w:top w:w="15" w:type="dxa"/>
          <w:left w:w="15" w:type="dxa"/>
          <w:bottom w:w="15" w:type="dxa"/>
          <w:right w:w="15" w:type="dxa"/>
        </w:tblCellMar>
        <w:tblLook w:val="04A0" w:firstRow="1" w:lastRow="0" w:firstColumn="1" w:lastColumn="0" w:noHBand="0" w:noVBand="1"/>
      </w:tblPr>
      <w:tblGrid>
        <w:gridCol w:w="62"/>
        <w:gridCol w:w="2134"/>
        <w:gridCol w:w="37"/>
        <w:gridCol w:w="63"/>
        <w:gridCol w:w="1904"/>
        <w:gridCol w:w="37"/>
        <w:gridCol w:w="63"/>
        <w:gridCol w:w="3386"/>
        <w:gridCol w:w="37"/>
      </w:tblGrid>
      <w:tr w:rsidR="00000000">
        <w:trPr>
          <w:divId w:val="1354263067"/>
        </w:trPr>
        <w:tc>
          <w:tcPr>
            <w:tcW w:w="50" w:type="pct"/>
            <w:vAlign w:val="center"/>
            <w:hideMark/>
          </w:tcPr>
          <w:p w:rsidR="00000000" w:rsidRDefault="00E54EC0">
            <w:pPr>
              <w:rPr>
                <w:rFonts w:eastAsia="Times New Roman"/>
              </w:rPr>
            </w:pPr>
          </w:p>
        </w:tc>
        <w:tc>
          <w:tcPr>
            <w:tcW w:w="1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2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2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54263067"/>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1354263067"/>
        </w:trPr>
        <w:tc>
          <w:tcPr>
            <w:tcW w:w="0" w:type="auto"/>
            <w:gridSpan w:val="9"/>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E54EC0">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Application</w:t>
            </w:r>
          </w:p>
        </w:tc>
      </w:tr>
      <w:tr w:rsidR="00000000">
        <w:trPr>
          <w:divId w:val="1354263067"/>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E54EC0">
            <w:pPr>
              <w:spacing w:after="100"/>
              <w:jc w:val="both"/>
              <w:divId w:val="420104323"/>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p w:rsidR="00000000" w:rsidRDefault="00E54EC0">
            <w:pPr>
              <w:spacing w:after="100"/>
              <w:jc w:val="both"/>
              <w:divId w:val="1661425788"/>
              <w:rPr>
                <w:rFonts w:eastAsia="Times New Roman"/>
              </w:rPr>
            </w:pPr>
            <w:r>
              <w:rPr>
                <w:rFonts w:eastAsia="Times New Roman"/>
                <w:color w:val="000000"/>
                <w:sz w:val="18"/>
                <w:szCs w:val="18"/>
              </w:rPr>
              <w:t>1. Measurement of the li</w:t>
            </w:r>
            <w:r>
              <w:rPr>
                <w:rFonts w:eastAsia="Times New Roman"/>
                <w:color w:val="000000"/>
                <w:sz w:val="18"/>
                <w:szCs w:val="18"/>
              </w:rPr>
              <w:t>ability for future policy benefits for traditional and limited payment contracts. The ASU requires companies to review, and if necessary, update cash flow assumptions at least annually for non-participating traditional and limited-payment insurance contrac</w:t>
            </w:r>
            <w:r>
              <w:rPr>
                <w:rFonts w:eastAsia="Times New Roman"/>
                <w:color w:val="000000"/>
                <w:sz w:val="18"/>
                <w:szCs w:val="18"/>
              </w:rPr>
              <w:t>ts. The ASU also prescribes the discount rate to be used in measuring the liability for future policy benefits for traditional and limited payment long-duration contracts.</w:t>
            </w:r>
          </w:p>
          <w:p w:rsidR="00000000" w:rsidRDefault="00E54EC0">
            <w:pPr>
              <w:spacing w:after="100"/>
              <w:jc w:val="both"/>
              <w:rPr>
                <w:rFonts w:eastAsia="Times New Roman"/>
              </w:rPr>
            </w:pPr>
          </w:p>
          <w:p w:rsidR="00000000" w:rsidRDefault="00E54EC0">
            <w:pPr>
              <w:spacing w:after="100"/>
              <w:jc w:val="both"/>
              <w:rPr>
                <w:rFonts w:eastAsia="Times New Roman"/>
              </w:rPr>
            </w:pPr>
            <w:r>
              <w:rPr>
                <w:rFonts w:eastAsia="Times New Roman"/>
                <w:color w:val="000000"/>
                <w:sz w:val="18"/>
                <w:szCs w:val="18"/>
              </w:rPr>
              <w:t>2. Measurement of MRBs. MRBs, as defined under the ASU, will encompass certain GMx</w:t>
            </w:r>
            <w:r>
              <w:rPr>
                <w:rFonts w:eastAsia="Times New Roman"/>
                <w:color w:val="000000"/>
                <w:sz w:val="18"/>
                <w:szCs w:val="18"/>
              </w:rPr>
              <w:t xml:space="preserve">B features associated with variable annuity products and other general account annuities with other than nominal market risk. </w:t>
            </w:r>
          </w:p>
          <w:p w:rsidR="00000000" w:rsidRDefault="00E54EC0">
            <w:pPr>
              <w:spacing w:after="100"/>
              <w:jc w:val="both"/>
              <w:rPr>
                <w:rFonts w:eastAsia="Times New Roman"/>
              </w:rPr>
            </w:pPr>
          </w:p>
          <w:p w:rsidR="00000000" w:rsidRDefault="00E54EC0">
            <w:pPr>
              <w:spacing w:after="100"/>
              <w:jc w:val="both"/>
              <w:rPr>
                <w:rFonts w:eastAsia="Times New Roman"/>
              </w:rPr>
            </w:pPr>
            <w:r>
              <w:rPr>
                <w:rFonts w:eastAsia="Times New Roman"/>
                <w:color w:val="000000"/>
                <w:sz w:val="18"/>
                <w:szCs w:val="18"/>
              </w:rPr>
              <w:t>3. Amortization of deferred acquisition costs. The ASU simplifies the amortization of deferred acquisition costs and other bala</w:t>
            </w:r>
            <w:r>
              <w:rPr>
                <w:rFonts w:eastAsia="Times New Roman"/>
                <w:color w:val="000000"/>
                <w:sz w:val="18"/>
                <w:szCs w:val="18"/>
              </w:rPr>
              <w:t xml:space="preserve">nces amortized in proportion to premiums, gross profits, or gross margins, requiring such balances to be amortized on a constant level basis over the expected term of the contracts. </w:t>
            </w:r>
          </w:p>
          <w:p w:rsidR="00000000" w:rsidRDefault="00E54EC0">
            <w:pPr>
              <w:spacing w:after="100"/>
              <w:jc w:val="both"/>
              <w:rPr>
                <w:rFonts w:eastAsia="Times New Roman"/>
              </w:rPr>
            </w:pPr>
          </w:p>
          <w:p w:rsidR="00000000" w:rsidRDefault="00E54EC0">
            <w:pPr>
              <w:spacing w:after="100"/>
              <w:jc w:val="both"/>
              <w:rPr>
                <w:rFonts w:eastAsia="Times New Roman"/>
              </w:rPr>
            </w:pPr>
            <w:r>
              <w:rPr>
                <w:rFonts w:eastAsia="Times New Roman"/>
                <w:color w:val="000000"/>
                <w:sz w:val="18"/>
                <w:szCs w:val="18"/>
              </w:rPr>
              <w:t>4. Expanded footnote disclosures. The ASU requires additional disclosur</w:t>
            </w:r>
            <w:r>
              <w:rPr>
                <w:rFonts w:eastAsia="Times New Roman"/>
                <w:color w:val="000000"/>
                <w:sz w:val="18"/>
                <w:szCs w:val="18"/>
              </w:rPr>
              <w:t>es including information about significant inputs, judgements, assumptions and methods used in measurement.</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color w:val="000000"/>
                <w:sz w:val="18"/>
                <w:szCs w:val="18"/>
              </w:rPr>
              <w:t>In November 2020, the FASB issued ASU 2020-11 which deferred the effective date of the amendments in ASU 2018-12 for all insurance entities. ASU 2</w:t>
            </w:r>
            <w:r>
              <w:rPr>
                <w:rFonts w:eastAsia="Times New Roman"/>
                <w:color w:val="000000"/>
                <w:sz w:val="18"/>
                <w:szCs w:val="18"/>
              </w:rPr>
              <w:t xml:space="preserve">018-12 is effective for fiscal years, and interim periods within those fiscal years, beginning after December 15, 2022. Early adoption is allowed. </w:t>
            </w:r>
            <w:r>
              <w:rPr>
                <w:rFonts w:eastAsia="Times New Roman"/>
                <w:color w:val="000000"/>
                <w:sz w:val="18"/>
                <w:szCs w:val="18"/>
              </w:rPr>
              <w:br/>
            </w:r>
            <w:r>
              <w:rPr>
                <w:rFonts w:eastAsia="Times New Roman"/>
                <w:sz w:val="18"/>
                <w:szCs w:val="18"/>
              </w:rPr>
              <w:br/>
            </w:r>
            <w:r>
              <w:rPr>
                <w:rFonts w:eastAsia="Times New Roman"/>
                <w:color w:val="000000"/>
                <w:sz w:val="18"/>
                <w:szCs w:val="18"/>
              </w:rPr>
              <w:t>For the liability for future policyholder benefits for traditional and limited payment contracts, companies</w:t>
            </w:r>
            <w:r>
              <w:rPr>
                <w:rFonts w:eastAsia="Times New Roman"/>
                <w:color w:val="000000"/>
                <w:sz w:val="18"/>
                <w:szCs w:val="18"/>
              </w:rPr>
              <w:t xml:space="preserve"> can elect one of two adoption methods. Companies can either elect a modified retrospective transition method applied to contracts in force as of the beginning of the earliest period presented on the basis of their existing carrying amounts, adjusted for t</w:t>
            </w:r>
            <w:r>
              <w:rPr>
                <w:rFonts w:eastAsia="Times New Roman"/>
                <w:color w:val="000000"/>
                <w:sz w:val="18"/>
                <w:szCs w:val="18"/>
              </w:rPr>
              <w:t>he removal of any related amounts in AOCI or a full retrospective transition method using actual historical experience information as of contract inception. The same adoption method must be used for deferred policy acquisition costs.</w:t>
            </w:r>
            <w:r>
              <w:rPr>
                <w:rFonts w:eastAsia="Times New Roman"/>
                <w:color w:val="000000"/>
                <w:sz w:val="18"/>
                <w:szCs w:val="18"/>
              </w:rPr>
              <w:br/>
            </w:r>
            <w:r>
              <w:rPr>
                <w:rFonts w:eastAsia="Times New Roman"/>
                <w:sz w:val="18"/>
                <w:szCs w:val="18"/>
              </w:rPr>
              <w:br/>
            </w:r>
            <w:r>
              <w:rPr>
                <w:rFonts w:eastAsia="Times New Roman"/>
                <w:color w:val="000000"/>
                <w:sz w:val="18"/>
                <w:szCs w:val="18"/>
              </w:rPr>
              <w:t>For MRBs, the ASU sho</w:t>
            </w:r>
            <w:r>
              <w:rPr>
                <w:rFonts w:eastAsia="Times New Roman"/>
                <w:color w:val="000000"/>
                <w:sz w:val="18"/>
                <w:szCs w:val="18"/>
              </w:rPr>
              <w:t>uld be applied retrospectively as of the beginning of the earliest period presented.</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E54EC0">
            <w:pPr>
              <w:spacing w:after="100"/>
              <w:jc w:val="both"/>
              <w:divId w:val="492110184"/>
              <w:rPr>
                <w:rFonts w:eastAsia="Times New Roman"/>
              </w:rPr>
            </w:pPr>
            <w:r>
              <w:rPr>
                <w:rFonts w:eastAsia="Times New Roman"/>
                <w:color w:val="000000"/>
                <w:sz w:val="18"/>
                <w:szCs w:val="18"/>
              </w:rPr>
              <w:t xml:space="preserve">The Company has finalized key accounting policy decisions and executed the intended implementation plan including modifying actuarial valuation systems, modernizing key </w:t>
            </w:r>
            <w:r>
              <w:rPr>
                <w:rFonts w:eastAsia="Times New Roman"/>
                <w:color w:val="000000"/>
                <w:sz w:val="18"/>
                <w:szCs w:val="18"/>
              </w:rPr>
              <w:t>finance processes including data sourcing, analytical procedures and reporting, and updating internal controls. The Company is ready for adoption of the guidance as of January 1, 2023 using the modified retrospective approach, except for Market Risk Benefi</w:t>
            </w:r>
            <w:r>
              <w:rPr>
                <w:rFonts w:eastAsia="Times New Roman"/>
                <w:color w:val="000000"/>
                <w:sz w:val="18"/>
                <w:szCs w:val="18"/>
              </w:rPr>
              <w:t>ts (MRBs) which will use the full retrospective approach.</w:t>
            </w:r>
          </w:p>
          <w:p w:rsidR="00000000" w:rsidRDefault="00E54EC0">
            <w:pPr>
              <w:spacing w:after="100"/>
              <w:jc w:val="both"/>
              <w:divId w:val="2134857959"/>
              <w:rPr>
                <w:rFonts w:eastAsia="Times New Roman"/>
              </w:rPr>
            </w:pPr>
          </w:p>
          <w:p w:rsidR="00000000" w:rsidRDefault="00E54EC0">
            <w:pPr>
              <w:spacing w:after="100"/>
              <w:jc w:val="both"/>
              <w:divId w:val="799882100"/>
              <w:rPr>
                <w:rFonts w:eastAsia="Times New Roman"/>
              </w:rPr>
            </w:pPr>
            <w:r>
              <w:rPr>
                <w:rFonts w:eastAsia="Times New Roman"/>
                <w:color w:val="000000"/>
                <w:sz w:val="18"/>
                <w:szCs w:val="18"/>
              </w:rPr>
              <w:t>Based upon the modified retrospective transition method, the Company estimates that the January 1, 2021 transition date impact from LDTI adoption is a decrease in total U.S. GAAP equity of $3.3 bi</w:t>
            </w:r>
            <w:r>
              <w:rPr>
                <w:rFonts w:eastAsia="Times New Roman"/>
                <w:color w:val="000000"/>
                <w:sz w:val="18"/>
                <w:szCs w:val="18"/>
              </w:rPr>
              <w:t>llion. This is primarily due to accounting for our variable annuity guarantees that are not currently measured at fair value as MRBs in the extremely low interest rate environment as of January 1, 2021. For full year 2021, U.S. GAAP net income under LDTI b</w:t>
            </w:r>
            <w:r>
              <w:rPr>
                <w:rFonts w:eastAsia="Times New Roman"/>
                <w:color w:val="000000"/>
                <w:sz w:val="18"/>
                <w:szCs w:val="18"/>
              </w:rPr>
              <w:t>asis is estimated to be $2.2 billion higher than the previously reported 2021 net income of ($440) million due to better alignment between MRB liabilities and our economic hedging program. As of December 31, 2021, the impact on total equity is a decrease o</w:t>
            </w:r>
            <w:r>
              <w:rPr>
                <w:rFonts w:eastAsia="Times New Roman"/>
                <w:color w:val="000000"/>
                <w:sz w:val="18"/>
                <w:szCs w:val="18"/>
              </w:rPr>
              <w:t xml:space="preserve">f approximately $1.1 billion and in line with our prior estimates. </w:t>
            </w:r>
          </w:p>
          <w:p w:rsidR="00000000" w:rsidRDefault="00E54EC0">
            <w:pPr>
              <w:spacing w:after="100"/>
              <w:jc w:val="both"/>
              <w:divId w:val="1945529649"/>
              <w:rPr>
                <w:rFonts w:eastAsia="Times New Roman"/>
              </w:rPr>
            </w:pPr>
          </w:p>
          <w:p w:rsidR="00000000" w:rsidRDefault="00E54EC0">
            <w:pPr>
              <w:spacing w:after="100"/>
              <w:jc w:val="both"/>
              <w:divId w:val="230235694"/>
              <w:rPr>
                <w:rFonts w:eastAsia="Times New Roman"/>
              </w:rPr>
            </w:pPr>
            <w:r>
              <w:rPr>
                <w:rFonts w:eastAsia="Times New Roman"/>
                <w:color w:val="000000"/>
                <w:sz w:val="18"/>
                <w:szCs w:val="18"/>
              </w:rPr>
              <w:t>The U.S. GAAP net income for full year 2022 is estimated to be positive and less volatile under LDTI. The estimated impact to total U.S. GAAP equity as of December 31, 2022 is expected t</w:t>
            </w:r>
            <w:r>
              <w:rPr>
                <w:rFonts w:eastAsia="Times New Roman"/>
                <w:color w:val="000000"/>
                <w:sz w:val="18"/>
                <w:szCs w:val="18"/>
              </w:rPr>
              <w:t>o be significantly mitigated by the Company’s present use of a near industry low interest rate assumption of 2.25% on GMIB business that results in a positive impact from accounting for its variable annuity guarantees as MRBs under the guidance at December</w:t>
            </w:r>
            <w:r>
              <w:rPr>
                <w:rFonts w:eastAsia="Times New Roman"/>
                <w:color w:val="000000"/>
                <w:sz w:val="18"/>
                <w:szCs w:val="18"/>
              </w:rPr>
              <w:t xml:space="preserve"> 31, 2022.</w:t>
            </w:r>
          </w:p>
        </w:tc>
      </w:tr>
      <w:tr w:rsidR="00000000">
        <w:trPr>
          <w:divId w:val="1354263067"/>
        </w:trPr>
        <w:tc>
          <w:tcPr>
            <w:tcW w:w="0" w:type="auto"/>
            <w:gridSpan w:val="3"/>
            <w:vAlign w:val="center"/>
            <w:hideMark/>
          </w:tcPr>
          <w:p w:rsidR="00000000" w:rsidRDefault="00E54EC0">
            <w:pPr>
              <w:spacing w:after="100"/>
              <w:jc w:val="both"/>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542630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jc w:val="center"/>
        <w:divId w:val="987436578"/>
        <w:rPr>
          <w:rFonts w:eastAsia="Times New Roman"/>
        </w:rPr>
      </w:pPr>
      <w:r>
        <w:rPr>
          <w:rFonts w:eastAsia="Times New Roman"/>
          <w:color w:val="000000"/>
          <w:sz w:val="20"/>
          <w:szCs w:val="20"/>
        </w:rPr>
        <w:t>139</w:t>
      </w:r>
    </w:p>
    <w:p w:rsidR="00000000" w:rsidRDefault="00E54EC0">
      <w:pPr>
        <w:rPr>
          <w:rFonts w:eastAsia="Times New Roman"/>
        </w:rPr>
      </w:pPr>
      <w:r>
        <w:rPr>
          <w:rFonts w:eastAsia="Times New Roman"/>
        </w:rPr>
        <w:pict>
          <v:rect id="_x0000_i1177" style="width:0;height:1.5pt" o:hralign="center" o:hrstd="t" o:hr="t" fillcolor="#a0a0a0" stroked="f"/>
        </w:pict>
      </w:r>
    </w:p>
    <w:p w:rsidR="00000000" w:rsidRDefault="00E54EC0">
      <w:pPr>
        <w:divId w:val="1735544482"/>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215849040"/>
        <w:rPr>
          <w:rFonts w:eastAsia="Times New Roman"/>
        </w:rPr>
      </w:pPr>
      <w:r>
        <w:rPr>
          <w:rFonts w:eastAsia="Times New Roman"/>
          <w:b/>
          <w:bCs/>
          <w:color w:val="000000"/>
          <w:sz w:val="20"/>
          <w:szCs w:val="20"/>
        </w:rPr>
        <w:t>EQUITABLE HOLDINGS, INC.</w:t>
      </w:r>
    </w:p>
    <w:p w:rsidR="00000000" w:rsidRDefault="00E54EC0">
      <w:pPr>
        <w:jc w:val="center"/>
        <w:divId w:val="1215849040"/>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215849040"/>
        <w:rPr>
          <w:rFonts w:eastAsia="Times New Roman"/>
        </w:rPr>
      </w:pPr>
    </w:p>
    <w:p w:rsidR="00000000" w:rsidRDefault="00E54EC0">
      <w:pPr>
        <w:divId w:val="880632683"/>
        <w:rPr>
          <w:rFonts w:eastAsia="Times New Roman"/>
        </w:rPr>
      </w:pPr>
      <w:r>
        <w:rPr>
          <w:rFonts w:eastAsia="Times New Roman"/>
          <w:color w:val="000000"/>
          <w:sz w:val="20"/>
          <w:szCs w:val="20"/>
          <w:u w:val="single"/>
        </w:rPr>
        <w:t>Investments</w:t>
      </w:r>
    </w:p>
    <w:p w:rsidR="00000000" w:rsidRDefault="00E54EC0">
      <w:pPr>
        <w:divId w:val="525678304"/>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Changes in credit losses are recognized i</w:t>
      </w:r>
      <w:r>
        <w:rPr>
          <w:rFonts w:eastAsia="Times New Roman"/>
          <w:color w:val="000000"/>
          <w:sz w:val="20"/>
          <w:szCs w:val="20"/>
        </w:rPr>
        <w:t>n Investment gains (losses), net. The redeemable preferred stock investments that are reported in fixed maturities include REIT, perpetual preferred stock and redeemable preferred stock. These securities may not have a stated maturity, may not be cumulativ</w:t>
      </w:r>
      <w:r>
        <w:rPr>
          <w:rFonts w:eastAsia="Times New Roman"/>
          <w:color w:val="000000"/>
          <w:sz w:val="20"/>
          <w:szCs w:val="20"/>
        </w:rPr>
        <w:t>e and do not provide for mandatory redemption by the issuer.</w:t>
      </w:r>
      <w:r>
        <w:rPr>
          <w:rFonts w:eastAsia="Times New Roman"/>
          <w:color w:val="00FFFF"/>
          <w:sz w:val="20"/>
          <w:szCs w:val="20"/>
        </w:rPr>
        <w:t xml:space="preserve"> </w:t>
      </w:r>
      <w:r>
        <w:rPr>
          <w:rFonts w:eastAsia="Times New Roman"/>
          <w:color w:val="000000"/>
          <w:sz w:val="20"/>
          <w:szCs w:val="20"/>
        </w:rPr>
        <w:t>Effective January 1, 2021, the Company began classifying certain preferred stock as equity securities to better reflect the economics and nature of these securities. These preferred stock securit</w:t>
      </w:r>
      <w:r>
        <w:rPr>
          <w:rFonts w:eastAsia="Times New Roman"/>
          <w:color w:val="000000"/>
          <w:sz w:val="20"/>
          <w:szCs w:val="20"/>
        </w:rPr>
        <w:t>ies are reported in other equity investments.</w:t>
      </w:r>
    </w:p>
    <w:p w:rsidR="00000000" w:rsidRDefault="00E54EC0">
      <w:pPr>
        <w:divId w:val="1381713379"/>
        <w:rPr>
          <w:rFonts w:eastAsia="Times New Roman"/>
        </w:rPr>
      </w:pPr>
      <w:r>
        <w:rPr>
          <w:rFonts w:eastAsia="Times New Roman"/>
          <w:color w:val="000000"/>
          <w:sz w:val="20"/>
          <w:szCs w:val="20"/>
        </w:rPr>
        <w:t>The Company determines the fair values of fixed maturities and equity securities based upon quoted prices in active markets, when available, or through the use of alternative approaches when market quotes are n</w:t>
      </w:r>
      <w:r>
        <w:rPr>
          <w:rFonts w:eastAsia="Times New Roman"/>
          <w:color w:val="000000"/>
          <w:sz w:val="20"/>
          <w:szCs w:val="20"/>
        </w:rPr>
        <w:t xml:space="preserve">ot readily accessible or available. These alternative approaches include matrix or model pricing and use of independent pricing services, each supported by reference to principal market trades or other observable market assumptions for similar securities. </w:t>
      </w:r>
      <w:r>
        <w:rPr>
          <w:rFonts w:eastAsia="Times New Roman"/>
          <w:color w:val="000000"/>
          <w:sz w:val="20"/>
          <w:szCs w:val="20"/>
        </w:rPr>
        <w:t>More specifically, the matrix pricing approach to fair value is a discounted cash flow methodology that incorporates market interest rates commensurate with the credit quality and duration of the investment. The Company’s management, with the assistance of</w:t>
      </w:r>
      <w:r>
        <w:rPr>
          <w:rFonts w:eastAsia="Times New Roman"/>
          <w:color w:val="000000"/>
          <w:sz w:val="20"/>
          <w:szCs w:val="20"/>
        </w:rPr>
        <w:t xml:space="preserve"> its investment advisors, evaluates AFS debt securities that experienced a decline in fair value below amortized cost for credit losses which are evaluated in accordance with the new financial instruments credit losses guidance. Integral to this review is </w:t>
      </w:r>
      <w:r>
        <w:rPr>
          <w:rFonts w:eastAsia="Times New Roman"/>
          <w:color w:val="000000"/>
          <w:sz w:val="20"/>
          <w:szCs w:val="20"/>
        </w:rPr>
        <w:t>an assessment made each quarter, on a security-by-security basis, by the IUS Committee, of various indicators of credit deterioration to determine whether the investment security has experienced a credit loss. This assessment includes, but is not limited t</w:t>
      </w:r>
      <w:r>
        <w:rPr>
          <w:rFonts w:eastAsia="Times New Roman"/>
          <w:color w:val="000000"/>
          <w:sz w:val="20"/>
          <w:szCs w:val="20"/>
        </w:rPr>
        <w:t>o, consideration of the severity of the unrealized loss, failure, if any, of the issuer of the security to make scheduled payments, actions taken by rating agencies, adverse conditions specifically related to the security or sector, and the financial stren</w:t>
      </w:r>
      <w:r>
        <w:rPr>
          <w:rFonts w:eastAsia="Times New Roman"/>
          <w:color w:val="000000"/>
          <w:sz w:val="20"/>
          <w:szCs w:val="20"/>
        </w:rPr>
        <w:t>gth, liquidity and continued viability of the issuer.</w:t>
      </w:r>
    </w:p>
    <w:p w:rsidR="00000000" w:rsidRDefault="00E54EC0">
      <w:pPr>
        <w:divId w:val="1015308825"/>
        <w:rPr>
          <w:rFonts w:eastAsia="Times New Roman"/>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 investment, an</w:t>
      </w:r>
      <w:r>
        <w:rPr>
          <w:rFonts w:eastAsia="Times New Roman"/>
          <w:color w:val="000000"/>
          <w:sz w:val="20"/>
          <w:szCs w:val="20"/>
        </w:rPr>
        <w:t xml:space="preserve">d credit losses are limited to the amount by which the security’s amortized cost basis exceeds its fair value. Any improvements in estimated credit losses on AFS debt securities are recognized immediately in earnings. Management does not use the length of </w:t>
      </w:r>
      <w:r>
        <w:rPr>
          <w:rFonts w:eastAsia="Times New Roman"/>
          <w:color w:val="000000"/>
          <w:sz w:val="20"/>
          <w:szCs w:val="20"/>
        </w:rPr>
        <w:t xml:space="preserve">time a security has been in an unrealized loss position as a factor, either by itself or in combination with other factors, to conclude that a credit loss does not exist. </w:t>
      </w:r>
    </w:p>
    <w:p w:rsidR="00000000" w:rsidRDefault="00E54EC0">
      <w:pPr>
        <w:divId w:val="1984694193"/>
        <w:rPr>
          <w:rFonts w:eastAsia="Times New Roman"/>
        </w:rPr>
      </w:pPr>
      <w:r>
        <w:rPr>
          <w:rFonts w:eastAsia="Times New Roman"/>
          <w:color w:val="000000"/>
          <w:sz w:val="20"/>
          <w:szCs w:val="20"/>
        </w:rPr>
        <w:t>When the Company determines that there is more than 50% likelihood that it is not go</w:t>
      </w:r>
      <w:r>
        <w:rPr>
          <w:rFonts w:eastAsia="Times New Roman"/>
          <w:color w:val="000000"/>
          <w:sz w:val="20"/>
          <w:szCs w:val="20"/>
        </w:rPr>
        <w:t xml:space="preserve">ing to recover the principal and interest cash flows related to an AFS debt security, the security is placed on nonaccrual status and the Company reverses accrued interest receivable against interest income. Since the nonaccrual policy results in a timely </w:t>
      </w:r>
      <w:r>
        <w:rPr>
          <w:rFonts w:eastAsia="Times New Roman"/>
          <w:color w:val="000000"/>
          <w:sz w:val="20"/>
          <w:szCs w:val="20"/>
        </w:rPr>
        <w:t>reversal of accrued interest receivable, the Company does not record an allowance for credit losses on accrued interest receivable.</w:t>
      </w:r>
    </w:p>
    <w:p w:rsidR="00000000" w:rsidRDefault="00E54EC0">
      <w:pPr>
        <w:divId w:val="245653961"/>
        <w:rPr>
          <w:rFonts w:eastAsia="Times New Roman"/>
        </w:rPr>
      </w:pPr>
    </w:p>
    <w:p w:rsidR="00000000" w:rsidRDefault="00E54EC0">
      <w:pPr>
        <w:divId w:val="314455946"/>
        <w:rPr>
          <w:rFonts w:eastAsia="Times New Roman"/>
        </w:rPr>
      </w:pPr>
      <w:r>
        <w:rPr>
          <w:rFonts w:eastAsia="Times New Roman"/>
          <w:color w:val="000000"/>
          <w:sz w:val="20"/>
          <w:szCs w:val="20"/>
        </w:rPr>
        <w:t>If there is no intent to sell or likely requirement to dispose of the fixed maturity security before its recovery, only th</w:t>
      </w:r>
      <w:r>
        <w:rPr>
          <w:rFonts w:eastAsia="Times New Roman"/>
          <w:color w:val="000000"/>
          <w:sz w:val="20"/>
          <w:szCs w:val="20"/>
        </w:rPr>
        <w:t>e credit loss component of any resulting allowance is recognized in income (loss) and the remainder of the fair value loss is recognized in OCI. The amount of credit loss is the shortfall of the present value of the cash flows expected to be collected as c</w:t>
      </w:r>
      <w:r>
        <w:rPr>
          <w:rFonts w:eastAsia="Times New Roman"/>
          <w:color w:val="000000"/>
          <w:sz w:val="20"/>
          <w:szCs w:val="20"/>
        </w:rPr>
        <w:t>ompared to the amortized cost basis of the security. The present value is calculated by discounting management’s best estimate of projected future cash flows at the effective interest rate implicit in the debt security at the date of acquisition. Projectio</w:t>
      </w:r>
      <w:r>
        <w:rPr>
          <w:rFonts w:eastAsia="Times New Roman"/>
          <w:color w:val="000000"/>
          <w:sz w:val="20"/>
          <w:szCs w:val="20"/>
        </w:rPr>
        <w:t xml:space="preserve">ns of future cash flows are based on assumptions regarding probability of default and estimates regarding the amount and timing of recoveries. These assumptions and estimates require use of management judgment and consider internal credit analyses as well </w:t>
      </w:r>
      <w:r>
        <w:rPr>
          <w:rFonts w:eastAsia="Times New Roman"/>
          <w:color w:val="000000"/>
          <w:sz w:val="20"/>
          <w:szCs w:val="20"/>
        </w:rPr>
        <w:t>as market observable data relevant to the collectability of the security. For mortgage and asset-backed securities, projected future cash flows also include assumptions regarding prepayments and underlying collateral value.</w:t>
      </w:r>
    </w:p>
    <w:p w:rsidR="00000000" w:rsidRDefault="00E54EC0">
      <w:pPr>
        <w:divId w:val="993532327"/>
        <w:rPr>
          <w:rFonts w:eastAsia="Times New Roman"/>
        </w:rPr>
      </w:pPr>
      <w:r>
        <w:rPr>
          <w:rFonts w:eastAsia="Times New Roman"/>
          <w:color w:val="000000"/>
          <w:sz w:val="20"/>
          <w:szCs w:val="20"/>
        </w:rPr>
        <w:t>Write-offs of AFS debt securitie</w:t>
      </w:r>
      <w:r>
        <w:rPr>
          <w:rFonts w:eastAsia="Times New Roman"/>
          <w:color w:val="000000"/>
          <w:sz w:val="20"/>
          <w:szCs w:val="20"/>
        </w:rPr>
        <w:t>s are recorded when all or a portion of a financial asset is deemed uncollectible. Full or partial write-offs are recorded as reductions to the amortized cost basis of the AFS debt security and deducted from the allowance in the period in which the financi</w:t>
      </w:r>
      <w:r>
        <w:rPr>
          <w:rFonts w:eastAsia="Times New Roman"/>
          <w:color w:val="000000"/>
          <w:sz w:val="20"/>
          <w:szCs w:val="20"/>
        </w:rPr>
        <w:t>al assets are deemed uncollectible. The Company elected to reverse accrued interest deemed uncollectible as a reversal of interest income. In instances where the Company collects cash that it has previously written off, the recovery will be recognized thro</w:t>
      </w:r>
      <w:r>
        <w:rPr>
          <w:rFonts w:eastAsia="Times New Roman"/>
          <w:color w:val="000000"/>
          <w:sz w:val="20"/>
          <w:szCs w:val="20"/>
        </w:rPr>
        <w:t xml:space="preserve">ugh earnings or as a reduction of the amortized cost basis for interest and principal, respectively. </w:t>
      </w:r>
    </w:p>
    <w:p w:rsidR="00000000" w:rsidRDefault="00E54EC0">
      <w:pPr>
        <w:divId w:val="805972969"/>
        <w:rPr>
          <w:rFonts w:eastAsia="Times New Roman"/>
        </w:rPr>
      </w:pPr>
      <w:r>
        <w:rPr>
          <w:rFonts w:eastAsia="Times New Roman"/>
          <w:color w:val="000000"/>
          <w:sz w:val="20"/>
          <w:szCs w:val="20"/>
        </w:rPr>
        <w:t>Policy loans represent funds loaned to policyholders up to the cash surrender value of the associated insurance policies and are carried at the unpaid pri</w:t>
      </w:r>
      <w:r>
        <w:rPr>
          <w:rFonts w:eastAsia="Times New Roman"/>
          <w:color w:val="000000"/>
          <w:sz w:val="20"/>
          <w:szCs w:val="20"/>
        </w:rPr>
        <w:t>ncipal balances due to the Company from the policyholders. Interest income on policy loans is recognized in net investment income at the contract interest rate when earned. Policy loans are fully collateralized by the cash surrender value of the associated</w:t>
      </w:r>
      <w:r>
        <w:rPr>
          <w:rFonts w:eastAsia="Times New Roman"/>
          <w:color w:val="000000"/>
          <w:sz w:val="20"/>
          <w:szCs w:val="20"/>
        </w:rPr>
        <w:t xml:space="preserve"> insurance policies.</w:t>
      </w:r>
    </w:p>
    <w:p w:rsidR="00000000" w:rsidRDefault="00E54EC0">
      <w:pPr>
        <w:divId w:val="821508539"/>
        <w:rPr>
          <w:rFonts w:eastAsia="Times New Roman"/>
        </w:rPr>
      </w:pPr>
      <w:r>
        <w:rPr>
          <w:rFonts w:eastAsia="Times New Roman"/>
          <w:color w:val="000000"/>
          <w:sz w:val="20"/>
          <w:szCs w:val="20"/>
        </w:rPr>
        <w:t xml:space="preserve">Partnerships, investment companies and joint venture interests that the Company has control of and has an economic interest in or those that meet the requirements for consolidation under accounting guidance for consolidation of VIEs </w:t>
      </w:r>
    </w:p>
    <w:p w:rsidR="00000000" w:rsidRDefault="00E54EC0">
      <w:pPr>
        <w:jc w:val="center"/>
        <w:divId w:val="1332677573"/>
        <w:rPr>
          <w:rFonts w:eastAsia="Times New Roman"/>
        </w:rPr>
      </w:pPr>
      <w:r>
        <w:rPr>
          <w:rFonts w:eastAsia="Times New Roman"/>
          <w:color w:val="000000"/>
          <w:sz w:val="20"/>
          <w:szCs w:val="20"/>
        </w:rPr>
        <w:t>1</w:t>
      </w:r>
      <w:r>
        <w:rPr>
          <w:rFonts w:eastAsia="Times New Roman"/>
          <w:color w:val="000000"/>
          <w:sz w:val="20"/>
          <w:szCs w:val="20"/>
        </w:rPr>
        <w:t>40</w:t>
      </w:r>
    </w:p>
    <w:p w:rsidR="00000000" w:rsidRDefault="00E54EC0">
      <w:pPr>
        <w:rPr>
          <w:rFonts w:eastAsia="Times New Roman"/>
        </w:rPr>
      </w:pPr>
      <w:r>
        <w:rPr>
          <w:rFonts w:eastAsia="Times New Roman"/>
        </w:rPr>
        <w:pict>
          <v:rect id="_x0000_i1178" style="width:0;height:1.5pt" o:hralign="center" o:hrstd="t" o:hr="t" fillcolor="#a0a0a0" stroked="f"/>
        </w:pict>
      </w:r>
    </w:p>
    <w:p w:rsidR="00000000" w:rsidRDefault="00E54EC0">
      <w:pPr>
        <w:divId w:val="2034379817"/>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024985158"/>
        <w:rPr>
          <w:rFonts w:eastAsia="Times New Roman"/>
        </w:rPr>
      </w:pPr>
      <w:r>
        <w:rPr>
          <w:rFonts w:eastAsia="Times New Roman"/>
          <w:b/>
          <w:bCs/>
          <w:color w:val="000000"/>
          <w:sz w:val="20"/>
          <w:szCs w:val="20"/>
        </w:rPr>
        <w:t>EQUITABLE HOLDINGS, INC.</w:t>
      </w:r>
    </w:p>
    <w:p w:rsidR="00000000" w:rsidRDefault="00E54EC0">
      <w:pPr>
        <w:jc w:val="center"/>
        <w:divId w:val="1024985158"/>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024985158"/>
        <w:rPr>
          <w:rFonts w:eastAsia="Times New Roman"/>
        </w:rPr>
      </w:pPr>
    </w:p>
    <w:p w:rsidR="00000000" w:rsidRDefault="00E54EC0">
      <w:pPr>
        <w:divId w:val="1649047920"/>
        <w:rPr>
          <w:rFonts w:eastAsia="Times New Roman"/>
        </w:rPr>
      </w:pPr>
      <w:r>
        <w:rPr>
          <w:rFonts w:eastAsia="Times New Roman"/>
          <w:color w:val="000000"/>
          <w:sz w:val="20"/>
          <w:szCs w:val="20"/>
        </w:rPr>
        <w:t>are consolidated. Those that the Company does not have con</w:t>
      </w:r>
      <w:r>
        <w:rPr>
          <w:rFonts w:eastAsia="Times New Roman"/>
          <w:color w:val="000000"/>
          <w:sz w:val="20"/>
          <w:szCs w:val="20"/>
        </w:rPr>
        <w:t>trol of and does not have a majority economic interest in and those that do not meet the VIE requirements for consolidation are reported on the equity method of accounting and are reported in other equity investments. The Company records its interests in c</w:t>
      </w:r>
      <w:r>
        <w:rPr>
          <w:rFonts w:eastAsia="Times New Roman"/>
          <w:color w:val="000000"/>
          <w:sz w:val="20"/>
          <w:szCs w:val="20"/>
        </w:rPr>
        <w:t>ertain of these partnerships on a month or one quarter lag.</w:t>
      </w:r>
    </w:p>
    <w:p w:rsidR="00000000" w:rsidRDefault="00E54EC0">
      <w:pPr>
        <w:divId w:val="1832015508"/>
        <w:rPr>
          <w:rFonts w:eastAsia="Times New Roman"/>
        </w:rPr>
      </w:pPr>
      <w:r>
        <w:rPr>
          <w:rFonts w:eastAsia="Times New Roman"/>
          <w:color w:val="000000"/>
          <w:sz w:val="20"/>
          <w:szCs w:val="20"/>
        </w:rPr>
        <w:t>Trading securities, which include equity securities and fixed maturities, are carried at fair value based on quoted market prices, with realized and unrealized gains (losses) reported in net inves</w:t>
      </w:r>
      <w:r>
        <w:rPr>
          <w:rFonts w:eastAsia="Times New Roman"/>
          <w:color w:val="000000"/>
          <w:sz w:val="20"/>
          <w:szCs w:val="20"/>
        </w:rPr>
        <w:t xml:space="preserve">tment income (loss) in the consolidated statements of income (loss). </w:t>
      </w:r>
    </w:p>
    <w:p w:rsidR="00000000" w:rsidRDefault="00E54EC0">
      <w:pPr>
        <w:divId w:val="397287142"/>
        <w:rPr>
          <w:rFonts w:eastAsia="Times New Roman"/>
        </w:rPr>
      </w:pPr>
      <w:r>
        <w:rPr>
          <w:rFonts w:eastAsia="Times New Roman"/>
          <w:color w:val="000000"/>
          <w:sz w:val="20"/>
          <w:szCs w:val="20"/>
        </w:rPr>
        <w:t>The carrying values of certain fixed maturities are reported at fair value where the fair value option has been elected. The fair value option allows the Company to elect fair value as a</w:t>
      </w:r>
      <w:r>
        <w:rPr>
          <w:rFonts w:eastAsia="Times New Roman"/>
          <w:color w:val="000000"/>
          <w:sz w:val="20"/>
          <w:szCs w:val="20"/>
        </w:rPr>
        <w:t>n alternative measurement for selected financial assets and financial liabilities not otherwise reported at fair value. Such elections have been made to help mitigate volatility in earnings that result from different measurement attributes. Electing the fa</w:t>
      </w:r>
      <w:r>
        <w:rPr>
          <w:rFonts w:eastAsia="Times New Roman"/>
          <w:color w:val="000000"/>
          <w:sz w:val="20"/>
          <w:szCs w:val="20"/>
        </w:rPr>
        <w:t>ir value option also allows the consistent accounting in net investment income (loss) for certain assets and liabilities. Changes in fair value of fixed maturities that have elected the fair value option are reflected in realized and unrealized gains (loss</w:t>
      </w:r>
      <w:r>
        <w:rPr>
          <w:rFonts w:eastAsia="Times New Roman"/>
          <w:color w:val="000000"/>
          <w:sz w:val="20"/>
          <w:szCs w:val="20"/>
        </w:rPr>
        <w:t>es) reported in net investment income (loss) in the consolidated statements of income (loss).</w:t>
      </w:r>
    </w:p>
    <w:p w:rsidR="00000000" w:rsidRDefault="00E54EC0">
      <w:pPr>
        <w:divId w:val="2034723403"/>
        <w:rPr>
          <w:rFonts w:eastAsia="Times New Roman"/>
        </w:rPr>
      </w:pPr>
      <w:r>
        <w:rPr>
          <w:rFonts w:eastAsia="Times New Roman"/>
          <w:color w:val="000000"/>
          <w:sz w:val="20"/>
          <w:szCs w:val="20"/>
        </w:rPr>
        <w:t xml:space="preserve">Notes issued by consolidated variable interest entities represent notes issued by certain asset-backed investment vehicles, primarily CLOs, which we are required </w:t>
      </w:r>
      <w:r>
        <w:rPr>
          <w:rFonts w:eastAsia="Times New Roman"/>
          <w:color w:val="000000"/>
          <w:sz w:val="20"/>
          <w:szCs w:val="20"/>
        </w:rPr>
        <w:t>to consolidate. The creditors of these VIEs do not have recourse to the Company in excess of the assets contained within the VIEs. The Company has elected the fair value option for the majority of these notes and has based the fair value on the correspondi</w:t>
      </w:r>
      <w:r>
        <w:rPr>
          <w:rFonts w:eastAsia="Times New Roman"/>
          <w:color w:val="000000"/>
          <w:sz w:val="20"/>
          <w:szCs w:val="20"/>
        </w:rPr>
        <w:t>ng debt security collateral. Changes in fair value are reported in net investment income (loss).</w:t>
      </w:r>
    </w:p>
    <w:p w:rsidR="00000000" w:rsidRDefault="00E54EC0">
      <w:pPr>
        <w:divId w:val="1863661147"/>
        <w:rPr>
          <w:rFonts w:eastAsia="Times New Roman"/>
        </w:rPr>
      </w:pPr>
      <w:r>
        <w:rPr>
          <w:rFonts w:eastAsia="Times New Roman"/>
          <w:color w:val="000000"/>
          <w:sz w:val="20"/>
          <w:szCs w:val="20"/>
        </w:rPr>
        <w:t>COLI has been purchased by the Company and certain subsidiaries on the lives of certain key employees and the Company and these subsidiaries are named as benef</w:t>
      </w:r>
      <w:r>
        <w:rPr>
          <w:rFonts w:eastAsia="Times New Roman"/>
          <w:color w:val="000000"/>
          <w:sz w:val="20"/>
          <w:szCs w:val="20"/>
        </w:rPr>
        <w:t>iciaries under these policies. COLI is carried at the cash surrender value of the policies. As of December 31, 2022 and 2021, the carrying value of COLI was $886 million and $1.0 billion, respectively, and is reported in other invested assets in the consol</w:t>
      </w:r>
      <w:r>
        <w:rPr>
          <w:rFonts w:eastAsia="Times New Roman"/>
          <w:color w:val="000000"/>
          <w:sz w:val="20"/>
          <w:szCs w:val="20"/>
        </w:rPr>
        <w:t>idated balance sheets.</w:t>
      </w:r>
    </w:p>
    <w:p w:rsidR="00000000" w:rsidRDefault="00E54EC0">
      <w:pPr>
        <w:divId w:val="1565681735"/>
        <w:rPr>
          <w:rFonts w:eastAsia="Times New Roman"/>
        </w:rPr>
      </w:pPr>
      <w:r>
        <w:rPr>
          <w:rFonts w:eastAsia="Times New Roman"/>
          <w:color w:val="000000"/>
          <w:sz w:val="20"/>
          <w:szCs w:val="20"/>
        </w:rPr>
        <w:t>Cash and cash equivalents includes cash on hand, demand deposits, money market accounts, overnight commercial paper and highly liquid debt instruments purchased with an original maturity of three months or less. Due to the short-term</w:t>
      </w:r>
      <w:r>
        <w:rPr>
          <w:rFonts w:eastAsia="Times New Roman"/>
          <w:color w:val="000000"/>
          <w:sz w:val="20"/>
          <w:szCs w:val="20"/>
        </w:rPr>
        <w:t xml:space="preserve"> nature of these investments, the recorded value is deemed to approximate fair value. Cash and securities segregated primarily includes U.S. Treasury Bills segregated by AB in a special reserve bank custody account for the exclusive benefit of its brokerag</w:t>
      </w:r>
      <w:r>
        <w:rPr>
          <w:rFonts w:eastAsia="Times New Roman"/>
          <w:color w:val="000000"/>
          <w:sz w:val="20"/>
          <w:szCs w:val="20"/>
        </w:rPr>
        <w:t>e customers under Rule 15c3-3 of the Exchange Act.</w:t>
      </w:r>
    </w:p>
    <w:p w:rsidR="00000000" w:rsidRDefault="00E54EC0">
      <w:pPr>
        <w:divId w:val="388387481"/>
        <w:rPr>
          <w:rFonts w:eastAsia="Times New Roman"/>
        </w:rPr>
      </w:pPr>
      <w:r>
        <w:rPr>
          <w:rFonts w:eastAsia="Times New Roman"/>
          <w:color w:val="000000"/>
          <w:sz w:val="20"/>
          <w:szCs w:val="20"/>
          <w:u w:val="single"/>
        </w:rPr>
        <w:t xml:space="preserve">Securities Sold under Agreements to Repurchase </w:t>
      </w:r>
    </w:p>
    <w:p w:rsidR="00000000" w:rsidRDefault="00E54EC0">
      <w:pPr>
        <w:divId w:val="1795175817"/>
        <w:rPr>
          <w:rFonts w:eastAsia="Times New Roman"/>
        </w:rPr>
      </w:pPr>
    </w:p>
    <w:p w:rsidR="00000000" w:rsidRDefault="00E54EC0">
      <w:pPr>
        <w:divId w:val="1789084377"/>
        <w:rPr>
          <w:rFonts w:eastAsia="Times New Roman"/>
        </w:rPr>
      </w:pPr>
      <w:r>
        <w:rPr>
          <w:rFonts w:eastAsia="Times New Roman"/>
          <w:color w:val="000000"/>
          <w:sz w:val="20"/>
          <w:szCs w:val="20"/>
        </w:rPr>
        <w:t xml:space="preserve">Securities sold under agreements to repurchase involve the temporary exchange of securities for cash or </w:t>
      </w:r>
    </w:p>
    <w:p w:rsidR="00000000" w:rsidRDefault="00E54EC0">
      <w:pPr>
        <w:divId w:val="244649219"/>
        <w:rPr>
          <w:rFonts w:eastAsia="Times New Roman"/>
        </w:rPr>
      </w:pPr>
      <w:r>
        <w:rPr>
          <w:rFonts w:eastAsia="Times New Roman"/>
          <w:color w:val="000000"/>
          <w:sz w:val="20"/>
          <w:szCs w:val="20"/>
        </w:rPr>
        <w:t>other collateral of equivalent value, with agreeme</w:t>
      </w:r>
      <w:r>
        <w:rPr>
          <w:rFonts w:eastAsia="Times New Roman"/>
          <w:color w:val="000000"/>
          <w:sz w:val="20"/>
          <w:szCs w:val="20"/>
        </w:rPr>
        <w:t xml:space="preserve">nt to redeliver a like quantity of the same or similar securities at a </w:t>
      </w:r>
    </w:p>
    <w:p w:rsidR="00000000" w:rsidRDefault="00E54EC0">
      <w:pPr>
        <w:divId w:val="1074399285"/>
        <w:rPr>
          <w:rFonts w:eastAsia="Times New Roman"/>
        </w:rPr>
      </w:pPr>
      <w:r>
        <w:rPr>
          <w:rFonts w:eastAsia="Times New Roman"/>
          <w:color w:val="000000"/>
          <w:sz w:val="20"/>
          <w:szCs w:val="20"/>
        </w:rPr>
        <w:t>future date prior to maturity at a fixed and determinable price. Securities sold under agreements to repurchase</w:t>
      </w:r>
    </w:p>
    <w:p w:rsidR="00000000" w:rsidRDefault="00E54EC0">
      <w:pPr>
        <w:divId w:val="1580677091"/>
        <w:rPr>
          <w:rFonts w:eastAsia="Times New Roman"/>
        </w:rPr>
      </w:pPr>
      <w:r>
        <w:rPr>
          <w:rFonts w:eastAsia="Times New Roman"/>
          <w:color w:val="000000"/>
          <w:sz w:val="20"/>
          <w:szCs w:val="20"/>
        </w:rPr>
        <w:t xml:space="preserve">transactions are conducted by the Company under a standardized securities industry master agreement, amended to suit </w:t>
      </w:r>
    </w:p>
    <w:p w:rsidR="00000000" w:rsidRDefault="00E54EC0">
      <w:pPr>
        <w:divId w:val="643313613"/>
        <w:rPr>
          <w:rFonts w:eastAsia="Times New Roman"/>
        </w:rPr>
      </w:pPr>
      <w:r>
        <w:rPr>
          <w:rFonts w:eastAsia="Times New Roman"/>
          <w:color w:val="000000"/>
          <w:sz w:val="20"/>
          <w:szCs w:val="20"/>
        </w:rPr>
        <w:t>the requirements of each r</w:t>
      </w:r>
      <w:r>
        <w:rPr>
          <w:rFonts w:eastAsia="Times New Roman"/>
          <w:color w:val="000000"/>
          <w:sz w:val="20"/>
          <w:szCs w:val="20"/>
        </w:rPr>
        <w:t xml:space="preserve">espective counterparty. Transfers of securities under these agreements to repurchase </w:t>
      </w:r>
    </w:p>
    <w:p w:rsidR="00000000" w:rsidRDefault="00E54EC0">
      <w:pPr>
        <w:divId w:val="1574658225"/>
        <w:rPr>
          <w:rFonts w:eastAsia="Times New Roman"/>
        </w:rPr>
      </w:pPr>
      <w:r>
        <w:rPr>
          <w:rFonts w:eastAsia="Times New Roman"/>
          <w:color w:val="000000"/>
          <w:sz w:val="20"/>
          <w:szCs w:val="20"/>
        </w:rPr>
        <w:t xml:space="preserve">are evaluated by the Company to determine whether they satisfy the criteria for accounting treatment as secured </w:t>
      </w:r>
    </w:p>
    <w:p w:rsidR="00000000" w:rsidRDefault="00E54EC0">
      <w:pPr>
        <w:divId w:val="2111005125"/>
        <w:rPr>
          <w:rFonts w:eastAsia="Times New Roman"/>
        </w:rPr>
      </w:pPr>
      <w:r>
        <w:rPr>
          <w:rFonts w:eastAsia="Times New Roman"/>
          <w:color w:val="000000"/>
          <w:sz w:val="20"/>
          <w:szCs w:val="20"/>
        </w:rPr>
        <w:t xml:space="preserve">borrowing arrangements. Agreements not meeting the criteria would require recognition of the transferred </w:t>
      </w:r>
    </w:p>
    <w:p w:rsidR="00000000" w:rsidRDefault="00E54EC0">
      <w:pPr>
        <w:divId w:val="1795325458"/>
        <w:rPr>
          <w:rFonts w:eastAsia="Times New Roman"/>
        </w:rPr>
      </w:pPr>
      <w:r>
        <w:rPr>
          <w:rFonts w:eastAsia="Times New Roman"/>
          <w:color w:val="000000"/>
          <w:sz w:val="20"/>
          <w:szCs w:val="20"/>
        </w:rPr>
        <w:t xml:space="preserve">securities as sales with related forward repurchase commitments. All of the Company’s securities repurchase transactions are accounted for as secured </w:t>
      </w:r>
      <w:r>
        <w:rPr>
          <w:rFonts w:eastAsia="Times New Roman"/>
          <w:color w:val="000000"/>
          <w:sz w:val="20"/>
          <w:szCs w:val="20"/>
        </w:rPr>
        <w:t xml:space="preserve">borrowings with the related obligations distinctly captioned in the consolidated balance sheets on a gross basis. </w:t>
      </w:r>
      <w:r>
        <w:rPr>
          <w:rFonts w:eastAsia="Times New Roman"/>
          <w:color w:val="000000"/>
          <w:sz w:val="20"/>
          <w:szCs w:val="20"/>
          <w:shd w:val="clear" w:color="auto" w:fill="FFFFFF"/>
        </w:rPr>
        <w:t>As of December 31, 2022 and 2021 the Company had no Securities sold under agreements to repurchase outstanding. During the year ended December</w:t>
      </w:r>
      <w:r>
        <w:rPr>
          <w:rFonts w:eastAsia="Times New Roman"/>
          <w:color w:val="000000"/>
          <w:sz w:val="20"/>
          <w:szCs w:val="20"/>
          <w:shd w:val="clear" w:color="auto" w:fill="FFFFFF"/>
        </w:rPr>
        <w:t xml:space="preserve"> 31, 2021 there was no activity on Securities sold under agreements to repurchase.</w:t>
      </w:r>
    </w:p>
    <w:p w:rsidR="00000000" w:rsidRDefault="00E54EC0">
      <w:pPr>
        <w:divId w:val="916324674"/>
        <w:rPr>
          <w:rFonts w:eastAsia="Times New Roman"/>
        </w:rPr>
      </w:pPr>
      <w:r>
        <w:rPr>
          <w:rFonts w:eastAsia="Times New Roman"/>
          <w:color w:val="000000"/>
          <w:sz w:val="20"/>
          <w:szCs w:val="20"/>
          <w:u w:val="single"/>
        </w:rPr>
        <w:t>Derivatives</w:t>
      </w:r>
    </w:p>
    <w:p w:rsidR="00000000" w:rsidRDefault="00E54EC0">
      <w:pPr>
        <w:divId w:val="1162350180"/>
        <w:rPr>
          <w:rFonts w:eastAsia="Times New Roman"/>
        </w:rPr>
      </w:pPr>
      <w:r>
        <w:rPr>
          <w:rFonts w:eastAsia="Times New Roman"/>
          <w:color w:val="000000"/>
          <w:sz w:val="20"/>
          <w:szCs w:val="20"/>
        </w:rPr>
        <w:t>Derivatives are financial instruments whose values are derived from interest rates, foreign exchange rates, financial indices, values of securities or commoditie</w:t>
      </w:r>
      <w:r>
        <w:rPr>
          <w:rFonts w:eastAsia="Times New Roman"/>
          <w:color w:val="000000"/>
          <w:sz w:val="20"/>
          <w:szCs w:val="20"/>
        </w:rPr>
        <w:t>s, credit spreads, market volatility, expected returns and liquidity. Values can also be affected by changes in estimates and assumptions, including those related to counterparty behavior and non-performance risk used in valuation models. Derivative financ</w:t>
      </w:r>
      <w:r>
        <w:rPr>
          <w:rFonts w:eastAsia="Times New Roman"/>
          <w:color w:val="000000"/>
          <w:sz w:val="20"/>
          <w:szCs w:val="20"/>
        </w:rPr>
        <w:t xml:space="preserve">ial instruments generally used by the Company include equity, currency, and interest rate futures, total return and/or other equity swaps, interest rate swaps and floors, swaptions, variance swaps and equity options, all of which may be exchange-traded or </w:t>
      </w:r>
      <w:r>
        <w:rPr>
          <w:rFonts w:eastAsia="Times New Roman"/>
          <w:color w:val="000000"/>
          <w:sz w:val="20"/>
          <w:szCs w:val="20"/>
        </w:rPr>
        <w:t xml:space="preserve">contracted in the OTC market. All derivative positions are carried in the consolidated balance sheets at fair value, generally by obtaining quoted market prices or through the use of valuation models. </w:t>
      </w:r>
    </w:p>
    <w:p w:rsidR="00000000" w:rsidRDefault="00E54EC0">
      <w:pPr>
        <w:jc w:val="center"/>
        <w:divId w:val="195392059"/>
        <w:rPr>
          <w:rFonts w:eastAsia="Times New Roman"/>
        </w:rPr>
      </w:pPr>
      <w:r>
        <w:rPr>
          <w:rFonts w:eastAsia="Times New Roman"/>
          <w:color w:val="000000"/>
          <w:sz w:val="20"/>
          <w:szCs w:val="20"/>
        </w:rPr>
        <w:t>141</w:t>
      </w:r>
    </w:p>
    <w:p w:rsidR="00000000" w:rsidRDefault="00E54EC0">
      <w:pPr>
        <w:rPr>
          <w:rFonts w:eastAsia="Times New Roman"/>
        </w:rPr>
      </w:pPr>
      <w:r>
        <w:rPr>
          <w:rFonts w:eastAsia="Times New Roman"/>
        </w:rPr>
        <w:pict>
          <v:rect id="_x0000_i1179" style="width:0;height:1.5pt" o:hralign="center" o:hrstd="t" o:hr="t" fillcolor="#a0a0a0" stroked="f"/>
        </w:pict>
      </w:r>
    </w:p>
    <w:p w:rsidR="00000000" w:rsidRDefault="00E54EC0">
      <w:pPr>
        <w:divId w:val="1246646392"/>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895820201"/>
        <w:rPr>
          <w:rFonts w:eastAsia="Times New Roman"/>
        </w:rPr>
      </w:pPr>
      <w:r>
        <w:rPr>
          <w:rFonts w:eastAsia="Times New Roman"/>
          <w:b/>
          <w:bCs/>
          <w:color w:val="000000"/>
          <w:sz w:val="20"/>
          <w:szCs w:val="20"/>
        </w:rPr>
        <w:t>EQUITABLE HOLDINGS, INC.</w:t>
      </w:r>
    </w:p>
    <w:p w:rsidR="00000000" w:rsidRDefault="00E54EC0">
      <w:pPr>
        <w:jc w:val="center"/>
        <w:divId w:val="895820201"/>
        <w:rPr>
          <w:rFonts w:eastAsia="Times New Roman"/>
        </w:rPr>
      </w:pPr>
      <w:r>
        <w:rPr>
          <w:rFonts w:eastAsia="Times New Roman"/>
          <w:b/>
          <w:bCs/>
          <w:color w:val="000000"/>
          <w:sz w:val="20"/>
          <w:szCs w:val="20"/>
        </w:rPr>
        <w:t>Notes to Consolidated Financial Statements, Continued</w:t>
      </w:r>
    </w:p>
    <w:p w:rsidR="00000000" w:rsidRDefault="00E54EC0">
      <w:pPr>
        <w:jc w:val="center"/>
        <w:divId w:val="895820201"/>
        <w:rPr>
          <w:rFonts w:eastAsia="Times New Roman"/>
        </w:rPr>
      </w:pPr>
    </w:p>
    <w:p w:rsidR="00000000" w:rsidRDefault="00E54EC0">
      <w:pPr>
        <w:divId w:val="1759860719"/>
        <w:rPr>
          <w:rFonts w:eastAsia="Times New Roman"/>
        </w:rPr>
      </w:pPr>
      <w:r>
        <w:rPr>
          <w:rFonts w:eastAsia="Times New Roman"/>
          <w:color w:val="000000"/>
          <w:sz w:val="20"/>
          <w:szCs w:val="20"/>
        </w:rPr>
        <w:t>Freestanding derivative contracts are reported in the consolidated balance sheets either as assets within “other</w:t>
      </w:r>
      <w:r>
        <w:rPr>
          <w:rFonts w:eastAsia="Times New Roman"/>
          <w:color w:val="000000"/>
          <w:sz w:val="20"/>
          <w:szCs w:val="20"/>
        </w:rPr>
        <w:t xml:space="preserve"> invested assets” or as liabilities within “other liabilities.” The Company nets the fair value of all derivative financial instruments with counterparties for which an ISDA Master Agreement and related CSA have been executed. All changes in the fair value</w:t>
      </w:r>
      <w:r>
        <w:rPr>
          <w:rFonts w:eastAsia="Times New Roman"/>
          <w:color w:val="000000"/>
          <w:sz w:val="20"/>
          <w:szCs w:val="20"/>
        </w:rPr>
        <w:t xml:space="preserve"> of the Company’s freestanding derivative positions not designated to hedge accounting relationships, including net receipts and payments, are included in “net derivative gains (losses)” without considering changes in the fair value of the economically ass</w:t>
      </w:r>
      <w:r>
        <w:rPr>
          <w:rFonts w:eastAsia="Times New Roman"/>
          <w:color w:val="000000"/>
          <w:sz w:val="20"/>
          <w:szCs w:val="20"/>
        </w:rPr>
        <w:t>ociated assets or liabilities.</w:t>
      </w:r>
    </w:p>
    <w:p w:rsidR="00000000" w:rsidRDefault="00E54EC0">
      <w:pPr>
        <w:divId w:val="168105688"/>
        <w:rPr>
          <w:rFonts w:eastAsia="Times New Roman"/>
        </w:rPr>
      </w:pPr>
      <w:r>
        <w:rPr>
          <w:rFonts w:eastAsia="Times New Roman"/>
          <w:color w:val="000000"/>
          <w:sz w:val="20"/>
          <w:szCs w:val="20"/>
        </w:rPr>
        <w:t xml:space="preserve">The Company has designated certain derivatives it uses to economically manage asset/liability risk in relationships which qualify for hedge accounting. To qualify for hedge accounting, we formally document our designation at </w:t>
      </w:r>
      <w:r>
        <w:rPr>
          <w:rFonts w:eastAsia="Times New Roman"/>
          <w:color w:val="000000"/>
          <w:sz w:val="20"/>
          <w:szCs w:val="20"/>
        </w:rPr>
        <w:t>inception of the hedge relationship as a cash flow, fair value or net investment hedge. This documentation includes our risk management objective and strategy for undertaking the hedging transaction. The Company identifies how the hedging instrument is exp</w:t>
      </w:r>
      <w:r>
        <w:rPr>
          <w:rFonts w:eastAsia="Times New Roman"/>
          <w:color w:val="000000"/>
          <w:sz w:val="20"/>
          <w:szCs w:val="20"/>
        </w:rPr>
        <w:t>ected to offset the designated risks related to the hedged item and the method that will be used to retrospectively and prospectively assess the hedge effectiveness. To qualify for hedge accounting, a hedging instrument must be assessed as being highly eff</w:t>
      </w:r>
      <w:r>
        <w:rPr>
          <w:rFonts w:eastAsia="Times New Roman"/>
          <w:color w:val="000000"/>
          <w:sz w:val="20"/>
          <w:szCs w:val="20"/>
        </w:rPr>
        <w:t>ective in offsetting the designated risk of the hedged item. Hedge effectiveness is formally assessed and documented at inception and periodically throughout the life of the hedge accounting relationship.</w:t>
      </w:r>
    </w:p>
    <w:p w:rsidR="00000000" w:rsidRDefault="00E54EC0">
      <w:pPr>
        <w:divId w:val="1855804001"/>
        <w:rPr>
          <w:rFonts w:eastAsia="Times New Roman"/>
        </w:rPr>
      </w:pPr>
      <w:r>
        <w:rPr>
          <w:rFonts w:eastAsia="Times New Roman"/>
          <w:color w:val="000000"/>
          <w:sz w:val="20"/>
          <w:szCs w:val="20"/>
        </w:rPr>
        <w:t xml:space="preserve">The Company does not exclude any components of the </w:t>
      </w:r>
      <w:r>
        <w:rPr>
          <w:rFonts w:eastAsia="Times New Roman"/>
          <w:color w:val="000000"/>
          <w:sz w:val="20"/>
          <w:szCs w:val="20"/>
        </w:rPr>
        <w:t>hedging instrument from the effectiveness assessments and therefore does not separately measure or account for any excluded components of the hedging instrument.</w:t>
      </w:r>
    </w:p>
    <w:p w:rsidR="00000000" w:rsidRDefault="00E54EC0">
      <w:pPr>
        <w:divId w:val="1695571208"/>
        <w:rPr>
          <w:rFonts w:eastAsia="Times New Roman"/>
        </w:rPr>
      </w:pPr>
      <w:r>
        <w:rPr>
          <w:rFonts w:eastAsia="Times New Roman"/>
          <w:color w:val="000000"/>
          <w:sz w:val="20"/>
          <w:szCs w:val="20"/>
        </w:rPr>
        <w:t>While in cash flow hedge relationships, any periodic net receipts and payments from the hedgin</w:t>
      </w:r>
      <w:r>
        <w:rPr>
          <w:rFonts w:eastAsia="Times New Roman"/>
          <w:color w:val="000000"/>
          <w:sz w:val="20"/>
          <w:szCs w:val="20"/>
        </w:rPr>
        <w:t>g instrument are included in the income or expense line that the hedged item’s periodic income or expense is recognized. Other changes in the fair value of the hedging instrument while in a cash flow hedging relationship are reported within OCI. These amou</w:t>
      </w:r>
      <w:r>
        <w:rPr>
          <w:rFonts w:eastAsia="Times New Roman"/>
          <w:color w:val="000000"/>
          <w:sz w:val="20"/>
          <w:szCs w:val="20"/>
        </w:rPr>
        <w:t>nts are deferred in AOCI until they are reclassified to Net income (loss). The reclassified amount offsets the effect of the cash flows on Net income (loss) in the same period when the hedged item affects earnings and on the same line as the hedged item.</w:t>
      </w:r>
    </w:p>
    <w:p w:rsidR="00000000" w:rsidRDefault="00E54EC0">
      <w:pPr>
        <w:divId w:val="688676265"/>
        <w:rPr>
          <w:rFonts w:eastAsia="Times New Roman"/>
        </w:rPr>
      </w:pPr>
      <w:r>
        <w:rPr>
          <w:rFonts w:eastAsia="Times New Roman"/>
          <w:color w:val="000000"/>
          <w:sz w:val="20"/>
          <w:szCs w:val="20"/>
        </w:rPr>
        <w:t>W</w:t>
      </w:r>
      <w:r>
        <w:rPr>
          <w:rFonts w:eastAsia="Times New Roman"/>
          <w:color w:val="000000"/>
          <w:sz w:val="20"/>
          <w:szCs w:val="20"/>
        </w:rPr>
        <w:t>e discontinue cash flow hedge accounting prospectively when the Company determines: (1) the hedging instrument is no longer highly effective in offsetting changes in the cash flow from the hedged risk, (2) the hedged item is no longer probable of occurring</w:t>
      </w:r>
      <w:r>
        <w:rPr>
          <w:rFonts w:eastAsia="Times New Roman"/>
          <w:color w:val="000000"/>
          <w:sz w:val="20"/>
          <w:szCs w:val="20"/>
        </w:rPr>
        <w:t xml:space="preserve"> within two months of their forecast, or (3) the hedging instrument is otherwise redesignated from the hedging relationship. Changes in the fair value of the derivative after discontinuation of cash flow hedge accounting are accounted for as freestanding d</w:t>
      </w:r>
      <w:r>
        <w:rPr>
          <w:rFonts w:eastAsia="Times New Roman"/>
          <w:color w:val="000000"/>
          <w:sz w:val="20"/>
          <w:szCs w:val="20"/>
        </w:rPr>
        <w:t>erivative positions not designated to hedge accounting relationships unless and until the derivative is redesignated to a hedge accounting relationship. When cash flow hedge accounting is discontinued the amounts deferred in AOCI during the hedge relations</w:t>
      </w:r>
      <w:r>
        <w:rPr>
          <w:rFonts w:eastAsia="Times New Roman"/>
          <w:color w:val="000000"/>
          <w:sz w:val="20"/>
          <w:szCs w:val="20"/>
        </w:rPr>
        <w:t>hip continue to be deferred in AOCI, as long as the hedged items continue to be probable of occurring within two months of their forecast, until the hedged item affects Net income (loss). Any amount deferred in AOCI for hedged items which are no longer pro</w:t>
      </w:r>
      <w:r>
        <w:rPr>
          <w:rFonts w:eastAsia="Times New Roman"/>
          <w:color w:val="000000"/>
          <w:sz w:val="20"/>
          <w:szCs w:val="20"/>
        </w:rPr>
        <w:t>bable of occurring within two months of their forecast will be reclassified to “net derivative gains (losses)” at that time.</w:t>
      </w:r>
    </w:p>
    <w:p w:rsidR="00000000" w:rsidRDefault="00E54EC0">
      <w:pPr>
        <w:divId w:val="1253512373"/>
        <w:rPr>
          <w:rFonts w:eastAsia="Times New Roman"/>
        </w:rPr>
      </w:pPr>
      <w:r>
        <w:rPr>
          <w:rFonts w:eastAsia="Times New Roman"/>
          <w:color w:val="000000"/>
          <w:sz w:val="20"/>
          <w:szCs w:val="20"/>
        </w:rPr>
        <w:t>The Company is a party to financial instruments and other contracts that contain “embedded” derivative instruments. At inception, t</w:t>
      </w:r>
      <w:r>
        <w:rPr>
          <w:rFonts w:eastAsia="Times New Roman"/>
          <w:color w:val="000000"/>
          <w:sz w:val="20"/>
          <w:szCs w:val="20"/>
        </w:rPr>
        <w:t>he Company assesses whether the economic characteristics of the embedded instrument are “clearly and closely related” to the economic characteristics of the remaining component of the “host contract” and whether a separate instrument with the same terms as</w:t>
      </w:r>
      <w:r>
        <w:rPr>
          <w:rFonts w:eastAsia="Times New Roman"/>
          <w:color w:val="000000"/>
          <w:sz w:val="20"/>
          <w:szCs w:val="20"/>
        </w:rPr>
        <w:t xml:space="preserve"> the embedded instrument would meet the definition of a derivative instrument. Once those criteria are met the resulting embedded derivative is bifurcated from the host contract, carried in the consolidated balance sheets at fair value, and changes in its </w:t>
      </w:r>
      <w:r>
        <w:rPr>
          <w:rFonts w:eastAsia="Times New Roman"/>
          <w:color w:val="000000"/>
          <w:sz w:val="20"/>
          <w:szCs w:val="20"/>
        </w:rPr>
        <w:t xml:space="preserve">fair value are recognized immediately and captioned in the consolidated statements of income (loss) according to the nature of the related host contract. For certain financial instruments that contain an embedded derivative that otherwise would need to be </w:t>
      </w:r>
      <w:r>
        <w:rPr>
          <w:rFonts w:eastAsia="Times New Roman"/>
          <w:color w:val="000000"/>
          <w:sz w:val="20"/>
          <w:szCs w:val="20"/>
        </w:rPr>
        <w:t>bifurcated and reported at fair value, the Company instead may elect to carry the entire instrument at fair value.</w:t>
      </w:r>
    </w:p>
    <w:p w:rsidR="00000000" w:rsidRDefault="00E54EC0">
      <w:pPr>
        <w:divId w:val="2021469100"/>
        <w:rPr>
          <w:rFonts w:eastAsia="Times New Roman"/>
        </w:rPr>
      </w:pPr>
      <w:r>
        <w:rPr>
          <w:rFonts w:eastAsia="Times New Roman"/>
          <w:color w:val="000000"/>
          <w:sz w:val="20"/>
          <w:szCs w:val="20"/>
          <w:u w:val="single"/>
        </w:rPr>
        <w:t>Mortgage Loans on Real Estate</w:t>
      </w:r>
    </w:p>
    <w:p w:rsidR="00000000" w:rsidRDefault="00E54EC0">
      <w:pPr>
        <w:divId w:val="36928544"/>
        <w:rPr>
          <w:rFonts w:eastAsia="Times New Roman"/>
        </w:rPr>
      </w:pPr>
      <w:r>
        <w:rPr>
          <w:rFonts w:eastAsia="Times New Roman"/>
          <w:color w:val="000000"/>
          <w:sz w:val="20"/>
          <w:szCs w:val="20"/>
        </w:rPr>
        <w:t>Mortgage loans are stated at unpaid principal balances, net of unamortized discounts and the allowance for cred</w:t>
      </w:r>
      <w:r>
        <w:rPr>
          <w:rFonts w:eastAsia="Times New Roman"/>
          <w:color w:val="000000"/>
          <w:sz w:val="20"/>
          <w:szCs w:val="20"/>
        </w:rPr>
        <w:t xml:space="preserve">it losses. The Company calculates the allowance for credit losses in accordance with the CECL model in order to provide for the risk of credit losses in the lending process. </w:t>
      </w:r>
    </w:p>
    <w:p w:rsidR="00000000" w:rsidRDefault="00E54EC0">
      <w:pPr>
        <w:divId w:val="2068185369"/>
        <w:rPr>
          <w:rFonts w:eastAsia="Times New Roman"/>
        </w:rPr>
      </w:pPr>
      <w:r>
        <w:rPr>
          <w:rFonts w:eastAsia="Times New Roman"/>
          <w:color w:val="000000"/>
          <w:sz w:val="20"/>
          <w:szCs w:val="20"/>
        </w:rPr>
        <w:t xml:space="preserve">Expected credit losses for loans with similar risk characteristics are estimated </w:t>
      </w:r>
      <w:r>
        <w:rPr>
          <w:rFonts w:eastAsia="Times New Roman"/>
          <w:color w:val="000000"/>
          <w:sz w:val="20"/>
          <w:szCs w:val="20"/>
        </w:rPr>
        <w:t>on a collective (i.e., pool) basis in order to meet CECL’s risk of loss concept which requires the Company to consider possibilities of loss, even if remote.</w:t>
      </w:r>
    </w:p>
    <w:p w:rsidR="00000000" w:rsidRDefault="00E54EC0">
      <w:pPr>
        <w:divId w:val="889389095"/>
        <w:rPr>
          <w:rFonts w:eastAsia="Times New Roman"/>
        </w:rPr>
      </w:pPr>
      <w:r>
        <w:rPr>
          <w:rFonts w:eastAsia="Times New Roman"/>
          <w:color w:val="000000"/>
          <w:sz w:val="20"/>
          <w:szCs w:val="20"/>
        </w:rPr>
        <w:t xml:space="preserve">For collectively evaluated mortgages, the Company estimates the allowance for credit losses based </w:t>
      </w:r>
      <w:r>
        <w:rPr>
          <w:rFonts w:eastAsia="Times New Roman"/>
          <w:color w:val="000000"/>
          <w:sz w:val="20"/>
          <w:szCs w:val="20"/>
        </w:rPr>
        <w:t xml:space="preserve">on the amortized cost basis of its mortgages over their expected life using a PD / LGD model. The PD / LGD model incorporates the Company’s reasonable and supportable forecast of macroeconomic information over a specified period. The length of </w:t>
      </w:r>
    </w:p>
    <w:p w:rsidR="00000000" w:rsidRDefault="00E54EC0">
      <w:pPr>
        <w:jc w:val="center"/>
        <w:divId w:val="1368797652"/>
        <w:rPr>
          <w:rFonts w:eastAsia="Times New Roman"/>
        </w:rPr>
      </w:pPr>
      <w:r>
        <w:rPr>
          <w:rFonts w:eastAsia="Times New Roman"/>
          <w:color w:val="000000"/>
          <w:sz w:val="20"/>
          <w:szCs w:val="20"/>
        </w:rPr>
        <w:t>142</w:t>
      </w:r>
    </w:p>
    <w:p w:rsidR="00000000" w:rsidRDefault="00E54EC0">
      <w:pPr>
        <w:rPr>
          <w:rFonts w:eastAsia="Times New Roman"/>
        </w:rPr>
      </w:pPr>
      <w:r>
        <w:rPr>
          <w:rFonts w:eastAsia="Times New Roman"/>
        </w:rPr>
        <w:pict>
          <v:rect id="_x0000_i1180" style="width:0;height:1.5pt" o:hralign="center" o:hrstd="t" o:hr="t" fillcolor="#a0a0a0" stroked="f"/>
        </w:pict>
      </w:r>
    </w:p>
    <w:p w:rsidR="00000000" w:rsidRDefault="00E54EC0">
      <w:pPr>
        <w:divId w:val="467168430"/>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931035822"/>
        <w:rPr>
          <w:rFonts w:eastAsia="Times New Roman"/>
        </w:rPr>
      </w:pPr>
      <w:r>
        <w:rPr>
          <w:rFonts w:eastAsia="Times New Roman"/>
          <w:b/>
          <w:bCs/>
          <w:color w:val="000000"/>
          <w:sz w:val="20"/>
          <w:szCs w:val="20"/>
        </w:rPr>
        <w:t>EQUITABLE HOLDINGS, INC.</w:t>
      </w:r>
    </w:p>
    <w:p w:rsidR="00000000" w:rsidRDefault="00E54EC0">
      <w:pPr>
        <w:jc w:val="center"/>
        <w:divId w:val="1931035822"/>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931035822"/>
        <w:rPr>
          <w:rFonts w:eastAsia="Times New Roman"/>
        </w:rPr>
      </w:pPr>
    </w:p>
    <w:p w:rsidR="00000000" w:rsidRDefault="00E54EC0">
      <w:pPr>
        <w:divId w:val="1447197245"/>
        <w:rPr>
          <w:rFonts w:eastAsia="Times New Roman"/>
        </w:rPr>
      </w:pPr>
      <w:r>
        <w:rPr>
          <w:rFonts w:eastAsia="Times New Roman"/>
          <w:color w:val="000000"/>
          <w:sz w:val="20"/>
          <w:szCs w:val="20"/>
        </w:rPr>
        <w:t>the reasonable and supportable forecast period is reassessed on a quarterly basis and may be adjusted as appropriate over time to be consistent with macroeconomic conditions and the environment as of the reporting date. For periods beyond the reasonable an</w:t>
      </w:r>
      <w:r>
        <w:rPr>
          <w:rFonts w:eastAsia="Times New Roman"/>
          <w:color w:val="000000"/>
          <w:sz w:val="20"/>
          <w:szCs w:val="20"/>
        </w:rPr>
        <w:t>d supportable forecast period, the model reverts to historical loss information. The PD and LGD are estimated at the loan-level based on loans’ current and forecasted risk characteristics as well as macroeconomic forecasts. The PD is estimated using both m</w:t>
      </w:r>
      <w:r>
        <w:rPr>
          <w:rFonts w:eastAsia="Times New Roman"/>
          <w:color w:val="000000"/>
          <w:sz w:val="20"/>
          <w:szCs w:val="20"/>
        </w:rPr>
        <w:t>acroeconomic conditions as well as individual loan risk characteristics including LTV ratios, DSC ratios, seasoning, collateral type, geography, and underlying credit. The LGD is driven primarily by the type and value of collateral, and secondarily by expe</w:t>
      </w:r>
      <w:r>
        <w:rPr>
          <w:rFonts w:eastAsia="Times New Roman"/>
          <w:color w:val="000000"/>
          <w:sz w:val="20"/>
          <w:szCs w:val="20"/>
        </w:rPr>
        <w:t>cted liquidation costs and time to recovery.</w:t>
      </w:r>
    </w:p>
    <w:p w:rsidR="00000000" w:rsidRDefault="00E54EC0">
      <w:pPr>
        <w:divId w:val="509179412"/>
        <w:rPr>
          <w:rFonts w:eastAsia="Times New Roman"/>
        </w:rPr>
      </w:pPr>
      <w:r>
        <w:rPr>
          <w:rFonts w:eastAsia="Times New Roman"/>
          <w:color w:val="000000"/>
          <w:sz w:val="20"/>
          <w:szCs w:val="20"/>
        </w:rPr>
        <w:t>For individually evaluated mortgages, the Company continues to recognize a valuation allowance on the present value of expected future cash flows discounted at the loan’s original effective interest rate or on i</w:t>
      </w:r>
      <w:r>
        <w:rPr>
          <w:rFonts w:eastAsia="Times New Roman"/>
          <w:color w:val="000000"/>
          <w:sz w:val="20"/>
          <w:szCs w:val="20"/>
        </w:rPr>
        <w:t>ts collateral value.</w:t>
      </w:r>
    </w:p>
    <w:p w:rsidR="00000000" w:rsidRDefault="00E54EC0">
      <w:pPr>
        <w:divId w:val="1992712412"/>
        <w:rPr>
          <w:rFonts w:eastAsia="Times New Roman"/>
        </w:rPr>
      </w:pPr>
      <w:r>
        <w:rPr>
          <w:rFonts w:eastAsia="Times New Roman"/>
          <w:color w:val="000000"/>
          <w:sz w:val="20"/>
          <w:szCs w:val="20"/>
        </w:rPr>
        <w:t>The CECL model is configured to the Company’s specifications and takes into consideration the detailed risk attributes of each discrete loan in the mortgage portfolio which include, but are not limited to the following:</w:t>
      </w:r>
    </w:p>
    <w:p w:rsidR="00000000" w:rsidRDefault="00E54EC0">
      <w:pPr>
        <w:ind w:hanging="360"/>
        <w:jc w:val="both"/>
        <w:divId w:val="1968775510"/>
        <w:rPr>
          <w:rFonts w:eastAsia="Times New Roman"/>
        </w:rPr>
      </w:pPr>
      <w:r>
        <w:rPr>
          <w:rFonts w:eastAsia="Times New Roman"/>
          <w:color w:val="000000"/>
          <w:sz w:val="20"/>
          <w:szCs w:val="20"/>
        </w:rPr>
        <w:t>•LTV ratio – De</w:t>
      </w:r>
      <w:r>
        <w:rPr>
          <w:rFonts w:eastAsia="Times New Roman"/>
          <w:color w:val="000000"/>
          <w:sz w:val="20"/>
          <w:szCs w:val="20"/>
        </w:rPr>
        <w:t>rived from current loan balance divided by the fair market value of the property. An LTV ratio in excess of 100% indicates an underwater mortgage.</w:t>
      </w:r>
    </w:p>
    <w:p w:rsidR="00000000" w:rsidRDefault="00E54EC0">
      <w:pPr>
        <w:ind w:hanging="360"/>
        <w:jc w:val="both"/>
        <w:divId w:val="2129738849"/>
        <w:rPr>
          <w:rFonts w:eastAsia="Times New Roman"/>
        </w:rPr>
      </w:pPr>
      <w:r>
        <w:rPr>
          <w:rFonts w:eastAsia="Times New Roman"/>
          <w:color w:val="000000"/>
          <w:sz w:val="20"/>
          <w:szCs w:val="20"/>
        </w:rPr>
        <w:t>•DSC ratio – Derived from actual operating earnings divided by annual debt service. If the ratio is below 1.0</w:t>
      </w:r>
      <w:r>
        <w:rPr>
          <w:rFonts w:eastAsia="Times New Roman"/>
          <w:color w:val="000000"/>
          <w:sz w:val="20"/>
          <w:szCs w:val="20"/>
        </w:rPr>
        <w:t>x, then the income from the property does not support the debt.</w:t>
      </w:r>
    </w:p>
    <w:p w:rsidR="00000000" w:rsidRDefault="00E54EC0">
      <w:pPr>
        <w:ind w:hanging="360"/>
        <w:jc w:val="both"/>
        <w:divId w:val="2047176061"/>
        <w:rPr>
          <w:rFonts w:eastAsia="Times New Roman"/>
        </w:rPr>
      </w:pPr>
      <w:r>
        <w:rPr>
          <w:rFonts w:eastAsia="Times New Roman"/>
          <w:color w:val="000000"/>
          <w:sz w:val="20"/>
          <w:szCs w:val="20"/>
        </w:rPr>
        <w:t>•Occupancy – Criteria varies by property type but low or below market occupancy is an indicator of sub-par property performance.</w:t>
      </w:r>
    </w:p>
    <w:p w:rsidR="00000000" w:rsidRDefault="00E54EC0">
      <w:pPr>
        <w:ind w:hanging="360"/>
        <w:jc w:val="both"/>
        <w:divId w:val="2031567427"/>
        <w:rPr>
          <w:rFonts w:eastAsia="Times New Roman"/>
        </w:rPr>
      </w:pPr>
      <w:r>
        <w:rPr>
          <w:rFonts w:eastAsia="Times New Roman"/>
          <w:color w:val="000000"/>
          <w:sz w:val="20"/>
          <w:szCs w:val="20"/>
        </w:rPr>
        <w:t>•Lease expirations – The percentage of leases expiring in the u</w:t>
      </w:r>
      <w:r>
        <w:rPr>
          <w:rFonts w:eastAsia="Times New Roman"/>
          <w:color w:val="000000"/>
          <w:sz w:val="20"/>
          <w:szCs w:val="20"/>
        </w:rPr>
        <w:t>pcoming 12 to 36 months are monitored as a decline in rent and/or occupancy may negatively impact the debt service coverage ratio. In the case of single-tenant properties or properties with large tenant exposure, the lease expiration is a material risk fac</w:t>
      </w:r>
      <w:r>
        <w:rPr>
          <w:rFonts w:eastAsia="Times New Roman"/>
          <w:color w:val="000000"/>
          <w:sz w:val="20"/>
          <w:szCs w:val="20"/>
        </w:rPr>
        <w:t>tor.</w:t>
      </w:r>
    </w:p>
    <w:p w:rsidR="00000000" w:rsidRDefault="00E54EC0">
      <w:pPr>
        <w:ind w:hanging="360"/>
        <w:divId w:val="309017447"/>
        <w:rPr>
          <w:rFonts w:eastAsia="Times New Roman"/>
        </w:rPr>
      </w:pPr>
      <w:r>
        <w:rPr>
          <w:rFonts w:eastAsia="Times New Roman"/>
          <w:color w:val="000000"/>
          <w:sz w:val="20"/>
          <w:szCs w:val="20"/>
        </w:rPr>
        <w:t>•Other – Any other factors such as maturity, borrower/tenant related issues, payment status, property condition, or current economic conditions may call into question the performance of the loan.</w:t>
      </w:r>
    </w:p>
    <w:p w:rsidR="00000000" w:rsidRDefault="00E54EC0">
      <w:pPr>
        <w:divId w:val="1739785300"/>
        <w:rPr>
          <w:rFonts w:eastAsia="Times New Roman"/>
        </w:rPr>
      </w:pPr>
      <w:r>
        <w:rPr>
          <w:rFonts w:eastAsia="Times New Roman"/>
          <w:color w:val="000000"/>
          <w:sz w:val="20"/>
          <w:szCs w:val="20"/>
        </w:rPr>
        <w:t>Mortgage loans that do not share similar risk character</w:t>
      </w:r>
      <w:r>
        <w:rPr>
          <w:rFonts w:eastAsia="Times New Roman"/>
          <w:color w:val="000000"/>
          <w:sz w:val="20"/>
          <w:szCs w:val="20"/>
        </w:rPr>
        <w:t>istics with other loans in the portfolio are individually evaluated quarterly by the Company’s IUS Committee. The allowance for credit losses on these individually evaluated mortgages is a loan-specific reserve as a result of the loan review process that i</w:t>
      </w:r>
      <w:r>
        <w:rPr>
          <w:rFonts w:eastAsia="Times New Roman"/>
          <w:color w:val="000000"/>
          <w:sz w:val="20"/>
          <w:szCs w:val="20"/>
        </w:rPr>
        <w:t>s recorded based on the present value of expected future cash flows discounted at the loan’s effective interest rate or based on the fair value of the collateral. The individually assessed allowance for mortgage loans can increase or decrease from period t</w:t>
      </w:r>
      <w:r>
        <w:rPr>
          <w:rFonts w:eastAsia="Times New Roman"/>
          <w:color w:val="000000"/>
          <w:sz w:val="20"/>
          <w:szCs w:val="20"/>
        </w:rPr>
        <w:t>o period based on such factors.</w:t>
      </w:r>
    </w:p>
    <w:p w:rsidR="00000000" w:rsidRDefault="00E54EC0">
      <w:pPr>
        <w:divId w:val="289013795"/>
        <w:rPr>
          <w:rFonts w:eastAsia="Times New Roman"/>
        </w:rPr>
      </w:pPr>
      <w:r>
        <w:rPr>
          <w:rFonts w:eastAsia="Times New Roman"/>
          <w:color w:val="000000"/>
          <w:sz w:val="20"/>
          <w:szCs w:val="20"/>
        </w:rPr>
        <w:t>Individually assessed loans may include, but are not limited to, mortgages that have deteriorated in credit quality such as a TDR and reasonably expected TDRs, mortgages for which foreclosure is probable, and mortgages which</w:t>
      </w:r>
      <w:r>
        <w:rPr>
          <w:rFonts w:eastAsia="Times New Roman"/>
          <w:color w:val="000000"/>
          <w:sz w:val="20"/>
          <w:szCs w:val="20"/>
        </w:rPr>
        <w:t xml:space="preserve"> have been classified as “potential problem” or “problem” loans within the Company’s IUS Committee processes as described below.</w:t>
      </w:r>
    </w:p>
    <w:p w:rsidR="00000000" w:rsidRDefault="00E54EC0">
      <w:pPr>
        <w:divId w:val="1219513829"/>
        <w:rPr>
          <w:rFonts w:eastAsia="Times New Roman"/>
        </w:rPr>
      </w:pPr>
      <w:r>
        <w:rPr>
          <w:rFonts w:eastAsia="Times New Roman"/>
          <w:color w:val="000000"/>
          <w:sz w:val="20"/>
          <w:szCs w:val="20"/>
        </w:rPr>
        <w:t>Within the IUS process, commercial mortgages 60 days or more past due and agricultural mortgages 90 days or more past due, as w</w:t>
      </w:r>
      <w:r>
        <w:rPr>
          <w:rFonts w:eastAsia="Times New Roman"/>
          <w:color w:val="000000"/>
          <w:sz w:val="20"/>
          <w:szCs w:val="20"/>
        </w:rPr>
        <w:t>ell as all mortgages in the process of foreclosure, are identified as problem mortgage loans. Based on its monthly monitoring of mortgages, a class of potential problem mortgage loans are also identified, consisting of mortgage loans not currently classifi</w:t>
      </w:r>
      <w:r>
        <w:rPr>
          <w:rFonts w:eastAsia="Times New Roman"/>
          <w:color w:val="000000"/>
          <w:sz w:val="20"/>
          <w:szCs w:val="20"/>
        </w:rPr>
        <w:t>ed as problem mortgage loans but for which management has doubts as to the ability of the borrower to comply with the present loan payment terms and which may result in the loan becoming a problem or being modified. The decision whether to classify a perfo</w:t>
      </w:r>
      <w:r>
        <w:rPr>
          <w:rFonts w:eastAsia="Times New Roman"/>
          <w:color w:val="000000"/>
          <w:sz w:val="20"/>
          <w:szCs w:val="20"/>
        </w:rPr>
        <w:t>rming mortgage loan as a potential problem involves judgments by management as to likely future industry conditions and developments with respect to the borrower or the individual mortgaged property.</w:t>
      </w:r>
    </w:p>
    <w:p w:rsidR="00000000" w:rsidRDefault="00E54EC0">
      <w:pPr>
        <w:divId w:val="2009945728"/>
        <w:rPr>
          <w:rFonts w:eastAsia="Times New Roman"/>
        </w:rPr>
      </w:pPr>
      <w:r>
        <w:rPr>
          <w:rFonts w:eastAsia="Times New Roman"/>
          <w:color w:val="000000"/>
          <w:sz w:val="20"/>
          <w:szCs w:val="20"/>
        </w:rPr>
        <w:t>Individually assessed mortgage loans without provision f</w:t>
      </w:r>
      <w:r>
        <w:rPr>
          <w:rFonts w:eastAsia="Times New Roman"/>
          <w:color w:val="000000"/>
          <w:sz w:val="20"/>
          <w:szCs w:val="20"/>
        </w:rPr>
        <w:t>or losses are mortgage loans where the fair value of the collateral or the net present value of the expected future cash flows related to the loan equals or exceeds the recorded investment. Interest income earned on mortgage loans where the collateral valu</w:t>
      </w:r>
      <w:r>
        <w:rPr>
          <w:rFonts w:eastAsia="Times New Roman"/>
          <w:color w:val="000000"/>
          <w:sz w:val="20"/>
          <w:szCs w:val="20"/>
        </w:rPr>
        <w:t>e is used to measure impairment is recorded on a cash basis. Interest income on mortgage loans where the present value method is used to measure impairment is accrued on the net carrying value amount of the loan at the interest rate used to discount the ca</w:t>
      </w:r>
      <w:r>
        <w:rPr>
          <w:rFonts w:eastAsia="Times New Roman"/>
          <w:color w:val="000000"/>
          <w:sz w:val="20"/>
          <w:szCs w:val="20"/>
        </w:rPr>
        <w:t>sh flows.</w:t>
      </w:r>
    </w:p>
    <w:p w:rsidR="00000000" w:rsidRDefault="00E54EC0">
      <w:pPr>
        <w:divId w:val="558395701"/>
        <w:rPr>
          <w:rFonts w:eastAsia="Times New Roman"/>
        </w:rPr>
      </w:pPr>
      <w:r>
        <w:rPr>
          <w:rFonts w:eastAsia="Times New Roman"/>
          <w:color w:val="000000"/>
          <w:sz w:val="20"/>
          <w:szCs w:val="20"/>
        </w:rPr>
        <w:t>Mortgage loans are placed on nonaccrual status once management believes the collection of accrued interest is not probable. Once mortgage loans are classified as nonaccrual mortgage loans, interest income is recognized under the cash basis of acc</w:t>
      </w:r>
      <w:r>
        <w:rPr>
          <w:rFonts w:eastAsia="Times New Roman"/>
          <w:color w:val="000000"/>
          <w:sz w:val="20"/>
          <w:szCs w:val="20"/>
        </w:rPr>
        <w:t xml:space="preserve">ounting and the resumption of the interest accrual would commence only after all past due interest has </w:t>
      </w:r>
    </w:p>
    <w:p w:rsidR="00000000" w:rsidRDefault="00E54EC0">
      <w:pPr>
        <w:jc w:val="center"/>
        <w:divId w:val="943731088"/>
        <w:rPr>
          <w:rFonts w:eastAsia="Times New Roman"/>
        </w:rPr>
      </w:pPr>
      <w:r>
        <w:rPr>
          <w:rFonts w:eastAsia="Times New Roman"/>
          <w:color w:val="000000"/>
          <w:sz w:val="20"/>
          <w:szCs w:val="20"/>
        </w:rPr>
        <w:t>143</w:t>
      </w:r>
    </w:p>
    <w:p w:rsidR="00000000" w:rsidRDefault="00E54EC0">
      <w:pPr>
        <w:rPr>
          <w:rFonts w:eastAsia="Times New Roman"/>
        </w:rPr>
      </w:pPr>
      <w:r>
        <w:rPr>
          <w:rFonts w:eastAsia="Times New Roman"/>
        </w:rPr>
        <w:pict>
          <v:rect id="_x0000_i1181" style="width:0;height:1.5pt" o:hralign="center" o:hrstd="t" o:hr="t" fillcolor="#a0a0a0" stroked="f"/>
        </w:pict>
      </w:r>
    </w:p>
    <w:p w:rsidR="00000000" w:rsidRDefault="00E54EC0">
      <w:pPr>
        <w:divId w:val="198249675"/>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546526348"/>
        <w:rPr>
          <w:rFonts w:eastAsia="Times New Roman"/>
        </w:rPr>
      </w:pPr>
      <w:r>
        <w:rPr>
          <w:rFonts w:eastAsia="Times New Roman"/>
          <w:b/>
          <w:bCs/>
          <w:color w:val="000000"/>
          <w:sz w:val="20"/>
          <w:szCs w:val="20"/>
        </w:rPr>
        <w:t>EQUITABLE HOLDINGS, INC.</w:t>
      </w:r>
    </w:p>
    <w:p w:rsidR="00000000" w:rsidRDefault="00E54EC0">
      <w:pPr>
        <w:jc w:val="center"/>
        <w:divId w:val="1546526348"/>
        <w:rPr>
          <w:rFonts w:eastAsia="Times New Roman"/>
        </w:rPr>
      </w:pPr>
      <w:r>
        <w:rPr>
          <w:rFonts w:eastAsia="Times New Roman"/>
          <w:b/>
          <w:bCs/>
          <w:color w:val="000000"/>
          <w:sz w:val="20"/>
          <w:szCs w:val="20"/>
        </w:rPr>
        <w:t>Notes to C</w:t>
      </w:r>
      <w:r>
        <w:rPr>
          <w:rFonts w:eastAsia="Times New Roman"/>
          <w:b/>
          <w:bCs/>
          <w:color w:val="000000"/>
          <w:sz w:val="20"/>
          <w:szCs w:val="20"/>
        </w:rPr>
        <w:t>onsolidated Financial Statements, Continued</w:t>
      </w:r>
    </w:p>
    <w:p w:rsidR="00000000" w:rsidRDefault="00E54EC0">
      <w:pPr>
        <w:jc w:val="center"/>
        <w:divId w:val="1546526348"/>
        <w:rPr>
          <w:rFonts w:eastAsia="Times New Roman"/>
        </w:rPr>
      </w:pPr>
    </w:p>
    <w:p w:rsidR="00000000" w:rsidRDefault="00E54EC0">
      <w:pPr>
        <w:divId w:val="1621303019"/>
        <w:rPr>
          <w:rFonts w:eastAsia="Times New Roman"/>
        </w:rPr>
      </w:pPr>
      <w:r>
        <w:rPr>
          <w:rFonts w:eastAsia="Times New Roman"/>
          <w:color w:val="000000"/>
          <w:sz w:val="20"/>
          <w:szCs w:val="20"/>
        </w:rPr>
        <w:t>been collected or the mortgage loan has been restructured to where the collection of interest is considered likely. The Company charges off loan balances and accrued interest that are deemed uncollectible.</w:t>
      </w:r>
    </w:p>
    <w:p w:rsidR="00000000" w:rsidRDefault="00E54EC0">
      <w:pPr>
        <w:divId w:val="900411246"/>
        <w:rPr>
          <w:rFonts w:eastAsia="Times New Roman"/>
        </w:rPr>
      </w:pPr>
      <w:r>
        <w:rPr>
          <w:rFonts w:eastAsia="Times New Roman"/>
          <w:color w:val="000000"/>
          <w:sz w:val="20"/>
          <w:szCs w:val="20"/>
        </w:rPr>
        <w:t xml:space="preserve">The </w:t>
      </w:r>
      <w:r>
        <w:rPr>
          <w:rFonts w:eastAsia="Times New Roman"/>
          <w:color w:val="000000"/>
          <w:sz w:val="20"/>
          <w:szCs w:val="20"/>
        </w:rPr>
        <w:t>components of amortized cost for mortgage loans on the consolidated balance sheets excludes accrued interest amounts because the Company presents accrued interest receivables within other assets. Once mortgage loans are placed on nonaccrual status, the Com</w:t>
      </w:r>
      <w:r>
        <w:rPr>
          <w:rFonts w:eastAsia="Times New Roman"/>
          <w:color w:val="000000"/>
          <w:sz w:val="20"/>
          <w:szCs w:val="20"/>
        </w:rPr>
        <w:t>pany reverses accrued interest receivable against interest income. Since the nonaccrual policy results in the timely reversal of accrued interest receivable, the Company does not record an allowance for credit losses on accrued interest receivable.</w:t>
      </w:r>
    </w:p>
    <w:p w:rsidR="00000000" w:rsidRDefault="00E54EC0">
      <w:pPr>
        <w:divId w:val="549414083"/>
        <w:rPr>
          <w:rFonts w:eastAsia="Times New Roman"/>
        </w:rPr>
      </w:pPr>
      <w:r>
        <w:rPr>
          <w:rFonts w:eastAsia="Times New Roman"/>
          <w:color w:val="000000"/>
          <w:sz w:val="20"/>
          <w:szCs w:val="20"/>
          <w:u w:val="single"/>
        </w:rPr>
        <w:t>Held-fo</w:t>
      </w:r>
      <w:r>
        <w:rPr>
          <w:rFonts w:eastAsia="Times New Roman"/>
          <w:color w:val="000000"/>
          <w:sz w:val="20"/>
          <w:szCs w:val="20"/>
          <w:u w:val="single"/>
        </w:rPr>
        <w:t xml:space="preserve">r-Sale </w:t>
      </w:r>
    </w:p>
    <w:p w:rsidR="00000000" w:rsidRDefault="00E54EC0">
      <w:pPr>
        <w:divId w:val="1045182078"/>
        <w:rPr>
          <w:rFonts w:eastAsia="Times New Roman"/>
        </w:rPr>
      </w:pPr>
      <w:r>
        <w:rPr>
          <w:rFonts w:eastAsia="Times New Roman"/>
          <w:color w:val="000000"/>
          <w:sz w:val="20"/>
          <w:szCs w:val="20"/>
        </w:rPr>
        <w:t>The Company classifies assets and liabilities (“disposal group”) as held-for-sale when the specified criteria in Accounting Standards Codification 360,</w:t>
      </w:r>
      <w:r>
        <w:rPr>
          <w:rFonts w:eastAsia="Times New Roman"/>
          <w:i/>
          <w:iCs/>
          <w:color w:val="000000"/>
          <w:sz w:val="20"/>
          <w:szCs w:val="20"/>
        </w:rPr>
        <w:t xml:space="preserve"> Property, Plant and Equipment</w:t>
      </w:r>
      <w:r>
        <w:rPr>
          <w:rFonts w:eastAsia="Times New Roman"/>
          <w:color w:val="000000"/>
          <w:sz w:val="20"/>
          <w:szCs w:val="20"/>
        </w:rPr>
        <w:t>, are met. Assets and liabilities held-for-sale are presented separ</w:t>
      </w:r>
      <w:r>
        <w:rPr>
          <w:rFonts w:eastAsia="Times New Roman"/>
          <w:color w:val="000000"/>
          <w:sz w:val="20"/>
          <w:szCs w:val="20"/>
        </w:rPr>
        <w:t>ately within the Consolidated Balance Sheets. Depreciation of property, plant and equipment and amortization of intangible and right-of-use assets are not recorded while these assets are classified as held-for-sale. If, in any period, the carrying value of</w:t>
      </w:r>
      <w:r>
        <w:rPr>
          <w:rFonts w:eastAsia="Times New Roman"/>
          <w:color w:val="000000"/>
          <w:sz w:val="20"/>
          <w:szCs w:val="20"/>
        </w:rPr>
        <w:t xml:space="preserve"> the disposal group exceeds the estimated fair value, less costs to sell, an impairment loss will be recognized. See Note 23 of the Notes to these Consolidated Financial Statements for additional information regarding the disposal group.</w:t>
      </w:r>
    </w:p>
    <w:p w:rsidR="00000000" w:rsidRDefault="00E54EC0">
      <w:pPr>
        <w:divId w:val="570163882"/>
        <w:rPr>
          <w:rFonts w:eastAsia="Times New Roman"/>
        </w:rPr>
      </w:pPr>
      <w:r>
        <w:rPr>
          <w:rFonts w:eastAsia="Times New Roman"/>
          <w:color w:val="000000"/>
          <w:sz w:val="20"/>
          <w:szCs w:val="20"/>
          <w:u w:val="single"/>
        </w:rPr>
        <w:t>Troubled Debt Rest</w:t>
      </w:r>
      <w:r>
        <w:rPr>
          <w:rFonts w:eastAsia="Times New Roman"/>
          <w:color w:val="000000"/>
          <w:sz w:val="20"/>
          <w:szCs w:val="20"/>
          <w:u w:val="single"/>
        </w:rPr>
        <w:t>ructuring</w:t>
      </w:r>
    </w:p>
    <w:p w:rsidR="00000000" w:rsidRDefault="00E54EC0">
      <w:pPr>
        <w:divId w:val="1309821102"/>
        <w:rPr>
          <w:rFonts w:eastAsia="Times New Roman"/>
        </w:rPr>
      </w:pPr>
      <w:r>
        <w:rPr>
          <w:rFonts w:eastAsia="Times New Roman"/>
          <w:color w:val="000000"/>
          <w:sz w:val="20"/>
          <w:szCs w:val="20"/>
        </w:rPr>
        <w:t>The Company invests in commercial and agricultural mortgage loans included in the balance sheet as mortgage loans on real estate and privately negotiated fixed maturities included in the balance sheet as fixed maturities AFS. Under certain circumstances, m</w:t>
      </w:r>
      <w:r>
        <w:rPr>
          <w:rFonts w:eastAsia="Times New Roman"/>
          <w:color w:val="000000"/>
          <w:sz w:val="20"/>
          <w:szCs w:val="20"/>
        </w:rPr>
        <w:t>odifications are granted to these contracts. Each modification is evaluated as to whether a TDR has occurred. A modification is a TDR when the borrower is in financial difficulty and the creditor makes concessions. Generally, the types of concessions may i</w:t>
      </w:r>
      <w:r>
        <w:rPr>
          <w:rFonts w:eastAsia="Times New Roman"/>
          <w:color w:val="000000"/>
          <w:sz w:val="20"/>
          <w:szCs w:val="20"/>
        </w:rPr>
        <w:t>nclude reducing the face amount or maturity amount of the debt as originally stated, reducing the contractual interest rate, extending the maturity date at an interest rate lower than current market interest rates and/or reducing accrued interest. The Comp</w:t>
      </w:r>
      <w:r>
        <w:rPr>
          <w:rFonts w:eastAsia="Times New Roman"/>
          <w:color w:val="000000"/>
          <w:sz w:val="20"/>
          <w:szCs w:val="20"/>
        </w:rPr>
        <w:t>any considers the amount, timing and extent of the concession granted in determining any impairment or changes in the specific credit allowance recorded in connection with the TDR. A credit allowance may have been recorded prior to the period when the loan</w:t>
      </w:r>
      <w:r>
        <w:rPr>
          <w:rFonts w:eastAsia="Times New Roman"/>
          <w:color w:val="000000"/>
          <w:sz w:val="20"/>
          <w:szCs w:val="20"/>
        </w:rPr>
        <w:t xml:space="preserve"> is modified in a TDR. Accordingly, the carrying value (net of the allowance) before and after modification through a TDR may not change significantly, or may increase if the expected recovery is higher than the pre-modification recovery assessment. </w:t>
      </w:r>
    </w:p>
    <w:p w:rsidR="00000000" w:rsidRDefault="00E54EC0">
      <w:pPr>
        <w:divId w:val="1307054589"/>
        <w:rPr>
          <w:rFonts w:eastAsia="Times New Roman"/>
        </w:rPr>
      </w:pPr>
      <w:r>
        <w:rPr>
          <w:rFonts w:eastAsia="Times New Roman"/>
          <w:color w:val="000000"/>
          <w:sz w:val="20"/>
          <w:szCs w:val="20"/>
          <w:u w:val="single"/>
        </w:rPr>
        <w:t>Net Investment Income (Loss), Investment Gains (Losses) Net and Unrealized Investment Gains (Losses)</w:t>
      </w:r>
    </w:p>
    <w:p w:rsidR="00000000" w:rsidRDefault="00E54EC0">
      <w:pPr>
        <w:divId w:val="788547620"/>
        <w:rPr>
          <w:rFonts w:eastAsia="Times New Roman"/>
        </w:rPr>
      </w:pPr>
      <w:r>
        <w:rPr>
          <w:rFonts w:eastAsia="Times New Roman"/>
          <w:color w:val="000000"/>
          <w:sz w:val="20"/>
          <w:szCs w:val="20"/>
        </w:rPr>
        <w:t>Realized investment gains (losses) are determined by identification with the specific asset and are presented as a component of revenue. Changes in the all</w:t>
      </w:r>
      <w:r>
        <w:rPr>
          <w:rFonts w:eastAsia="Times New Roman"/>
          <w:color w:val="000000"/>
          <w:sz w:val="20"/>
          <w:szCs w:val="20"/>
        </w:rPr>
        <w:t>owance for credit losses are included in investment gains (losses), net.</w:t>
      </w:r>
    </w:p>
    <w:p w:rsidR="00000000" w:rsidRDefault="00E54EC0">
      <w:pPr>
        <w:divId w:val="990794160"/>
        <w:rPr>
          <w:rFonts w:eastAsia="Times New Roman"/>
        </w:rPr>
      </w:pPr>
      <w:r>
        <w:rPr>
          <w:rFonts w:eastAsia="Times New Roman"/>
          <w:color w:val="000000"/>
          <w:sz w:val="20"/>
          <w:szCs w:val="20"/>
        </w:rPr>
        <w:t>Realized and unrealized holding gains (losses) on trading and equity securities are reflected in net investment income (loss).</w:t>
      </w:r>
    </w:p>
    <w:p w:rsidR="00000000" w:rsidRDefault="00E54EC0">
      <w:pPr>
        <w:divId w:val="2112192034"/>
        <w:rPr>
          <w:rFonts w:eastAsia="Times New Roman"/>
        </w:rPr>
      </w:pPr>
      <w:r>
        <w:rPr>
          <w:rFonts w:eastAsia="Times New Roman"/>
          <w:color w:val="000000"/>
          <w:sz w:val="20"/>
          <w:szCs w:val="20"/>
        </w:rPr>
        <w:t>Unrealized investment gains (losses) on fixed maturities</w:t>
      </w:r>
      <w:r>
        <w:rPr>
          <w:rFonts w:eastAsia="Times New Roman"/>
          <w:color w:val="000000"/>
          <w:sz w:val="20"/>
          <w:szCs w:val="20"/>
        </w:rPr>
        <w:t xml:space="preserve"> designated as AFS held by the Company are accounted for as a separate component of AOCI, net of related deferred income taxes, as are amounts attributable to certain pension operations, Closed Block’s policyholders’ dividend obligation, insurance liabilit</w:t>
      </w:r>
      <w:r>
        <w:rPr>
          <w:rFonts w:eastAsia="Times New Roman"/>
          <w:color w:val="000000"/>
          <w:sz w:val="20"/>
          <w:szCs w:val="20"/>
        </w:rPr>
        <w:t xml:space="preserve">y loss recognition, DAC related to UL policies, investment-type products and participating traditional life policies. </w:t>
      </w:r>
    </w:p>
    <w:p w:rsidR="00000000" w:rsidRDefault="00E54EC0">
      <w:pPr>
        <w:divId w:val="302081231"/>
        <w:rPr>
          <w:rFonts w:eastAsia="Times New Roman"/>
        </w:rPr>
      </w:pPr>
      <w:r>
        <w:rPr>
          <w:rFonts w:eastAsia="Times New Roman"/>
          <w:color w:val="000000"/>
          <w:sz w:val="20"/>
          <w:szCs w:val="20"/>
        </w:rPr>
        <w:t>Changes in unrealized gains (losses) reflect changes in fair value of only those fixed maturities classified as AFS and do not reflect an</w:t>
      </w:r>
      <w:r>
        <w:rPr>
          <w:rFonts w:eastAsia="Times New Roman"/>
          <w:color w:val="000000"/>
          <w:sz w:val="20"/>
          <w:szCs w:val="20"/>
        </w:rPr>
        <w:t>y change in fair value of policyholders’ account balances and future policy benefits.</w:t>
      </w:r>
    </w:p>
    <w:p w:rsidR="00000000" w:rsidRDefault="00E54EC0">
      <w:pPr>
        <w:divId w:val="2048212731"/>
        <w:rPr>
          <w:rFonts w:eastAsia="Times New Roman"/>
        </w:rPr>
      </w:pPr>
      <w:r>
        <w:rPr>
          <w:rFonts w:eastAsia="Times New Roman"/>
          <w:color w:val="000000"/>
          <w:sz w:val="20"/>
          <w:szCs w:val="20"/>
          <w:u w:val="single"/>
        </w:rPr>
        <w:t>Fair Value of Financial Instruments</w:t>
      </w:r>
    </w:p>
    <w:p w:rsidR="00000000" w:rsidRDefault="00E54EC0">
      <w:pPr>
        <w:divId w:val="937099278"/>
        <w:rPr>
          <w:rFonts w:eastAsia="Times New Roman"/>
        </w:rPr>
      </w:pPr>
      <w:r>
        <w:rPr>
          <w:rFonts w:eastAsia="Times New Roman"/>
          <w:color w:val="000000"/>
          <w:sz w:val="20"/>
          <w:szCs w:val="20"/>
        </w:rPr>
        <w:t xml:space="preserve">See Note 8 of the Notes to these Consolidated Financial Statements for additional information regarding determining the fair value of </w:t>
      </w:r>
      <w:r>
        <w:rPr>
          <w:rFonts w:eastAsia="Times New Roman"/>
          <w:color w:val="000000"/>
          <w:sz w:val="20"/>
          <w:szCs w:val="20"/>
        </w:rPr>
        <w:t>financial instruments.</w:t>
      </w:r>
    </w:p>
    <w:p w:rsidR="00000000" w:rsidRDefault="00E54EC0">
      <w:pPr>
        <w:divId w:val="754595182"/>
        <w:rPr>
          <w:rFonts w:eastAsia="Times New Roman"/>
        </w:rPr>
      </w:pPr>
      <w:r>
        <w:rPr>
          <w:rFonts w:eastAsia="Times New Roman"/>
          <w:color w:val="000000"/>
          <w:sz w:val="20"/>
          <w:szCs w:val="20"/>
          <w:u w:val="single"/>
        </w:rPr>
        <w:t>Recognition of Insurance Income and Related Expenses</w:t>
      </w:r>
    </w:p>
    <w:p w:rsidR="00000000" w:rsidRDefault="00E54EC0">
      <w:pPr>
        <w:divId w:val="1529641819"/>
        <w:rPr>
          <w:rFonts w:eastAsia="Times New Roman"/>
        </w:rPr>
      </w:pPr>
      <w:r>
        <w:rPr>
          <w:rFonts w:eastAsia="Times New Roman"/>
          <w:color w:val="000000"/>
          <w:sz w:val="20"/>
          <w:szCs w:val="20"/>
        </w:rPr>
        <w:t xml:space="preserve">Deposits related to UL and investment-type contracts are reported as deposits to policyholders’ account balances. Revenues from these contracts consist of fees assessed during the </w:t>
      </w:r>
      <w:r>
        <w:rPr>
          <w:rFonts w:eastAsia="Times New Roman"/>
          <w:color w:val="000000"/>
          <w:sz w:val="20"/>
          <w:szCs w:val="20"/>
        </w:rPr>
        <w:t>period against policyholders’ account balances for mortality charges, policy administration charges and surrender charges. Policy benefits and claims that are charged to expense include benefit claims incurred in the period in excess of related policyholde</w:t>
      </w:r>
      <w:r>
        <w:rPr>
          <w:rFonts w:eastAsia="Times New Roman"/>
          <w:color w:val="000000"/>
          <w:sz w:val="20"/>
          <w:szCs w:val="20"/>
        </w:rPr>
        <w:t>rs’ account balances.</w:t>
      </w:r>
    </w:p>
    <w:p w:rsidR="00000000" w:rsidRDefault="00E54EC0">
      <w:pPr>
        <w:divId w:val="1961642028"/>
        <w:rPr>
          <w:rFonts w:eastAsia="Times New Roman"/>
        </w:rPr>
      </w:pPr>
      <w:r>
        <w:rPr>
          <w:rFonts w:eastAsia="Times New Roman"/>
          <w:color w:val="000000"/>
          <w:sz w:val="20"/>
          <w:szCs w:val="20"/>
        </w:rPr>
        <w:t xml:space="preserve">Premiums from participating and non-participating traditional life and annuity policies with life contingencies generally are recognized in income when due. Benefits and expenses are matched with such income so as to result in </w:t>
      </w:r>
    </w:p>
    <w:p w:rsidR="00000000" w:rsidRDefault="00E54EC0">
      <w:pPr>
        <w:jc w:val="center"/>
        <w:divId w:val="1476139773"/>
        <w:rPr>
          <w:rFonts w:eastAsia="Times New Roman"/>
        </w:rPr>
      </w:pPr>
      <w:r>
        <w:rPr>
          <w:rFonts w:eastAsia="Times New Roman"/>
          <w:color w:val="000000"/>
          <w:sz w:val="20"/>
          <w:szCs w:val="20"/>
        </w:rPr>
        <w:t>144</w:t>
      </w:r>
    </w:p>
    <w:p w:rsidR="00000000" w:rsidRDefault="00E54EC0">
      <w:pPr>
        <w:rPr>
          <w:rFonts w:eastAsia="Times New Roman"/>
        </w:rPr>
      </w:pPr>
      <w:r>
        <w:rPr>
          <w:rFonts w:eastAsia="Times New Roman"/>
        </w:rPr>
        <w:pict>
          <v:rect id="_x0000_i1182" style="width:0;height:1.5pt" o:hralign="center" o:hrstd="t" o:hr="t" fillcolor="#a0a0a0" stroked="f"/>
        </w:pict>
      </w:r>
    </w:p>
    <w:p w:rsidR="00000000" w:rsidRDefault="00E54EC0">
      <w:pPr>
        <w:divId w:val="1607302689"/>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944995503"/>
        <w:rPr>
          <w:rFonts w:eastAsia="Times New Roman"/>
        </w:rPr>
      </w:pPr>
      <w:r>
        <w:rPr>
          <w:rFonts w:eastAsia="Times New Roman"/>
          <w:b/>
          <w:bCs/>
          <w:color w:val="000000"/>
          <w:sz w:val="20"/>
          <w:szCs w:val="20"/>
        </w:rPr>
        <w:t>EQUITABLE HOLDINGS, INC.</w:t>
      </w:r>
    </w:p>
    <w:p w:rsidR="00000000" w:rsidRDefault="00E54EC0">
      <w:pPr>
        <w:jc w:val="center"/>
        <w:divId w:val="1944995503"/>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944995503"/>
        <w:rPr>
          <w:rFonts w:eastAsia="Times New Roman"/>
        </w:rPr>
      </w:pPr>
    </w:p>
    <w:p w:rsidR="00000000" w:rsidRDefault="00E54EC0">
      <w:pPr>
        <w:divId w:val="1111362069"/>
        <w:rPr>
          <w:rFonts w:eastAsia="Times New Roman"/>
        </w:rPr>
      </w:pPr>
      <w:r>
        <w:rPr>
          <w:rFonts w:eastAsia="Times New Roman"/>
          <w:color w:val="000000"/>
          <w:sz w:val="20"/>
          <w:szCs w:val="20"/>
        </w:rPr>
        <w:t xml:space="preserve">the recognition of profits over the life of the contracts. This </w:t>
      </w:r>
      <w:r>
        <w:rPr>
          <w:rFonts w:eastAsia="Times New Roman"/>
          <w:color w:val="000000"/>
          <w:sz w:val="20"/>
          <w:szCs w:val="20"/>
        </w:rPr>
        <w:t>match is accomplished by means of the provision for liabilities for future policy benefits and the deferral and subsequent amortization of DAC.</w:t>
      </w:r>
    </w:p>
    <w:p w:rsidR="00000000" w:rsidRDefault="00E54EC0">
      <w:pPr>
        <w:divId w:val="1235965568"/>
        <w:rPr>
          <w:rFonts w:eastAsia="Times New Roman"/>
        </w:rPr>
      </w:pPr>
      <w:r>
        <w:rPr>
          <w:rFonts w:eastAsia="Times New Roman"/>
          <w:color w:val="000000"/>
          <w:sz w:val="20"/>
          <w:szCs w:val="20"/>
        </w:rPr>
        <w:t>For contracts with a single premium or a limited number of premium payments due over a significantly shorter per</w:t>
      </w:r>
      <w:r>
        <w:rPr>
          <w:rFonts w:eastAsia="Times New Roman"/>
          <w:color w:val="000000"/>
          <w:sz w:val="20"/>
          <w:szCs w:val="20"/>
        </w:rPr>
        <w:t>iod than the total period over which benefits are provided, premiums are recorded as revenue when due with any excess profit deferred and recognized in income in a constant relationship to insurance in-force or, for annuities, the amount of expected future</w:t>
      </w:r>
      <w:r>
        <w:rPr>
          <w:rFonts w:eastAsia="Times New Roman"/>
          <w:color w:val="000000"/>
          <w:sz w:val="20"/>
          <w:szCs w:val="20"/>
        </w:rPr>
        <w:t xml:space="preserve"> benefit payments.</w:t>
      </w:r>
    </w:p>
    <w:p w:rsidR="00000000" w:rsidRDefault="00E54EC0">
      <w:pPr>
        <w:divId w:val="388117675"/>
        <w:rPr>
          <w:rFonts w:eastAsia="Times New Roman"/>
        </w:rPr>
      </w:pPr>
      <w:r>
        <w:rPr>
          <w:rFonts w:eastAsia="Times New Roman"/>
          <w:color w:val="000000"/>
          <w:sz w:val="20"/>
          <w:szCs w:val="20"/>
        </w:rPr>
        <w:t>Premiums from individual health contracts are recognized as income over the period to which the premiums relate in proportion to the amount of insurance protection provided.</w:t>
      </w:r>
    </w:p>
    <w:p w:rsidR="00000000" w:rsidRDefault="00E54EC0">
      <w:pPr>
        <w:divId w:val="456025222"/>
        <w:rPr>
          <w:rFonts w:eastAsia="Times New Roman"/>
        </w:rPr>
      </w:pPr>
      <w:r>
        <w:rPr>
          <w:rFonts w:eastAsia="Times New Roman"/>
          <w:color w:val="000000"/>
          <w:sz w:val="20"/>
          <w:szCs w:val="20"/>
          <w:u w:val="single"/>
        </w:rPr>
        <w:t>DAC</w:t>
      </w:r>
    </w:p>
    <w:p w:rsidR="00000000" w:rsidRDefault="00E54EC0">
      <w:pPr>
        <w:divId w:val="288440558"/>
        <w:rPr>
          <w:rFonts w:eastAsia="Times New Roman"/>
        </w:rPr>
      </w:pPr>
      <w:r>
        <w:rPr>
          <w:rFonts w:eastAsia="Times New Roman"/>
          <w:color w:val="000000"/>
          <w:sz w:val="20"/>
          <w:szCs w:val="20"/>
        </w:rPr>
        <w:t xml:space="preserve">Acquisition costs that vary with and are primarily related </w:t>
      </w:r>
      <w:r>
        <w:rPr>
          <w:rFonts w:eastAsia="Times New Roman"/>
          <w:color w:val="000000"/>
          <w:sz w:val="20"/>
          <w:szCs w:val="20"/>
        </w:rPr>
        <w:t>to the acquisition of new and renewal insurance business, reflecting incremental direct costs of contract acquisition with independent third parties or employees that are essential to the contract transaction, as well as the portion of employee compensatio</w:t>
      </w:r>
      <w:r>
        <w:rPr>
          <w:rFonts w:eastAsia="Times New Roman"/>
          <w:color w:val="000000"/>
          <w:sz w:val="20"/>
          <w:szCs w:val="20"/>
        </w:rPr>
        <w:t>n, including payroll fringe benefits and other costs directly related to underwriting, policy issuance and processing, medical inspection, and contract selling for successfully negotiated contracts including commissions, underwriting, agency and policy iss</w:t>
      </w:r>
      <w:r>
        <w:rPr>
          <w:rFonts w:eastAsia="Times New Roman"/>
          <w:color w:val="000000"/>
          <w:sz w:val="20"/>
          <w:szCs w:val="20"/>
        </w:rPr>
        <w:t xml:space="preserve">ue expenses, are deferred. In each reporting period, DAC amortization, net of the accrual of imputed interest on DAC balances, is recorded to amortization of deferred policy acquisition costs. DAC is subject to recoverability testing at the time of policy </w:t>
      </w:r>
      <w:r>
        <w:rPr>
          <w:rFonts w:eastAsia="Times New Roman"/>
          <w:color w:val="000000"/>
          <w:sz w:val="20"/>
          <w:szCs w:val="20"/>
        </w:rPr>
        <w:t>issue and loss recognition testing at the end of each accounting period. The determination of DAC, including amortization and recoverability estimates, is based on models that involve numerous assumptions and subjective judgments, including those regarding</w:t>
      </w:r>
      <w:r>
        <w:rPr>
          <w:rFonts w:eastAsia="Times New Roman"/>
          <w:color w:val="000000"/>
          <w:sz w:val="20"/>
          <w:szCs w:val="20"/>
        </w:rPr>
        <w:t xml:space="preserve"> policyholder behavior, surrender and withdrawal rates, mortality experience, and other inputs including financial market volatility and market rates of return.</w:t>
      </w:r>
    </w:p>
    <w:p w:rsidR="00000000" w:rsidRDefault="00E54EC0">
      <w:pPr>
        <w:divId w:val="2140026532"/>
        <w:rPr>
          <w:rFonts w:eastAsia="Times New Roman"/>
        </w:rPr>
      </w:pPr>
      <w:r>
        <w:rPr>
          <w:rFonts w:eastAsia="Times New Roman"/>
          <w:color w:val="000000"/>
          <w:sz w:val="20"/>
          <w:szCs w:val="20"/>
        </w:rPr>
        <w:t xml:space="preserve">After the initial establishment of reserves, premium deficiency and loss recognition tests are </w:t>
      </w:r>
      <w:r>
        <w:rPr>
          <w:rFonts w:eastAsia="Times New Roman"/>
          <w:color w:val="000000"/>
          <w:sz w:val="20"/>
          <w:szCs w:val="20"/>
        </w:rPr>
        <w:t>performed each period end using best estimate assumptions as of the testing date without provisions for adverse deviation. When the liabilities for future policy benefits plus the present value of expected future gross premiums for the aggregate product gr</w:t>
      </w:r>
      <w:r>
        <w:rPr>
          <w:rFonts w:eastAsia="Times New Roman"/>
          <w:color w:val="000000"/>
          <w:sz w:val="20"/>
          <w:szCs w:val="20"/>
        </w:rPr>
        <w:t xml:space="preserve">oup are insufficient to provide for expected future policy benefits and expenses for that line of business (i.e., reserves net of any DAC asset), DAC would first be written off and thereafter, if required, a premium deficiency reserve would be established </w:t>
      </w:r>
      <w:r>
        <w:rPr>
          <w:rFonts w:eastAsia="Times New Roman"/>
          <w:color w:val="000000"/>
          <w:sz w:val="20"/>
          <w:szCs w:val="20"/>
        </w:rPr>
        <w:t>by a charge to earnings.</w:t>
      </w:r>
    </w:p>
    <w:p w:rsidR="00000000" w:rsidRDefault="00E54EC0">
      <w:pPr>
        <w:jc w:val="both"/>
        <w:divId w:val="1157500449"/>
        <w:rPr>
          <w:rFonts w:eastAsia="Times New Roman"/>
        </w:rPr>
      </w:pPr>
      <w:r>
        <w:rPr>
          <w:rFonts w:eastAsia="Times New Roman"/>
          <w:b/>
          <w:bCs/>
          <w:i/>
          <w:iCs/>
          <w:color w:val="000000"/>
          <w:sz w:val="20"/>
          <w:szCs w:val="20"/>
        </w:rPr>
        <w:t>Amortization Policy</w:t>
      </w:r>
    </w:p>
    <w:p w:rsidR="00000000" w:rsidRDefault="00E54EC0">
      <w:pPr>
        <w:divId w:val="477112580"/>
        <w:rPr>
          <w:rFonts w:eastAsia="Times New Roman"/>
        </w:rPr>
      </w:pPr>
      <w:r>
        <w:rPr>
          <w:rFonts w:eastAsia="Times New Roman"/>
          <w:color w:val="000000"/>
          <w:sz w:val="20"/>
          <w:szCs w:val="20"/>
        </w:rPr>
        <w:t>In accordance with the guidance for the accounting and reporting by insurance enterprises for certain long-duration contracts and participating contracts and for realized gains and losses from the sale of invest</w:t>
      </w:r>
      <w:r>
        <w:rPr>
          <w:rFonts w:eastAsia="Times New Roman"/>
          <w:color w:val="000000"/>
          <w:sz w:val="20"/>
          <w:szCs w:val="20"/>
        </w:rPr>
        <w:t>ments, current and expected future profit margins for products covered by this guidance are examined regularly in determining the amortization of DAC.</w:t>
      </w:r>
    </w:p>
    <w:p w:rsidR="00000000" w:rsidRDefault="00E54EC0">
      <w:pPr>
        <w:divId w:val="529341943"/>
        <w:rPr>
          <w:rFonts w:eastAsia="Times New Roman"/>
        </w:rPr>
      </w:pPr>
      <w:r>
        <w:rPr>
          <w:rFonts w:eastAsia="Times New Roman"/>
          <w:color w:val="000000"/>
          <w:sz w:val="20"/>
          <w:szCs w:val="20"/>
        </w:rPr>
        <w:t>DAC associated with certain variable annuity products is amortized based on estimated assessments, with D</w:t>
      </w:r>
      <w:r>
        <w:rPr>
          <w:rFonts w:eastAsia="Times New Roman"/>
          <w:color w:val="000000"/>
          <w:sz w:val="20"/>
          <w:szCs w:val="20"/>
        </w:rPr>
        <w:t>AC on the remainder of variable annuities, UL and investment-type products amortized over the expected total life of the contract group as a constant percentage of estimated gross profits arising principally from investment results, Separate Accounts fees,</w:t>
      </w:r>
      <w:r>
        <w:rPr>
          <w:rFonts w:eastAsia="Times New Roman"/>
          <w:color w:val="000000"/>
          <w:sz w:val="20"/>
          <w:szCs w:val="20"/>
        </w:rPr>
        <w:t xml:space="preserve"> mortality and expense margins and surrender charges based on historical and anticipated future experience, embedded derivatives and changes in the reserve of products that have indexed features such as SCS IUL and MSO, updated at the end of each accountin</w:t>
      </w:r>
      <w:r>
        <w:rPr>
          <w:rFonts w:eastAsia="Times New Roman"/>
          <w:color w:val="000000"/>
          <w:sz w:val="20"/>
          <w:szCs w:val="20"/>
        </w:rPr>
        <w:t>g period. When estimated gross profits are expected to be negative for multiple years of a contract life, DAC is amortized using the present value of estimated assessments. The effect on the amortization of DAC of revisions to estimated gross profits or as</w:t>
      </w:r>
      <w:r>
        <w:rPr>
          <w:rFonts w:eastAsia="Times New Roman"/>
          <w:color w:val="000000"/>
          <w:sz w:val="20"/>
          <w:szCs w:val="20"/>
        </w:rPr>
        <w:t>sessments is reflected in earnings (loss) in the period such estimated gross profits or assessments are revised. A decrease in expected gross profits or assessments would accelerate DAC amortization. Conversely, an increase in expected gross profits or ass</w:t>
      </w:r>
      <w:r>
        <w:rPr>
          <w:rFonts w:eastAsia="Times New Roman"/>
          <w:color w:val="000000"/>
          <w:sz w:val="20"/>
          <w:szCs w:val="20"/>
        </w:rPr>
        <w:t xml:space="preserve">essments would slow DAC amortization. The effect on the DAC assets that would result from realization of unrealized gains (losses) is recognized with an offset to AOCI in consolidated equity as of the balance sheet date. </w:t>
      </w:r>
    </w:p>
    <w:p w:rsidR="00000000" w:rsidRDefault="00E54EC0">
      <w:pPr>
        <w:divId w:val="597446824"/>
        <w:rPr>
          <w:rFonts w:eastAsia="Times New Roman"/>
        </w:rPr>
      </w:pPr>
      <w:r>
        <w:rPr>
          <w:rFonts w:eastAsia="Times New Roman"/>
          <w:color w:val="000000"/>
          <w:sz w:val="20"/>
          <w:szCs w:val="20"/>
        </w:rPr>
        <w:t>A significant assumption in the am</w:t>
      </w:r>
      <w:r>
        <w:rPr>
          <w:rFonts w:eastAsia="Times New Roman"/>
          <w:color w:val="000000"/>
          <w:sz w:val="20"/>
          <w:szCs w:val="20"/>
        </w:rPr>
        <w:t xml:space="preserve">ortization of DAC on variable annuities and, to a lesser extent, on variable and interest-sensitive life insurance relates to projected future separate account performance. Management sets estimated future gross profit or assessment assumptions related to </w:t>
      </w:r>
      <w:r>
        <w:rPr>
          <w:rFonts w:eastAsia="Times New Roman"/>
          <w:color w:val="000000"/>
          <w:sz w:val="20"/>
          <w:szCs w:val="20"/>
        </w:rPr>
        <w:t>separate account performance using a long-term view of expected average market returns by applying a RTM approach, a commonly used industry practice. This future return approach influences the projection of fees earned, as well as other sources of estimate</w:t>
      </w:r>
      <w:r>
        <w:rPr>
          <w:rFonts w:eastAsia="Times New Roman"/>
          <w:color w:val="000000"/>
          <w:sz w:val="20"/>
          <w:szCs w:val="20"/>
        </w:rPr>
        <w:t xml:space="preserve">d gross profits. Returns that are higher than expectations for a given period produce higher than expected account balances, increase the fees earned resulting in higher expected future gross profits and lower DAC amortization for the period. The opposite </w:t>
      </w:r>
      <w:r>
        <w:rPr>
          <w:rFonts w:eastAsia="Times New Roman"/>
          <w:color w:val="000000"/>
          <w:sz w:val="20"/>
          <w:szCs w:val="20"/>
        </w:rPr>
        <w:t>occurs when returns are lower than expected.</w:t>
      </w:r>
    </w:p>
    <w:p w:rsidR="00000000" w:rsidRDefault="00E54EC0">
      <w:pPr>
        <w:jc w:val="center"/>
        <w:divId w:val="1399940759"/>
        <w:rPr>
          <w:rFonts w:eastAsia="Times New Roman"/>
        </w:rPr>
      </w:pPr>
      <w:r>
        <w:rPr>
          <w:rFonts w:eastAsia="Times New Roman"/>
          <w:color w:val="000000"/>
          <w:sz w:val="20"/>
          <w:szCs w:val="20"/>
        </w:rPr>
        <w:t>145</w:t>
      </w:r>
    </w:p>
    <w:p w:rsidR="00000000" w:rsidRDefault="00E54EC0">
      <w:pPr>
        <w:rPr>
          <w:rFonts w:eastAsia="Times New Roman"/>
        </w:rPr>
      </w:pPr>
      <w:r>
        <w:rPr>
          <w:rFonts w:eastAsia="Times New Roman"/>
        </w:rPr>
        <w:pict>
          <v:rect id="_x0000_i1183" style="width:0;height:1.5pt" o:hralign="center" o:hrstd="t" o:hr="t" fillcolor="#a0a0a0" stroked="f"/>
        </w:pict>
      </w:r>
    </w:p>
    <w:p w:rsidR="00000000" w:rsidRDefault="00E54EC0">
      <w:pPr>
        <w:divId w:val="939335676"/>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14562814"/>
        <w:rPr>
          <w:rFonts w:eastAsia="Times New Roman"/>
        </w:rPr>
      </w:pPr>
      <w:r>
        <w:rPr>
          <w:rFonts w:eastAsia="Times New Roman"/>
          <w:b/>
          <w:bCs/>
          <w:color w:val="000000"/>
          <w:sz w:val="20"/>
          <w:szCs w:val="20"/>
        </w:rPr>
        <w:t>EQUITABLE HOLDINGS, INC.</w:t>
      </w:r>
    </w:p>
    <w:p w:rsidR="00000000" w:rsidRDefault="00E54EC0">
      <w:pPr>
        <w:jc w:val="center"/>
        <w:divId w:val="114562814"/>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14562814"/>
        <w:rPr>
          <w:rFonts w:eastAsia="Times New Roman"/>
        </w:rPr>
      </w:pPr>
    </w:p>
    <w:p w:rsidR="00000000" w:rsidRDefault="00E54EC0">
      <w:pPr>
        <w:divId w:val="504831327"/>
        <w:rPr>
          <w:rFonts w:eastAsia="Times New Roman"/>
        </w:rPr>
      </w:pPr>
      <w:r>
        <w:rPr>
          <w:rFonts w:eastAsia="Times New Roman"/>
          <w:color w:val="000000"/>
          <w:sz w:val="20"/>
          <w:szCs w:val="20"/>
        </w:rPr>
        <w:t>In applying this approach to develop estimates of future returns, it is assumed that the market will return to an average gross long-term return estimate, developed with reference to historical long-term equity market performance. Management has set limita</w:t>
      </w:r>
      <w:r>
        <w:rPr>
          <w:rFonts w:eastAsia="Times New Roman"/>
          <w:color w:val="000000"/>
          <w:sz w:val="20"/>
          <w:szCs w:val="20"/>
        </w:rPr>
        <w:t>tions as to maximum and minimum future rate of return assumptions, as well as a limitation on the duration of use of these maximum or minimum rates of return. As of December 31, 2022, the average gross short-term and long-term annual return estimate on var</w:t>
      </w:r>
      <w:r>
        <w:rPr>
          <w:rFonts w:eastAsia="Times New Roman"/>
          <w:color w:val="000000"/>
          <w:sz w:val="20"/>
          <w:szCs w:val="20"/>
        </w:rPr>
        <w:t>iable and interest-sensitive life insurance and variable annuities was 7.0% (4.9% net of product weighted average Separate Accounts fees), and the gross maximum and minimum short-term annual rate of return limitations were 15.0% (12.9% net of product weigh</w:t>
      </w:r>
      <w:r>
        <w:rPr>
          <w:rFonts w:eastAsia="Times New Roman"/>
          <w:color w:val="000000"/>
          <w:sz w:val="20"/>
          <w:szCs w:val="20"/>
        </w:rPr>
        <w:t>ted average Separate Accounts fees and Investment Advisory fees) and 0.0% ((2.1)% net of product weighted average Separate Accounts fees and Investment Advisory fees), respectively. The maximum duration over which these rate limitations may be applied is f</w:t>
      </w:r>
      <w:r>
        <w:rPr>
          <w:rFonts w:eastAsia="Times New Roman"/>
          <w:color w:val="000000"/>
          <w:sz w:val="20"/>
          <w:szCs w:val="20"/>
        </w:rPr>
        <w:t>ive years. These assumptions of long-term growth are subject to assessment of the reasonableness of resulting estimates of future return assumptions.</w:t>
      </w:r>
    </w:p>
    <w:p w:rsidR="00000000" w:rsidRDefault="00E54EC0">
      <w:pPr>
        <w:divId w:val="1418792911"/>
        <w:rPr>
          <w:rFonts w:eastAsia="Times New Roman"/>
        </w:rPr>
      </w:pPr>
      <w:r>
        <w:rPr>
          <w:rFonts w:eastAsia="Times New Roman"/>
          <w:color w:val="000000"/>
          <w:sz w:val="20"/>
          <w:szCs w:val="20"/>
        </w:rPr>
        <w:t>In addition, projections of future mortality assumptions related to variable and interest-sensitive life p</w:t>
      </w:r>
      <w:r>
        <w:rPr>
          <w:rFonts w:eastAsia="Times New Roman"/>
          <w:color w:val="000000"/>
          <w:sz w:val="20"/>
          <w:szCs w:val="20"/>
        </w:rPr>
        <w:t>roducts are based on a long-term average of actual experience. This assumption is updated periodically to reflect recent experience as it emerges. Improvement of life mortality in future periods from that currently projected would result in future decelera</w:t>
      </w:r>
      <w:r>
        <w:rPr>
          <w:rFonts w:eastAsia="Times New Roman"/>
          <w:color w:val="000000"/>
          <w:sz w:val="20"/>
          <w:szCs w:val="20"/>
        </w:rPr>
        <w:t>tion of DAC amortization. Conversely, deterioration of life mortality in future periods from that currently projected would result in future acceleration of DAC amortization.</w:t>
      </w:r>
    </w:p>
    <w:p w:rsidR="00000000" w:rsidRDefault="00E54EC0">
      <w:pPr>
        <w:divId w:val="2123722546"/>
        <w:rPr>
          <w:rFonts w:eastAsia="Times New Roman"/>
        </w:rPr>
      </w:pPr>
      <w:r>
        <w:rPr>
          <w:rFonts w:eastAsia="Times New Roman"/>
          <w:color w:val="000000"/>
          <w:sz w:val="20"/>
          <w:szCs w:val="20"/>
        </w:rPr>
        <w:t>Other significant assumptions underlying gross profit estimates for UL and invest</w:t>
      </w:r>
      <w:r>
        <w:rPr>
          <w:rFonts w:eastAsia="Times New Roman"/>
          <w:color w:val="000000"/>
          <w:sz w:val="20"/>
          <w:szCs w:val="20"/>
        </w:rPr>
        <w:t>ment type products relate to contract persistency and General Account investment spread.</w:t>
      </w:r>
    </w:p>
    <w:p w:rsidR="00000000" w:rsidRDefault="00E54EC0">
      <w:pPr>
        <w:divId w:val="146753468"/>
        <w:rPr>
          <w:rFonts w:eastAsia="Times New Roman"/>
        </w:rPr>
      </w:pPr>
      <w:r>
        <w:rPr>
          <w:rFonts w:eastAsia="Times New Roman"/>
          <w:color w:val="000000"/>
          <w:sz w:val="20"/>
          <w:szCs w:val="20"/>
        </w:rPr>
        <w:t>For participating traditional life policies (substantially all of which are in the Closed Block), DAC is amortized over the expected total life of the contract group a</w:t>
      </w:r>
      <w:r>
        <w:rPr>
          <w:rFonts w:eastAsia="Times New Roman"/>
          <w:color w:val="000000"/>
          <w:sz w:val="20"/>
          <w:szCs w:val="20"/>
        </w:rPr>
        <w:t>s a constant percentage based on the present value of the estimated gross margin amounts expected to be realized over the life of the contracts using the expected investment yield. As of December 31, 2022, the average rate of assumed investment yields, exc</w:t>
      </w:r>
      <w:r>
        <w:rPr>
          <w:rFonts w:eastAsia="Times New Roman"/>
          <w:color w:val="000000"/>
          <w:sz w:val="20"/>
          <w:szCs w:val="20"/>
        </w:rPr>
        <w:t>luding policy loans, for the Company was 4.4% grading to 4.3% in 2026. Estimated gross margins include anticipated premiums and investment results less claims and administrative expenses, changes in the net level premium reserve and expected annual policyh</w:t>
      </w:r>
      <w:r>
        <w:rPr>
          <w:rFonts w:eastAsia="Times New Roman"/>
          <w:color w:val="000000"/>
          <w:sz w:val="20"/>
          <w:szCs w:val="20"/>
        </w:rPr>
        <w:t>older dividends. The effect on the accumulated amortization of DAC of revisions to estimated gross margins is reflected in earnings in the period such estimated gross margins are revised. The effect on the DAC assets that would result from realization of u</w:t>
      </w:r>
      <w:r>
        <w:rPr>
          <w:rFonts w:eastAsia="Times New Roman"/>
          <w:color w:val="000000"/>
          <w:sz w:val="20"/>
          <w:szCs w:val="20"/>
        </w:rPr>
        <w:t>nrealized gains (losses) is recognized with an offset to AOCI in consolidated equity as of the balance sheet date. Many of the factors that affect gross margins are included in the determination of the Company’s dividends to these policyholders. DAC adjust</w:t>
      </w:r>
      <w:r>
        <w:rPr>
          <w:rFonts w:eastAsia="Times New Roman"/>
          <w:color w:val="000000"/>
          <w:sz w:val="20"/>
          <w:szCs w:val="20"/>
        </w:rPr>
        <w:t xml:space="preserve">ments related to participating traditional life policies do not create significant volatility in results of operations as the Closed Block recognizes a cumulative policyholder dividend obligation expense in policyholders’ benefits for the excess of actual </w:t>
      </w:r>
      <w:r>
        <w:rPr>
          <w:rFonts w:eastAsia="Times New Roman"/>
          <w:color w:val="000000"/>
          <w:sz w:val="20"/>
          <w:szCs w:val="20"/>
        </w:rPr>
        <w:t>cumulative earnings over expected cumulative earnings as determined at the time of demutualization.</w:t>
      </w:r>
    </w:p>
    <w:p w:rsidR="00000000" w:rsidRDefault="00E54EC0">
      <w:pPr>
        <w:divId w:val="478575719"/>
        <w:rPr>
          <w:rFonts w:eastAsia="Times New Roman"/>
        </w:rPr>
      </w:pPr>
      <w:r>
        <w:rPr>
          <w:rFonts w:eastAsia="Times New Roman"/>
          <w:color w:val="000000"/>
          <w:sz w:val="20"/>
          <w:szCs w:val="20"/>
        </w:rPr>
        <w:t xml:space="preserve">DAC associated with non-participating traditional life policies are amortized in proportion to anticipated premiums. Assumptions as to anticipated premiums </w:t>
      </w:r>
      <w:r>
        <w:rPr>
          <w:rFonts w:eastAsia="Times New Roman"/>
          <w:color w:val="000000"/>
          <w:sz w:val="20"/>
          <w:szCs w:val="20"/>
        </w:rPr>
        <w:t xml:space="preserve">are estimated at the date of policy issue and are consistently applied during the life of the contracts. Deviations from estimated experience are reflected in income (loss) in the period such deviations occur. For these contracts, the amortization periods </w:t>
      </w:r>
      <w:r>
        <w:rPr>
          <w:rFonts w:eastAsia="Times New Roman"/>
          <w:color w:val="000000"/>
          <w:sz w:val="20"/>
          <w:szCs w:val="20"/>
        </w:rPr>
        <w:t>generally are for the total life of the policy. DAC related to these policies are subject to recoverability testing as part of the Company’s premium deficiency testing. If a premium deficiency exists, DAC are reduced by the amount of the deficiency or to z</w:t>
      </w:r>
      <w:r>
        <w:rPr>
          <w:rFonts w:eastAsia="Times New Roman"/>
          <w:color w:val="000000"/>
          <w:sz w:val="20"/>
          <w:szCs w:val="20"/>
        </w:rPr>
        <w:t>ero through a charge to current period earnings (loss). If the deficiency exceeds the DAC balance, the reserve for future policy benefits is increased by the excess, reflected in earnings (loss) in the period such deficiency occurs.</w:t>
      </w:r>
    </w:p>
    <w:p w:rsidR="00000000" w:rsidRDefault="00E54EC0">
      <w:pPr>
        <w:divId w:val="409232521"/>
        <w:rPr>
          <w:rFonts w:eastAsia="Times New Roman"/>
        </w:rPr>
      </w:pPr>
      <w:r>
        <w:rPr>
          <w:rFonts w:eastAsia="Times New Roman"/>
          <w:color w:val="000000"/>
          <w:sz w:val="20"/>
          <w:szCs w:val="20"/>
        </w:rPr>
        <w:t>For some products, poli</w:t>
      </w:r>
      <w:r>
        <w:rPr>
          <w:rFonts w:eastAsia="Times New Roman"/>
          <w:color w:val="000000"/>
          <w:sz w:val="20"/>
          <w:szCs w:val="20"/>
        </w:rPr>
        <w:t>cyholders can elect to modify product benefits, features, rights or coverages that occur by the exchange of a contract for a new contract, or by amendment, endorsement, or rider to a contract, or by election or coverage within a contract. These transaction</w:t>
      </w:r>
      <w:r>
        <w:rPr>
          <w:rFonts w:eastAsia="Times New Roman"/>
          <w:color w:val="000000"/>
          <w:sz w:val="20"/>
          <w:szCs w:val="20"/>
        </w:rPr>
        <w:t>s are known as internal replacements. If such modification substantially changes the contract, the associated DAC is written off immediately through income and any new deferrable costs associated with the replacement contract are deferred. If the modificat</w:t>
      </w:r>
      <w:r>
        <w:rPr>
          <w:rFonts w:eastAsia="Times New Roman"/>
          <w:color w:val="000000"/>
          <w:sz w:val="20"/>
          <w:szCs w:val="20"/>
        </w:rPr>
        <w:t xml:space="preserve">ion does not substantially change the contract, the DAC amortization on the original contract will continue and any acquisition costs associated with the related modification are expensed. </w:t>
      </w:r>
    </w:p>
    <w:p w:rsidR="00000000" w:rsidRDefault="00E54EC0">
      <w:pPr>
        <w:divId w:val="68819917"/>
        <w:rPr>
          <w:rFonts w:eastAsia="Times New Roman"/>
        </w:rPr>
      </w:pPr>
      <w:r>
        <w:rPr>
          <w:rFonts w:eastAsia="Times New Roman"/>
          <w:color w:val="000000"/>
          <w:sz w:val="20"/>
          <w:szCs w:val="20"/>
          <w:u w:val="single"/>
        </w:rPr>
        <w:t>Reinsurance</w:t>
      </w:r>
    </w:p>
    <w:p w:rsidR="00000000" w:rsidRDefault="00E54EC0">
      <w:pPr>
        <w:divId w:val="634146338"/>
        <w:rPr>
          <w:rFonts w:eastAsia="Times New Roman"/>
        </w:rPr>
      </w:pPr>
      <w:r>
        <w:rPr>
          <w:rFonts w:eastAsia="Times New Roman"/>
          <w:color w:val="000000"/>
          <w:sz w:val="20"/>
          <w:szCs w:val="20"/>
        </w:rPr>
        <w:t>For each of its reinsurance agreements, the Company de</w:t>
      </w:r>
      <w:r>
        <w:rPr>
          <w:rFonts w:eastAsia="Times New Roman"/>
          <w:color w:val="000000"/>
          <w:sz w:val="20"/>
          <w:szCs w:val="20"/>
        </w:rPr>
        <w:t>termines whether the agreement provides indemnification against loss or liability relating to insurance risk in accordance with applicable accounting standards. Cessions under reinsurance agreements do not discharge the Company’s obligations as the primary</w:t>
      </w:r>
      <w:r>
        <w:rPr>
          <w:rFonts w:eastAsia="Times New Roman"/>
          <w:color w:val="000000"/>
          <w:sz w:val="20"/>
          <w:szCs w:val="20"/>
        </w:rPr>
        <w:t xml:space="preserve"> insurer. The Company reviews all contractual features, including those that may limit the amount of insurance risk to which the reinsurer is subject or features that delay the timely reimbursement of claims.</w:t>
      </w:r>
    </w:p>
    <w:p w:rsidR="00000000" w:rsidRDefault="00E54EC0">
      <w:pPr>
        <w:jc w:val="center"/>
        <w:divId w:val="444422051"/>
        <w:rPr>
          <w:rFonts w:eastAsia="Times New Roman"/>
        </w:rPr>
      </w:pPr>
      <w:r>
        <w:rPr>
          <w:rFonts w:eastAsia="Times New Roman"/>
          <w:color w:val="000000"/>
          <w:sz w:val="20"/>
          <w:szCs w:val="20"/>
        </w:rPr>
        <w:t>146</w:t>
      </w:r>
    </w:p>
    <w:p w:rsidR="00000000" w:rsidRDefault="00E54EC0">
      <w:pPr>
        <w:rPr>
          <w:rFonts w:eastAsia="Times New Roman"/>
        </w:rPr>
      </w:pPr>
      <w:r>
        <w:rPr>
          <w:rFonts w:eastAsia="Times New Roman"/>
        </w:rPr>
        <w:pict>
          <v:rect id="_x0000_i1184" style="width:0;height:1.5pt" o:hralign="center" o:hrstd="t" o:hr="t" fillcolor="#a0a0a0" stroked="f"/>
        </w:pict>
      </w:r>
    </w:p>
    <w:p w:rsidR="00000000" w:rsidRDefault="00E54EC0">
      <w:pPr>
        <w:divId w:val="1384404598"/>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300311323"/>
        <w:rPr>
          <w:rFonts w:eastAsia="Times New Roman"/>
        </w:rPr>
      </w:pPr>
      <w:r>
        <w:rPr>
          <w:rFonts w:eastAsia="Times New Roman"/>
          <w:b/>
          <w:bCs/>
          <w:color w:val="000000"/>
          <w:sz w:val="20"/>
          <w:szCs w:val="20"/>
        </w:rPr>
        <w:t>EQUITABLE HOLDINGS, INC.</w:t>
      </w:r>
    </w:p>
    <w:p w:rsidR="00000000" w:rsidRDefault="00E54EC0">
      <w:pPr>
        <w:jc w:val="center"/>
        <w:divId w:val="300311323"/>
        <w:rPr>
          <w:rFonts w:eastAsia="Times New Roman"/>
        </w:rPr>
      </w:pPr>
      <w:r>
        <w:rPr>
          <w:rFonts w:eastAsia="Times New Roman"/>
          <w:b/>
          <w:bCs/>
          <w:color w:val="000000"/>
          <w:sz w:val="20"/>
          <w:szCs w:val="20"/>
        </w:rPr>
        <w:t>Notes to Consolidated Financial Statements, Continued</w:t>
      </w:r>
    </w:p>
    <w:p w:rsidR="00000000" w:rsidRDefault="00E54EC0">
      <w:pPr>
        <w:jc w:val="center"/>
        <w:divId w:val="300311323"/>
        <w:rPr>
          <w:rFonts w:eastAsia="Times New Roman"/>
        </w:rPr>
      </w:pPr>
    </w:p>
    <w:p w:rsidR="00000000" w:rsidRDefault="00E54EC0">
      <w:pPr>
        <w:divId w:val="805120331"/>
        <w:rPr>
          <w:rFonts w:eastAsia="Times New Roman"/>
        </w:rPr>
      </w:pPr>
      <w:r>
        <w:rPr>
          <w:rFonts w:eastAsia="Times New Roman"/>
          <w:color w:val="000000"/>
          <w:sz w:val="20"/>
          <w:szCs w:val="20"/>
        </w:rPr>
        <w:t>For reinsurance of existing in-force blocks of long-duration contracts that transfer significant insuran</w:t>
      </w:r>
      <w:r>
        <w:rPr>
          <w:rFonts w:eastAsia="Times New Roman"/>
          <w:color w:val="000000"/>
          <w:sz w:val="20"/>
          <w:szCs w:val="20"/>
        </w:rPr>
        <w:t>ce risk, the difference, if any, between the amounts paid (received), and the liabilities ceded (assumed) related to the underlying contracts is considered the net cost of reinsurance at the inception of the reinsurance agreement. The net cost of reinsuran</w:t>
      </w:r>
      <w:r>
        <w:rPr>
          <w:rFonts w:eastAsia="Times New Roman"/>
          <w:color w:val="000000"/>
          <w:sz w:val="20"/>
          <w:szCs w:val="20"/>
        </w:rPr>
        <w:t>ce is recorded as an adjustment to DAC and recognized as a component of other expenses on a basis consistent with the way the acquisition costs on the underlying reinsured contracts would be recognized. Subsequent amounts paid (received) on the reinsurance</w:t>
      </w:r>
      <w:r>
        <w:rPr>
          <w:rFonts w:eastAsia="Times New Roman"/>
          <w:color w:val="000000"/>
          <w:sz w:val="20"/>
          <w:szCs w:val="20"/>
        </w:rPr>
        <w:t xml:space="preserve"> of in-force blocks, as well as amounts paid (received) related to new business, are recorded as premiums ceded (assumed); and amounts due from reinsurers (amounts due to reinsurers) are established.</w:t>
      </w:r>
    </w:p>
    <w:p w:rsidR="00000000" w:rsidRDefault="00E54EC0">
      <w:pPr>
        <w:divId w:val="779841830"/>
        <w:rPr>
          <w:rFonts w:eastAsia="Times New Roman"/>
        </w:rPr>
      </w:pPr>
      <w:r>
        <w:rPr>
          <w:rFonts w:eastAsia="Times New Roman"/>
          <w:color w:val="000000"/>
          <w:sz w:val="20"/>
          <w:szCs w:val="20"/>
        </w:rPr>
        <w:t>Assets and liabilities relating to reinsurance agreement</w:t>
      </w:r>
      <w:r>
        <w:rPr>
          <w:rFonts w:eastAsia="Times New Roman"/>
          <w:color w:val="000000"/>
          <w:sz w:val="20"/>
          <w:szCs w:val="20"/>
        </w:rPr>
        <w:t>s with the same reinsurer may be recorded net on the balance sheet, if a right of offset exists within the reinsurance agreement. In the event that reinsurers do not meet their obligations to the Company under the terms of the reinsurance agreements, reins</w:t>
      </w:r>
      <w:r>
        <w:rPr>
          <w:rFonts w:eastAsia="Times New Roman"/>
          <w:color w:val="000000"/>
          <w:sz w:val="20"/>
          <w:szCs w:val="20"/>
        </w:rPr>
        <w:t>urance recoverable balances could become uncollectible. In such instances, reinsurance recoverable balances are stated net of allowances for uncollectible reinsurance.</w:t>
      </w:r>
    </w:p>
    <w:p w:rsidR="00000000" w:rsidRDefault="00E54EC0">
      <w:pPr>
        <w:divId w:val="1484926520"/>
        <w:rPr>
          <w:rFonts w:eastAsia="Times New Roman"/>
        </w:rPr>
      </w:pPr>
      <w:r>
        <w:rPr>
          <w:rFonts w:eastAsia="Times New Roman"/>
          <w:color w:val="000000"/>
          <w:sz w:val="20"/>
          <w:szCs w:val="20"/>
        </w:rPr>
        <w:t>Premiums, policy charges and fee income, and policyholders’ benefits include amounts ass</w:t>
      </w:r>
      <w:r>
        <w:rPr>
          <w:rFonts w:eastAsia="Times New Roman"/>
          <w:color w:val="000000"/>
          <w:sz w:val="20"/>
          <w:szCs w:val="20"/>
        </w:rPr>
        <w:t>umed under reinsurance agreements and are net of reinsurance ceded. Amounts received from reinsurers for policy administration are reported in other revenues. With respect to GMIBs, a portion of the directly written GMIBs are accounted for as insurance lia</w:t>
      </w:r>
      <w:r>
        <w:rPr>
          <w:rFonts w:eastAsia="Times New Roman"/>
          <w:color w:val="000000"/>
          <w:sz w:val="20"/>
          <w:szCs w:val="20"/>
        </w:rPr>
        <w:t>bilities, but the associated reinsurance agreements contain embedded derivatives as they are net settled. These embedded derivatives are included in GMIB reinsurance contract asset, at fair value with changes in estimated fair value reported in net derivat</w:t>
      </w:r>
      <w:r>
        <w:rPr>
          <w:rFonts w:eastAsia="Times New Roman"/>
          <w:color w:val="000000"/>
          <w:sz w:val="20"/>
          <w:szCs w:val="20"/>
        </w:rPr>
        <w:t>ive gains (losses). Separate Account liabilities that have been ceded on a Modified coinsurance (Modco) basis, receivable and payable have been recognized on a net basis as right of offset exists.</w:t>
      </w:r>
    </w:p>
    <w:p w:rsidR="00000000" w:rsidRDefault="00E54EC0">
      <w:pPr>
        <w:divId w:val="1069383198"/>
        <w:rPr>
          <w:rFonts w:eastAsia="Times New Roman"/>
        </w:rPr>
      </w:pPr>
      <w:r>
        <w:rPr>
          <w:rFonts w:eastAsia="Times New Roman"/>
          <w:color w:val="000000"/>
          <w:sz w:val="20"/>
          <w:szCs w:val="20"/>
        </w:rPr>
        <w:t>If the Company determines that a reinsurance agreement does</w:t>
      </w:r>
      <w:r>
        <w:rPr>
          <w:rFonts w:eastAsia="Times New Roman"/>
          <w:color w:val="000000"/>
          <w:sz w:val="20"/>
          <w:szCs w:val="20"/>
        </w:rPr>
        <w:t xml:space="preserve"> not expose the reinsurer to a reasonable possibility of a significant loss from insurance risk, the Company records the agreement using the deposit method of accounting. Deposits received are included in other liabilities and deposits made are included wi</w:t>
      </w:r>
      <w:r>
        <w:rPr>
          <w:rFonts w:eastAsia="Times New Roman"/>
          <w:color w:val="000000"/>
          <w:sz w:val="20"/>
          <w:szCs w:val="20"/>
        </w:rPr>
        <w:t>thin other assets. As amounts are paid or received, consistent with the underlying contracts, the deposit assets or liabilities are adjusted. Interest on such deposits is recorded as other income or other operating costs and expenses, as appropriate. Perio</w:t>
      </w:r>
      <w:r>
        <w:rPr>
          <w:rFonts w:eastAsia="Times New Roman"/>
          <w:color w:val="000000"/>
          <w:sz w:val="20"/>
          <w:szCs w:val="20"/>
        </w:rPr>
        <w:t>dically, the Company evaluates the adequacy of the expected payments or recoveries and adjusts the deposit asset or liability through other revenues or other expenses, as appropriate.</w:t>
      </w:r>
    </w:p>
    <w:p w:rsidR="00000000" w:rsidRDefault="00E54EC0">
      <w:pPr>
        <w:divId w:val="1776634036"/>
        <w:rPr>
          <w:rFonts w:eastAsia="Times New Roman"/>
        </w:rPr>
      </w:pPr>
      <w:r>
        <w:rPr>
          <w:rFonts w:eastAsia="Times New Roman"/>
          <w:color w:val="000000"/>
          <w:sz w:val="20"/>
          <w:szCs w:val="20"/>
        </w:rPr>
        <w:t>For reinsurance contracts other than those accounted for as derivatives,</w:t>
      </w:r>
      <w:r>
        <w:rPr>
          <w:rFonts w:eastAsia="Times New Roman"/>
          <w:color w:val="000000"/>
          <w:sz w:val="20"/>
          <w:szCs w:val="20"/>
        </w:rPr>
        <w:t xml:space="preserve"> reinsurance recoverable balances are calculated using methodologies and assumptions that are consistent with those used to calculate the direct liabilities.</w:t>
      </w:r>
    </w:p>
    <w:p w:rsidR="00000000" w:rsidRDefault="00E54EC0">
      <w:pPr>
        <w:divId w:val="762142958"/>
        <w:rPr>
          <w:rFonts w:eastAsia="Times New Roman"/>
        </w:rPr>
      </w:pPr>
      <w:r>
        <w:rPr>
          <w:rFonts w:eastAsia="Times New Roman"/>
          <w:color w:val="000000"/>
          <w:sz w:val="20"/>
          <w:szCs w:val="20"/>
          <w:u w:val="single"/>
        </w:rPr>
        <w:t>Policyholder Bonus Interest Credits</w:t>
      </w:r>
    </w:p>
    <w:p w:rsidR="00000000" w:rsidRDefault="00E54EC0">
      <w:pPr>
        <w:divId w:val="575552370"/>
        <w:rPr>
          <w:rFonts w:eastAsia="Times New Roman"/>
        </w:rPr>
      </w:pPr>
      <w:r>
        <w:rPr>
          <w:rFonts w:eastAsia="Times New Roman"/>
          <w:color w:val="000000"/>
          <w:sz w:val="20"/>
          <w:szCs w:val="20"/>
        </w:rPr>
        <w:t>Policyholder bonus interest credits are offered on certain def</w:t>
      </w:r>
      <w:r>
        <w:rPr>
          <w:rFonts w:eastAsia="Times New Roman"/>
          <w:color w:val="000000"/>
          <w:sz w:val="20"/>
          <w:szCs w:val="20"/>
        </w:rPr>
        <w:t>erred annuity products in the form of either immediate bonus interest credited or enhanced interest crediting rates for a period of time. The interest crediting expense associated with these policyholder bonus interest credits is deferred and amortized ove</w:t>
      </w:r>
      <w:r>
        <w:rPr>
          <w:rFonts w:eastAsia="Times New Roman"/>
          <w:color w:val="000000"/>
          <w:sz w:val="20"/>
          <w:szCs w:val="20"/>
        </w:rPr>
        <w:t>r the lives of the underlying contracts in a manner consistent with the amortization of DAC. Unamortized balances are included in other assets in the consolidated balance sheets and amortization is included in interest credited to policyholders’ account ba</w:t>
      </w:r>
      <w:r>
        <w:rPr>
          <w:rFonts w:eastAsia="Times New Roman"/>
          <w:color w:val="000000"/>
          <w:sz w:val="20"/>
          <w:szCs w:val="20"/>
        </w:rPr>
        <w:t>lances in the consolidated statements of income (loss).</w:t>
      </w:r>
    </w:p>
    <w:p w:rsidR="00000000" w:rsidRDefault="00E54EC0">
      <w:pPr>
        <w:divId w:val="552078555"/>
        <w:rPr>
          <w:rFonts w:eastAsia="Times New Roman"/>
        </w:rPr>
      </w:pPr>
      <w:r>
        <w:rPr>
          <w:rFonts w:eastAsia="Times New Roman"/>
          <w:color w:val="000000"/>
          <w:sz w:val="20"/>
          <w:szCs w:val="20"/>
          <w:u w:val="single"/>
        </w:rPr>
        <w:t>Policyholders’ Account Balances and Future Policy Benefits and Other Policyholders’ Liabilities</w:t>
      </w:r>
    </w:p>
    <w:p w:rsidR="00000000" w:rsidRDefault="00E54EC0">
      <w:pPr>
        <w:divId w:val="727264881"/>
        <w:rPr>
          <w:rFonts w:eastAsia="Times New Roman"/>
        </w:rPr>
      </w:pPr>
      <w:r>
        <w:rPr>
          <w:rFonts w:eastAsia="Times New Roman"/>
          <w:color w:val="000000"/>
          <w:sz w:val="20"/>
          <w:szCs w:val="20"/>
        </w:rPr>
        <w:t>Policyholders’ account balances </w:t>
      </w:r>
      <w:r>
        <w:rPr>
          <w:rFonts w:eastAsia="Times New Roman"/>
          <w:color w:val="000000"/>
          <w:sz w:val="20"/>
          <w:szCs w:val="20"/>
        </w:rPr>
        <w:t>relate to contracts or contract features where the Company has no significant insurance risk. This liability represents the contract value that has accrued to the benefit of the policyholder as of the balance sheet date.</w:t>
      </w:r>
    </w:p>
    <w:p w:rsidR="00000000" w:rsidRDefault="00E54EC0">
      <w:pPr>
        <w:divId w:val="796412256"/>
        <w:rPr>
          <w:rFonts w:eastAsia="Times New Roman"/>
        </w:rPr>
      </w:pPr>
      <w:r>
        <w:rPr>
          <w:rFonts w:eastAsia="Times New Roman"/>
          <w:color w:val="000000"/>
          <w:sz w:val="20"/>
          <w:szCs w:val="20"/>
        </w:rPr>
        <w:t xml:space="preserve">For participating traditional life </w:t>
      </w:r>
      <w:r>
        <w:rPr>
          <w:rFonts w:eastAsia="Times New Roman"/>
          <w:color w:val="000000"/>
          <w:sz w:val="20"/>
          <w:szCs w:val="20"/>
        </w:rPr>
        <w:t>insurance policies, future policy benefit liabilities are calculated using a net level premium method on the basis of actuarial insurance assumptions equal to guaranteed mortality and dividend fund interest rates. The liability for annual dividends represe</w:t>
      </w:r>
      <w:r>
        <w:rPr>
          <w:rFonts w:eastAsia="Times New Roman"/>
          <w:color w:val="000000"/>
          <w:sz w:val="20"/>
          <w:szCs w:val="20"/>
        </w:rPr>
        <w:t>nts the accrual of annual dividends earned. Terminal dividends are accrued in proportion to gross margins over the life of the contract.</w:t>
      </w:r>
    </w:p>
    <w:p w:rsidR="00000000" w:rsidRDefault="00E54EC0">
      <w:pPr>
        <w:divId w:val="112335236"/>
        <w:rPr>
          <w:rFonts w:eastAsia="Times New Roman"/>
        </w:rPr>
      </w:pPr>
      <w:r>
        <w:rPr>
          <w:rFonts w:eastAsia="Times New Roman"/>
          <w:color w:val="000000"/>
          <w:sz w:val="20"/>
          <w:szCs w:val="20"/>
        </w:rPr>
        <w:t>For non-participating </w:t>
      </w:r>
      <w:r>
        <w:rPr>
          <w:rFonts w:eastAsia="Times New Roman"/>
          <w:color w:val="000000"/>
          <w:sz w:val="20"/>
          <w:szCs w:val="20"/>
        </w:rPr>
        <w:t>traditional life insurance policies, future policy benefit liabilities are estimated using a net level premium method on the basis of actuarial assumptions as to mortality, persistency and interest established at policy issue. Assumptions established at po</w:t>
      </w:r>
      <w:r>
        <w:rPr>
          <w:rFonts w:eastAsia="Times New Roman"/>
          <w:color w:val="000000"/>
          <w:sz w:val="20"/>
          <w:szCs w:val="20"/>
        </w:rPr>
        <w:t>licy issue as to mortality and persistency are based on the Company’s experience that, together with interest and expense assumptions, includes a margin for adverse deviation. Benefit liabilities for traditional annuities during the accumulation period are</w:t>
      </w:r>
      <w:r>
        <w:rPr>
          <w:rFonts w:eastAsia="Times New Roman"/>
          <w:color w:val="000000"/>
          <w:sz w:val="20"/>
          <w:szCs w:val="20"/>
        </w:rPr>
        <w:t xml:space="preserve"> equal to accumulated policyholders’ fund balances and, after annuitization, are equal to the present value of expected future payments. Interest rates used in establishing such </w:t>
      </w:r>
    </w:p>
    <w:p w:rsidR="00000000" w:rsidRDefault="00E54EC0">
      <w:pPr>
        <w:jc w:val="center"/>
        <w:divId w:val="1879202295"/>
        <w:rPr>
          <w:rFonts w:eastAsia="Times New Roman"/>
        </w:rPr>
      </w:pPr>
      <w:r>
        <w:rPr>
          <w:rFonts w:eastAsia="Times New Roman"/>
          <w:color w:val="000000"/>
          <w:sz w:val="20"/>
          <w:szCs w:val="20"/>
        </w:rPr>
        <w:t>147</w:t>
      </w:r>
    </w:p>
    <w:p w:rsidR="00000000" w:rsidRDefault="00E54EC0">
      <w:pPr>
        <w:rPr>
          <w:rFonts w:eastAsia="Times New Roman"/>
        </w:rPr>
      </w:pPr>
      <w:r>
        <w:rPr>
          <w:rFonts w:eastAsia="Times New Roman"/>
        </w:rPr>
        <w:pict>
          <v:rect id="_x0000_i1185" style="width:0;height:1.5pt" o:hralign="center" o:hrstd="t" o:hr="t" fillcolor="#a0a0a0" stroked="f"/>
        </w:pict>
      </w:r>
    </w:p>
    <w:p w:rsidR="00000000" w:rsidRDefault="00E54EC0">
      <w:pPr>
        <w:divId w:val="1313438217"/>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763258275"/>
        <w:rPr>
          <w:rFonts w:eastAsia="Times New Roman"/>
        </w:rPr>
      </w:pPr>
      <w:r>
        <w:rPr>
          <w:rFonts w:eastAsia="Times New Roman"/>
          <w:b/>
          <w:bCs/>
          <w:color w:val="000000"/>
          <w:sz w:val="20"/>
          <w:szCs w:val="20"/>
        </w:rPr>
        <w:t>EQUITABLE HOLDINGS, INC.</w:t>
      </w:r>
    </w:p>
    <w:p w:rsidR="00000000" w:rsidRDefault="00E54EC0">
      <w:pPr>
        <w:jc w:val="center"/>
        <w:divId w:val="1763258275"/>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763258275"/>
        <w:rPr>
          <w:rFonts w:eastAsia="Times New Roman"/>
        </w:rPr>
      </w:pPr>
    </w:p>
    <w:p w:rsidR="00000000" w:rsidRDefault="00E54EC0">
      <w:pPr>
        <w:divId w:val="550532886"/>
        <w:rPr>
          <w:rFonts w:eastAsia="Times New Roman"/>
        </w:rPr>
      </w:pPr>
      <w:r>
        <w:rPr>
          <w:rFonts w:eastAsia="Times New Roman"/>
          <w:color w:val="000000"/>
          <w:sz w:val="20"/>
          <w:szCs w:val="20"/>
        </w:rPr>
        <w:t xml:space="preserve">liabilities range from 3.5% to 7.3% (weighted average of 5.0%) for approximately 99.5% of life insurance liabilities and from 1.5% to </w:t>
      </w:r>
      <w:r>
        <w:rPr>
          <w:rFonts w:eastAsia="Times New Roman"/>
          <w:color w:val="000000"/>
          <w:sz w:val="20"/>
          <w:szCs w:val="20"/>
        </w:rPr>
        <w:t>5.4% (weighted average of 3.6%) for annuity liabilities.</w:t>
      </w:r>
    </w:p>
    <w:p w:rsidR="00000000" w:rsidRDefault="00E54EC0">
      <w:pPr>
        <w:divId w:val="785661188"/>
        <w:rPr>
          <w:rFonts w:eastAsia="Times New Roman"/>
        </w:rPr>
      </w:pPr>
      <w:r>
        <w:rPr>
          <w:rFonts w:eastAsia="Times New Roman"/>
          <w:color w:val="000000"/>
          <w:sz w:val="20"/>
          <w:szCs w:val="20"/>
        </w:rPr>
        <w:t>Individual health benefit liabilities for active lives are estimated using the net level premium method and assumptions as to future morbidity, withdrawals and interest. Benefit liabilities for disab</w:t>
      </w:r>
      <w:r>
        <w:rPr>
          <w:rFonts w:eastAsia="Times New Roman"/>
          <w:color w:val="000000"/>
          <w:sz w:val="20"/>
          <w:szCs w:val="20"/>
        </w:rPr>
        <w:t xml:space="preserve">led lives are estimated using the present value of benefits method and experience assumptions as to claim terminations, expenses and interest. While management believes its DI reserves have been calculated on a reasonable basis and are adequate, there can </w:t>
      </w:r>
      <w:r>
        <w:rPr>
          <w:rFonts w:eastAsia="Times New Roman"/>
          <w:color w:val="000000"/>
          <w:sz w:val="20"/>
          <w:szCs w:val="20"/>
        </w:rPr>
        <w:t>be no assurance reserves will be sufficient to provide for future liabilities.</w:t>
      </w:r>
    </w:p>
    <w:p w:rsidR="00000000" w:rsidRDefault="00E54EC0">
      <w:pPr>
        <w:divId w:val="1442185679"/>
        <w:rPr>
          <w:rFonts w:eastAsia="Times New Roman"/>
        </w:rPr>
      </w:pPr>
      <w:r>
        <w:rPr>
          <w:rFonts w:eastAsia="Times New Roman"/>
          <w:color w:val="000000"/>
          <w:sz w:val="20"/>
          <w:szCs w:val="20"/>
        </w:rPr>
        <w:t>Obligations arising from funding agreements are also reported in policyholders’ account balances in the consolidated balance sheets. As a member of the FHLB, the Company has acc</w:t>
      </w:r>
      <w:r>
        <w:rPr>
          <w:rFonts w:eastAsia="Times New Roman"/>
          <w:color w:val="000000"/>
          <w:sz w:val="20"/>
          <w:szCs w:val="20"/>
        </w:rPr>
        <w:t>ess to collateralized borrowings. The Company may also issue funding agreements to the FHLB. Both the collateralized borrowings and funding agreements would require the Company to pledge qualified mortgage-backed assets and/or government securities as coll</w:t>
      </w:r>
      <w:r>
        <w:rPr>
          <w:rFonts w:eastAsia="Times New Roman"/>
          <w:color w:val="000000"/>
          <w:sz w:val="20"/>
          <w:szCs w:val="20"/>
        </w:rPr>
        <w:t>ateral.</w:t>
      </w:r>
    </w:p>
    <w:p w:rsidR="00000000" w:rsidRDefault="00E54EC0">
      <w:pPr>
        <w:divId w:val="1662125999"/>
        <w:rPr>
          <w:rFonts w:eastAsia="Times New Roman"/>
        </w:rPr>
      </w:pPr>
      <w:r>
        <w:rPr>
          <w:rFonts w:eastAsia="Times New Roman"/>
          <w:color w:val="000000"/>
          <w:sz w:val="20"/>
          <w:szCs w:val="20"/>
        </w:rPr>
        <w:t>The Company has issued and continues to offer certain variable annuity products with GMDB and/or contain a GMLB (collectively, the “GMxB features”) which, if elected by the policyholder after a stipulated waiting period from contract issuance, guar</w:t>
      </w:r>
      <w:r>
        <w:rPr>
          <w:rFonts w:eastAsia="Times New Roman"/>
          <w:color w:val="000000"/>
          <w:sz w:val="20"/>
          <w:szCs w:val="20"/>
        </w:rPr>
        <w:t>antees a minimum lifetime annuity based on predetermined annuity purchase rates that may be in excess of what the contract account value can purchase at then-current annuity purchase rates. This minimum lifetime annuity is based on predetermined annuity pu</w:t>
      </w:r>
      <w:r>
        <w:rPr>
          <w:rFonts w:eastAsia="Times New Roman"/>
          <w:color w:val="000000"/>
          <w:sz w:val="20"/>
          <w:szCs w:val="20"/>
        </w:rPr>
        <w:t xml:space="preserve">rchase rates applied to a GMIB base. The Company previously issued certain variable annuity products with GIB, GWBL, GMWB, and GMAB features. The Company has also assumed reinsurance for products with GMxB features. </w:t>
      </w:r>
    </w:p>
    <w:p w:rsidR="00000000" w:rsidRDefault="00E54EC0">
      <w:pPr>
        <w:divId w:val="1340352381"/>
        <w:rPr>
          <w:rFonts w:eastAsia="Times New Roman"/>
        </w:rPr>
      </w:pPr>
      <w:r>
        <w:rPr>
          <w:rFonts w:eastAsia="Times New Roman"/>
          <w:color w:val="000000"/>
          <w:sz w:val="20"/>
          <w:szCs w:val="20"/>
        </w:rPr>
        <w:t>Reserves for products that have GMIB fe</w:t>
      </w:r>
      <w:r>
        <w:rPr>
          <w:rFonts w:eastAsia="Times New Roman"/>
          <w:color w:val="000000"/>
          <w:sz w:val="20"/>
          <w:szCs w:val="20"/>
        </w:rPr>
        <w:t>atures, but do not have no-lapse guarantee features, and products with GMDB features are determined by estimating the expected value of death or income benefits in excess of the projected contract accumulation value and recognizing the excess over the esti</w:t>
      </w:r>
      <w:r>
        <w:rPr>
          <w:rFonts w:eastAsia="Times New Roman"/>
          <w:color w:val="000000"/>
          <w:sz w:val="20"/>
          <w:szCs w:val="20"/>
        </w:rPr>
        <w:t>mated life based on expected assessments (i.e., benefit ratio). The liability equals the current benefit ratio multiplied by cumulative assessments recognized to date, plus interest, less cumulative excess payments to date. These reserves are recorded with</w:t>
      </w:r>
      <w:r>
        <w:rPr>
          <w:rFonts w:eastAsia="Times New Roman"/>
          <w:color w:val="000000"/>
          <w:sz w:val="20"/>
          <w:szCs w:val="20"/>
        </w:rPr>
        <w:t>in future policy benefits and other policyholders’ liabilities. The determination of this estimated future policy benefits liability is based on models that involve numerous assumptions and subjective judgments, including those regarding expected market ra</w:t>
      </w:r>
      <w:r>
        <w:rPr>
          <w:rFonts w:eastAsia="Times New Roman"/>
          <w:color w:val="000000"/>
          <w:sz w:val="20"/>
          <w:szCs w:val="20"/>
        </w:rPr>
        <w:t>tes of return and volatility, contract surrender and withdrawal rates, mortality experience, and, for contracts with the GMIB feature, GMIB election rates. Assumptions regarding separate account performance used for purposes of this calculation are set usi</w:t>
      </w:r>
      <w:r>
        <w:rPr>
          <w:rFonts w:eastAsia="Times New Roman"/>
          <w:color w:val="000000"/>
          <w:sz w:val="20"/>
          <w:szCs w:val="20"/>
        </w:rPr>
        <w:t xml:space="preserve">ng a long-term view of expected average market returns by applying a RTM approach, consistent with that used for DAC amortization. There can be no assurance that actual experience will be consistent with management’s estimates. </w:t>
      </w:r>
    </w:p>
    <w:p w:rsidR="00000000" w:rsidRDefault="00E54EC0">
      <w:pPr>
        <w:divId w:val="1898467971"/>
        <w:rPr>
          <w:rFonts w:eastAsia="Times New Roman"/>
        </w:rPr>
      </w:pPr>
      <w:r>
        <w:rPr>
          <w:rFonts w:eastAsia="Times New Roman"/>
          <w:color w:val="000000"/>
          <w:sz w:val="20"/>
          <w:szCs w:val="20"/>
        </w:rPr>
        <w:t>Products that have a GMIB f</w:t>
      </w:r>
      <w:r>
        <w:rPr>
          <w:rFonts w:eastAsia="Times New Roman"/>
          <w:color w:val="000000"/>
          <w:sz w:val="20"/>
          <w:szCs w:val="20"/>
        </w:rPr>
        <w:t>eature with a no-lapse guarantee rider (“GMIBNLG”), GIB, GWBL, GMWB and GMAB features and the assumed products with GMIB features (collectively “GMxB derivative features”) are considered either freestanding or embedded derivatives and discussed below under</w:t>
      </w:r>
      <w:r>
        <w:rPr>
          <w:rFonts w:eastAsia="Times New Roman"/>
          <w:color w:val="000000"/>
          <w:sz w:val="20"/>
          <w:szCs w:val="20"/>
        </w:rPr>
        <w:t xml:space="preserve"> (“Embedded and Freestanding Insurance Derivatives”).</w:t>
      </w:r>
    </w:p>
    <w:p w:rsidR="00000000" w:rsidRDefault="00E54EC0">
      <w:pPr>
        <w:divId w:val="395126767"/>
        <w:rPr>
          <w:rFonts w:eastAsia="Times New Roman"/>
        </w:rPr>
      </w:pPr>
      <w:r>
        <w:rPr>
          <w:rFonts w:eastAsia="Times New Roman"/>
          <w:color w:val="000000"/>
          <w:sz w:val="20"/>
          <w:szCs w:val="20"/>
        </w:rPr>
        <w:t>After the initial establishment of reserves, premium deficiency and loss recognition tests are performed each period end using best estimate assumptions as of the testing date without provisions for adv</w:t>
      </w:r>
      <w:r>
        <w:rPr>
          <w:rFonts w:eastAsia="Times New Roman"/>
          <w:color w:val="000000"/>
          <w:sz w:val="20"/>
          <w:szCs w:val="20"/>
        </w:rPr>
        <w:t xml:space="preserve">erse deviation. When the liabilities for future policy benefits plus the present value of expected future gross premiums for the aggregate product group are insufficient to provide for expected future policy benefits and expenses for that line of business </w:t>
      </w:r>
      <w:r>
        <w:rPr>
          <w:rFonts w:eastAsia="Times New Roman"/>
          <w:color w:val="000000"/>
          <w:sz w:val="20"/>
          <w:szCs w:val="20"/>
        </w:rPr>
        <w:t>(i.e., reserves net of any DAC asset), DAC would first be written off and thereafter, if required, a premium deficiency reserve would be established by a charge to earnings. Premium deficiency reserves are recorded for the group single premium annuity busi</w:t>
      </w:r>
      <w:r>
        <w:rPr>
          <w:rFonts w:eastAsia="Times New Roman"/>
          <w:color w:val="000000"/>
          <w:sz w:val="20"/>
          <w:szCs w:val="20"/>
        </w:rPr>
        <w:t>ness, certain interest-sensitive life contracts, structured settlements, individual disability income and major medical. Additionally, in certain instances the policyholder liability for a particular line of business may not be deficient in the aggregate t</w:t>
      </w:r>
      <w:r>
        <w:rPr>
          <w:rFonts w:eastAsia="Times New Roman"/>
          <w:color w:val="000000"/>
          <w:sz w:val="20"/>
          <w:szCs w:val="20"/>
        </w:rPr>
        <w:t>o trigger loss recognition, but the pattern of earnings may be such that profits are expected to be recognized in earlier years followed by losses in later years. This pattern of profits followed by losses is exhibited in our VISL business and is generated</w:t>
      </w:r>
      <w:r>
        <w:rPr>
          <w:rFonts w:eastAsia="Times New Roman"/>
          <w:color w:val="000000"/>
          <w:sz w:val="20"/>
          <w:szCs w:val="20"/>
        </w:rPr>
        <w:t xml:space="preserve"> by the cost structure of the product or secondary guarantees in the contract. The secondary guarantee ensures that, subject to specified conditions, the policy will not terminate and will continue to provide a death benefit even if there is insufficient p</w:t>
      </w:r>
      <w:r>
        <w:rPr>
          <w:rFonts w:eastAsia="Times New Roman"/>
          <w:color w:val="000000"/>
          <w:sz w:val="20"/>
          <w:szCs w:val="20"/>
        </w:rPr>
        <w:t xml:space="preserve">olicy value to cover the monthly deductions and charges. We accrue for these PFBL using a dynamic approach that changes over time as the projection of future losses change. </w:t>
      </w:r>
    </w:p>
    <w:p w:rsidR="00000000" w:rsidRDefault="00E54EC0">
      <w:pPr>
        <w:jc w:val="both"/>
        <w:divId w:val="402800412"/>
        <w:rPr>
          <w:rFonts w:eastAsia="Times New Roman"/>
        </w:rPr>
      </w:pPr>
      <w:r>
        <w:rPr>
          <w:rFonts w:eastAsia="Times New Roman"/>
          <w:b/>
          <w:bCs/>
          <w:i/>
          <w:iCs/>
          <w:color w:val="000000"/>
          <w:sz w:val="20"/>
          <w:szCs w:val="20"/>
        </w:rPr>
        <w:t>Policyholders’ Dividends</w:t>
      </w:r>
    </w:p>
    <w:p w:rsidR="00000000" w:rsidRDefault="00E54EC0">
      <w:pPr>
        <w:divId w:val="1075783970"/>
        <w:rPr>
          <w:rFonts w:eastAsia="Times New Roman"/>
        </w:rPr>
      </w:pPr>
      <w:r>
        <w:rPr>
          <w:rFonts w:eastAsia="Times New Roman"/>
          <w:color w:val="000000"/>
          <w:sz w:val="20"/>
          <w:szCs w:val="20"/>
        </w:rPr>
        <w:t>The amount of policyholders’ dividends to be paid (includ</w:t>
      </w:r>
      <w:r>
        <w:rPr>
          <w:rFonts w:eastAsia="Times New Roman"/>
          <w:color w:val="000000"/>
          <w:sz w:val="20"/>
          <w:szCs w:val="20"/>
        </w:rPr>
        <w:t xml:space="preserve">ing dividends on policies included in the Closed Block) is determined annually by the board of directors of the issuing insurance company. The aggregate amount of </w:t>
      </w:r>
    </w:p>
    <w:p w:rsidR="00000000" w:rsidRDefault="00E54EC0">
      <w:pPr>
        <w:jc w:val="center"/>
        <w:divId w:val="71784679"/>
        <w:rPr>
          <w:rFonts w:eastAsia="Times New Roman"/>
        </w:rPr>
      </w:pPr>
      <w:r>
        <w:rPr>
          <w:rFonts w:eastAsia="Times New Roman"/>
          <w:color w:val="000000"/>
          <w:sz w:val="20"/>
          <w:szCs w:val="20"/>
        </w:rPr>
        <w:t>148</w:t>
      </w:r>
    </w:p>
    <w:p w:rsidR="00000000" w:rsidRDefault="00E54EC0">
      <w:pPr>
        <w:rPr>
          <w:rFonts w:eastAsia="Times New Roman"/>
        </w:rPr>
      </w:pPr>
      <w:r>
        <w:rPr>
          <w:rFonts w:eastAsia="Times New Roman"/>
        </w:rPr>
        <w:pict>
          <v:rect id="_x0000_i1186" style="width:0;height:1.5pt" o:hralign="center" o:hrstd="t" o:hr="t" fillcolor="#a0a0a0" stroked="f"/>
        </w:pict>
      </w:r>
    </w:p>
    <w:p w:rsidR="00000000" w:rsidRDefault="00E54EC0">
      <w:pPr>
        <w:divId w:val="1323435110"/>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891960107"/>
        <w:rPr>
          <w:rFonts w:eastAsia="Times New Roman"/>
        </w:rPr>
      </w:pPr>
      <w:r>
        <w:rPr>
          <w:rFonts w:eastAsia="Times New Roman"/>
          <w:b/>
          <w:bCs/>
          <w:color w:val="000000"/>
          <w:sz w:val="20"/>
          <w:szCs w:val="20"/>
        </w:rPr>
        <w:t>EQUITABLE HOLDINGS, INC.</w:t>
      </w:r>
    </w:p>
    <w:p w:rsidR="00000000" w:rsidRDefault="00E54EC0">
      <w:pPr>
        <w:jc w:val="center"/>
        <w:divId w:val="891960107"/>
        <w:rPr>
          <w:rFonts w:eastAsia="Times New Roman"/>
        </w:rPr>
      </w:pPr>
      <w:r>
        <w:rPr>
          <w:rFonts w:eastAsia="Times New Roman"/>
          <w:b/>
          <w:bCs/>
          <w:color w:val="000000"/>
          <w:sz w:val="20"/>
          <w:szCs w:val="20"/>
        </w:rPr>
        <w:t>Notes to Consolidated Financial Statements, Continued</w:t>
      </w:r>
    </w:p>
    <w:p w:rsidR="00000000" w:rsidRDefault="00E54EC0">
      <w:pPr>
        <w:jc w:val="center"/>
        <w:divId w:val="891960107"/>
        <w:rPr>
          <w:rFonts w:eastAsia="Times New Roman"/>
        </w:rPr>
      </w:pPr>
    </w:p>
    <w:p w:rsidR="00000000" w:rsidRDefault="00E54EC0">
      <w:pPr>
        <w:divId w:val="86656194"/>
        <w:rPr>
          <w:rFonts w:eastAsia="Times New Roman"/>
        </w:rPr>
      </w:pPr>
      <w:r>
        <w:rPr>
          <w:rFonts w:eastAsia="Times New Roman"/>
          <w:color w:val="000000"/>
          <w:sz w:val="20"/>
          <w:szCs w:val="20"/>
        </w:rPr>
        <w:t xml:space="preserve">policyholders’ </w:t>
      </w:r>
      <w:r>
        <w:rPr>
          <w:rFonts w:eastAsia="Times New Roman"/>
          <w:color w:val="000000"/>
          <w:sz w:val="20"/>
          <w:szCs w:val="20"/>
        </w:rPr>
        <w:t>dividends is related to actual interest, mortality, morbidity and expense experience for the year and judgment as to the appropriate level of statutory surplus to be retained by the Company.</w:t>
      </w:r>
    </w:p>
    <w:p w:rsidR="00000000" w:rsidRDefault="00E54EC0">
      <w:pPr>
        <w:divId w:val="1693536013"/>
        <w:rPr>
          <w:rFonts w:eastAsia="Times New Roman"/>
        </w:rPr>
      </w:pPr>
      <w:r>
        <w:rPr>
          <w:rFonts w:eastAsia="Times New Roman"/>
          <w:color w:val="000000"/>
          <w:sz w:val="20"/>
          <w:szCs w:val="20"/>
          <w:u w:val="single"/>
        </w:rPr>
        <w:t>Embedded and Freestanding Insurance Derivatives</w:t>
      </w:r>
    </w:p>
    <w:p w:rsidR="00000000" w:rsidRDefault="00E54EC0">
      <w:pPr>
        <w:divId w:val="1153181590"/>
        <w:rPr>
          <w:rFonts w:eastAsia="Times New Roman"/>
        </w:rPr>
      </w:pPr>
      <w:r>
        <w:rPr>
          <w:rFonts w:eastAsia="Times New Roman"/>
          <w:color w:val="000000"/>
          <w:sz w:val="20"/>
          <w:szCs w:val="20"/>
        </w:rPr>
        <w:t>Reserves for prod</w:t>
      </w:r>
      <w:r>
        <w:rPr>
          <w:rFonts w:eastAsia="Times New Roman"/>
          <w:color w:val="000000"/>
          <w:sz w:val="20"/>
          <w:szCs w:val="20"/>
        </w:rPr>
        <w:t>ucts or features within products that are considered either embedded or freestanding derivatives are measured at estimated fair value separately from the host variable annuity product, with changes in estimated fair value reported in net derivative gains (</w:t>
      </w:r>
      <w:r>
        <w:rPr>
          <w:rFonts w:eastAsia="Times New Roman"/>
          <w:color w:val="000000"/>
          <w:sz w:val="20"/>
          <w:szCs w:val="20"/>
        </w:rPr>
        <w:t>losses). The estimated fair values of these derivatives are determined based on the present value of projected future benefits minus the present value of projected future fees attributable to the guarantee. The projections of future benefits and future fee</w:t>
      </w:r>
      <w:r>
        <w:rPr>
          <w:rFonts w:eastAsia="Times New Roman"/>
          <w:color w:val="000000"/>
          <w:sz w:val="20"/>
          <w:szCs w:val="20"/>
        </w:rPr>
        <w:t xml:space="preserve">s require capital markets and actuarial assumptions, including expectations concerning policyholder behavior. A risk-neutral valuation methodology is used under which the cash flows from the guarantees are projected under multiple capital market scenarios </w:t>
      </w:r>
      <w:r>
        <w:rPr>
          <w:rFonts w:eastAsia="Times New Roman"/>
          <w:color w:val="000000"/>
          <w:sz w:val="20"/>
          <w:szCs w:val="20"/>
        </w:rPr>
        <w:t>using observable risk-free rates.</w:t>
      </w:r>
    </w:p>
    <w:p w:rsidR="00000000" w:rsidRDefault="00E54EC0">
      <w:pPr>
        <w:divId w:val="1220089853"/>
        <w:rPr>
          <w:rFonts w:eastAsia="Times New Roman"/>
        </w:rPr>
      </w:pPr>
      <w:r>
        <w:rPr>
          <w:rFonts w:eastAsia="Times New Roman"/>
          <w:color w:val="000000"/>
          <w:sz w:val="20"/>
          <w:szCs w:val="20"/>
        </w:rPr>
        <w:t>Additionally, the Company cedes and assumes reinsurance of products with GMxB features, which are considered either an embedded or freestanding derivative, and measured at fair value. The GMxB reinsurance contract asset an</w:t>
      </w:r>
      <w:r>
        <w:rPr>
          <w:rFonts w:eastAsia="Times New Roman"/>
          <w:color w:val="000000"/>
          <w:sz w:val="20"/>
          <w:szCs w:val="20"/>
        </w:rPr>
        <w:t xml:space="preserve">d liabilities’ fair values reflect the present value of reinsurance premiums, net of recoveries, and risk margins over a range of market-consistent economic scenarios. </w:t>
      </w:r>
    </w:p>
    <w:p w:rsidR="00000000" w:rsidRDefault="00E54EC0">
      <w:pPr>
        <w:divId w:val="1372463546"/>
        <w:rPr>
          <w:rFonts w:eastAsia="Times New Roman"/>
        </w:rPr>
      </w:pPr>
      <w:r>
        <w:rPr>
          <w:rFonts w:eastAsia="Times New Roman"/>
          <w:color w:val="000000"/>
          <w:sz w:val="20"/>
          <w:szCs w:val="20"/>
        </w:rPr>
        <w:t xml:space="preserve">Changes in the fair value of embedded and freestanding derivatives are reported in net </w:t>
      </w:r>
      <w:r>
        <w:rPr>
          <w:rFonts w:eastAsia="Times New Roman"/>
          <w:color w:val="000000"/>
          <w:sz w:val="20"/>
          <w:szCs w:val="20"/>
        </w:rPr>
        <w:t>derivative gains (losses). Embedded derivatives in direct and assumed reinsurance contracts are reported in future policyholders’ benefits and other policyholders’ liabilities. Amounts due from reinsurers contains the reinsurance of underlying GMIB contrac</w:t>
      </w:r>
      <w:r>
        <w:rPr>
          <w:rFonts w:eastAsia="Times New Roman"/>
          <w:color w:val="000000"/>
          <w:sz w:val="20"/>
          <w:szCs w:val="20"/>
        </w:rPr>
        <w:t xml:space="preserve">ts that are embedded derivatives, so the reinsurance has the same risk attributes as the underlying contracts and is an embedded derivatives carried at fair value. There are also embedded derivatives reported in the GMIB reinsurance contract asset related </w:t>
      </w:r>
      <w:r>
        <w:rPr>
          <w:rFonts w:eastAsia="Times New Roman"/>
          <w:color w:val="000000"/>
          <w:sz w:val="20"/>
          <w:szCs w:val="20"/>
        </w:rPr>
        <w:t>to ceded reinsurance contracts that are net settled, recorded at fair value in the consolidated balance sheets.</w:t>
      </w:r>
    </w:p>
    <w:p w:rsidR="00000000" w:rsidRDefault="00E54EC0">
      <w:pPr>
        <w:divId w:val="2707630"/>
        <w:rPr>
          <w:rFonts w:eastAsia="Times New Roman"/>
        </w:rPr>
      </w:pPr>
      <w:r>
        <w:rPr>
          <w:rFonts w:eastAsia="Times New Roman"/>
          <w:color w:val="000000"/>
          <w:sz w:val="20"/>
          <w:szCs w:val="20"/>
        </w:rPr>
        <w:t>Embedded derivatives fair values are determined based on the present value of projected future benefits minus the present value of projected fut</w:t>
      </w:r>
      <w:r>
        <w:rPr>
          <w:rFonts w:eastAsia="Times New Roman"/>
          <w:color w:val="000000"/>
          <w:sz w:val="20"/>
          <w:szCs w:val="20"/>
        </w:rPr>
        <w:t>ure fees. At policy inception, a portion of the projected future guarantee fees to be collected from the policyholder equal to the present value of projected future guaranteed benefits is attributed to the embedded derivative. The percentage of fees includ</w:t>
      </w:r>
      <w:r>
        <w:rPr>
          <w:rFonts w:eastAsia="Times New Roman"/>
          <w:color w:val="000000"/>
          <w:sz w:val="20"/>
          <w:szCs w:val="20"/>
        </w:rPr>
        <w:t>ed in the fair value measurement is locked-in at inception. Fees above those amounts represent “excess” fees and are reported in policy charges and fee income.</w:t>
      </w:r>
    </w:p>
    <w:p w:rsidR="00000000" w:rsidRDefault="00E54EC0">
      <w:pPr>
        <w:divId w:val="937837000"/>
        <w:rPr>
          <w:rFonts w:eastAsia="Times New Roman"/>
        </w:rPr>
      </w:pPr>
      <w:r>
        <w:rPr>
          <w:rFonts w:eastAsia="Times New Roman"/>
          <w:color w:val="000000"/>
          <w:sz w:val="20"/>
          <w:szCs w:val="20"/>
          <w:u w:val="single"/>
        </w:rPr>
        <w:t>Separate Accounts</w:t>
      </w:r>
    </w:p>
    <w:p w:rsidR="00000000" w:rsidRDefault="00E54EC0">
      <w:pPr>
        <w:divId w:val="635716736"/>
        <w:rPr>
          <w:rFonts w:eastAsia="Times New Roman"/>
        </w:rPr>
      </w:pPr>
      <w:r>
        <w:rPr>
          <w:rFonts w:eastAsia="Times New Roman"/>
          <w:color w:val="000000"/>
          <w:sz w:val="20"/>
          <w:szCs w:val="20"/>
        </w:rPr>
        <w:t xml:space="preserve">Generally, Separate Accounts established under New York State and Arizona State Insurance Law are not chargeable with liabilities that arise from any other business of the Company. Separate Accounts assets are subject to General Account claims only to the </w:t>
      </w:r>
      <w:r>
        <w:rPr>
          <w:rFonts w:eastAsia="Times New Roman"/>
          <w:color w:val="000000"/>
          <w:sz w:val="20"/>
          <w:szCs w:val="20"/>
        </w:rPr>
        <w:t>extent Separate Accounts assets exceed separate accounts liabilities. Assets and liabilities of the Separate Account represent the net deposits and accumulated net investment earnings (loss) less fees, held primarily for the benefit of policyholders, and f</w:t>
      </w:r>
      <w:r>
        <w:rPr>
          <w:rFonts w:eastAsia="Times New Roman"/>
          <w:color w:val="000000"/>
          <w:sz w:val="20"/>
          <w:szCs w:val="20"/>
        </w:rPr>
        <w:t>or which the Company does not bear the investment risk. Separate Accounts assets and liabilities are shown on separate lines in the consolidated balance sheets. Assets held in Separate Accounts are reported at quoted market values or, where quoted values a</w:t>
      </w:r>
      <w:r>
        <w:rPr>
          <w:rFonts w:eastAsia="Times New Roman"/>
          <w:color w:val="000000"/>
          <w:sz w:val="20"/>
          <w:szCs w:val="20"/>
        </w:rPr>
        <w:t>re not readily available or accessible for these securities, their fair value measures most often are determined through the use of model pricing that effectively discounts prospective cash flows to present value using appropriate sector-adjusted credit sp</w:t>
      </w:r>
      <w:r>
        <w:rPr>
          <w:rFonts w:eastAsia="Times New Roman"/>
          <w:color w:val="000000"/>
          <w:sz w:val="20"/>
          <w:szCs w:val="20"/>
        </w:rPr>
        <w:t>reads commensurate with the security’s duration, also taking into consideration issuer-specific credit quality and liquidity. Investment performance (including investment income, net investment gains (losses) and changes in unrealized gains (losses)) and t</w:t>
      </w:r>
      <w:r>
        <w:rPr>
          <w:rFonts w:eastAsia="Times New Roman"/>
          <w:color w:val="000000"/>
          <w:sz w:val="20"/>
          <w:szCs w:val="20"/>
        </w:rPr>
        <w:t xml:space="preserve">he corresponding amounts credited to policyholders of such Separate Accounts are offset within the same line in the consolidated statements of income (loss). </w:t>
      </w:r>
    </w:p>
    <w:p w:rsidR="00000000" w:rsidRDefault="00E54EC0">
      <w:pPr>
        <w:divId w:val="1965427222"/>
        <w:rPr>
          <w:rFonts w:eastAsia="Times New Roman"/>
        </w:rPr>
      </w:pPr>
      <w:r>
        <w:rPr>
          <w:rFonts w:eastAsia="Times New Roman"/>
          <w:color w:val="000000"/>
          <w:sz w:val="20"/>
          <w:szCs w:val="20"/>
        </w:rPr>
        <w:t>Deposits to Separate Accounts are reported as increases in Separate Accounts assets and liabiliti</w:t>
      </w:r>
      <w:r>
        <w:rPr>
          <w:rFonts w:eastAsia="Times New Roman"/>
          <w:color w:val="000000"/>
          <w:sz w:val="20"/>
          <w:szCs w:val="20"/>
        </w:rPr>
        <w:t>es and are not reported in the consolidated statements of income (loss). Mortality, policy administration and surrender charges on all policies including those funded by Separate Accounts are included in revenues.</w:t>
      </w:r>
    </w:p>
    <w:p w:rsidR="00000000" w:rsidRDefault="00E54EC0">
      <w:pPr>
        <w:divId w:val="3022106"/>
        <w:rPr>
          <w:rFonts w:eastAsia="Times New Roman"/>
        </w:rPr>
      </w:pPr>
      <w:r>
        <w:rPr>
          <w:rFonts w:eastAsia="Times New Roman"/>
          <w:color w:val="000000"/>
          <w:sz w:val="20"/>
          <w:szCs w:val="20"/>
        </w:rPr>
        <w:t xml:space="preserve">The Company reports the General Account’s </w:t>
      </w:r>
      <w:r>
        <w:rPr>
          <w:rFonts w:eastAsia="Times New Roman"/>
          <w:color w:val="000000"/>
          <w:sz w:val="20"/>
          <w:szCs w:val="20"/>
        </w:rPr>
        <w:t>interests in Separate Accounts as trading securities, at fair value, in the consolidated balance sheets.</w:t>
      </w:r>
    </w:p>
    <w:p w:rsidR="00000000" w:rsidRDefault="00E54EC0">
      <w:pPr>
        <w:jc w:val="center"/>
        <w:divId w:val="2034064199"/>
        <w:rPr>
          <w:rFonts w:eastAsia="Times New Roman"/>
        </w:rPr>
      </w:pPr>
      <w:r>
        <w:rPr>
          <w:rFonts w:eastAsia="Times New Roman"/>
          <w:color w:val="000000"/>
          <w:sz w:val="20"/>
          <w:szCs w:val="20"/>
        </w:rPr>
        <w:t>149</w:t>
      </w:r>
    </w:p>
    <w:p w:rsidR="00000000" w:rsidRDefault="00E54EC0">
      <w:pPr>
        <w:rPr>
          <w:rFonts w:eastAsia="Times New Roman"/>
        </w:rPr>
      </w:pPr>
      <w:r>
        <w:rPr>
          <w:rFonts w:eastAsia="Times New Roman"/>
        </w:rPr>
        <w:pict>
          <v:rect id="_x0000_i1187" style="width:0;height:1.5pt" o:hralign="center" o:hrstd="t" o:hr="t" fillcolor="#a0a0a0" stroked="f"/>
        </w:pict>
      </w:r>
    </w:p>
    <w:p w:rsidR="00000000" w:rsidRDefault="00E54EC0">
      <w:pPr>
        <w:divId w:val="907688424"/>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580525462"/>
        <w:rPr>
          <w:rFonts w:eastAsia="Times New Roman"/>
        </w:rPr>
      </w:pPr>
      <w:r>
        <w:rPr>
          <w:rFonts w:eastAsia="Times New Roman"/>
          <w:b/>
          <w:bCs/>
          <w:color w:val="000000"/>
          <w:sz w:val="20"/>
          <w:szCs w:val="20"/>
        </w:rPr>
        <w:t>EQUITABLE HOLDINGS, INC.</w:t>
      </w:r>
    </w:p>
    <w:p w:rsidR="00000000" w:rsidRDefault="00E54EC0">
      <w:pPr>
        <w:jc w:val="center"/>
        <w:divId w:val="580525462"/>
        <w:rPr>
          <w:rFonts w:eastAsia="Times New Roman"/>
        </w:rPr>
      </w:pPr>
      <w:r>
        <w:rPr>
          <w:rFonts w:eastAsia="Times New Roman"/>
          <w:b/>
          <w:bCs/>
          <w:color w:val="000000"/>
          <w:sz w:val="20"/>
          <w:szCs w:val="20"/>
        </w:rPr>
        <w:t>Notes to</w:t>
      </w:r>
      <w:r>
        <w:rPr>
          <w:rFonts w:eastAsia="Times New Roman"/>
          <w:b/>
          <w:bCs/>
          <w:color w:val="000000"/>
          <w:sz w:val="20"/>
          <w:szCs w:val="20"/>
        </w:rPr>
        <w:t xml:space="preserve"> Consolidated Financial Statements, Continued</w:t>
      </w:r>
    </w:p>
    <w:p w:rsidR="00000000" w:rsidRDefault="00E54EC0">
      <w:pPr>
        <w:jc w:val="center"/>
        <w:divId w:val="580525462"/>
        <w:rPr>
          <w:rFonts w:eastAsia="Times New Roman"/>
        </w:rPr>
      </w:pPr>
    </w:p>
    <w:p w:rsidR="00000000" w:rsidRDefault="00E54EC0">
      <w:pPr>
        <w:divId w:val="271547484"/>
        <w:rPr>
          <w:rFonts w:eastAsia="Times New Roman"/>
        </w:rPr>
      </w:pPr>
      <w:r>
        <w:rPr>
          <w:rFonts w:eastAsia="Times New Roman"/>
          <w:color w:val="000000"/>
          <w:sz w:val="20"/>
          <w:szCs w:val="20"/>
          <w:u w:val="single"/>
        </w:rPr>
        <w:t>Leases</w:t>
      </w:r>
    </w:p>
    <w:p w:rsidR="00000000" w:rsidRDefault="00E54EC0">
      <w:pPr>
        <w:divId w:val="280770527"/>
        <w:rPr>
          <w:rFonts w:eastAsia="Times New Roman"/>
        </w:rPr>
      </w:pPr>
      <w:r>
        <w:rPr>
          <w:rFonts w:eastAsia="Times New Roman"/>
          <w:color w:val="000000"/>
          <w:sz w:val="20"/>
          <w:szCs w:val="20"/>
        </w:rPr>
        <w:t xml:space="preserve">The Company does not record leases with an initial term of 12 months or less in its consolidated balance sheets, but instead recognizes lease expense for these leases on a straight-line basis over the </w:t>
      </w:r>
      <w:r>
        <w:rPr>
          <w:rFonts w:eastAsia="Times New Roman"/>
          <w:color w:val="000000"/>
          <w:sz w:val="20"/>
          <w:szCs w:val="20"/>
        </w:rPr>
        <w:t>lease term. For leases with a term greater than one year, the Company records in its consolidated balance sheets at the time of lease commencement or modification a RoU operating lease asset and a lease liability, initially measured at the present value of</w:t>
      </w:r>
      <w:r>
        <w:rPr>
          <w:rFonts w:eastAsia="Times New Roman"/>
          <w:color w:val="000000"/>
          <w:sz w:val="20"/>
          <w:szCs w:val="20"/>
        </w:rPr>
        <w:t xml:space="preserve"> the lease payments. Lease costs are recognized in the consolidated statements of income (loss) over the lease term on a straight-line basis. RoU operating lease assets represent the Company’s right to use an underlying asset for the lease term and RoU ope</w:t>
      </w:r>
      <w:r>
        <w:rPr>
          <w:rFonts w:eastAsia="Times New Roman"/>
          <w:color w:val="000000"/>
          <w:sz w:val="20"/>
          <w:szCs w:val="20"/>
        </w:rPr>
        <w:t>rating lease liabilities represent the Company’s obligation to make lease payments arising from the lease.</w:t>
      </w:r>
    </w:p>
    <w:p w:rsidR="00000000" w:rsidRDefault="00E54EC0">
      <w:pPr>
        <w:divId w:val="1942954894"/>
        <w:rPr>
          <w:rFonts w:eastAsia="Times New Roman"/>
        </w:rPr>
      </w:pPr>
      <w:r>
        <w:rPr>
          <w:rFonts w:eastAsia="Times New Roman"/>
          <w:color w:val="000000"/>
          <w:sz w:val="20"/>
          <w:szCs w:val="20"/>
          <w:u w:val="single"/>
        </w:rPr>
        <w:t xml:space="preserve">Broker-Dealer Revenues, Receivables and Payables </w:t>
      </w:r>
    </w:p>
    <w:p w:rsidR="00000000" w:rsidRDefault="00E54EC0">
      <w:pPr>
        <w:divId w:val="318657012"/>
        <w:rPr>
          <w:rFonts w:eastAsia="Times New Roman"/>
        </w:rPr>
      </w:pPr>
      <w:r>
        <w:rPr>
          <w:rFonts w:eastAsia="Times New Roman"/>
          <w:color w:val="000000"/>
          <w:sz w:val="20"/>
          <w:szCs w:val="20"/>
        </w:rPr>
        <w:t>Equitable Advisors and certain of the Company’s other subsidiaries provide investment management, b</w:t>
      </w:r>
      <w:r>
        <w:rPr>
          <w:rFonts w:eastAsia="Times New Roman"/>
          <w:color w:val="000000"/>
          <w:sz w:val="20"/>
          <w:szCs w:val="20"/>
        </w:rPr>
        <w:t xml:space="preserve">rokerage and distribution services for affiliates and third parties. Third-party revenues earned from these services are reported in other income in the Company’s consolidated statement of income (loss). </w:t>
      </w:r>
    </w:p>
    <w:p w:rsidR="00000000" w:rsidRDefault="00E54EC0">
      <w:pPr>
        <w:divId w:val="731390115"/>
        <w:rPr>
          <w:rFonts w:eastAsia="Times New Roman"/>
        </w:rPr>
      </w:pPr>
      <w:r>
        <w:rPr>
          <w:rFonts w:eastAsia="Times New Roman"/>
          <w:color w:val="000000"/>
          <w:sz w:val="20"/>
          <w:szCs w:val="20"/>
        </w:rPr>
        <w:t>Receivables from and payables to clients include am</w:t>
      </w:r>
      <w:r>
        <w:rPr>
          <w:rFonts w:eastAsia="Times New Roman"/>
          <w:color w:val="000000"/>
          <w:sz w:val="20"/>
          <w:szCs w:val="20"/>
        </w:rPr>
        <w:t>ounts due on cash and margin transactions. Securities owned by customers are held as collateral for receivables; such collateral is not reflected in the consolidated financial statements.</w:t>
      </w:r>
    </w:p>
    <w:p w:rsidR="00000000" w:rsidRDefault="00E54EC0">
      <w:pPr>
        <w:divId w:val="746466021"/>
        <w:rPr>
          <w:rFonts w:eastAsia="Times New Roman"/>
        </w:rPr>
      </w:pPr>
      <w:r>
        <w:rPr>
          <w:rFonts w:eastAsia="Times New Roman"/>
          <w:color w:val="000000"/>
          <w:sz w:val="20"/>
          <w:szCs w:val="20"/>
          <w:u w:val="single"/>
        </w:rPr>
        <w:t>Goodwill and Other Intangible Assets</w:t>
      </w:r>
    </w:p>
    <w:p w:rsidR="00000000" w:rsidRDefault="00E54EC0">
      <w:pPr>
        <w:divId w:val="507601192"/>
        <w:rPr>
          <w:rFonts w:eastAsia="Times New Roman"/>
        </w:rPr>
      </w:pPr>
      <w:r>
        <w:rPr>
          <w:rFonts w:eastAsia="Times New Roman"/>
          <w:color w:val="000000"/>
          <w:sz w:val="20"/>
          <w:szCs w:val="20"/>
        </w:rPr>
        <w:t>Goodwill recorded by the Compan</w:t>
      </w:r>
      <w:r>
        <w:rPr>
          <w:rFonts w:eastAsia="Times New Roman"/>
          <w:color w:val="000000"/>
          <w:sz w:val="20"/>
          <w:szCs w:val="20"/>
        </w:rPr>
        <w:t>y represents the excess of purchase price over the estimated fair value of identifiable net assets of companies acquired in a business combination and relates principally to the acquisition of SCB Inc., an investment research and management company formerl</w:t>
      </w:r>
      <w:r>
        <w:rPr>
          <w:rFonts w:eastAsia="Times New Roman"/>
          <w:color w:val="000000"/>
          <w:sz w:val="20"/>
          <w:szCs w:val="20"/>
        </w:rPr>
        <w:t>y known as Sanford C. Bernstein Inc. (“Bernstein Acquisition”), the purchase of AB Units, and AB’s acquisition of CarVal on July 1, 2022. The Company tests goodwill for recoverability each annual reporting period at December 31 and at interim periods if fa</w:t>
      </w:r>
      <w:r>
        <w:rPr>
          <w:rFonts w:eastAsia="Times New Roman"/>
          <w:color w:val="000000"/>
          <w:sz w:val="20"/>
          <w:szCs w:val="20"/>
        </w:rPr>
        <w:t xml:space="preserve">cts or circumstances are indicative of potential impairment. </w:t>
      </w:r>
    </w:p>
    <w:p w:rsidR="00000000" w:rsidRDefault="00E54EC0">
      <w:pPr>
        <w:divId w:val="1491095160"/>
        <w:rPr>
          <w:rFonts w:eastAsia="Times New Roman"/>
        </w:rPr>
      </w:pPr>
      <w:r>
        <w:rPr>
          <w:rFonts w:eastAsia="Times New Roman"/>
          <w:color w:val="000000"/>
          <w:sz w:val="20"/>
          <w:szCs w:val="20"/>
        </w:rPr>
        <w:t xml:space="preserve">The Company uses a market valuation approach. Under the market valuation approach, the fair value of the reporting unit is based on its adjusted market valuation assuming a control premium. The </w:t>
      </w:r>
      <w:r>
        <w:rPr>
          <w:rFonts w:eastAsia="Times New Roman"/>
          <w:color w:val="000000"/>
          <w:sz w:val="20"/>
          <w:szCs w:val="20"/>
        </w:rPr>
        <w:t>Company determined that this valuation technique provided a more exact determination of fair value for the reporting unit and was applied during its annual testing for goodwill recoverability at December 31, 2022 and 2021.</w:t>
      </w:r>
    </w:p>
    <w:p w:rsidR="00000000" w:rsidRDefault="00E54EC0">
      <w:pPr>
        <w:divId w:val="1701777881"/>
        <w:rPr>
          <w:rFonts w:eastAsia="Times New Roman"/>
        </w:rPr>
      </w:pPr>
      <w:r>
        <w:rPr>
          <w:rFonts w:eastAsia="Times New Roman"/>
          <w:color w:val="000000"/>
          <w:sz w:val="20"/>
          <w:szCs w:val="20"/>
        </w:rPr>
        <w:t>The Company’s intangible assets p</w:t>
      </w:r>
      <w:r>
        <w:rPr>
          <w:rFonts w:eastAsia="Times New Roman"/>
          <w:color w:val="000000"/>
          <w:sz w:val="20"/>
          <w:szCs w:val="20"/>
        </w:rPr>
        <w:t>rimarily relate to AB’s acquisition of CarVal and reflect amounts assigned to acquired investment management contracts based on their estimated fair values at the time of acquisition, less accumulated amortization. These intangible assets generally are amo</w:t>
      </w:r>
      <w:r>
        <w:rPr>
          <w:rFonts w:eastAsia="Times New Roman"/>
          <w:color w:val="000000"/>
          <w:sz w:val="20"/>
          <w:szCs w:val="20"/>
        </w:rPr>
        <w:t>rtized on a straight-line basis over their estimated useful life, ranging from</w:t>
      </w:r>
      <w:r>
        <w:rPr>
          <w:rFonts w:eastAsia="Times New Roman"/>
          <w:color w:val="000000"/>
          <w:sz w:val="20"/>
          <w:szCs w:val="20"/>
        </w:rPr>
        <w:t xml:space="preserve"> </w:t>
      </w:r>
      <w:r>
        <w:rPr>
          <w:rFonts w:eastAsia="Times New Roman"/>
          <w:color w:val="000000"/>
          <w:sz w:val="20"/>
          <w:szCs w:val="20"/>
        </w:rPr>
        <w:t>si</w:t>
      </w:r>
      <w:r>
        <w:rPr>
          <w:rFonts w:eastAsia="Times New Roman"/>
          <w:color w:val="000000"/>
          <w:sz w:val="20"/>
          <w:szCs w:val="20"/>
        </w:rPr>
        <w:t>x</w:t>
      </w:r>
      <w:r>
        <w:rPr>
          <w:rFonts w:eastAsia="Times New Roman"/>
          <w:color w:val="000000"/>
          <w:sz w:val="20"/>
          <w:szCs w:val="20"/>
        </w:rPr>
        <w:t xml:space="preserve"> to twenty years. All intangible assets are periodically reviewed for impairment as events or changes in circumstances indicate that the carrying value may not be recoverable</w:t>
      </w:r>
      <w:r>
        <w:rPr>
          <w:rFonts w:eastAsia="Times New Roman"/>
          <w:color w:val="000000"/>
          <w:sz w:val="20"/>
          <w:szCs w:val="20"/>
        </w:rPr>
        <w:t>. If the carrying value exceeds fair value, impairment tests are performed to measure the amount of the impairment loss, if any.</w:t>
      </w:r>
    </w:p>
    <w:p w:rsidR="00000000" w:rsidRDefault="00E54EC0">
      <w:pPr>
        <w:divId w:val="777796349"/>
        <w:rPr>
          <w:rFonts w:eastAsia="Times New Roman"/>
        </w:rPr>
      </w:pPr>
      <w:r>
        <w:rPr>
          <w:rFonts w:eastAsia="Times New Roman"/>
          <w:color w:val="000000"/>
          <w:sz w:val="20"/>
          <w:szCs w:val="20"/>
          <w:u w:val="single"/>
        </w:rPr>
        <w:t>Deferred Sales Commissions, Net</w:t>
      </w:r>
    </w:p>
    <w:p w:rsidR="00000000" w:rsidRDefault="00E54EC0">
      <w:pPr>
        <w:divId w:val="274102405"/>
        <w:rPr>
          <w:rFonts w:eastAsia="Times New Roman"/>
        </w:rPr>
      </w:pPr>
      <w:r>
        <w:rPr>
          <w:rFonts w:eastAsia="Times New Roman"/>
          <w:color w:val="000000"/>
          <w:sz w:val="20"/>
          <w:szCs w:val="20"/>
        </w:rPr>
        <w:t xml:space="preserve">Commissions paid to financial intermediaries in connection with the sale of shares of open-end </w:t>
      </w:r>
      <w:r>
        <w:rPr>
          <w:rFonts w:eastAsia="Times New Roman"/>
          <w:color w:val="000000"/>
          <w:sz w:val="20"/>
          <w:szCs w:val="20"/>
        </w:rPr>
        <w:t>AB sponsored mutual funds sold without a front-end sales charge (“back-end load shares”) are capitalized as deferred sales commissions and amortized over periods not exceeding five and one-half years for U.S. fund shares and four years for non-U.S. fund sh</w:t>
      </w:r>
      <w:r>
        <w:rPr>
          <w:rFonts w:eastAsia="Times New Roman"/>
          <w:color w:val="000000"/>
          <w:sz w:val="20"/>
          <w:szCs w:val="20"/>
        </w:rPr>
        <w:t>ares, the periods of time during which the deferred sales commissions are generally recovered. These commissions are recovered from distribution services fees received from those funds and from CDSC received from shareholders of those funds upon the redemp</w:t>
      </w:r>
      <w:r>
        <w:rPr>
          <w:rFonts w:eastAsia="Times New Roman"/>
          <w:color w:val="000000"/>
          <w:sz w:val="20"/>
          <w:szCs w:val="20"/>
        </w:rPr>
        <w:t xml:space="preserve">tion of their shares. CDSC cash recoveries are recorded as reductions of unamortized deferred sales commissions when received. Since January 31, 2009, AB sponsored U.S. mutual funds have not offered back-end load shares to new investors. </w:t>
      </w:r>
    </w:p>
    <w:p w:rsidR="00000000" w:rsidRDefault="00E54EC0">
      <w:pPr>
        <w:divId w:val="882252462"/>
        <w:rPr>
          <w:rFonts w:eastAsia="Times New Roman"/>
        </w:rPr>
      </w:pPr>
      <w:r>
        <w:rPr>
          <w:rFonts w:eastAsia="Times New Roman"/>
          <w:color w:val="000000"/>
          <w:sz w:val="20"/>
          <w:szCs w:val="20"/>
        </w:rPr>
        <w:t>Management period</w:t>
      </w:r>
      <w:r>
        <w:rPr>
          <w:rFonts w:eastAsia="Times New Roman"/>
          <w:color w:val="000000"/>
          <w:sz w:val="20"/>
          <w:szCs w:val="20"/>
        </w:rPr>
        <w:t>ically reviews the deferred sales commission asset for impairment as events or changes in circumstances indicate that the carrying value may not be recoverable. If these factors indicate impairment in value, a comparison is made of the carrying value to th</w:t>
      </w:r>
      <w:r>
        <w:rPr>
          <w:rFonts w:eastAsia="Times New Roman"/>
          <w:color w:val="000000"/>
          <w:sz w:val="20"/>
          <w:szCs w:val="20"/>
        </w:rPr>
        <w:t xml:space="preserve">e undiscounted cash flows expected to be generated by the asset over its remaining life. If it is determined the deferred sales commission asset is not fully recoverable, the asset will be deemed impaired and a loss will be recorded in the amount by which </w:t>
      </w:r>
      <w:r>
        <w:rPr>
          <w:rFonts w:eastAsia="Times New Roman"/>
          <w:color w:val="000000"/>
          <w:sz w:val="20"/>
          <w:szCs w:val="20"/>
        </w:rPr>
        <w:t xml:space="preserve">the recorded amount of the asset exceeds its estimated fair value. </w:t>
      </w:r>
    </w:p>
    <w:p w:rsidR="00000000" w:rsidRDefault="00E54EC0">
      <w:pPr>
        <w:divId w:val="203640499"/>
        <w:rPr>
          <w:rFonts w:eastAsia="Times New Roman"/>
        </w:rPr>
      </w:pPr>
      <w:r>
        <w:rPr>
          <w:rFonts w:eastAsia="Times New Roman"/>
          <w:color w:val="000000"/>
          <w:sz w:val="20"/>
          <w:szCs w:val="20"/>
        </w:rPr>
        <w:t xml:space="preserve">As of December 31, 2022 and 2021, respectively, net deferred sales commissions from AB totaled $52 million and $75 million and are included within other assets in the consolidated balance </w:t>
      </w:r>
      <w:r>
        <w:rPr>
          <w:rFonts w:eastAsia="Times New Roman"/>
          <w:color w:val="000000"/>
          <w:sz w:val="20"/>
          <w:szCs w:val="20"/>
        </w:rPr>
        <w:t xml:space="preserve">sheets. The estimated amortization expense of deferred sales commissions, based on the December 31, 2022 net asset balance for each of the next three years is $29 </w:t>
      </w:r>
    </w:p>
    <w:p w:rsidR="00000000" w:rsidRDefault="00E54EC0">
      <w:pPr>
        <w:jc w:val="center"/>
        <w:divId w:val="1266958023"/>
        <w:rPr>
          <w:rFonts w:eastAsia="Times New Roman"/>
        </w:rPr>
      </w:pPr>
      <w:r>
        <w:rPr>
          <w:rFonts w:eastAsia="Times New Roman"/>
          <w:color w:val="000000"/>
          <w:sz w:val="20"/>
          <w:szCs w:val="20"/>
        </w:rPr>
        <w:t>150</w:t>
      </w:r>
    </w:p>
    <w:p w:rsidR="00000000" w:rsidRDefault="00E54EC0">
      <w:pPr>
        <w:rPr>
          <w:rFonts w:eastAsia="Times New Roman"/>
        </w:rPr>
      </w:pPr>
      <w:r>
        <w:rPr>
          <w:rFonts w:eastAsia="Times New Roman"/>
        </w:rPr>
        <w:pict>
          <v:rect id="_x0000_i1188" style="width:0;height:1.5pt" o:hralign="center" o:hrstd="t" o:hr="t" fillcolor="#a0a0a0" stroked="f"/>
        </w:pict>
      </w:r>
    </w:p>
    <w:p w:rsidR="00000000" w:rsidRDefault="00E54EC0">
      <w:pPr>
        <w:divId w:val="803471782"/>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150713801"/>
        <w:rPr>
          <w:rFonts w:eastAsia="Times New Roman"/>
        </w:rPr>
      </w:pPr>
      <w:r>
        <w:rPr>
          <w:rFonts w:eastAsia="Times New Roman"/>
          <w:b/>
          <w:bCs/>
          <w:color w:val="000000"/>
          <w:sz w:val="20"/>
          <w:szCs w:val="20"/>
        </w:rPr>
        <w:t>EQUITABLE HOLDINGS, INC.</w:t>
      </w:r>
    </w:p>
    <w:p w:rsidR="00000000" w:rsidRDefault="00E54EC0">
      <w:pPr>
        <w:jc w:val="center"/>
        <w:divId w:val="1150713801"/>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150713801"/>
        <w:rPr>
          <w:rFonts w:eastAsia="Times New Roman"/>
        </w:rPr>
      </w:pPr>
    </w:p>
    <w:p w:rsidR="00000000" w:rsidRDefault="00E54EC0">
      <w:pPr>
        <w:divId w:val="2002075699"/>
        <w:rPr>
          <w:rFonts w:eastAsia="Times New Roman"/>
        </w:rPr>
      </w:pPr>
      <w:r>
        <w:rPr>
          <w:rFonts w:eastAsia="Times New Roman"/>
          <w:color w:val="000000"/>
          <w:sz w:val="20"/>
          <w:szCs w:val="20"/>
        </w:rPr>
        <w:t xml:space="preserve">million, $18 million and $5 </w:t>
      </w:r>
      <w:r>
        <w:rPr>
          <w:rFonts w:eastAsia="Times New Roman"/>
          <w:color w:val="000000"/>
          <w:sz w:val="20"/>
          <w:szCs w:val="20"/>
        </w:rPr>
        <w:t>million. The Company tests the deferred sales commission asset for impairment quarterly by comparing undiscounted future cash flows to the recorded value, net of accumulated amortization. Each quarter, significant assumptions used to estimate the future ca</w:t>
      </w:r>
      <w:r>
        <w:rPr>
          <w:rFonts w:eastAsia="Times New Roman"/>
          <w:color w:val="000000"/>
          <w:sz w:val="20"/>
          <w:szCs w:val="20"/>
        </w:rPr>
        <w:t>sh flows are updated to reflect management’s consideration of current market conditions on expectations made with respect to future market levels and redemption rates. As of December 31, 2022 and 2021, the Company determined that the deferred sales commiss</w:t>
      </w:r>
      <w:r>
        <w:rPr>
          <w:rFonts w:eastAsia="Times New Roman"/>
          <w:color w:val="000000"/>
          <w:sz w:val="20"/>
          <w:szCs w:val="20"/>
        </w:rPr>
        <w:t>ion asset was not impaired.</w:t>
      </w:r>
    </w:p>
    <w:p w:rsidR="00000000" w:rsidRDefault="00E54EC0">
      <w:pPr>
        <w:divId w:val="1873036682"/>
        <w:rPr>
          <w:rFonts w:eastAsia="Times New Roman"/>
        </w:rPr>
      </w:pPr>
      <w:r>
        <w:rPr>
          <w:rFonts w:eastAsia="Times New Roman"/>
          <w:color w:val="000000"/>
          <w:sz w:val="20"/>
          <w:szCs w:val="20"/>
          <w:u w:val="single"/>
        </w:rPr>
        <w:t>Capitalized Computer Software and Hosting Arrangements</w:t>
      </w:r>
    </w:p>
    <w:p w:rsidR="00000000" w:rsidRDefault="00E54EC0">
      <w:pPr>
        <w:divId w:val="1589191851"/>
        <w:rPr>
          <w:rFonts w:eastAsia="Times New Roman"/>
        </w:rPr>
      </w:pPr>
      <w:r>
        <w:rPr>
          <w:rFonts w:eastAsia="Times New Roman"/>
          <w:color w:val="000000"/>
          <w:sz w:val="20"/>
          <w:szCs w:val="20"/>
        </w:rPr>
        <w:t>Capitalized computer software and hosting arrangements include certain internal and external costs used to implement internal-use software and cloud computing hosting arrang</w:t>
      </w:r>
      <w:r>
        <w:rPr>
          <w:rFonts w:eastAsia="Times New Roman"/>
          <w:color w:val="000000"/>
          <w:sz w:val="20"/>
          <w:szCs w:val="20"/>
        </w:rPr>
        <w:t>ements. These capitalized computer costs are included in other assets in the consolidated balance sheets and amortized on a straight-line basis over the estimated useful life of the software or term of the hosting arrangement that ranges between</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w:t>
      </w:r>
      <w:r>
        <w:rPr>
          <w:rFonts w:eastAsia="Times New Roman"/>
          <w:color w:val="000000"/>
          <w:sz w:val="20"/>
          <w:szCs w:val="20"/>
        </w:rPr>
        <w:t>five years. Capitalized amounts are periodically tested for impairment in accordance with the guidance on impairment of long-lived assets. An immediate charge to earnings is recognized if capitalized computer costs no longer are deemed to be recoverable. I</w:t>
      </w:r>
      <w:r>
        <w:rPr>
          <w:rFonts w:eastAsia="Times New Roman"/>
          <w:color w:val="000000"/>
          <w:sz w:val="20"/>
          <w:szCs w:val="20"/>
        </w:rPr>
        <w:t>n addition, service potential is periodically reassessed to determine whether facts and circumstances have compressed the software’s useful life or a significant change in the term of the hosting arrangement such that acceleration of amortization over a sh</w:t>
      </w:r>
      <w:r>
        <w:rPr>
          <w:rFonts w:eastAsia="Times New Roman"/>
          <w:color w:val="000000"/>
          <w:sz w:val="20"/>
          <w:szCs w:val="20"/>
        </w:rPr>
        <w:t xml:space="preserve">orter period than initially determined would be required. </w:t>
      </w:r>
    </w:p>
    <w:p w:rsidR="00000000" w:rsidRDefault="00E54EC0">
      <w:pPr>
        <w:divId w:val="1391460401"/>
        <w:rPr>
          <w:rFonts w:eastAsia="Times New Roman"/>
        </w:rPr>
      </w:pPr>
      <w:r>
        <w:rPr>
          <w:rFonts w:eastAsia="Times New Roman"/>
          <w:color w:val="000000"/>
          <w:sz w:val="20"/>
          <w:szCs w:val="20"/>
        </w:rPr>
        <w:t>Capitalized computer software and hosting arrangements, net of accumulated amortization, amounted to $224 million and $193 million as of December 31, 2022 and 2021, respectively. Amortization of ca</w:t>
      </w:r>
      <w:r>
        <w:rPr>
          <w:rFonts w:eastAsia="Times New Roman"/>
          <w:color w:val="000000"/>
          <w:sz w:val="20"/>
          <w:szCs w:val="20"/>
        </w:rPr>
        <w:t>pitalized computer software and hosting arrangements in 2022, 2021 and 2020 was $45 million, $57 million and $60 million, respectively, recorded in other operating costs and expenses in the consolidated statements of income (loss).</w:t>
      </w:r>
    </w:p>
    <w:p w:rsidR="00000000" w:rsidRDefault="00E54EC0">
      <w:pPr>
        <w:divId w:val="1853372356"/>
        <w:rPr>
          <w:rFonts w:eastAsia="Times New Roman"/>
        </w:rPr>
      </w:pPr>
      <w:r>
        <w:rPr>
          <w:rFonts w:eastAsia="Times New Roman"/>
          <w:color w:val="000000"/>
          <w:sz w:val="20"/>
          <w:szCs w:val="20"/>
          <w:u w:val="single"/>
        </w:rPr>
        <w:t>Short-term and Long-term</w:t>
      </w:r>
      <w:r>
        <w:rPr>
          <w:rFonts w:eastAsia="Times New Roman"/>
          <w:color w:val="000000"/>
          <w:sz w:val="20"/>
          <w:szCs w:val="20"/>
          <w:u w:val="single"/>
        </w:rPr>
        <w:t xml:space="preserve"> Debt</w:t>
      </w:r>
    </w:p>
    <w:p w:rsidR="00000000" w:rsidRDefault="00E54EC0">
      <w:pPr>
        <w:divId w:val="1799563784"/>
        <w:rPr>
          <w:rFonts w:eastAsia="Times New Roman"/>
        </w:rPr>
      </w:pPr>
      <w:r>
        <w:rPr>
          <w:rFonts w:eastAsia="Times New Roman"/>
          <w:color w:val="000000"/>
          <w:sz w:val="20"/>
          <w:szCs w:val="20"/>
        </w:rPr>
        <w:t>Liabilities for short-term and long-term debt are primarily carried at an amount equal to unpaid principal balance, net of unamortized discount or premium and debt issue costs. Original-issue discount or premium and debt-issue costs are recognized as</w:t>
      </w:r>
      <w:r>
        <w:rPr>
          <w:rFonts w:eastAsia="Times New Roman"/>
          <w:color w:val="000000"/>
          <w:sz w:val="20"/>
          <w:szCs w:val="20"/>
        </w:rPr>
        <w:t xml:space="preserve"> a component of interest expense over the period the debt is expected to be outstanding, using the interest method of amortization. Interest expense is generally presented within interest expense in the consolidated statements of income (loss). Short-term </w:t>
      </w:r>
      <w:r>
        <w:rPr>
          <w:rFonts w:eastAsia="Times New Roman"/>
          <w:color w:val="000000"/>
          <w:sz w:val="20"/>
          <w:szCs w:val="20"/>
        </w:rPr>
        <w:t>debt represents debt coming due in the next twelve months, including that portion of debt otherwise classified as long-term. See Note 12 of the Notes to these Consolidated Financial Statements for additional information regarding short-term and long-term d</w:t>
      </w:r>
      <w:r>
        <w:rPr>
          <w:rFonts w:eastAsia="Times New Roman"/>
          <w:color w:val="000000"/>
          <w:sz w:val="20"/>
          <w:szCs w:val="20"/>
        </w:rPr>
        <w:t>ebt.</w:t>
      </w:r>
    </w:p>
    <w:p w:rsidR="00000000" w:rsidRDefault="00E54EC0">
      <w:pPr>
        <w:divId w:val="438524101"/>
        <w:rPr>
          <w:rFonts w:eastAsia="Times New Roman"/>
        </w:rPr>
      </w:pPr>
      <w:r>
        <w:rPr>
          <w:rFonts w:eastAsia="Times New Roman"/>
          <w:color w:val="000000"/>
          <w:sz w:val="20"/>
          <w:szCs w:val="20"/>
          <w:u w:val="single"/>
        </w:rPr>
        <w:t>Income Taxes</w:t>
      </w:r>
    </w:p>
    <w:p w:rsidR="00000000" w:rsidRDefault="00E54EC0">
      <w:pPr>
        <w:divId w:val="467086315"/>
        <w:rPr>
          <w:rFonts w:eastAsia="Times New Roman"/>
        </w:rPr>
      </w:pPr>
      <w:r>
        <w:rPr>
          <w:rFonts w:eastAsia="Times New Roman"/>
          <w:color w:val="000000"/>
          <w:sz w:val="20"/>
          <w:szCs w:val="20"/>
        </w:rPr>
        <w:t>The Company and certain of its consolidated subsidiaries and affiliates file a consolidated federal income tax return. The Company provides for federal and state income taxes currently payable, as well as those deferred due to temporary d</w:t>
      </w:r>
      <w:r>
        <w:rPr>
          <w:rFonts w:eastAsia="Times New Roman"/>
          <w:color w:val="000000"/>
          <w:sz w:val="20"/>
          <w:szCs w:val="20"/>
        </w:rPr>
        <w:t>ifferences between the financial reporting and tax bases of assets and liabilities. Current federal income taxes are charged or credited to operations based upon amounts estimated to be payable or recoverable as a result of taxable operations for the curre</w:t>
      </w:r>
      <w:r>
        <w:rPr>
          <w:rFonts w:eastAsia="Times New Roman"/>
          <w:color w:val="000000"/>
          <w:sz w:val="20"/>
          <w:szCs w:val="20"/>
        </w:rPr>
        <w:t>nt year. Deferred income tax assets and liabilities are recognized based on the difference between financial statement carrying amounts and income tax bases of assets and liabilities using enacted income tax rates and laws. Valuation allowances are establi</w:t>
      </w:r>
      <w:r>
        <w:rPr>
          <w:rFonts w:eastAsia="Times New Roman"/>
          <w:color w:val="000000"/>
          <w:sz w:val="20"/>
          <w:szCs w:val="20"/>
        </w:rPr>
        <w:t>shed when management determines, based on available information, that it is more likely than not that deferred tax assets will not be realized.</w:t>
      </w:r>
    </w:p>
    <w:p w:rsidR="00000000" w:rsidRDefault="00E54EC0">
      <w:pPr>
        <w:divId w:val="1888376402"/>
        <w:rPr>
          <w:rFonts w:eastAsia="Times New Roman"/>
        </w:rPr>
      </w:pPr>
      <w:r>
        <w:rPr>
          <w:rFonts w:eastAsia="Times New Roman"/>
          <w:color w:val="000000"/>
          <w:sz w:val="20"/>
          <w:szCs w:val="20"/>
        </w:rPr>
        <w:t>Under accounting for uncertainty in income taxes guidance, the Company determines whether it is more likely than</w:t>
      </w:r>
      <w:r>
        <w:rPr>
          <w:rFonts w:eastAsia="Times New Roman"/>
          <w:color w:val="000000"/>
          <w:sz w:val="20"/>
          <w:szCs w:val="20"/>
        </w:rPr>
        <w:t xml:space="preserve"> not that a tax position will be sustained upon examination by the appropriate taxing authorities before any part of the benefit can be recorded in the consolidated financial statements. Tax positions are then measured at the largest amount of benefit that</w:t>
      </w:r>
      <w:r>
        <w:rPr>
          <w:rFonts w:eastAsia="Times New Roman"/>
          <w:color w:val="000000"/>
          <w:sz w:val="20"/>
          <w:szCs w:val="20"/>
        </w:rPr>
        <w:t xml:space="preserve"> is greater than 50% likely of being realized upon settlement.</w:t>
      </w:r>
    </w:p>
    <w:p w:rsidR="00000000" w:rsidRDefault="00E54EC0">
      <w:pPr>
        <w:divId w:val="738095335"/>
        <w:rPr>
          <w:rFonts w:eastAsia="Times New Roman"/>
        </w:rPr>
      </w:pPr>
      <w:r>
        <w:rPr>
          <w:rFonts w:eastAsia="Times New Roman"/>
          <w:color w:val="000000"/>
          <w:sz w:val="20"/>
          <w:szCs w:val="20"/>
        </w:rPr>
        <w:t>ABLP is a private partnership for federal income tax purposes and, accordingly, is not subject to federal and state corporate income taxes. However, ABLP is subject to a 4.0% New York City unin</w:t>
      </w:r>
      <w:r>
        <w:rPr>
          <w:rFonts w:eastAsia="Times New Roman"/>
          <w:color w:val="000000"/>
          <w:sz w:val="20"/>
          <w:szCs w:val="20"/>
        </w:rPr>
        <w:t>corporated business tax. AB Holding is subject to a 3.5% federal tax on partnership gross income from the active conduct of a trade or business. Domestic corporate subsidiaries of AB are subject to federal, state and local income taxes. Foreign corporate s</w:t>
      </w:r>
      <w:r>
        <w:rPr>
          <w:rFonts w:eastAsia="Times New Roman"/>
          <w:color w:val="000000"/>
          <w:sz w:val="20"/>
          <w:szCs w:val="20"/>
        </w:rPr>
        <w:t>ubsidiaries are generally subject to taxes in the foreign jurisdictions where they are located.</w:t>
      </w:r>
    </w:p>
    <w:p w:rsidR="00000000" w:rsidRDefault="00E54EC0">
      <w:pPr>
        <w:divId w:val="173542389"/>
        <w:rPr>
          <w:rFonts w:eastAsia="Times New Roman"/>
        </w:rPr>
      </w:pPr>
      <w:r>
        <w:rPr>
          <w:rFonts w:eastAsia="Times New Roman"/>
          <w:color w:val="000000"/>
          <w:sz w:val="20"/>
          <w:szCs w:val="20"/>
          <w:u w:val="single"/>
        </w:rPr>
        <w:t>Recognition of Investment Management and Service Fees and Related Expenses</w:t>
      </w:r>
    </w:p>
    <w:p w:rsidR="00000000" w:rsidRDefault="00E54EC0">
      <w:pPr>
        <w:jc w:val="both"/>
        <w:divId w:val="1403136523"/>
        <w:rPr>
          <w:rFonts w:eastAsia="Times New Roman"/>
        </w:rPr>
      </w:pPr>
      <w:r>
        <w:rPr>
          <w:rFonts w:eastAsia="Times New Roman"/>
          <w:b/>
          <w:bCs/>
          <w:i/>
          <w:iCs/>
          <w:color w:val="000000"/>
          <w:sz w:val="20"/>
          <w:szCs w:val="20"/>
        </w:rPr>
        <w:t xml:space="preserve">Investment management, advisory and service fees </w:t>
      </w:r>
    </w:p>
    <w:p w:rsidR="00000000" w:rsidRDefault="00E54EC0">
      <w:pPr>
        <w:divId w:val="2095513660"/>
        <w:rPr>
          <w:rFonts w:eastAsia="Times New Roman"/>
        </w:rPr>
      </w:pPr>
      <w:r>
        <w:rPr>
          <w:rFonts w:eastAsia="Times New Roman"/>
          <w:color w:val="000000"/>
          <w:sz w:val="20"/>
          <w:szCs w:val="20"/>
        </w:rPr>
        <w:t>Investment management and service f</w:t>
      </w:r>
      <w:r>
        <w:rPr>
          <w:rFonts w:eastAsia="Times New Roman"/>
          <w:color w:val="000000"/>
          <w:sz w:val="20"/>
          <w:szCs w:val="20"/>
        </w:rPr>
        <w:t xml:space="preserve">ees principally include the Investment Management and Research segment’s investment advisory and service fees, distribution revenues and institutional research services revenue. Investment </w:t>
      </w:r>
    </w:p>
    <w:p w:rsidR="00000000" w:rsidRDefault="00E54EC0">
      <w:pPr>
        <w:jc w:val="center"/>
        <w:divId w:val="135070201"/>
        <w:rPr>
          <w:rFonts w:eastAsia="Times New Roman"/>
        </w:rPr>
      </w:pPr>
      <w:r>
        <w:rPr>
          <w:rFonts w:eastAsia="Times New Roman"/>
          <w:color w:val="000000"/>
          <w:sz w:val="20"/>
          <w:szCs w:val="20"/>
        </w:rPr>
        <w:t>151</w:t>
      </w:r>
    </w:p>
    <w:p w:rsidR="00000000" w:rsidRDefault="00E54EC0">
      <w:pPr>
        <w:rPr>
          <w:rFonts w:eastAsia="Times New Roman"/>
        </w:rPr>
      </w:pPr>
      <w:r>
        <w:rPr>
          <w:rFonts w:eastAsia="Times New Roman"/>
        </w:rPr>
        <w:pict>
          <v:rect id="_x0000_i1189" style="width:0;height:1.5pt" o:hralign="center" o:hrstd="t" o:hr="t" fillcolor="#a0a0a0" stroked="f"/>
        </w:pict>
      </w:r>
    </w:p>
    <w:p w:rsidR="00000000" w:rsidRDefault="00E54EC0">
      <w:pPr>
        <w:divId w:val="1938713323"/>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511530557"/>
        <w:rPr>
          <w:rFonts w:eastAsia="Times New Roman"/>
        </w:rPr>
      </w:pPr>
      <w:r>
        <w:rPr>
          <w:rFonts w:eastAsia="Times New Roman"/>
          <w:b/>
          <w:bCs/>
          <w:color w:val="000000"/>
          <w:sz w:val="20"/>
          <w:szCs w:val="20"/>
        </w:rPr>
        <w:t>EQUITABLE HOLDINGS, INC.</w:t>
      </w:r>
    </w:p>
    <w:p w:rsidR="00000000" w:rsidRDefault="00E54EC0">
      <w:pPr>
        <w:jc w:val="center"/>
        <w:divId w:val="1511530557"/>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511530557"/>
        <w:rPr>
          <w:rFonts w:eastAsia="Times New Roman"/>
        </w:rPr>
      </w:pPr>
    </w:p>
    <w:p w:rsidR="00000000" w:rsidRDefault="00E54EC0">
      <w:pPr>
        <w:divId w:val="1170948198"/>
        <w:rPr>
          <w:rFonts w:eastAsia="Times New Roman"/>
        </w:rPr>
      </w:pPr>
      <w:r>
        <w:rPr>
          <w:rFonts w:eastAsia="Times New Roman"/>
          <w:color w:val="000000"/>
          <w:sz w:val="20"/>
          <w:szCs w:val="20"/>
        </w:rPr>
        <w:t>advisory and service base fees, generally calculated as a percentage, referred to as BPs, of assets under management, are re</w:t>
      </w:r>
      <w:r>
        <w:rPr>
          <w:rFonts w:eastAsia="Times New Roman"/>
          <w:color w:val="000000"/>
          <w:sz w:val="20"/>
          <w:szCs w:val="20"/>
        </w:rPr>
        <w:t>corded as revenue as the related services are performed. Certain investment advisory contracts, including those associated with hedge funds, provide for a performance-based fee, in addition to or in lieu of a base fee which is calculated as either a percen</w:t>
      </w:r>
      <w:r>
        <w:rPr>
          <w:rFonts w:eastAsia="Times New Roman"/>
          <w:color w:val="000000"/>
          <w:sz w:val="20"/>
          <w:szCs w:val="20"/>
        </w:rPr>
        <w:t xml:space="preserve">tage of absolute investment results or a percentage of the investment results in excess of a stated benchmark over a specified period of time. </w:t>
      </w:r>
    </w:p>
    <w:p w:rsidR="00000000" w:rsidRDefault="00E54EC0">
      <w:pPr>
        <w:divId w:val="903486740"/>
        <w:rPr>
          <w:rFonts w:eastAsia="Times New Roman"/>
        </w:rPr>
      </w:pPr>
      <w:r>
        <w:rPr>
          <w:rFonts w:eastAsia="Times New Roman"/>
          <w:color w:val="000000"/>
          <w:sz w:val="20"/>
          <w:szCs w:val="20"/>
        </w:rPr>
        <w:t xml:space="preserve">Investment management and administrative service fees are also earned by EIM and </w:t>
      </w:r>
      <w:r>
        <w:rPr>
          <w:rFonts w:eastAsia="Times New Roman"/>
          <w:color w:val="000000"/>
          <w:sz w:val="20"/>
          <w:szCs w:val="20"/>
        </w:rPr>
        <w:t>EIMG and reported in the Individual Retirement, Group Retirement and Protection Solutions segments as well as certain asset-based fees associated with insurance contracts.</w:t>
      </w:r>
    </w:p>
    <w:p w:rsidR="00000000" w:rsidRDefault="00E54EC0">
      <w:pPr>
        <w:divId w:val="469519972"/>
        <w:rPr>
          <w:rFonts w:eastAsia="Times New Roman"/>
        </w:rPr>
      </w:pPr>
      <w:r>
        <w:rPr>
          <w:rFonts w:eastAsia="Times New Roman"/>
          <w:color w:val="000000"/>
          <w:sz w:val="20"/>
          <w:szCs w:val="20"/>
        </w:rPr>
        <w:t>AB provides asset management services by managing customer assets and seeking to del</w:t>
      </w:r>
      <w:r>
        <w:rPr>
          <w:rFonts w:eastAsia="Times New Roman"/>
          <w:color w:val="000000"/>
          <w:sz w:val="20"/>
          <w:szCs w:val="20"/>
        </w:rPr>
        <w:t>iver returns to investors. Similarly, EIM and EIMG provides investment management and administrative services, such as fund accounting and compliance services, to EQ Premier VIP Trust, EQAT and 1290 Funds as well as two private investment trusts establishe</w:t>
      </w:r>
      <w:r>
        <w:rPr>
          <w:rFonts w:eastAsia="Times New Roman"/>
          <w:color w:val="000000"/>
          <w:sz w:val="20"/>
          <w:szCs w:val="20"/>
        </w:rPr>
        <w:t xml:space="preserve">d in the Cayman Islands, AXA Allocation Funds Trust and AXA Offshore Multimanager Funds Trust (collectively, the “Other AXA Trusts”). The contracts supporting these revenue streams create a distinct, separately identifiable performance obligation for each </w:t>
      </w:r>
      <w:r>
        <w:rPr>
          <w:rFonts w:eastAsia="Times New Roman"/>
          <w:color w:val="000000"/>
          <w:sz w:val="20"/>
          <w:szCs w:val="20"/>
        </w:rPr>
        <w:t>day the assets are managed for the performance of a series of services that are substantially the same and have the same pattern of transfer to the customer. Accordingly, these investment management, advisory, and administrative service base fees are recor</w:t>
      </w:r>
      <w:r>
        <w:rPr>
          <w:rFonts w:eastAsia="Times New Roman"/>
          <w:color w:val="000000"/>
          <w:sz w:val="20"/>
          <w:szCs w:val="20"/>
        </w:rPr>
        <w:t xml:space="preserve">ded over time as services are performed and entitle the Company to variable consideration. Base fees, generally calculated as a percentage of AUM, are recognized as revenue at month-end when the transaction price no longer is variable and the value of the </w:t>
      </w:r>
      <w:r>
        <w:rPr>
          <w:rFonts w:eastAsia="Times New Roman"/>
          <w:color w:val="000000"/>
          <w:sz w:val="20"/>
          <w:szCs w:val="20"/>
        </w:rPr>
        <w:t>consideration is determined. These fees are not subject to claw back and there is minimal probability that a significant reversal of the revenue recorded will occur.</w:t>
      </w:r>
    </w:p>
    <w:p w:rsidR="00000000" w:rsidRDefault="00E54EC0">
      <w:pPr>
        <w:divId w:val="1806505284"/>
        <w:rPr>
          <w:rFonts w:eastAsia="Times New Roman"/>
        </w:rPr>
      </w:pPr>
      <w:r>
        <w:rPr>
          <w:rFonts w:eastAsia="Times New Roman"/>
          <w:color w:val="000000"/>
          <w:sz w:val="20"/>
          <w:szCs w:val="20"/>
        </w:rPr>
        <w:t>Certain investment advisory contracts of AB, including those associated with hedge funds o</w:t>
      </w:r>
      <w:r>
        <w:rPr>
          <w:rFonts w:eastAsia="Times New Roman"/>
          <w:color w:val="000000"/>
          <w:sz w:val="20"/>
          <w:szCs w:val="20"/>
        </w:rPr>
        <w:t>r other alternative investments, provide for a performance-based fee (including carried interest), in addition to a base advisory fee, calculated either as a percentage of absolute investment results or a percentage of investment results in excess of a sta</w:t>
      </w:r>
      <w:r>
        <w:rPr>
          <w:rFonts w:eastAsia="Times New Roman"/>
          <w:color w:val="000000"/>
          <w:sz w:val="20"/>
          <w:szCs w:val="20"/>
        </w:rPr>
        <w:t>ted benchmark over a specified period of time. These performance-based fees are forms of variable consideration and, therefore, are excluded from the transaction price until it becomes probable there will not be significant reversal of the cumulative reven</w:t>
      </w:r>
      <w:r>
        <w:rPr>
          <w:rFonts w:eastAsia="Times New Roman"/>
          <w:color w:val="000000"/>
          <w:sz w:val="20"/>
          <w:szCs w:val="20"/>
        </w:rPr>
        <w:t>ue recognized. At each reporting date, the Company evaluates constraining factors surrounding the variable consideration to determine the extent to which, if any, revenues associated with the performance-based fee can be recognized. Constraining factors im</w:t>
      </w:r>
      <w:r>
        <w:rPr>
          <w:rFonts w:eastAsia="Times New Roman"/>
          <w:color w:val="000000"/>
          <w:sz w:val="20"/>
          <w:szCs w:val="20"/>
        </w:rPr>
        <w:t>pacting the amount of variable consideration included in the transaction price include contractual claw-back provisions, the length of time of the uncertainty, the number and range of possible amounts, the probability of significant fluctuations in the fun</w:t>
      </w:r>
      <w:r>
        <w:rPr>
          <w:rFonts w:eastAsia="Times New Roman"/>
          <w:color w:val="000000"/>
          <w:sz w:val="20"/>
          <w:szCs w:val="20"/>
        </w:rPr>
        <w:t xml:space="preserve">d’s market value and the level in which the fund’s value exceeds the contractual threshold required to earn such a fee and the materiality of the amount being evaluated. </w:t>
      </w:r>
    </w:p>
    <w:p w:rsidR="00000000" w:rsidRDefault="00E54EC0">
      <w:pPr>
        <w:divId w:val="1783183887"/>
        <w:rPr>
          <w:rFonts w:eastAsia="Times New Roman"/>
        </w:rPr>
      </w:pPr>
      <w:r>
        <w:rPr>
          <w:rFonts w:eastAsia="Times New Roman"/>
          <w:color w:val="000000"/>
          <w:sz w:val="20"/>
          <w:szCs w:val="20"/>
        </w:rPr>
        <w:t>Sub-advisory and sub-administrative expenses associated with these services are calcu</w:t>
      </w:r>
      <w:r>
        <w:rPr>
          <w:rFonts w:eastAsia="Times New Roman"/>
          <w:color w:val="000000"/>
          <w:sz w:val="20"/>
          <w:szCs w:val="20"/>
        </w:rPr>
        <w:t>lated and recorded as the related services are performed in other operating costs and expense in the consolidated statements of income (loss) as the Company is acting in a principal capacity in these transactions and, as such, reflects these revenues and e</w:t>
      </w:r>
      <w:r>
        <w:rPr>
          <w:rFonts w:eastAsia="Times New Roman"/>
          <w:color w:val="000000"/>
          <w:sz w:val="20"/>
          <w:szCs w:val="20"/>
        </w:rPr>
        <w:t>xpenses on a gross basis.</w:t>
      </w:r>
    </w:p>
    <w:p w:rsidR="00000000" w:rsidRDefault="00E54EC0">
      <w:pPr>
        <w:jc w:val="both"/>
        <w:divId w:val="1781876502"/>
        <w:rPr>
          <w:rFonts w:eastAsia="Times New Roman"/>
        </w:rPr>
      </w:pPr>
      <w:r>
        <w:rPr>
          <w:rFonts w:eastAsia="Times New Roman"/>
          <w:b/>
          <w:bCs/>
          <w:i/>
          <w:iCs/>
          <w:color w:val="000000"/>
          <w:sz w:val="20"/>
          <w:szCs w:val="20"/>
        </w:rPr>
        <w:t>Research services</w:t>
      </w:r>
    </w:p>
    <w:p w:rsidR="00000000" w:rsidRDefault="00E54EC0">
      <w:pPr>
        <w:divId w:val="1140414984"/>
        <w:rPr>
          <w:rFonts w:eastAsia="Times New Roman"/>
        </w:rPr>
      </w:pPr>
      <w:r>
        <w:rPr>
          <w:rFonts w:eastAsia="Times New Roman"/>
          <w:color w:val="000000"/>
          <w:sz w:val="20"/>
          <w:szCs w:val="20"/>
        </w:rPr>
        <w:t>Research services revenue principally consists of brokerage transaction charges received by SCB LLC, SCBL and AB’s other sell side subsidiaries for providing equity research services to institutional clients. Bro</w:t>
      </w:r>
      <w:r>
        <w:rPr>
          <w:rFonts w:eastAsia="Times New Roman"/>
          <w:color w:val="000000"/>
          <w:sz w:val="20"/>
          <w:szCs w:val="20"/>
        </w:rPr>
        <w:t>kerage commissions for trade execution services and related expenses may be used to pay for equity research services in accordance with Section 28(e) of the Exchange Act and are recorded on a trade-date basis when the performance obligations are satisfied.</w:t>
      </w:r>
      <w:r>
        <w:rPr>
          <w:rFonts w:eastAsia="Times New Roman"/>
          <w:color w:val="000000"/>
          <w:sz w:val="20"/>
          <w:szCs w:val="20"/>
        </w:rPr>
        <w:t xml:space="preserve"> Generally, the transaction price is agreed upon at the point of each trade and based upon the number of shares traded or the value of the consideration traded. Research revenues are recognized when the transaction price is quantified, collectability is as</w:t>
      </w:r>
      <w:r>
        <w:rPr>
          <w:rFonts w:eastAsia="Times New Roman"/>
          <w:color w:val="000000"/>
          <w:sz w:val="20"/>
          <w:szCs w:val="20"/>
        </w:rPr>
        <w:t>sured and significant reversal of such revenue is not probable.</w:t>
      </w:r>
    </w:p>
    <w:p w:rsidR="00000000" w:rsidRDefault="00E54EC0">
      <w:pPr>
        <w:jc w:val="both"/>
        <w:divId w:val="151146188"/>
        <w:rPr>
          <w:rFonts w:eastAsia="Times New Roman"/>
        </w:rPr>
      </w:pPr>
      <w:r>
        <w:rPr>
          <w:rFonts w:eastAsia="Times New Roman"/>
          <w:b/>
          <w:bCs/>
          <w:i/>
          <w:iCs/>
          <w:color w:val="000000"/>
          <w:sz w:val="20"/>
          <w:szCs w:val="20"/>
        </w:rPr>
        <w:t>Distribution services</w:t>
      </w:r>
    </w:p>
    <w:p w:rsidR="00000000" w:rsidRDefault="00E54EC0">
      <w:pPr>
        <w:divId w:val="2008097230"/>
        <w:rPr>
          <w:rFonts w:eastAsia="Times New Roman"/>
        </w:rPr>
      </w:pPr>
      <w:r>
        <w:rPr>
          <w:rFonts w:eastAsia="Times New Roman"/>
          <w:color w:val="000000"/>
          <w:sz w:val="20"/>
          <w:szCs w:val="20"/>
        </w:rPr>
        <w:t xml:space="preserve">Revenues from distribution services include fees received as partial reimbursement of expenses incurred in connection with the sale of certain AB sponsored mutual funds and the 1290 Funds and for the distribution primarily of EQAT and EQ Premier VIP Trust </w:t>
      </w:r>
      <w:r>
        <w:rPr>
          <w:rFonts w:eastAsia="Times New Roman"/>
          <w:color w:val="000000"/>
          <w:sz w:val="20"/>
          <w:szCs w:val="20"/>
        </w:rPr>
        <w:t>shares to separate accounts in connection with the sale of variable life and annuity contracts. The amount and timing of revenues recognized from performance of these distribution services often is dependent upon the contractual arrangements with the custo</w:t>
      </w:r>
      <w:r>
        <w:rPr>
          <w:rFonts w:eastAsia="Times New Roman"/>
          <w:color w:val="000000"/>
          <w:sz w:val="20"/>
          <w:szCs w:val="20"/>
        </w:rPr>
        <w:t>mer and the specific product sold as further described below.</w:t>
      </w:r>
    </w:p>
    <w:p w:rsidR="00000000" w:rsidRDefault="00E54EC0">
      <w:pPr>
        <w:jc w:val="center"/>
        <w:divId w:val="1679428018"/>
        <w:rPr>
          <w:rFonts w:eastAsia="Times New Roman"/>
        </w:rPr>
      </w:pPr>
      <w:r>
        <w:rPr>
          <w:rFonts w:eastAsia="Times New Roman"/>
          <w:color w:val="000000"/>
          <w:sz w:val="20"/>
          <w:szCs w:val="20"/>
        </w:rPr>
        <w:t>152</w:t>
      </w:r>
    </w:p>
    <w:p w:rsidR="00000000" w:rsidRDefault="00E54EC0">
      <w:pPr>
        <w:rPr>
          <w:rFonts w:eastAsia="Times New Roman"/>
        </w:rPr>
      </w:pPr>
      <w:r>
        <w:rPr>
          <w:rFonts w:eastAsia="Times New Roman"/>
        </w:rPr>
        <w:pict>
          <v:rect id="_x0000_i1190" style="width:0;height:1.5pt" o:hralign="center" o:hrstd="t" o:hr="t" fillcolor="#a0a0a0" stroked="f"/>
        </w:pict>
      </w:r>
    </w:p>
    <w:p w:rsidR="00000000" w:rsidRDefault="00E54EC0">
      <w:pPr>
        <w:divId w:val="502665876"/>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221402036"/>
        <w:rPr>
          <w:rFonts w:eastAsia="Times New Roman"/>
        </w:rPr>
      </w:pPr>
      <w:r>
        <w:rPr>
          <w:rFonts w:eastAsia="Times New Roman"/>
          <w:b/>
          <w:bCs/>
          <w:color w:val="000000"/>
          <w:sz w:val="20"/>
          <w:szCs w:val="20"/>
        </w:rPr>
        <w:t>EQUITABLE HOLDINGS, INC.</w:t>
      </w:r>
    </w:p>
    <w:p w:rsidR="00000000" w:rsidRDefault="00E54EC0">
      <w:pPr>
        <w:jc w:val="center"/>
        <w:divId w:val="1221402036"/>
        <w:rPr>
          <w:rFonts w:eastAsia="Times New Roman"/>
        </w:rPr>
      </w:pPr>
      <w:r>
        <w:rPr>
          <w:rFonts w:eastAsia="Times New Roman"/>
          <w:b/>
          <w:bCs/>
          <w:color w:val="000000"/>
          <w:sz w:val="20"/>
          <w:szCs w:val="20"/>
        </w:rPr>
        <w:t>Notes to Consolidated Financial Statements, Continue</w:t>
      </w:r>
      <w:r>
        <w:rPr>
          <w:rFonts w:eastAsia="Times New Roman"/>
          <w:b/>
          <w:bCs/>
          <w:color w:val="000000"/>
          <w:sz w:val="20"/>
          <w:szCs w:val="20"/>
        </w:rPr>
        <w:t>d</w:t>
      </w:r>
    </w:p>
    <w:p w:rsidR="00000000" w:rsidRDefault="00E54EC0">
      <w:pPr>
        <w:jc w:val="center"/>
        <w:divId w:val="1221402036"/>
        <w:rPr>
          <w:rFonts w:eastAsia="Times New Roman"/>
        </w:rPr>
      </w:pPr>
    </w:p>
    <w:p w:rsidR="00000000" w:rsidRDefault="00E54EC0">
      <w:pPr>
        <w:divId w:val="350493118"/>
        <w:rPr>
          <w:rFonts w:eastAsia="Times New Roman"/>
        </w:rPr>
      </w:pPr>
      <w:r>
        <w:rPr>
          <w:rFonts w:eastAsia="Times New Roman"/>
          <w:color w:val="000000"/>
          <w:sz w:val="20"/>
          <w:szCs w:val="20"/>
        </w:rPr>
        <w:t xml:space="preserve">Most open-end management investment companies, such as U.S. funds and the EQAT and EQ Premier VIP Trusts and the 1290 Funds, have adopted a plan under Rule 12b-1 of the Investment Company Act that allows for certain share classes to pay out of assets, </w:t>
      </w:r>
      <w:r>
        <w:rPr>
          <w:rFonts w:eastAsia="Times New Roman"/>
          <w:color w:val="000000"/>
          <w:sz w:val="20"/>
          <w:szCs w:val="20"/>
        </w:rPr>
        <w:t>distribution and service fees for the distribution and sale of its shares (“12b-1 Fees”). These open-end management investment companies have such agreements with the Company, and the Company has selling and distribution agreements pursuant to which it pay</w:t>
      </w:r>
      <w:r>
        <w:rPr>
          <w:rFonts w:eastAsia="Times New Roman"/>
          <w:color w:val="000000"/>
          <w:sz w:val="20"/>
          <w:szCs w:val="20"/>
        </w:rPr>
        <w:t>s sales commissions to the financial intermediaries that distribute the shares. These agreements may be terminated by either party upon notice (generally 30 days) and do not obligate the financial intermediary to sell any specific amount of shares.</w:t>
      </w:r>
    </w:p>
    <w:p w:rsidR="00000000" w:rsidRDefault="00E54EC0">
      <w:pPr>
        <w:divId w:val="755323469"/>
        <w:rPr>
          <w:rFonts w:eastAsia="Times New Roman"/>
        </w:rPr>
      </w:pPr>
      <w:r>
        <w:rPr>
          <w:rFonts w:eastAsia="Times New Roman"/>
          <w:color w:val="000000"/>
          <w:sz w:val="20"/>
          <w:szCs w:val="20"/>
        </w:rPr>
        <w:t>The Com</w:t>
      </w:r>
      <w:r>
        <w:rPr>
          <w:rFonts w:eastAsia="Times New Roman"/>
          <w:color w:val="000000"/>
          <w:sz w:val="20"/>
          <w:szCs w:val="20"/>
        </w:rPr>
        <w:t>pany records 12b-1 fees monthly based upon a percentage of the NAV of the funds. At month-end, the variable consideration of the transaction price is no longer constrained as the NAV can be calculated and the value of consideration is determined. These ser</w:t>
      </w:r>
      <w:r>
        <w:rPr>
          <w:rFonts w:eastAsia="Times New Roman"/>
          <w:color w:val="000000"/>
          <w:sz w:val="20"/>
          <w:szCs w:val="20"/>
        </w:rPr>
        <w:t>vices are separate and distinct from other asset management services as the customer can benefit from these services independently of other services. The Company accrues the corresponding 12b-1 fees paid to sub-distributors monthly as the expenses are incu</w:t>
      </w:r>
      <w:r>
        <w:rPr>
          <w:rFonts w:eastAsia="Times New Roman"/>
          <w:color w:val="000000"/>
          <w:sz w:val="20"/>
          <w:szCs w:val="20"/>
        </w:rPr>
        <w:t>rred. The Company is acting in a principal capacity in these transactions; as such, these revenues and expenses are recorded on a gross basis in the consolidated statements of income (loss).</w:t>
      </w:r>
    </w:p>
    <w:p w:rsidR="00000000" w:rsidRDefault="00E54EC0">
      <w:pPr>
        <w:divId w:val="1694261507"/>
        <w:rPr>
          <w:rFonts w:eastAsia="Times New Roman"/>
        </w:rPr>
      </w:pPr>
      <w:r>
        <w:rPr>
          <w:rFonts w:eastAsia="Times New Roman"/>
          <w:color w:val="000000"/>
          <w:sz w:val="20"/>
          <w:szCs w:val="20"/>
        </w:rPr>
        <w:t>AB sponsored mutual funds offer back-end load shares in limited i</w:t>
      </w:r>
      <w:r>
        <w:rPr>
          <w:rFonts w:eastAsia="Times New Roman"/>
          <w:color w:val="000000"/>
          <w:sz w:val="20"/>
          <w:szCs w:val="20"/>
        </w:rPr>
        <w:t xml:space="preserve">nstances and charge the investor a CDSC if the investment is redeemed within a certain period. The variable consideration for these contracts is contingent upon the timing of the redemption by the investor and the value of the sales proceeds. Due to these </w:t>
      </w:r>
      <w:r>
        <w:rPr>
          <w:rFonts w:eastAsia="Times New Roman"/>
          <w:color w:val="000000"/>
          <w:sz w:val="20"/>
          <w:szCs w:val="20"/>
        </w:rPr>
        <w:t>constraining factors, the Company excludes the CDSC fee from the transaction price until the investor redeems the investment. Upon redemption, the cash consideration received for these contractual arrangements is recorded as a reduction of unamortized defe</w:t>
      </w:r>
      <w:r>
        <w:rPr>
          <w:rFonts w:eastAsia="Times New Roman"/>
          <w:color w:val="000000"/>
          <w:sz w:val="20"/>
          <w:szCs w:val="20"/>
        </w:rPr>
        <w:t>rred sales commissions.</w:t>
      </w:r>
    </w:p>
    <w:p w:rsidR="00000000" w:rsidRDefault="00E54EC0">
      <w:pPr>
        <w:divId w:val="1152941742"/>
        <w:rPr>
          <w:rFonts w:eastAsia="Times New Roman"/>
        </w:rPr>
      </w:pPr>
      <w:r>
        <w:rPr>
          <w:rFonts w:eastAsia="Times New Roman"/>
          <w:color w:val="000000"/>
          <w:sz w:val="20"/>
          <w:szCs w:val="20"/>
        </w:rPr>
        <w:t>AB’s Luxembourg subsidiary, the management company for most of its non-U.S. funds, earns a management fee which is accrued daily and paid monthly, at an annual rate, based on the average daily net assets of the fund. With respect to</w:t>
      </w:r>
      <w:r>
        <w:rPr>
          <w:rFonts w:eastAsia="Times New Roman"/>
          <w:color w:val="000000"/>
          <w:sz w:val="20"/>
          <w:szCs w:val="20"/>
        </w:rPr>
        <w:t xml:space="preserve"> certain share classes, the management fee also may contain a component paid to distributors and other financial intermediaries and service providers to cover shareholder servicing and other administrative expenses (also referred to as an “All-in-Fee”). Ba</w:t>
      </w:r>
      <w:r>
        <w:rPr>
          <w:rFonts w:eastAsia="Times New Roman"/>
          <w:color w:val="000000"/>
          <w:sz w:val="20"/>
          <w:szCs w:val="20"/>
        </w:rPr>
        <w:t>sed on the conclusion that asset management is distinct from distribution, the Company allocates a portion of the investment and advisory fee to distribution revenues for the servicing component based on standalone selling prices.</w:t>
      </w:r>
    </w:p>
    <w:p w:rsidR="00000000" w:rsidRDefault="00E54EC0">
      <w:pPr>
        <w:jc w:val="both"/>
        <w:divId w:val="2017460705"/>
        <w:rPr>
          <w:rFonts w:eastAsia="Times New Roman"/>
        </w:rPr>
      </w:pPr>
      <w:r>
        <w:rPr>
          <w:rFonts w:eastAsia="Times New Roman"/>
          <w:b/>
          <w:bCs/>
          <w:i/>
          <w:iCs/>
          <w:color w:val="000000"/>
          <w:sz w:val="20"/>
          <w:szCs w:val="20"/>
        </w:rPr>
        <w:t>Other revenues</w:t>
      </w:r>
    </w:p>
    <w:p w:rsidR="00000000" w:rsidRDefault="00E54EC0">
      <w:pPr>
        <w:divId w:val="719015968"/>
        <w:rPr>
          <w:rFonts w:eastAsia="Times New Roman"/>
        </w:rPr>
      </w:pPr>
      <w:r>
        <w:rPr>
          <w:rFonts w:eastAsia="Times New Roman"/>
          <w:color w:val="000000"/>
          <w:sz w:val="20"/>
          <w:szCs w:val="20"/>
        </w:rPr>
        <w:t>Also repor</w:t>
      </w:r>
      <w:r>
        <w:rPr>
          <w:rFonts w:eastAsia="Times New Roman"/>
          <w:color w:val="000000"/>
          <w:sz w:val="20"/>
          <w:szCs w:val="20"/>
        </w:rPr>
        <w:t>ted as investment management and service fees in the Company’s consolidated statements of income (loss) are other revenues from contracts with customers, primarily consisting of shareholder servicing fees, mutual fund reimbursements and other brokerage inc</w:t>
      </w:r>
      <w:r>
        <w:rPr>
          <w:rFonts w:eastAsia="Times New Roman"/>
          <w:color w:val="000000"/>
          <w:sz w:val="20"/>
          <w:szCs w:val="20"/>
        </w:rPr>
        <w:t>ome.</w:t>
      </w:r>
    </w:p>
    <w:p w:rsidR="00000000" w:rsidRDefault="00E54EC0">
      <w:pPr>
        <w:divId w:val="2014870201"/>
        <w:rPr>
          <w:rFonts w:eastAsia="Times New Roman"/>
        </w:rPr>
      </w:pPr>
      <w:r>
        <w:rPr>
          <w:rFonts w:eastAsia="Times New Roman"/>
          <w:color w:val="000000"/>
          <w:sz w:val="20"/>
          <w:szCs w:val="20"/>
        </w:rPr>
        <w:t>Shareholder services, including transfer agency, administration and record-keeping are provided by AB to company-sponsored mutual funds. The consideration for these services is based on a percentage of the NAV of the fund or a fixed-fee based on the n</w:t>
      </w:r>
      <w:r>
        <w:rPr>
          <w:rFonts w:eastAsia="Times New Roman"/>
          <w:color w:val="000000"/>
          <w:sz w:val="20"/>
          <w:szCs w:val="20"/>
        </w:rPr>
        <w:t>umber of shareholder accounts being serviced. The revenues are recorded at month-end when the constraining factors involved with determining NAV or the numbers of shareholders’ accounts are resolved.</w:t>
      </w:r>
    </w:p>
    <w:p w:rsidR="00000000" w:rsidRDefault="00E54EC0">
      <w:pPr>
        <w:jc w:val="both"/>
        <w:divId w:val="860050744"/>
        <w:rPr>
          <w:rFonts w:eastAsia="Times New Roman"/>
        </w:rPr>
      </w:pPr>
      <w:r>
        <w:rPr>
          <w:rFonts w:eastAsia="Times New Roman"/>
          <w:b/>
          <w:bCs/>
          <w:i/>
          <w:iCs/>
          <w:color w:val="000000"/>
          <w:sz w:val="20"/>
          <w:szCs w:val="20"/>
        </w:rPr>
        <w:t>Other income</w:t>
      </w:r>
    </w:p>
    <w:p w:rsidR="00000000" w:rsidRDefault="00E54EC0">
      <w:pPr>
        <w:divId w:val="1577203873"/>
        <w:rPr>
          <w:rFonts w:eastAsia="Times New Roman"/>
        </w:rPr>
      </w:pPr>
      <w:r>
        <w:rPr>
          <w:rFonts w:eastAsia="Times New Roman"/>
          <w:color w:val="000000"/>
          <w:sz w:val="20"/>
          <w:szCs w:val="20"/>
        </w:rPr>
        <w:t>Revenues from contracts with customers repo</w:t>
      </w:r>
      <w:r>
        <w:rPr>
          <w:rFonts w:eastAsia="Times New Roman"/>
          <w:color w:val="000000"/>
          <w:sz w:val="20"/>
          <w:szCs w:val="20"/>
        </w:rPr>
        <w:t xml:space="preserve">rted as other income in the Company’s consolidated statements of income (loss) primarily consist of advisory account fees and brokerage commissions from the Company’s broker-dealer operations and sales commissions from the Company’s general agents for the </w:t>
      </w:r>
      <w:r>
        <w:rPr>
          <w:rFonts w:eastAsia="Times New Roman"/>
          <w:color w:val="000000"/>
          <w:sz w:val="20"/>
          <w:szCs w:val="20"/>
        </w:rPr>
        <w:t>distribution of non-affiliate insurers’ life insurance and annuity products. These revenues are recognized at month-end when constraining factors, such as AUM and product mix, are resolved and the transaction pricing no longer is variable such that the val</w:t>
      </w:r>
      <w:r>
        <w:rPr>
          <w:rFonts w:eastAsia="Times New Roman"/>
          <w:color w:val="000000"/>
          <w:sz w:val="20"/>
          <w:szCs w:val="20"/>
        </w:rPr>
        <w:t>ue of consideration can be determined.</w:t>
      </w:r>
    </w:p>
    <w:p w:rsidR="00000000" w:rsidRDefault="00E54EC0">
      <w:pPr>
        <w:divId w:val="580723471"/>
        <w:rPr>
          <w:rFonts w:eastAsia="Times New Roman"/>
        </w:rPr>
      </w:pPr>
      <w:r>
        <w:rPr>
          <w:rFonts w:eastAsia="Times New Roman"/>
          <w:color w:val="000000"/>
          <w:sz w:val="20"/>
          <w:szCs w:val="20"/>
          <w:u w:val="single"/>
        </w:rPr>
        <w:t>Accounting and Consolidation of VIEs</w:t>
      </w:r>
    </w:p>
    <w:p w:rsidR="00000000" w:rsidRDefault="00E54EC0">
      <w:pPr>
        <w:divId w:val="369847112"/>
        <w:rPr>
          <w:rFonts w:eastAsia="Times New Roman"/>
        </w:rPr>
      </w:pPr>
      <w:r>
        <w:rPr>
          <w:rFonts w:eastAsia="Times New Roman"/>
          <w:color w:val="000000"/>
          <w:sz w:val="20"/>
          <w:szCs w:val="20"/>
        </w:rPr>
        <w:t xml:space="preserve">For all new investment products and entities developed by the Company, the Company first determines whether the entity is a VIE, which involves determining an entity’s variability </w:t>
      </w:r>
      <w:r>
        <w:rPr>
          <w:rFonts w:eastAsia="Times New Roman"/>
          <w:color w:val="000000"/>
          <w:sz w:val="20"/>
          <w:szCs w:val="20"/>
        </w:rPr>
        <w:t>and variable interests, identifying the holders of the equity investment at risk and assessing the five characteristics of a VIE. Once an entity has been determined to be a VIE, the Company then determines whether it is the primary beneficiary of the VIE b</w:t>
      </w:r>
      <w:r>
        <w:rPr>
          <w:rFonts w:eastAsia="Times New Roman"/>
          <w:color w:val="000000"/>
          <w:sz w:val="20"/>
          <w:szCs w:val="20"/>
        </w:rPr>
        <w:t>ased on its beneficial interests. If the Company is deemed to be the primary beneficiary of the VIE, then the Company consolidates the entity.</w:t>
      </w:r>
    </w:p>
    <w:p w:rsidR="00000000" w:rsidRDefault="00E54EC0">
      <w:pPr>
        <w:divId w:val="1089697963"/>
        <w:rPr>
          <w:rFonts w:eastAsia="Times New Roman"/>
        </w:rPr>
      </w:pPr>
      <w:r>
        <w:rPr>
          <w:rFonts w:eastAsia="Times New Roman"/>
          <w:color w:val="000000"/>
          <w:sz w:val="20"/>
          <w:szCs w:val="20"/>
        </w:rPr>
        <w:t>Management of the Company reviews quarterly its investment management agreements and its investments in, and othe</w:t>
      </w:r>
      <w:r>
        <w:rPr>
          <w:rFonts w:eastAsia="Times New Roman"/>
          <w:color w:val="000000"/>
          <w:sz w:val="20"/>
          <w:szCs w:val="20"/>
        </w:rPr>
        <w:t xml:space="preserve">r financial arrangements with, certain entities that hold client AUM to determine the entities that the Company is </w:t>
      </w:r>
    </w:p>
    <w:p w:rsidR="00000000" w:rsidRDefault="00E54EC0">
      <w:pPr>
        <w:jc w:val="center"/>
        <w:divId w:val="1497110378"/>
        <w:rPr>
          <w:rFonts w:eastAsia="Times New Roman"/>
        </w:rPr>
      </w:pPr>
      <w:r>
        <w:rPr>
          <w:rFonts w:eastAsia="Times New Roman"/>
          <w:color w:val="000000"/>
          <w:sz w:val="20"/>
          <w:szCs w:val="20"/>
        </w:rPr>
        <w:t>153</w:t>
      </w:r>
    </w:p>
    <w:p w:rsidR="00000000" w:rsidRDefault="00E54EC0">
      <w:pPr>
        <w:rPr>
          <w:rFonts w:eastAsia="Times New Roman"/>
        </w:rPr>
      </w:pPr>
      <w:r>
        <w:rPr>
          <w:rFonts w:eastAsia="Times New Roman"/>
        </w:rPr>
        <w:pict>
          <v:rect id="_x0000_i1191" style="width:0;height:1.5pt" o:hralign="center" o:hrstd="t" o:hr="t" fillcolor="#a0a0a0" stroked="f"/>
        </w:pict>
      </w:r>
    </w:p>
    <w:p w:rsidR="00000000" w:rsidRDefault="00E54EC0">
      <w:pPr>
        <w:divId w:val="681400635"/>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377244342"/>
        <w:rPr>
          <w:rFonts w:eastAsia="Times New Roman"/>
        </w:rPr>
      </w:pPr>
      <w:r>
        <w:rPr>
          <w:rFonts w:eastAsia="Times New Roman"/>
          <w:b/>
          <w:bCs/>
          <w:color w:val="000000"/>
          <w:sz w:val="20"/>
          <w:szCs w:val="20"/>
        </w:rPr>
        <w:t>EQUITABLE HOLDINGS, INC.</w:t>
      </w:r>
    </w:p>
    <w:p w:rsidR="00000000" w:rsidRDefault="00E54EC0">
      <w:pPr>
        <w:jc w:val="center"/>
        <w:divId w:val="1377244342"/>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377244342"/>
        <w:rPr>
          <w:rFonts w:eastAsia="Times New Roman"/>
        </w:rPr>
      </w:pPr>
    </w:p>
    <w:p w:rsidR="00000000" w:rsidRDefault="00E54EC0">
      <w:pPr>
        <w:divId w:val="560756646"/>
        <w:rPr>
          <w:rFonts w:eastAsia="Times New Roman"/>
        </w:rPr>
      </w:pPr>
      <w:r>
        <w:rPr>
          <w:rFonts w:eastAsia="Times New Roman"/>
          <w:color w:val="000000"/>
          <w:sz w:val="20"/>
          <w:szCs w:val="20"/>
        </w:rPr>
        <w:t xml:space="preserve">required to consolidate under this guidance. These entities include certain mutual fund products, </w:t>
      </w:r>
      <w:r>
        <w:rPr>
          <w:rFonts w:eastAsia="Times New Roman"/>
          <w:color w:val="000000"/>
          <w:sz w:val="20"/>
          <w:szCs w:val="20"/>
        </w:rPr>
        <w:t>hedge funds, structured products, group trusts, collective investment trusts and limited partnerships.</w:t>
      </w:r>
    </w:p>
    <w:p w:rsidR="00000000" w:rsidRDefault="00E54EC0">
      <w:pPr>
        <w:divId w:val="1260333742"/>
        <w:rPr>
          <w:rFonts w:eastAsia="Times New Roman"/>
        </w:rPr>
      </w:pPr>
      <w:r>
        <w:rPr>
          <w:rFonts w:eastAsia="Times New Roman"/>
          <w:color w:val="000000"/>
          <w:sz w:val="20"/>
          <w:szCs w:val="20"/>
        </w:rPr>
        <w:t>The analysis performed to identify variable interests held, determine whether entities are VIEs or VOEs, and evaluate whether the Company has a controlli</w:t>
      </w:r>
      <w:r>
        <w:rPr>
          <w:rFonts w:eastAsia="Times New Roman"/>
          <w:color w:val="000000"/>
          <w:sz w:val="20"/>
          <w:szCs w:val="20"/>
        </w:rPr>
        <w:t xml:space="preserve">ng financial interest in such entities requires the exercise of judgment and is updated on a continuous basis as circumstances change or new entities are developed. The primary beneficiary evaluation generally is performed qualitatively based on all facts </w:t>
      </w:r>
      <w:r>
        <w:rPr>
          <w:rFonts w:eastAsia="Times New Roman"/>
          <w:color w:val="000000"/>
          <w:sz w:val="20"/>
          <w:szCs w:val="20"/>
        </w:rPr>
        <w:t>and circumstances, including consideration of economic interests in the VIE held directly and indirectly through related parties and entities under common control, as well as quantitatively, as appropriate.</w:t>
      </w:r>
    </w:p>
    <w:p w:rsidR="00000000" w:rsidRDefault="00E54EC0">
      <w:pPr>
        <w:jc w:val="both"/>
        <w:divId w:val="1816603752"/>
        <w:rPr>
          <w:rFonts w:eastAsia="Times New Roman"/>
        </w:rPr>
      </w:pPr>
      <w:r>
        <w:rPr>
          <w:rFonts w:eastAsia="Times New Roman"/>
          <w:b/>
          <w:bCs/>
          <w:i/>
          <w:iCs/>
          <w:color w:val="000000"/>
          <w:sz w:val="20"/>
          <w:szCs w:val="20"/>
        </w:rPr>
        <w:t>Consolidated VIEs</w:t>
      </w:r>
    </w:p>
    <w:p w:rsidR="00000000" w:rsidRDefault="00E54EC0">
      <w:pPr>
        <w:jc w:val="both"/>
        <w:divId w:val="767114340"/>
        <w:rPr>
          <w:rFonts w:eastAsia="Times New Roman"/>
        </w:rPr>
      </w:pPr>
      <w:r>
        <w:rPr>
          <w:rFonts w:eastAsia="Times New Roman"/>
          <w:color w:val="000000"/>
          <w:sz w:val="20"/>
          <w:szCs w:val="20"/>
          <w:u w:val="single"/>
        </w:rPr>
        <w:t>Consolidated CLOs</w:t>
      </w:r>
    </w:p>
    <w:p w:rsidR="00000000" w:rsidRDefault="00E54EC0">
      <w:pPr>
        <w:divId w:val="1767071434"/>
        <w:rPr>
          <w:rFonts w:eastAsia="Times New Roman"/>
        </w:rPr>
      </w:pPr>
      <w:r>
        <w:rPr>
          <w:rFonts w:eastAsia="Times New Roman"/>
          <w:color w:val="000000"/>
          <w:sz w:val="20"/>
          <w:szCs w:val="20"/>
        </w:rPr>
        <w:t>The Company is the investment manager of certain asset-backed investment vehicles, commonly referred to as CLOs, and certain other vehicles for which the Company earns fee income for investment management services. The Company may sell or</w:t>
      </w:r>
      <w:r>
        <w:rPr>
          <w:rFonts w:eastAsia="Times New Roman"/>
          <w:color w:val="000000"/>
          <w:sz w:val="20"/>
          <w:szCs w:val="20"/>
        </w:rPr>
        <w:t xml:space="preserve"> syndicate investments through these vehicles, principally as part of the strategic investing activity as part of its investment management businesses. Additionally, the Company may invest in securities issued by these vehicles which are eliminated in cons</w:t>
      </w:r>
      <w:r>
        <w:rPr>
          <w:rFonts w:eastAsia="Times New Roman"/>
          <w:color w:val="000000"/>
          <w:sz w:val="20"/>
          <w:szCs w:val="20"/>
        </w:rPr>
        <w:t xml:space="preserve">olidation of the CLOs. </w:t>
      </w:r>
    </w:p>
    <w:p w:rsidR="00000000" w:rsidRDefault="00E54EC0">
      <w:pPr>
        <w:divId w:val="141430638"/>
        <w:rPr>
          <w:rFonts w:eastAsia="Times New Roman"/>
        </w:rPr>
      </w:pPr>
      <w:r>
        <w:rPr>
          <w:rFonts w:eastAsia="Times New Roman"/>
          <w:color w:val="000000"/>
          <w:sz w:val="20"/>
          <w:szCs w:val="20"/>
        </w:rPr>
        <w:t>As of December 31, 2022 and 2021, respectively, Equitable Financial holds $85 million and $109 million of equity interests in the CLOs. The Company consolidated the CLOs as of December 31, 2022 and 2021 as it is the primary benefici</w:t>
      </w:r>
      <w:r>
        <w:rPr>
          <w:rFonts w:eastAsia="Times New Roman"/>
          <w:color w:val="000000"/>
          <w:sz w:val="20"/>
          <w:szCs w:val="20"/>
        </w:rPr>
        <w:t xml:space="preserve">ary due to the combination of both its equity interest held by Equitable Financial and the majority ownership of AB, which functions as the CLOs loan manager. The assets of the CLOs are legally isolated from the Company’s creditors and can only be used to </w:t>
      </w:r>
      <w:r>
        <w:rPr>
          <w:rFonts w:eastAsia="Times New Roman"/>
          <w:color w:val="000000"/>
          <w:sz w:val="20"/>
          <w:szCs w:val="20"/>
        </w:rPr>
        <w:t>settle obligations of the CLOs. The liabilities of the CLOs are non-recourse to the Company and the Company has no obligation to satisfy the liabilities of the CLOs. As of December 31, 2022, Equitable Financial holds $76 million of equity interests in a SP</w:t>
      </w:r>
      <w:r>
        <w:rPr>
          <w:rFonts w:eastAsia="Times New Roman"/>
          <w:color w:val="000000"/>
          <w:sz w:val="20"/>
          <w:szCs w:val="20"/>
        </w:rPr>
        <w:t>E established to purchase loans from the market in anticipation of a new CLO transaction. The Company consolidated the SPE as of December 31, 2022 as it is the primary beneficiary due to the combination of both its equity interest held by Equitable Financi</w:t>
      </w:r>
      <w:r>
        <w:rPr>
          <w:rFonts w:eastAsia="Times New Roman"/>
          <w:color w:val="000000"/>
          <w:sz w:val="20"/>
          <w:szCs w:val="20"/>
        </w:rPr>
        <w:t>al and the majority ownership of AB, which functions as the SPE loan manager.</w:t>
      </w:r>
    </w:p>
    <w:p w:rsidR="00000000" w:rsidRDefault="00E54EC0">
      <w:pPr>
        <w:divId w:val="1762337769"/>
        <w:rPr>
          <w:rFonts w:eastAsia="Times New Roman"/>
        </w:rPr>
      </w:pPr>
      <w:r>
        <w:rPr>
          <w:rFonts w:eastAsia="Times New Roman"/>
          <w:color w:val="000000"/>
          <w:sz w:val="20"/>
          <w:szCs w:val="20"/>
        </w:rPr>
        <w:t>Resulting from this consolidation in the Company’s consolidated balance sheets are fixed maturities, at fair value using the fair value option with total assets of $1.5 billion a</w:t>
      </w:r>
      <w:r>
        <w:rPr>
          <w:rFonts w:eastAsia="Times New Roman"/>
          <w:color w:val="000000"/>
          <w:sz w:val="20"/>
          <w:szCs w:val="20"/>
        </w:rPr>
        <w:t>nd $1.6 billion notes issued by consolidated variable interest entities, at fair value using the fair value option with total liabilities of $1.2 billion and $1.2 billion at December 31, 2022 and 2021, respectively</w:t>
      </w:r>
      <w:r>
        <w:rPr>
          <w:rFonts w:eastAsia="Times New Roman"/>
          <w:color w:val="FF0000"/>
          <w:sz w:val="20"/>
          <w:szCs w:val="20"/>
        </w:rPr>
        <w:t>.</w:t>
      </w:r>
      <w:r>
        <w:rPr>
          <w:rFonts w:eastAsia="Times New Roman"/>
          <w:color w:val="000000"/>
          <w:sz w:val="20"/>
          <w:szCs w:val="20"/>
        </w:rPr>
        <w:t xml:space="preserve"> The unpaid outstanding principal balance</w:t>
      </w:r>
      <w:r>
        <w:rPr>
          <w:rFonts w:eastAsia="Times New Roman"/>
          <w:color w:val="000000"/>
          <w:sz w:val="20"/>
          <w:szCs w:val="20"/>
        </w:rPr>
        <w:t xml:space="preserve"> of the notes and short-term borrowing is $1.4 billion and $1.3 billion at December 31, 2022 and 2021.</w:t>
      </w:r>
    </w:p>
    <w:p w:rsidR="00000000" w:rsidRDefault="00E54EC0">
      <w:pPr>
        <w:jc w:val="both"/>
        <w:divId w:val="1166287891"/>
        <w:rPr>
          <w:rFonts w:eastAsia="Times New Roman"/>
        </w:rPr>
      </w:pPr>
      <w:r>
        <w:rPr>
          <w:rFonts w:eastAsia="Times New Roman"/>
          <w:color w:val="000000"/>
          <w:sz w:val="20"/>
          <w:szCs w:val="20"/>
          <w:u w:val="single"/>
        </w:rPr>
        <w:t>Consolidated Limited Partnerships and LLCs</w:t>
      </w:r>
    </w:p>
    <w:p w:rsidR="00000000" w:rsidRDefault="00E54EC0">
      <w:pPr>
        <w:divId w:val="70851574"/>
        <w:rPr>
          <w:rFonts w:eastAsia="Times New Roman"/>
        </w:rPr>
      </w:pPr>
      <w:r>
        <w:rPr>
          <w:rFonts w:eastAsia="Times New Roman"/>
          <w:color w:val="000000"/>
          <w:sz w:val="20"/>
          <w:szCs w:val="20"/>
        </w:rPr>
        <w:t>As of December 31, 2022 and 2021 the Company consolidated limited partnerships and LLCs for which it was ident</w:t>
      </w:r>
      <w:r>
        <w:rPr>
          <w:rFonts w:eastAsia="Times New Roman"/>
          <w:color w:val="000000"/>
          <w:sz w:val="20"/>
          <w:szCs w:val="20"/>
        </w:rPr>
        <w:t>ified as the primary beneficiary under the VIE model. Included in Other invested assets, Mortgage loans on real estate, Other equity investments, Trading securities, cash and other liabilities in the Company’s consolidated balance sheets at December 31, 20</w:t>
      </w:r>
      <w:r>
        <w:rPr>
          <w:rFonts w:eastAsia="Times New Roman"/>
          <w:color w:val="000000"/>
          <w:sz w:val="20"/>
          <w:szCs w:val="20"/>
        </w:rPr>
        <w:t>22 and 2021 are total net assets of $644 million and $219 million, respectively related to these VIEs.</w:t>
      </w:r>
    </w:p>
    <w:p w:rsidR="00000000" w:rsidRDefault="00E54EC0">
      <w:pPr>
        <w:jc w:val="both"/>
        <w:divId w:val="773011952"/>
        <w:rPr>
          <w:rFonts w:eastAsia="Times New Roman"/>
        </w:rPr>
      </w:pPr>
      <w:r>
        <w:rPr>
          <w:rFonts w:eastAsia="Times New Roman"/>
          <w:b/>
          <w:bCs/>
          <w:i/>
          <w:iCs/>
          <w:color w:val="000000"/>
          <w:sz w:val="20"/>
          <w:szCs w:val="20"/>
        </w:rPr>
        <w:t>Consolidated AB-Sponsored Investment Funds</w:t>
      </w:r>
    </w:p>
    <w:p w:rsidR="00000000" w:rsidRDefault="00E54EC0">
      <w:pPr>
        <w:divId w:val="1453400260"/>
        <w:rPr>
          <w:rFonts w:eastAsia="Times New Roman"/>
        </w:rPr>
      </w:pPr>
      <w:r>
        <w:rPr>
          <w:rFonts w:eastAsia="Times New Roman"/>
          <w:color w:val="000000"/>
          <w:sz w:val="20"/>
          <w:szCs w:val="20"/>
        </w:rPr>
        <w:t xml:space="preserve">Included in the Company’s consolidated balance sheet as of December 31, 2022 and 2021 are assets of </w:t>
      </w:r>
      <w:r>
        <w:rPr>
          <w:rFonts w:eastAsia="Times New Roman"/>
          <w:color w:val="000000"/>
          <w:sz w:val="20"/>
          <w:szCs w:val="20"/>
          <w:shd w:val="clear" w:color="auto" w:fill="FFFFFF"/>
        </w:rPr>
        <w:t>$581 milli</w:t>
      </w:r>
      <w:r>
        <w:rPr>
          <w:rFonts w:eastAsia="Times New Roman"/>
          <w:color w:val="000000"/>
          <w:sz w:val="20"/>
          <w:szCs w:val="20"/>
          <w:shd w:val="clear" w:color="auto" w:fill="FFFFFF"/>
        </w:rPr>
        <w:t>on and $734 million, liabilities of $56 million and $87 million, and redeemable noncontrolling interests of $369 million and $421 million</w:t>
      </w:r>
      <w:r>
        <w:rPr>
          <w:rFonts w:eastAsia="Times New Roman"/>
          <w:color w:val="000000"/>
          <w:sz w:val="20"/>
          <w:szCs w:val="20"/>
        </w:rPr>
        <w:t>, respectively, associated with the consolidation of AB-sponsored investment funds</w:t>
      </w:r>
      <w:r>
        <w:rPr>
          <w:rFonts w:eastAsia="Times New Roman"/>
          <w:color w:val="000000"/>
          <w:sz w:val="20"/>
          <w:szCs w:val="20"/>
          <w:shd w:val="clear" w:color="auto" w:fill="FFFFFF"/>
        </w:rPr>
        <w:t>.</w:t>
      </w:r>
      <w:r>
        <w:rPr>
          <w:rFonts w:eastAsia="Times New Roman"/>
          <w:color w:val="000000"/>
          <w:sz w:val="20"/>
          <w:szCs w:val="20"/>
        </w:rPr>
        <w:t xml:space="preserve"> </w:t>
      </w:r>
    </w:p>
    <w:p w:rsidR="00000000" w:rsidRDefault="00E54EC0">
      <w:pPr>
        <w:jc w:val="both"/>
        <w:divId w:val="71396015"/>
        <w:rPr>
          <w:rFonts w:eastAsia="Times New Roman"/>
        </w:rPr>
      </w:pPr>
      <w:r>
        <w:rPr>
          <w:rFonts w:eastAsia="Times New Roman"/>
          <w:b/>
          <w:bCs/>
          <w:i/>
          <w:iCs/>
          <w:color w:val="000000"/>
          <w:sz w:val="20"/>
          <w:szCs w:val="20"/>
        </w:rPr>
        <w:t>Non-Consolidated VIEs</w:t>
      </w:r>
    </w:p>
    <w:p w:rsidR="00000000" w:rsidRDefault="00E54EC0">
      <w:pPr>
        <w:divId w:val="1979604554"/>
        <w:rPr>
          <w:rFonts w:eastAsia="Times New Roman"/>
        </w:rPr>
      </w:pPr>
      <w:r>
        <w:rPr>
          <w:rFonts w:eastAsia="Times New Roman"/>
          <w:color w:val="000000"/>
          <w:sz w:val="20"/>
          <w:szCs w:val="20"/>
        </w:rPr>
        <w:t>As of Decemb</w:t>
      </w:r>
      <w:r>
        <w:rPr>
          <w:rFonts w:eastAsia="Times New Roman"/>
          <w:color w:val="000000"/>
          <w:sz w:val="20"/>
          <w:szCs w:val="20"/>
        </w:rPr>
        <w:t>er 31, 2022 and 2021 respectively, the Company held approximately $2.4 billion and $2.1 billion of investment assets in the form of equity interests issued by non-corporate legal entities determined under the guidance to be VIEs, such as limited partnershi</w:t>
      </w:r>
      <w:r>
        <w:rPr>
          <w:rFonts w:eastAsia="Times New Roman"/>
          <w:color w:val="000000"/>
          <w:sz w:val="20"/>
          <w:szCs w:val="20"/>
        </w:rPr>
        <w:t>ps and limited liability companies, including CLOs, hedge funds, private equity funds and real estate-related funds. The Company continues to reflect these equity interests in the consolidated balance sheets as other equity investments and applies the equi</w:t>
      </w:r>
      <w:r>
        <w:rPr>
          <w:rFonts w:eastAsia="Times New Roman"/>
          <w:color w:val="000000"/>
          <w:sz w:val="20"/>
          <w:szCs w:val="20"/>
        </w:rPr>
        <w:t>ty method of accounting for these positions. The net assets of these non-consolidated VIEs are approximately $282.5 billion and $245.6 billion as of December 31, 2022 and 2021 respectively. The Company’s maximum exposure to loss from its direct involvement</w:t>
      </w:r>
      <w:r>
        <w:rPr>
          <w:rFonts w:eastAsia="Times New Roman"/>
          <w:color w:val="000000"/>
          <w:sz w:val="20"/>
          <w:szCs w:val="20"/>
        </w:rPr>
        <w:t xml:space="preserve"> with these VIEs is the carrying value of its investment of $2.4 billion and $2.1 billion and approximately $1.3 billion and $1.2 billion of unfunded </w:t>
      </w:r>
    </w:p>
    <w:p w:rsidR="00000000" w:rsidRDefault="00E54EC0">
      <w:pPr>
        <w:jc w:val="center"/>
        <w:divId w:val="1554078262"/>
        <w:rPr>
          <w:rFonts w:eastAsia="Times New Roman"/>
        </w:rPr>
      </w:pPr>
      <w:r>
        <w:rPr>
          <w:rFonts w:eastAsia="Times New Roman"/>
          <w:color w:val="000000"/>
          <w:sz w:val="20"/>
          <w:szCs w:val="20"/>
        </w:rPr>
        <w:t>154</w:t>
      </w:r>
    </w:p>
    <w:p w:rsidR="00000000" w:rsidRDefault="00E54EC0">
      <w:pPr>
        <w:rPr>
          <w:rFonts w:eastAsia="Times New Roman"/>
        </w:rPr>
      </w:pPr>
      <w:r>
        <w:rPr>
          <w:rFonts w:eastAsia="Times New Roman"/>
        </w:rPr>
        <w:pict>
          <v:rect id="_x0000_i1192" style="width:0;height:1.5pt" o:hralign="center" o:hrstd="t" o:hr="t" fillcolor="#a0a0a0" stroked="f"/>
        </w:pict>
      </w:r>
    </w:p>
    <w:p w:rsidR="00000000" w:rsidRDefault="00E54EC0">
      <w:pPr>
        <w:divId w:val="1589659674"/>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473988595"/>
        <w:rPr>
          <w:rFonts w:eastAsia="Times New Roman"/>
        </w:rPr>
      </w:pPr>
      <w:r>
        <w:rPr>
          <w:rFonts w:eastAsia="Times New Roman"/>
          <w:b/>
          <w:bCs/>
          <w:color w:val="000000"/>
          <w:sz w:val="20"/>
          <w:szCs w:val="20"/>
        </w:rPr>
        <w:t>EQUITABLE HOLDINGS, INC.</w:t>
      </w:r>
    </w:p>
    <w:p w:rsidR="00000000" w:rsidRDefault="00E54EC0">
      <w:pPr>
        <w:jc w:val="center"/>
        <w:divId w:val="473988595"/>
        <w:rPr>
          <w:rFonts w:eastAsia="Times New Roman"/>
        </w:rPr>
      </w:pPr>
      <w:r>
        <w:rPr>
          <w:rFonts w:eastAsia="Times New Roman"/>
          <w:b/>
          <w:bCs/>
          <w:color w:val="000000"/>
          <w:sz w:val="20"/>
          <w:szCs w:val="20"/>
        </w:rPr>
        <w:t>Notes to Consolidated Financial Statements, Continued</w:t>
      </w:r>
    </w:p>
    <w:p w:rsidR="00000000" w:rsidRDefault="00E54EC0">
      <w:pPr>
        <w:jc w:val="center"/>
        <w:divId w:val="473988595"/>
        <w:rPr>
          <w:rFonts w:eastAsia="Times New Roman"/>
        </w:rPr>
      </w:pPr>
    </w:p>
    <w:p w:rsidR="00000000" w:rsidRDefault="00E54EC0">
      <w:pPr>
        <w:divId w:val="2130395235"/>
        <w:rPr>
          <w:rFonts w:eastAsia="Times New Roman"/>
        </w:rPr>
      </w:pPr>
      <w:r>
        <w:rPr>
          <w:rFonts w:eastAsia="Times New Roman"/>
          <w:color w:val="000000"/>
          <w:sz w:val="20"/>
          <w:szCs w:val="20"/>
        </w:rPr>
        <w:t>commitments as of December 31, 2022 and 2021, respectively. Th</w:t>
      </w:r>
      <w:r>
        <w:rPr>
          <w:rFonts w:eastAsia="Times New Roman"/>
          <w:color w:val="000000"/>
          <w:sz w:val="20"/>
          <w:szCs w:val="20"/>
        </w:rPr>
        <w:t>e Company has no further economic interest in these VIEs in the form of guarantees, derivatives, credit enhancements or similar instruments and obligations.</w:t>
      </w:r>
    </w:p>
    <w:p w:rsidR="00000000" w:rsidRDefault="00E54EC0">
      <w:pPr>
        <w:jc w:val="both"/>
        <w:divId w:val="641425860"/>
        <w:rPr>
          <w:rFonts w:eastAsia="Times New Roman"/>
        </w:rPr>
      </w:pPr>
      <w:r>
        <w:rPr>
          <w:rFonts w:eastAsia="Times New Roman"/>
          <w:b/>
          <w:bCs/>
          <w:i/>
          <w:iCs/>
          <w:color w:val="000000"/>
          <w:sz w:val="20"/>
          <w:szCs w:val="20"/>
        </w:rPr>
        <w:t>Non-Consolidated AB-Sponsored Investment Products</w:t>
      </w:r>
    </w:p>
    <w:p w:rsidR="00000000" w:rsidRDefault="00E54EC0">
      <w:pPr>
        <w:divId w:val="1305769352"/>
        <w:rPr>
          <w:rFonts w:eastAsia="Times New Roman"/>
        </w:rPr>
      </w:pPr>
      <w:r>
        <w:rPr>
          <w:rFonts w:eastAsia="Times New Roman"/>
          <w:color w:val="000000"/>
          <w:sz w:val="20"/>
          <w:szCs w:val="20"/>
        </w:rPr>
        <w:t xml:space="preserve">As of December 31, 2022 and 2021, the net assets </w:t>
      </w:r>
      <w:r>
        <w:rPr>
          <w:rFonts w:eastAsia="Times New Roman"/>
          <w:color w:val="000000"/>
          <w:sz w:val="20"/>
          <w:szCs w:val="20"/>
        </w:rPr>
        <w:t>of investment products sponsored by AB that are non-consolidated VIEs are approximately $46.4 billion and $68.9 billion, respectively. The Company’s maximum exposure to loss from its direct involvement with these VIEs is its investment of $6 million and $9</w:t>
      </w:r>
      <w:r>
        <w:rPr>
          <w:rFonts w:eastAsia="Times New Roman"/>
          <w:color w:val="000000"/>
          <w:sz w:val="20"/>
          <w:szCs w:val="20"/>
        </w:rPr>
        <w:t xml:space="preserve"> million as of December 31, 2022 and 2021. The Company has no further commitments to or economic interest in these VIEs.</w:t>
      </w:r>
    </w:p>
    <w:p w:rsidR="00000000" w:rsidRDefault="00E54EC0">
      <w:pPr>
        <w:divId w:val="314649622"/>
        <w:rPr>
          <w:rFonts w:eastAsia="Times New Roman"/>
        </w:rPr>
      </w:pPr>
      <w:r>
        <w:rPr>
          <w:rFonts w:eastAsia="Times New Roman"/>
          <w:color w:val="000000"/>
          <w:sz w:val="20"/>
          <w:szCs w:val="20"/>
          <w:u w:val="single"/>
        </w:rPr>
        <w:t>Assumption Updates and Model Changes</w:t>
      </w:r>
    </w:p>
    <w:p w:rsidR="00000000" w:rsidRDefault="00E54EC0">
      <w:pPr>
        <w:divId w:val="1517115882"/>
        <w:rPr>
          <w:rFonts w:eastAsia="Times New Roman"/>
        </w:rPr>
      </w:pPr>
      <w:r>
        <w:rPr>
          <w:rFonts w:eastAsia="Times New Roman"/>
          <w:color w:val="000000"/>
          <w:sz w:val="20"/>
          <w:szCs w:val="20"/>
        </w:rPr>
        <w:t>The Company conducts its annual review of its assumptions during the third quarter of each year. T</w:t>
      </w:r>
      <w:r>
        <w:rPr>
          <w:rFonts w:eastAsia="Times New Roman"/>
          <w:color w:val="000000"/>
          <w:sz w:val="20"/>
          <w:szCs w:val="20"/>
        </w:rPr>
        <w:t>he annual review encompasses assumptions underlying the valuation of unearned revenue liabilities, embedded derivatives for our insurance business, liabilities for future policyholder benefits, DAC and DSI assets.</w:t>
      </w:r>
    </w:p>
    <w:p w:rsidR="00000000" w:rsidRDefault="00E54EC0">
      <w:pPr>
        <w:divId w:val="208956201"/>
        <w:rPr>
          <w:rFonts w:eastAsia="Times New Roman"/>
        </w:rPr>
      </w:pPr>
      <w:r>
        <w:rPr>
          <w:rFonts w:eastAsia="Times New Roman"/>
          <w:color w:val="000000"/>
          <w:sz w:val="20"/>
          <w:szCs w:val="20"/>
        </w:rPr>
        <w:t>However, the Company updates its assumptio</w:t>
      </w:r>
      <w:r>
        <w:rPr>
          <w:rFonts w:eastAsia="Times New Roman"/>
          <w:color w:val="000000"/>
          <w:sz w:val="20"/>
          <w:szCs w:val="20"/>
        </w:rPr>
        <w:t>ns as needed in the event it becomes aware of economic conditions or events that could require a change in assumptions that it believes may have a significant impact to the carrying value of product liabilities and assets and consequently materially impact</w:t>
      </w:r>
      <w:r>
        <w:rPr>
          <w:rFonts w:eastAsia="Times New Roman"/>
          <w:color w:val="000000"/>
          <w:sz w:val="20"/>
          <w:szCs w:val="20"/>
        </w:rPr>
        <w:t xml:space="preserve"> its earnings in the period of the change.</w:t>
      </w:r>
    </w:p>
    <w:p w:rsidR="00000000" w:rsidRDefault="00E54EC0">
      <w:pPr>
        <w:divId w:val="809441520"/>
        <w:rPr>
          <w:rFonts w:eastAsia="Times New Roman"/>
        </w:rPr>
      </w:pPr>
      <w:r>
        <w:rPr>
          <w:rFonts w:eastAsia="Times New Roman"/>
          <w:color w:val="000000"/>
          <w:sz w:val="20"/>
          <w:szCs w:val="20"/>
        </w:rPr>
        <w:t>Due to the extraordinary economic conditions driven by the COVID-19 pandemic in the first quarter of 2020, the Company updated its interest rate assumption to grade from the current interest rate environment to an</w:t>
      </w:r>
      <w:r>
        <w:rPr>
          <w:rFonts w:eastAsia="Times New Roman"/>
          <w:color w:val="000000"/>
          <w:sz w:val="20"/>
          <w:szCs w:val="20"/>
        </w:rPr>
        <w:t xml:space="preserve"> ultimate five-year historical average over a 10-year period. As such, the 10-year U.S. Treasury yield grades from the current level to an ultimate 5-year average of 2.25%.</w:t>
      </w:r>
    </w:p>
    <w:p w:rsidR="00000000" w:rsidRDefault="00E54EC0">
      <w:pPr>
        <w:divId w:val="1245796923"/>
        <w:rPr>
          <w:rFonts w:eastAsia="Times New Roman"/>
        </w:rPr>
      </w:pPr>
      <w:r>
        <w:rPr>
          <w:rFonts w:eastAsia="Times New Roman"/>
          <w:color w:val="000000"/>
          <w:sz w:val="20"/>
          <w:szCs w:val="20"/>
        </w:rPr>
        <w:t>The low interest rate environment and update to the interest rate assumption caused</w:t>
      </w:r>
      <w:r>
        <w:rPr>
          <w:rFonts w:eastAsia="Times New Roman"/>
          <w:color w:val="000000"/>
          <w:sz w:val="20"/>
          <w:szCs w:val="20"/>
        </w:rPr>
        <w:t xml:space="preserve"> a loss recognition event for the Company’s life interest-sensitive products, as well as to certain run-off business. This loss recognition event caused an acceleration of DAC amortization on the life interest-sensitive products and an increase in the prem</w:t>
      </w:r>
      <w:r>
        <w:rPr>
          <w:rFonts w:eastAsia="Times New Roman"/>
          <w:color w:val="000000"/>
          <w:sz w:val="20"/>
          <w:szCs w:val="20"/>
        </w:rPr>
        <w:t>ium deficiency reserve on the run-off business in the first quarter of 2020.</w:t>
      </w:r>
    </w:p>
    <w:p w:rsidR="00000000" w:rsidRDefault="00E54EC0">
      <w:pPr>
        <w:jc w:val="both"/>
        <w:divId w:val="556551312"/>
        <w:rPr>
          <w:rFonts w:eastAsia="Times New Roman"/>
        </w:rPr>
      </w:pPr>
      <w:r>
        <w:rPr>
          <w:rFonts w:eastAsia="Times New Roman"/>
          <w:b/>
          <w:bCs/>
          <w:i/>
          <w:iCs/>
          <w:color w:val="000000"/>
          <w:sz w:val="20"/>
          <w:szCs w:val="20"/>
        </w:rPr>
        <w:t>Impact of Assumption Updates</w:t>
      </w:r>
    </w:p>
    <w:p w:rsidR="00000000" w:rsidRDefault="00E54EC0">
      <w:pPr>
        <w:divId w:val="1488521320"/>
        <w:rPr>
          <w:rFonts w:eastAsia="Times New Roman"/>
        </w:rPr>
      </w:pPr>
      <w:r>
        <w:rPr>
          <w:rFonts w:eastAsia="Times New Roman"/>
          <w:color w:val="000000"/>
          <w:sz w:val="20"/>
          <w:szCs w:val="20"/>
        </w:rPr>
        <w:t>The net impact of assumption changes during 2022 decreased policy charges and fee income by $23 million, decreased policyholders’ benefits by $243 mil</w:t>
      </w:r>
      <w:r>
        <w:rPr>
          <w:rFonts w:eastAsia="Times New Roman"/>
          <w:color w:val="000000"/>
          <w:sz w:val="20"/>
          <w:szCs w:val="20"/>
        </w:rPr>
        <w:t>lion, increased interest credited to policyholder account balances by $1 million, decreased net derivative gains by $80 million and decreased amortization of DAC by $43 million. This resulted in an increase in income (loss) from operations, before income t</w:t>
      </w:r>
      <w:r>
        <w:rPr>
          <w:rFonts w:eastAsia="Times New Roman"/>
          <w:color w:val="000000"/>
          <w:sz w:val="20"/>
          <w:szCs w:val="20"/>
        </w:rPr>
        <w:t xml:space="preserve">axes of $182 million and increased net income (loss) by $144 million. </w:t>
      </w:r>
    </w:p>
    <w:p w:rsidR="00000000" w:rsidRDefault="00E54EC0">
      <w:pPr>
        <w:divId w:val="2002734031"/>
        <w:rPr>
          <w:rFonts w:eastAsia="Times New Roman"/>
        </w:rPr>
      </w:pPr>
      <w:r>
        <w:rPr>
          <w:rFonts w:eastAsia="Times New Roman"/>
          <w:color w:val="000000"/>
          <w:sz w:val="20"/>
          <w:szCs w:val="20"/>
        </w:rPr>
        <w:t>The net impact of assumption changes during 2021 decreased policy charges and fee income by $28 million, decreased policyholders’ benefits by $62 million, increased net derivative losse</w:t>
      </w:r>
      <w:r>
        <w:rPr>
          <w:rFonts w:eastAsia="Times New Roman"/>
          <w:color w:val="000000"/>
          <w:sz w:val="20"/>
          <w:szCs w:val="20"/>
        </w:rPr>
        <w:t>s by $200 million and decreased amortization of DAC by $58 million. This resulted in a decrease in income (loss) from operations, before income taxes of $108 million and decreased net income (loss) by $85 million. As part of this annual update completed as</w:t>
      </w:r>
      <w:r>
        <w:rPr>
          <w:rFonts w:eastAsia="Times New Roman"/>
          <w:color w:val="000000"/>
          <w:sz w:val="20"/>
          <w:szCs w:val="20"/>
        </w:rPr>
        <w:t xml:space="preserve"> of September 30, 2021, the reference interest rate utilized in our GAAP fair value calculations was updated from the LIBOR swap curve to the US Treasury curve, which represents a reasonable proxy of the cost of funding the derivative positions backing our</w:t>
      </w:r>
      <w:r>
        <w:rPr>
          <w:rFonts w:eastAsia="Times New Roman"/>
          <w:color w:val="000000"/>
          <w:sz w:val="20"/>
          <w:szCs w:val="20"/>
        </w:rPr>
        <w:t xml:space="preserve"> GMxB liabilities. Concurrently, our GAAP fair value liability risk margins were increased. which when considered with the change from LIBOR, resulted in an immaterial impact to overall valuation as our view regarding market participant pricing of our guar</w:t>
      </w:r>
      <w:r>
        <w:rPr>
          <w:rFonts w:eastAsia="Times New Roman"/>
          <w:color w:val="000000"/>
          <w:sz w:val="20"/>
          <w:szCs w:val="20"/>
        </w:rPr>
        <w:t xml:space="preserve">antees has not changed at the time of this update. </w:t>
      </w:r>
    </w:p>
    <w:p w:rsidR="00000000" w:rsidRDefault="00E54EC0">
      <w:pPr>
        <w:divId w:val="1461654918"/>
        <w:rPr>
          <w:rFonts w:eastAsia="Times New Roman"/>
        </w:rPr>
      </w:pPr>
      <w:r>
        <w:rPr>
          <w:rFonts w:eastAsia="Times New Roman"/>
          <w:color w:val="000000"/>
          <w:sz w:val="20"/>
          <w:szCs w:val="20"/>
        </w:rPr>
        <w:t>The net impact of assumption changes during 2020 was an increase in policy charges and fee income of $23 million, increased policyholders’ benefits by $1.6 billion, decreased interest credited to policyho</w:t>
      </w:r>
      <w:r>
        <w:rPr>
          <w:rFonts w:eastAsia="Times New Roman"/>
          <w:color w:val="000000"/>
          <w:sz w:val="20"/>
          <w:szCs w:val="20"/>
        </w:rPr>
        <w:t>lders’ account balances by $1 million, increased net derivative gains by $112 million and increased amortization of DAC by $1.1 billion. This resulted in a decrease in income (loss) from operations, before income taxes of $2.6 billion and decreased net inc</w:t>
      </w:r>
      <w:r>
        <w:rPr>
          <w:rFonts w:eastAsia="Times New Roman"/>
          <w:color w:val="000000"/>
          <w:sz w:val="20"/>
          <w:szCs w:val="20"/>
        </w:rPr>
        <w:t xml:space="preserve">ome (loss) by $2.0 billion. </w:t>
      </w:r>
    </w:p>
    <w:p w:rsidR="00000000" w:rsidRDefault="00E54EC0">
      <w:pPr>
        <w:jc w:val="both"/>
        <w:divId w:val="897595352"/>
        <w:rPr>
          <w:rFonts w:eastAsia="Times New Roman"/>
        </w:rPr>
      </w:pPr>
      <w:r>
        <w:rPr>
          <w:rFonts w:eastAsia="Times New Roman"/>
          <w:b/>
          <w:bCs/>
          <w:i/>
          <w:iCs/>
          <w:color w:val="000000"/>
          <w:sz w:val="20"/>
          <w:szCs w:val="20"/>
        </w:rPr>
        <w:t>Model Changes</w:t>
      </w:r>
    </w:p>
    <w:p w:rsidR="00000000" w:rsidRDefault="00E54EC0">
      <w:pPr>
        <w:divId w:val="1786534237"/>
        <w:rPr>
          <w:rFonts w:eastAsia="Times New Roman"/>
        </w:rPr>
      </w:pPr>
      <w:r>
        <w:rPr>
          <w:rFonts w:eastAsia="Times New Roman"/>
          <w:color w:val="000000"/>
          <w:sz w:val="20"/>
          <w:szCs w:val="20"/>
        </w:rPr>
        <w:t xml:space="preserve">There were no material model changes in 2022 and 2021. </w:t>
      </w:r>
    </w:p>
    <w:p w:rsidR="00000000" w:rsidRDefault="00E54EC0">
      <w:pPr>
        <w:jc w:val="center"/>
        <w:divId w:val="1561600736"/>
        <w:rPr>
          <w:rFonts w:eastAsia="Times New Roman"/>
        </w:rPr>
      </w:pPr>
      <w:r>
        <w:rPr>
          <w:rFonts w:eastAsia="Times New Roman"/>
          <w:color w:val="000000"/>
          <w:sz w:val="20"/>
          <w:szCs w:val="20"/>
        </w:rPr>
        <w:t>155</w:t>
      </w:r>
    </w:p>
    <w:p w:rsidR="00000000" w:rsidRDefault="00E54EC0">
      <w:pPr>
        <w:rPr>
          <w:rFonts w:eastAsia="Times New Roman"/>
        </w:rPr>
      </w:pPr>
      <w:r>
        <w:rPr>
          <w:rFonts w:eastAsia="Times New Roman"/>
        </w:rPr>
        <w:pict>
          <v:rect id="_x0000_i1193" style="width:0;height:1.5pt" o:hralign="center" o:hrstd="t" o:hr="t" fillcolor="#a0a0a0" stroked="f"/>
        </w:pict>
      </w:r>
    </w:p>
    <w:p w:rsidR="00000000" w:rsidRDefault="00E54EC0">
      <w:pPr>
        <w:divId w:val="2039817340"/>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875850557"/>
        <w:rPr>
          <w:rFonts w:eastAsia="Times New Roman"/>
        </w:rPr>
      </w:pPr>
      <w:r>
        <w:rPr>
          <w:rFonts w:eastAsia="Times New Roman"/>
          <w:b/>
          <w:bCs/>
          <w:color w:val="000000"/>
          <w:sz w:val="20"/>
          <w:szCs w:val="20"/>
        </w:rPr>
        <w:t>EQUITABLE HOLDINGS, INC.</w:t>
      </w:r>
    </w:p>
    <w:p w:rsidR="00000000" w:rsidRDefault="00E54EC0">
      <w:pPr>
        <w:jc w:val="center"/>
        <w:divId w:val="875850557"/>
        <w:rPr>
          <w:rFonts w:eastAsia="Times New Roman"/>
        </w:rPr>
      </w:pPr>
      <w:r>
        <w:rPr>
          <w:rFonts w:eastAsia="Times New Roman"/>
          <w:b/>
          <w:bCs/>
          <w:color w:val="000000"/>
          <w:sz w:val="20"/>
          <w:szCs w:val="20"/>
        </w:rPr>
        <w:t>Notes to Consolidated Financial Statements, Continued</w:t>
      </w:r>
    </w:p>
    <w:p w:rsidR="00000000" w:rsidRDefault="00E54EC0">
      <w:pPr>
        <w:jc w:val="center"/>
        <w:divId w:val="875850557"/>
        <w:rPr>
          <w:rFonts w:eastAsia="Times New Roman"/>
        </w:rPr>
      </w:pPr>
    </w:p>
    <w:p w:rsidR="00000000" w:rsidRDefault="00E54EC0">
      <w:pPr>
        <w:divId w:val="628972455"/>
        <w:rPr>
          <w:rFonts w:eastAsia="Times New Roman"/>
        </w:rPr>
      </w:pPr>
      <w:r>
        <w:rPr>
          <w:rFonts w:eastAsia="Times New Roman"/>
          <w:color w:val="000000"/>
          <w:sz w:val="20"/>
          <w:szCs w:val="20"/>
        </w:rPr>
        <w:t>In the first quarter of 2020, the Company adopted a new economic scenario generator to calculate the fair value of the GMIB reinsurance contract asset and GMxB derivative features liability, eliminating reliance on AXA for scenario production. The new econ</w:t>
      </w:r>
      <w:r>
        <w:rPr>
          <w:rFonts w:eastAsia="Times New Roman"/>
          <w:color w:val="000000"/>
          <w:sz w:val="20"/>
          <w:szCs w:val="20"/>
        </w:rPr>
        <w:t>omic scenario generator allows for a tighter calibration of U.S. indices, better reflecting the Company’s actual portfolio. The net impact of the new economic scenario generator resulted in an increase in income (loss) from continuing operations, before in</w:t>
      </w:r>
      <w:r>
        <w:rPr>
          <w:rFonts w:eastAsia="Times New Roman"/>
          <w:color w:val="000000"/>
          <w:sz w:val="20"/>
          <w:szCs w:val="20"/>
        </w:rPr>
        <w:t>come taxes of $201 million, and an increase to net income (loss) of $159 million during 2020.</w:t>
      </w:r>
    </w:p>
    <w:p w:rsidR="00000000" w:rsidRDefault="00E54EC0">
      <w:pPr>
        <w:divId w:val="769357904"/>
        <w:rPr>
          <w:rFonts w:eastAsia="Times New Roman"/>
        </w:rPr>
      </w:pPr>
    </w:p>
    <w:p w:rsidR="00000000" w:rsidRDefault="00E54EC0">
      <w:pPr>
        <w:divId w:val="1039664134"/>
        <w:rPr>
          <w:rFonts w:eastAsia="Times New Roman"/>
        </w:rPr>
      </w:pPr>
      <w:r>
        <w:rPr>
          <w:rFonts w:eastAsia="Times New Roman"/>
          <w:b/>
          <w:bCs/>
          <w:color w:val="000000"/>
          <w:sz w:val="20"/>
          <w:szCs w:val="20"/>
        </w:rPr>
        <w:t>3)    INVESTMENTS</w:t>
      </w:r>
    </w:p>
    <w:p w:rsidR="00000000" w:rsidRDefault="00E54EC0">
      <w:pPr>
        <w:divId w:val="1418942372"/>
        <w:rPr>
          <w:rFonts w:eastAsia="Times New Roman"/>
        </w:rPr>
      </w:pPr>
      <w:r>
        <w:rPr>
          <w:rFonts w:eastAsia="Times New Roman"/>
          <w:color w:val="000000"/>
          <w:sz w:val="20"/>
          <w:szCs w:val="20"/>
          <w:u w:val="single"/>
        </w:rPr>
        <w:t>Fixed Maturities AFS</w:t>
      </w:r>
    </w:p>
    <w:p w:rsidR="00000000" w:rsidRDefault="00E54EC0">
      <w:pPr>
        <w:divId w:val="1135953757"/>
        <w:rPr>
          <w:rFonts w:eastAsia="Times New Roman"/>
        </w:rPr>
      </w:pPr>
      <w:r>
        <w:rPr>
          <w:rFonts w:eastAsia="Times New Roman"/>
          <w:color w:val="000000"/>
          <w:sz w:val="20"/>
          <w:szCs w:val="20"/>
        </w:rPr>
        <w:t>The components of fair value and amortized cost for fixed maturities classified as AFS on the consolidated balance sheets</w:t>
      </w:r>
      <w:r>
        <w:rPr>
          <w:rFonts w:eastAsia="Times New Roman"/>
          <w:color w:val="000000"/>
          <w:sz w:val="20"/>
          <w:szCs w:val="20"/>
        </w:rPr>
        <w:t xml:space="preserve"> excludes accrued interest receivable because the Company elected to present accrued interest receivable within other assets. Accrued interest receivable on AFS fixed maturities as of December 31, 2022 and 2021 was $591 million and $506 million, respective</w:t>
      </w:r>
      <w:r>
        <w:rPr>
          <w:rFonts w:eastAsia="Times New Roman"/>
          <w:color w:val="000000"/>
          <w:sz w:val="20"/>
          <w:szCs w:val="20"/>
        </w:rPr>
        <w:t>ly. There was no accrued interest written off for AFS fixed maturities for the years ended December 31, 2022, 2021 and 2020.</w:t>
      </w:r>
    </w:p>
    <w:p w:rsidR="00000000" w:rsidRDefault="00E54EC0">
      <w:pPr>
        <w:divId w:val="1238708988"/>
        <w:rPr>
          <w:rFonts w:eastAsia="Times New Roman"/>
        </w:rPr>
      </w:pPr>
      <w:r>
        <w:rPr>
          <w:rFonts w:eastAsia="Times New Roman"/>
          <w:color w:val="000000"/>
          <w:sz w:val="20"/>
          <w:szCs w:val="20"/>
        </w:rPr>
        <w:t xml:space="preserve">The following tables provide information relating to the Company’s fixed maturities classified as AFS. </w:t>
      </w:r>
    </w:p>
    <w:p w:rsidR="00000000" w:rsidRDefault="00E54EC0">
      <w:pPr>
        <w:jc w:val="center"/>
        <w:rPr>
          <w:rFonts w:eastAsia="Times New Roman"/>
        </w:rPr>
      </w:pPr>
      <w:r>
        <w:rPr>
          <w:rFonts w:eastAsia="Times New Roman"/>
          <w:b/>
          <w:bCs/>
          <w:color w:val="000000"/>
          <w:sz w:val="20"/>
          <w:szCs w:val="20"/>
        </w:rPr>
        <w:t>AFS Fixed Maturities by Cla</w:t>
      </w:r>
      <w:r>
        <w:rPr>
          <w:rFonts w:eastAsia="Times New Roman"/>
          <w:b/>
          <w:bCs/>
          <w:color w:val="000000"/>
          <w:sz w:val="20"/>
          <w:szCs w:val="20"/>
        </w:rPr>
        <w:t>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3588"/>
        <w:gridCol w:w="38"/>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E54EC0">
            <w:pPr>
              <w:jc w:val="center"/>
              <w:rPr>
                <w:rFonts w:eastAsia="Times New Roman"/>
              </w:rPr>
            </w:pPr>
          </w:p>
        </w:tc>
        <w:tc>
          <w:tcPr>
            <w:tcW w:w="23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divId w:val="1932473835"/>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divId w:val="80763681"/>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divId w:val="710106351"/>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50,712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43,571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divId w:val="1918437872"/>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divId w:val="1430158564"/>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at December 31,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72,991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9,712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63,361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December 31, 2021: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divId w:val="1471940883"/>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divId w:val="539704917"/>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50,172 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52,511 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divId w:val="1661808942"/>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divId w:val="940380937"/>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divId w:val="1003514927"/>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at December 31,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73,429 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78,216 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270"/>
        <w:divId w:val="746532205"/>
        <w:rPr>
          <w:rFonts w:eastAsia="Times New Roman"/>
        </w:rPr>
      </w:pPr>
      <w:r>
        <w:rPr>
          <w:rFonts w:eastAsia="Times New Roman"/>
          <w:color w:val="000000"/>
          <w:sz w:val="18"/>
          <w:szCs w:val="18"/>
        </w:rPr>
        <w:t>______________</w:t>
      </w:r>
    </w:p>
    <w:p w:rsidR="00000000" w:rsidRDefault="00E54EC0">
      <w:pPr>
        <w:ind w:hanging="270"/>
        <w:divId w:val="1197422872"/>
        <w:rPr>
          <w:rFonts w:eastAsia="Times New Roman"/>
        </w:rPr>
      </w:pPr>
      <w:r>
        <w:rPr>
          <w:rFonts w:eastAsia="Times New Roman"/>
          <w:color w:val="000000"/>
          <w:sz w:val="18"/>
          <w:szCs w:val="18"/>
        </w:rPr>
        <w:t>(1)Corporate fixed maturities include both public and private issues.</w:t>
      </w:r>
    </w:p>
    <w:p w:rsidR="00000000" w:rsidRDefault="00E54EC0">
      <w:pPr>
        <w:ind w:hanging="270"/>
        <w:divId w:val="1824858212"/>
        <w:rPr>
          <w:rFonts w:eastAsia="Times New Roman"/>
        </w:rPr>
      </w:pPr>
      <w:r>
        <w:rPr>
          <w:rFonts w:eastAsia="Times New Roman"/>
          <w:color w:val="000000"/>
          <w:sz w:val="18"/>
          <w:szCs w:val="18"/>
        </w:rPr>
        <w:t>(2)Includes publicly traded agency pass-through securities and collateralized obligations.</w:t>
      </w:r>
    </w:p>
    <w:p w:rsidR="00000000" w:rsidRDefault="00E54EC0">
      <w:pPr>
        <w:ind w:hanging="270"/>
        <w:divId w:val="1022051238"/>
        <w:rPr>
          <w:rFonts w:eastAsia="Times New Roman"/>
        </w:rPr>
      </w:pPr>
      <w:r>
        <w:rPr>
          <w:rFonts w:eastAsia="Times New Roman"/>
          <w:color w:val="000000"/>
          <w:sz w:val="18"/>
          <w:szCs w:val="18"/>
        </w:rPr>
        <w:t>(3)Includes credit-tranched securities collateralized by sub-prime mo</w:t>
      </w:r>
      <w:r>
        <w:rPr>
          <w:rFonts w:eastAsia="Times New Roman"/>
          <w:color w:val="000000"/>
          <w:sz w:val="18"/>
          <w:szCs w:val="18"/>
        </w:rPr>
        <w:t>rtgages, credit risk transfer securities and other asset types.</w:t>
      </w:r>
    </w:p>
    <w:p w:rsidR="00000000" w:rsidRDefault="00E54EC0">
      <w:pPr>
        <w:divId w:val="1366636687"/>
        <w:rPr>
          <w:rFonts w:eastAsia="Times New Roman"/>
        </w:rPr>
      </w:pPr>
      <w:r>
        <w:rPr>
          <w:rFonts w:eastAsia="Times New Roman"/>
          <w:color w:val="000000"/>
          <w:sz w:val="20"/>
          <w:szCs w:val="20"/>
        </w:rPr>
        <w:t>The contractual maturities of AFS fixed maturities as of December 31, 2022 are shown in the table below. Bonds not due at a single maturity date have been included in the table in the final ye</w:t>
      </w:r>
      <w:r>
        <w:rPr>
          <w:rFonts w:eastAsia="Times New Roman"/>
          <w:color w:val="000000"/>
          <w:sz w:val="20"/>
          <w:szCs w:val="20"/>
        </w:rPr>
        <w:t>ar of maturity. Actual maturities may differ from contractual maturities because borrowers may have the right to call or prepay obligations with or without call or prepayment penalties.</w:t>
      </w:r>
    </w:p>
    <w:p w:rsidR="00000000" w:rsidRDefault="00E54EC0">
      <w:pPr>
        <w:jc w:val="center"/>
        <w:divId w:val="1654335694"/>
        <w:rPr>
          <w:rFonts w:eastAsia="Times New Roman"/>
        </w:rPr>
      </w:pPr>
      <w:r>
        <w:rPr>
          <w:rFonts w:eastAsia="Times New Roman"/>
          <w:color w:val="000000"/>
          <w:sz w:val="20"/>
          <w:szCs w:val="20"/>
        </w:rPr>
        <w:t>156</w:t>
      </w:r>
    </w:p>
    <w:p w:rsidR="00000000" w:rsidRDefault="00E54EC0">
      <w:pPr>
        <w:rPr>
          <w:rFonts w:eastAsia="Times New Roman"/>
        </w:rPr>
      </w:pPr>
      <w:r>
        <w:rPr>
          <w:rFonts w:eastAsia="Times New Roman"/>
        </w:rPr>
        <w:pict>
          <v:rect id="_x0000_i1194" style="width:0;height:1.5pt" o:hralign="center" o:hrstd="t" o:hr="t" fillcolor="#a0a0a0" stroked="f"/>
        </w:pict>
      </w:r>
    </w:p>
    <w:p w:rsidR="00000000" w:rsidRDefault="00E54EC0">
      <w:pPr>
        <w:divId w:val="2086493433"/>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419525626"/>
        <w:rPr>
          <w:rFonts w:eastAsia="Times New Roman"/>
        </w:rPr>
      </w:pPr>
      <w:r>
        <w:rPr>
          <w:rFonts w:eastAsia="Times New Roman"/>
          <w:b/>
          <w:bCs/>
          <w:color w:val="000000"/>
          <w:sz w:val="20"/>
          <w:szCs w:val="20"/>
        </w:rPr>
        <w:t>EQUITABLE HOLDINGS, INC.</w:t>
      </w:r>
    </w:p>
    <w:p w:rsidR="00000000" w:rsidRDefault="00E54EC0">
      <w:pPr>
        <w:jc w:val="center"/>
        <w:divId w:val="1419525626"/>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419525626"/>
        <w:rPr>
          <w:rFonts w:eastAsia="Times New Roman"/>
        </w:rPr>
      </w:pPr>
    </w:p>
    <w:p w:rsidR="00000000" w:rsidRDefault="00E54EC0">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3"/>
        <w:gridCol w:w="39"/>
        <w:gridCol w:w="121"/>
        <w:gridCol w:w="994"/>
        <w:gridCol w:w="36"/>
        <w:gridCol w:w="36"/>
        <w:gridCol w:w="36"/>
        <w:gridCol w:w="36"/>
        <w:gridCol w:w="121"/>
        <w:gridCol w:w="958"/>
        <w:gridCol w:w="36"/>
      </w:tblGrid>
      <w:tr w:rsidR="00000000">
        <w:trPr>
          <w:divId w:val="1010722427"/>
          <w:jc w:val="center"/>
        </w:trPr>
        <w:tc>
          <w:tcPr>
            <w:tcW w:w="50" w:type="pct"/>
            <w:vAlign w:val="center"/>
            <w:hideMark/>
          </w:tcPr>
          <w:p w:rsidR="00000000" w:rsidRDefault="00E54EC0">
            <w:pPr>
              <w:jc w:val="center"/>
              <w:rPr>
                <w:rFonts w:eastAsia="Times New Roman"/>
              </w:rPr>
            </w:pPr>
          </w:p>
        </w:tc>
        <w:tc>
          <w:tcPr>
            <w:tcW w:w="35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10722427"/>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r>
      <w:tr w:rsidR="00000000">
        <w:trPr>
          <w:divId w:val="1010722427"/>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10722427"/>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10722427"/>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10722427"/>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59,336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50,771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3,823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10722427"/>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at December 31, 2022</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72,967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63,361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270"/>
        <w:divId w:val="561984773"/>
        <w:rPr>
          <w:rFonts w:eastAsia="Times New Roman"/>
        </w:rPr>
      </w:pPr>
    </w:p>
    <w:p w:rsidR="00000000" w:rsidRDefault="00E54EC0">
      <w:pPr>
        <w:divId w:val="653097936"/>
        <w:rPr>
          <w:rFonts w:eastAsia="Times New Roman"/>
        </w:rPr>
      </w:pPr>
      <w:r>
        <w:rPr>
          <w:rFonts w:eastAsia="Times New Roman"/>
          <w:color w:val="000000"/>
          <w:sz w:val="20"/>
          <w:szCs w:val="20"/>
        </w:rPr>
        <w:t>The following table shows proceeds from sales, gross gains (losses) from sales and allowance for credit losses for AFS fixed maturities for the years ended December 31, 2022, 2021 and 2020:</w:t>
      </w:r>
    </w:p>
    <w:p w:rsidR="00000000" w:rsidRDefault="00E54EC0">
      <w:pPr>
        <w:jc w:val="center"/>
        <w:rPr>
          <w:rFonts w:eastAsia="Times New Roman"/>
        </w:rPr>
      </w:pPr>
      <w:r>
        <w:rPr>
          <w:rFonts w:eastAsia="Times New Roman"/>
          <w:b/>
          <w:bCs/>
          <w:color w:val="000000"/>
          <w:sz w:val="20"/>
          <w:szCs w:val="20"/>
        </w:rPr>
        <w:t>Proceeds from Sales, Gross Gains (Losses) from Sales and Allowance</w:t>
      </w:r>
      <w:r>
        <w:rPr>
          <w:rFonts w:eastAsia="Times New Roman"/>
          <w:b/>
          <w:bCs/>
          <w:color w:val="000000"/>
          <w:sz w:val="20"/>
          <w:szCs w:val="20"/>
        </w:rPr>
        <w:t xml:space="preserve"> for Credit and Intent to Sell Losses for AFS Fixed Maturities</w:t>
      </w:r>
    </w:p>
    <w:p w:rsidR="00000000" w:rsidRDefault="00E54EC0">
      <w:pPr>
        <w:divId w:val="93787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603"/>
        <w:gridCol w:w="37"/>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439447448"/>
        </w:trPr>
        <w:tc>
          <w:tcPr>
            <w:tcW w:w="50" w:type="pct"/>
            <w:vAlign w:val="center"/>
            <w:hideMark/>
          </w:tcPr>
          <w:p w:rsidR="00000000" w:rsidRDefault="00E54EC0">
            <w:pPr>
              <w:rPr>
                <w:rFonts w:eastAsia="Times New Roman"/>
              </w:rPr>
            </w:pPr>
          </w:p>
        </w:tc>
        <w:tc>
          <w:tcPr>
            <w:tcW w:w="349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39447448"/>
        </w:trPr>
        <w:tc>
          <w:tcPr>
            <w:tcW w:w="0" w:type="auto"/>
            <w:gridSpan w:val="3"/>
            <w:tcMar>
              <w:top w:w="30" w:type="dxa"/>
              <w:left w:w="20" w:type="dxa"/>
              <w:bottom w:w="30" w:type="dxa"/>
              <w:right w:w="20" w:type="dxa"/>
            </w:tcMar>
            <w:vAlign w:val="bottom"/>
            <w:hideMark/>
          </w:tcPr>
          <w:p w:rsidR="00000000" w:rsidRDefault="00E54EC0">
            <w:pPr>
              <w:spacing w:after="100"/>
              <w:divId w:val="560599504"/>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39447448"/>
        </w:trPr>
        <w:tc>
          <w:tcPr>
            <w:tcW w:w="0" w:type="auto"/>
            <w:gridSpan w:val="3"/>
            <w:tcMar>
              <w:top w:w="30" w:type="dxa"/>
              <w:left w:w="20" w:type="dxa"/>
              <w:bottom w:w="30" w:type="dxa"/>
              <w:right w:w="20" w:type="dxa"/>
            </w:tcMar>
            <w:vAlign w:val="bottom"/>
            <w:hideMark/>
          </w:tcPr>
          <w:p w:rsidR="00000000" w:rsidRDefault="00E54EC0">
            <w:pPr>
              <w:spacing w:after="100"/>
              <w:divId w:val="1541016251"/>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439447448"/>
        </w:trPr>
        <w:tc>
          <w:tcPr>
            <w:tcW w:w="0" w:type="auto"/>
            <w:gridSpan w:val="3"/>
            <w:tcMar>
              <w:top w:w="30" w:type="dxa"/>
              <w:left w:w="20" w:type="dxa"/>
              <w:bottom w:w="30" w:type="dxa"/>
              <w:right w:w="20" w:type="dxa"/>
            </w:tcMar>
            <w:vAlign w:val="bottom"/>
            <w:hideMark/>
          </w:tcPr>
          <w:p w:rsidR="00000000" w:rsidRDefault="00E54EC0">
            <w:pPr>
              <w:spacing w:after="100"/>
              <w:divId w:val="720640745"/>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39447448"/>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Proceeds from sales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11,932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27,363 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12,903 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394474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Gross gains on sales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394474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Gross losses on sales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39447448"/>
          <w:trHeight w:val="24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394474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(increase) decrease in Allowance for Credit and Intent to Sell losses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(247)</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834808773"/>
        <w:rPr>
          <w:rFonts w:eastAsia="Times New Roman"/>
        </w:rPr>
      </w:pPr>
      <w:r>
        <w:rPr>
          <w:rFonts w:eastAsia="Times New Roman"/>
          <w:color w:val="000000"/>
          <w:sz w:val="18"/>
          <w:szCs w:val="18"/>
        </w:rPr>
        <w:t>______________</w:t>
      </w:r>
    </w:p>
    <w:p w:rsidR="00000000" w:rsidRDefault="00E54EC0">
      <w:pPr>
        <w:ind w:hanging="270"/>
        <w:divId w:val="869607949"/>
        <w:rPr>
          <w:rFonts w:eastAsia="Times New Roman"/>
        </w:rPr>
      </w:pPr>
      <w:r>
        <w:rPr>
          <w:rFonts w:eastAsia="Times New Roman"/>
          <w:color w:val="000000"/>
          <w:sz w:val="18"/>
          <w:szCs w:val="18"/>
        </w:rPr>
        <w:t>(1)Amounts as of year ended December 31, 2022 reflect an impairment on AFS Securi</w:t>
      </w:r>
      <w:r>
        <w:rPr>
          <w:rFonts w:eastAsia="Times New Roman"/>
          <w:color w:val="000000"/>
          <w:sz w:val="18"/>
          <w:szCs w:val="18"/>
        </w:rPr>
        <w:t xml:space="preserve">ties of $245 million related to the Global Atlantic Transaction. See Note 11 of the Notes to these Consolidated Financial Statements for additional details on the Global Atlantic Transaction. </w:t>
      </w:r>
    </w:p>
    <w:p w:rsidR="00000000" w:rsidRDefault="00E54EC0">
      <w:pPr>
        <w:ind w:hanging="360"/>
        <w:divId w:val="1195535287"/>
        <w:rPr>
          <w:rFonts w:eastAsia="Times New Roman"/>
        </w:rPr>
      </w:pPr>
    </w:p>
    <w:p w:rsidR="00000000" w:rsidRDefault="00E54EC0">
      <w:pPr>
        <w:divId w:val="2133282965"/>
        <w:rPr>
          <w:rFonts w:eastAsia="Times New Roman"/>
        </w:rPr>
      </w:pPr>
      <w:r>
        <w:rPr>
          <w:rFonts w:eastAsia="Times New Roman"/>
          <w:color w:val="000000"/>
          <w:sz w:val="20"/>
          <w:szCs w:val="20"/>
        </w:rPr>
        <w:t>The following table sets forth the amount of credit loss impa</w:t>
      </w:r>
      <w:r>
        <w:rPr>
          <w:rFonts w:eastAsia="Times New Roman"/>
          <w:color w:val="000000"/>
          <w:sz w:val="20"/>
          <w:szCs w:val="20"/>
        </w:rPr>
        <w:t>irments on AFS fixed maturities held by the Company at the dates indicated and the corresponding changes in such amounts.</w:t>
      </w:r>
    </w:p>
    <w:p w:rsidR="00000000" w:rsidRDefault="00E54EC0">
      <w:pPr>
        <w:jc w:val="center"/>
        <w:divId w:val="1917550476"/>
        <w:rPr>
          <w:rFonts w:eastAsia="Times New Roman"/>
        </w:rPr>
      </w:pPr>
    </w:p>
    <w:p w:rsidR="00000000" w:rsidRDefault="00E54EC0">
      <w:pPr>
        <w:jc w:val="center"/>
        <w:divId w:val="1917550476"/>
        <w:rPr>
          <w:rFonts w:eastAsia="Times New Roman"/>
        </w:rPr>
      </w:pPr>
      <w:r>
        <w:rPr>
          <w:rFonts w:eastAsia="Times New Roman"/>
          <w:color w:val="000000"/>
          <w:sz w:val="20"/>
          <w:szCs w:val="20"/>
        </w:rPr>
        <w:t>157</w:t>
      </w:r>
    </w:p>
    <w:p w:rsidR="00000000" w:rsidRDefault="00E54EC0">
      <w:pPr>
        <w:rPr>
          <w:rFonts w:eastAsia="Times New Roman"/>
        </w:rPr>
      </w:pPr>
      <w:r>
        <w:rPr>
          <w:rFonts w:eastAsia="Times New Roman"/>
        </w:rPr>
        <w:pict>
          <v:rect id="_x0000_i1195" style="width:0;height:1.5pt" o:hralign="center" o:hrstd="t" o:hr="t" fillcolor="#a0a0a0" stroked="f"/>
        </w:pict>
      </w:r>
    </w:p>
    <w:p w:rsidR="00000000" w:rsidRDefault="00E54EC0">
      <w:pPr>
        <w:divId w:val="976373760"/>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300572664"/>
        <w:rPr>
          <w:rFonts w:eastAsia="Times New Roman"/>
        </w:rPr>
      </w:pPr>
      <w:r>
        <w:rPr>
          <w:rFonts w:eastAsia="Times New Roman"/>
          <w:b/>
          <w:bCs/>
          <w:color w:val="000000"/>
          <w:sz w:val="20"/>
          <w:szCs w:val="20"/>
        </w:rPr>
        <w:t>EQUITABLE HOLDINGS, INC.</w:t>
      </w:r>
    </w:p>
    <w:p w:rsidR="00000000" w:rsidRDefault="00E54EC0">
      <w:pPr>
        <w:jc w:val="center"/>
        <w:divId w:val="1300572664"/>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300572664"/>
        <w:rPr>
          <w:rFonts w:eastAsia="Times New Roman"/>
        </w:rPr>
      </w:pPr>
    </w:p>
    <w:p w:rsidR="00000000" w:rsidRDefault="00E54EC0">
      <w:pPr>
        <w:jc w:val="center"/>
        <w:rPr>
          <w:rFonts w:eastAsia="Times New Roman"/>
        </w:rPr>
      </w:pPr>
      <w:r>
        <w:rPr>
          <w:rFonts w:eastAsia="Times New Roman"/>
          <w:b/>
          <w:bCs/>
          <w:color w:val="000000"/>
          <w:sz w:val="20"/>
          <w:szCs w:val="20"/>
        </w:rPr>
        <w:t>AFS Fixed Maturities - Credit and Intent to Sell Loss Impairme</w:t>
      </w:r>
      <w:r>
        <w:rPr>
          <w:rFonts w:eastAsia="Times New Roman"/>
          <w:b/>
          <w:bCs/>
          <w:color w:val="000000"/>
          <w:sz w:val="20"/>
          <w:szCs w:val="20"/>
        </w:rPr>
        <w:t>nts</w:t>
      </w:r>
    </w:p>
    <w:p w:rsidR="00000000" w:rsidRDefault="00E54E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626"/>
        <w:gridCol w:w="37"/>
        <w:gridCol w:w="36"/>
        <w:gridCol w:w="36"/>
        <w:gridCol w:w="36"/>
        <w:gridCol w:w="36"/>
        <w:gridCol w:w="121"/>
        <w:gridCol w:w="592"/>
        <w:gridCol w:w="36"/>
        <w:gridCol w:w="36"/>
        <w:gridCol w:w="36"/>
        <w:gridCol w:w="36"/>
        <w:gridCol w:w="120"/>
        <w:gridCol w:w="592"/>
        <w:gridCol w:w="36"/>
        <w:gridCol w:w="36"/>
        <w:gridCol w:w="36"/>
        <w:gridCol w:w="36"/>
        <w:gridCol w:w="120"/>
        <w:gridCol w:w="592"/>
        <w:gridCol w:w="36"/>
      </w:tblGrid>
      <w:tr w:rsidR="00000000">
        <w:trPr>
          <w:divId w:val="532184122"/>
        </w:trPr>
        <w:tc>
          <w:tcPr>
            <w:tcW w:w="50" w:type="pct"/>
            <w:vAlign w:val="center"/>
            <w:hideMark/>
          </w:tcPr>
          <w:p w:rsidR="00000000" w:rsidRDefault="00E54EC0">
            <w:pPr>
              <w:jc w:val="center"/>
              <w:rPr>
                <w:rFonts w:eastAsia="Times New Roman"/>
              </w:rPr>
            </w:pPr>
          </w:p>
        </w:tc>
        <w:tc>
          <w:tcPr>
            <w:tcW w:w="35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3218412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53218412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53218412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32184122"/>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Recognized impairments on securities impaired to fair value this period (1)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Additional credit losses this period on securities previously impaired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Increases due to passage of time on previously recorded credit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3218412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at December 31,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2069526590"/>
        <w:rPr>
          <w:rFonts w:eastAsia="Times New Roman"/>
        </w:rPr>
      </w:pPr>
      <w:r>
        <w:rPr>
          <w:rFonts w:eastAsia="Times New Roman"/>
          <w:color w:val="000000"/>
          <w:sz w:val="18"/>
          <w:szCs w:val="18"/>
        </w:rPr>
        <w:t>______________</w:t>
      </w:r>
    </w:p>
    <w:p w:rsidR="00000000" w:rsidRDefault="00E54EC0">
      <w:pPr>
        <w:ind w:hanging="270"/>
        <w:divId w:val="45878436"/>
        <w:rPr>
          <w:rFonts w:eastAsia="Times New Roman"/>
        </w:rPr>
      </w:pPr>
      <w:r>
        <w:rPr>
          <w:rFonts w:eastAsia="Times New Roman"/>
          <w:color w:val="000000"/>
          <w:sz w:val="18"/>
          <w:szCs w:val="18"/>
        </w:rPr>
        <w:t xml:space="preserve">(1)Represents circumstances where the Company determined in the current period that it intends to </w:t>
      </w:r>
      <w:r>
        <w:rPr>
          <w:rFonts w:eastAsia="Times New Roman"/>
          <w:color w:val="000000"/>
          <w:sz w:val="18"/>
          <w:szCs w:val="18"/>
        </w:rPr>
        <w:t>sell the security, or it is more likely than not that it will be required to sell the security before recovery of the security’s amortized cost.</w:t>
      </w:r>
    </w:p>
    <w:p w:rsidR="00000000" w:rsidRDefault="00E54EC0">
      <w:pPr>
        <w:ind w:hanging="270"/>
        <w:divId w:val="2045981768"/>
        <w:rPr>
          <w:rFonts w:eastAsia="Times New Roman"/>
        </w:rPr>
      </w:pPr>
      <w:r>
        <w:rPr>
          <w:rFonts w:eastAsia="Times New Roman"/>
          <w:color w:val="000000"/>
          <w:sz w:val="18"/>
          <w:szCs w:val="18"/>
        </w:rPr>
        <w:t xml:space="preserve">(2)Amounts for year ended December 31, 2022 reflect an impairment on AFS Securities of $245 million related to </w:t>
      </w:r>
      <w:r>
        <w:rPr>
          <w:rFonts w:eastAsia="Times New Roman"/>
          <w:color w:val="000000"/>
          <w:sz w:val="18"/>
          <w:szCs w:val="18"/>
        </w:rPr>
        <w:t xml:space="preserve">the Global Atlantic Transaction. See Note 11 of the Notes to these Consolidated Financial Statements for additional details on the Global Atlantic Transaction. </w:t>
      </w:r>
    </w:p>
    <w:p w:rsidR="00000000" w:rsidRDefault="00E54EC0">
      <w:pPr>
        <w:divId w:val="1048189219"/>
        <w:rPr>
          <w:rFonts w:eastAsia="Times New Roman"/>
        </w:rPr>
      </w:pPr>
      <w:r>
        <w:rPr>
          <w:rFonts w:eastAsia="Times New Roman"/>
          <w:color w:val="000000"/>
          <w:sz w:val="20"/>
          <w:szCs w:val="20"/>
        </w:rPr>
        <w:t>The tables that follow below present a roll-forward of net unrealized investment gains (losses)</w:t>
      </w:r>
      <w:r>
        <w:rPr>
          <w:rFonts w:eastAsia="Times New Roman"/>
          <w:color w:val="000000"/>
          <w:sz w:val="20"/>
          <w:szCs w:val="20"/>
        </w:rPr>
        <w:t xml:space="preserve"> recognized in AOCI.</w:t>
      </w:r>
    </w:p>
    <w:p w:rsidR="00000000" w:rsidRDefault="00E54EC0">
      <w:pPr>
        <w:jc w:val="center"/>
        <w:divId w:val="1551306675"/>
        <w:rPr>
          <w:rFonts w:eastAsia="Times New Roman"/>
        </w:rPr>
      </w:pPr>
      <w:r>
        <w:rPr>
          <w:rFonts w:eastAsia="Times New Roman"/>
          <w:b/>
          <w:bCs/>
          <w:color w:val="000000"/>
          <w:sz w:val="20"/>
          <w:szCs w:val="20"/>
          <w:shd w:val="clear" w:color="auto" w:fill="FFFFFF"/>
        </w:rPr>
        <w:t>Net Unrealized Gains (Losses) on AFS Fixed Maturities</w:t>
      </w:r>
    </w:p>
    <w:tbl>
      <w:tblPr>
        <w:tblW w:w="4970" w:type="pct"/>
        <w:tblCellMar>
          <w:top w:w="15" w:type="dxa"/>
          <w:left w:w="15" w:type="dxa"/>
          <w:bottom w:w="15" w:type="dxa"/>
          <w:right w:w="15" w:type="dxa"/>
        </w:tblCellMar>
        <w:tblLook w:val="04A0" w:firstRow="1" w:lastRow="0" w:firstColumn="1" w:lastColumn="0" w:noHBand="0" w:noVBand="1"/>
      </w:tblPr>
      <w:tblGrid>
        <w:gridCol w:w="39"/>
        <w:gridCol w:w="3128"/>
        <w:gridCol w:w="38"/>
        <w:gridCol w:w="121"/>
        <w:gridCol w:w="782"/>
        <w:gridCol w:w="36"/>
        <w:gridCol w:w="36"/>
        <w:gridCol w:w="36"/>
        <w:gridCol w:w="36"/>
        <w:gridCol w:w="120"/>
        <w:gridCol w:w="618"/>
        <w:gridCol w:w="36"/>
        <w:gridCol w:w="36"/>
        <w:gridCol w:w="36"/>
        <w:gridCol w:w="36"/>
        <w:gridCol w:w="121"/>
        <w:gridCol w:w="917"/>
        <w:gridCol w:w="36"/>
        <w:gridCol w:w="36"/>
        <w:gridCol w:w="36"/>
        <w:gridCol w:w="36"/>
        <w:gridCol w:w="120"/>
        <w:gridCol w:w="584"/>
        <w:gridCol w:w="36"/>
        <w:gridCol w:w="36"/>
        <w:gridCol w:w="36"/>
        <w:gridCol w:w="36"/>
        <w:gridCol w:w="121"/>
        <w:gridCol w:w="935"/>
        <w:gridCol w:w="36"/>
      </w:tblGrid>
      <w:tr w:rsidR="00000000">
        <w:trPr>
          <w:divId w:val="2037776594"/>
        </w:trPr>
        <w:tc>
          <w:tcPr>
            <w:tcW w:w="50" w:type="pct"/>
            <w:vAlign w:val="center"/>
            <w:hideMark/>
          </w:tcPr>
          <w:p w:rsidR="00000000" w:rsidRDefault="00E54EC0">
            <w:pPr>
              <w:jc w:val="center"/>
              <w:rPr>
                <w:rFonts w:eastAsia="Times New Roman"/>
              </w:rPr>
            </w:pPr>
          </w:p>
        </w:tc>
        <w:tc>
          <w:tcPr>
            <w:tcW w:w="19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3777659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AOCI </w:t>
            </w:r>
            <w:r>
              <w:rPr>
                <w:rFonts w:eastAsia="Times New Roman"/>
                <w:b/>
                <w:bCs/>
                <w:color w:val="000000"/>
                <w:sz w:val="16"/>
                <w:szCs w:val="16"/>
              </w:rPr>
              <w:t>Gain (Loss) Related to Net Unrealized Investment Gains (Losses)</w:t>
            </w:r>
          </w:p>
        </w:tc>
      </w:tr>
      <w:tr w:rsidR="00000000">
        <w:trPr>
          <w:divId w:val="203777659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0377765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(782)</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(418)</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(757)</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2,852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(15,275)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(15,275)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3777659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37776594"/>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Balance, December 31,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(9,606)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Height w:val="30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377765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3777659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3777659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3777659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Impact of net unrealized investment gains (losses)</w:t>
            </w: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767 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544 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1,959 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2112119084"/>
        <w:rPr>
          <w:rFonts w:eastAsia="Times New Roman"/>
        </w:rPr>
      </w:pPr>
    </w:p>
    <w:p w:rsidR="00000000" w:rsidRDefault="00E54EC0">
      <w:pPr>
        <w:jc w:val="center"/>
        <w:divId w:val="2112119084"/>
        <w:rPr>
          <w:rFonts w:eastAsia="Times New Roman"/>
        </w:rPr>
      </w:pPr>
      <w:r>
        <w:rPr>
          <w:rFonts w:eastAsia="Times New Roman"/>
          <w:color w:val="000000"/>
          <w:sz w:val="20"/>
          <w:szCs w:val="20"/>
        </w:rPr>
        <w:t>158</w:t>
      </w:r>
    </w:p>
    <w:p w:rsidR="00000000" w:rsidRDefault="00E54EC0">
      <w:pPr>
        <w:rPr>
          <w:rFonts w:eastAsia="Times New Roman"/>
        </w:rPr>
      </w:pPr>
      <w:r>
        <w:rPr>
          <w:rFonts w:eastAsia="Times New Roman"/>
        </w:rPr>
        <w:pict>
          <v:rect id="_x0000_i1196" style="width:0;height:1.5pt" o:hralign="center" o:hrstd="t" o:hr="t" fillcolor="#a0a0a0" stroked="f"/>
        </w:pict>
      </w:r>
    </w:p>
    <w:p w:rsidR="00000000" w:rsidRDefault="00E54EC0">
      <w:pPr>
        <w:divId w:val="1094937601"/>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29591473"/>
        <w:rPr>
          <w:rFonts w:eastAsia="Times New Roman"/>
        </w:rPr>
      </w:pPr>
      <w:r>
        <w:rPr>
          <w:rFonts w:eastAsia="Times New Roman"/>
          <w:b/>
          <w:bCs/>
          <w:color w:val="000000"/>
          <w:sz w:val="20"/>
          <w:szCs w:val="20"/>
        </w:rPr>
        <w:t>EQUITABLE HOLDINGS, INC.</w:t>
      </w:r>
    </w:p>
    <w:p w:rsidR="00000000" w:rsidRDefault="00E54EC0">
      <w:pPr>
        <w:jc w:val="center"/>
        <w:divId w:val="129591473"/>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29591473"/>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3129"/>
        <w:gridCol w:w="37"/>
        <w:gridCol w:w="121"/>
        <w:gridCol w:w="782"/>
        <w:gridCol w:w="36"/>
        <w:gridCol w:w="36"/>
        <w:gridCol w:w="36"/>
        <w:gridCol w:w="36"/>
        <w:gridCol w:w="120"/>
        <w:gridCol w:w="619"/>
        <w:gridCol w:w="36"/>
        <w:gridCol w:w="36"/>
        <w:gridCol w:w="36"/>
        <w:gridCol w:w="36"/>
        <w:gridCol w:w="121"/>
        <w:gridCol w:w="917"/>
        <w:gridCol w:w="36"/>
        <w:gridCol w:w="36"/>
        <w:gridCol w:w="36"/>
        <w:gridCol w:w="36"/>
        <w:gridCol w:w="120"/>
        <w:gridCol w:w="584"/>
        <w:gridCol w:w="36"/>
        <w:gridCol w:w="36"/>
        <w:gridCol w:w="36"/>
        <w:gridCol w:w="36"/>
        <w:gridCol w:w="121"/>
        <w:gridCol w:w="935"/>
        <w:gridCol w:w="36"/>
      </w:tblGrid>
      <w:tr w:rsidR="00000000">
        <w:trPr>
          <w:divId w:val="2064057944"/>
        </w:trPr>
        <w:tc>
          <w:tcPr>
            <w:tcW w:w="50" w:type="pct"/>
            <w:vAlign w:val="center"/>
            <w:hideMark/>
          </w:tcPr>
          <w:p w:rsidR="00000000" w:rsidRDefault="00E54EC0">
            <w:pPr>
              <w:jc w:val="center"/>
              <w:rPr>
                <w:rFonts w:eastAsia="Times New Roman"/>
              </w:rPr>
            </w:pPr>
          </w:p>
        </w:tc>
        <w:tc>
          <w:tcPr>
            <w:tcW w:w="19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6405794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divId w:val="2064057944"/>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06405794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Height w:val="30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6405794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(894)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6405794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6405794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441607710"/>
        <w:rPr>
          <w:rFonts w:eastAsia="Times New Roman"/>
        </w:rPr>
      </w:pPr>
      <w:r>
        <w:rPr>
          <w:rFonts w:eastAsia="Times New Roman"/>
          <w:color w:val="000000"/>
          <w:sz w:val="18"/>
          <w:szCs w:val="18"/>
        </w:rPr>
        <w:t>_____________</w:t>
      </w:r>
    </w:p>
    <w:p w:rsidR="00000000" w:rsidRDefault="00E54EC0">
      <w:pPr>
        <w:ind w:hanging="360"/>
        <w:divId w:val="357782195"/>
        <w:rPr>
          <w:rFonts w:eastAsia="Times New Roman"/>
        </w:rPr>
      </w:pPr>
      <w:r>
        <w:rPr>
          <w:rFonts w:eastAsia="Times New Roman"/>
          <w:color w:val="000000"/>
          <w:sz w:val="18"/>
          <w:szCs w:val="18"/>
        </w:rPr>
        <w:t>(1) Reflects a Deferred Tax Asset valuation allowance of $1.6 billion</w:t>
      </w:r>
      <w:r>
        <w:rPr>
          <w:rFonts w:eastAsia="Times New Roman"/>
          <w:color w:val="000000"/>
          <w:sz w:val="20"/>
          <w:szCs w:val="20"/>
        </w:rPr>
        <w:t xml:space="preserve"> </w:t>
      </w:r>
      <w:r>
        <w:rPr>
          <w:rFonts w:eastAsia="Times New Roman"/>
          <w:color w:val="000000"/>
          <w:sz w:val="18"/>
          <w:szCs w:val="18"/>
        </w:rPr>
        <w:t>recorded during the fourth quarter of 2022. See Note 1</w:t>
      </w:r>
      <w:r>
        <w:rPr>
          <w:rFonts w:eastAsia="Times New Roman"/>
          <w:color w:val="000000"/>
          <w:sz w:val="18"/>
          <w:szCs w:val="18"/>
        </w:rPr>
        <w:t>6</w:t>
      </w:r>
      <w:r>
        <w:rPr>
          <w:rFonts w:eastAsia="Times New Roman"/>
          <w:color w:val="000000"/>
          <w:sz w:val="20"/>
          <w:szCs w:val="20"/>
        </w:rPr>
        <w:t xml:space="preserve"> o</w:t>
      </w:r>
      <w:r>
        <w:rPr>
          <w:rFonts w:eastAsia="Times New Roman"/>
          <w:color w:val="000000"/>
          <w:sz w:val="18"/>
          <w:szCs w:val="18"/>
        </w:rPr>
        <w:t xml:space="preserve">f the Notes to these Consolidated Financial Statements for additional details. </w:t>
      </w:r>
    </w:p>
    <w:p w:rsidR="00000000" w:rsidRDefault="00E54EC0">
      <w:pPr>
        <w:ind w:hanging="360"/>
        <w:divId w:val="961764581"/>
        <w:rPr>
          <w:rFonts w:eastAsia="Times New Roman"/>
        </w:rPr>
      </w:pPr>
      <w:r>
        <w:rPr>
          <w:rFonts w:eastAsia="Times New Roman"/>
          <w:color w:val="000000"/>
          <w:sz w:val="18"/>
          <w:szCs w:val="18"/>
        </w:rPr>
        <w:t>(2) Effective January 1, 2021, certain preferred stock have been reclassified to other equity investments.</w:t>
      </w:r>
    </w:p>
    <w:p w:rsidR="00000000" w:rsidRDefault="00E54EC0">
      <w:pPr>
        <w:divId w:val="1306354437"/>
        <w:rPr>
          <w:rFonts w:eastAsia="Times New Roman"/>
        </w:rPr>
      </w:pPr>
      <w:r>
        <w:rPr>
          <w:rFonts w:eastAsia="Times New Roman"/>
          <w:color w:val="000000"/>
          <w:sz w:val="20"/>
          <w:szCs w:val="20"/>
        </w:rPr>
        <w:t>The following tables disclose the fair values and gross unrealized</w:t>
      </w:r>
      <w:r>
        <w:rPr>
          <w:rFonts w:eastAsia="Times New Roman"/>
          <w:color w:val="000000"/>
          <w:sz w:val="20"/>
          <w:szCs w:val="20"/>
        </w:rPr>
        <w:t xml:space="preserve"> losses of the 5,209 issues as of December 31, 2022 and the 2,060 issues as of December 31, 2021 that are not deemed to have credit losses, aggregated by investment category and length of time that individual securities have been in a continuous unrealized</w:t>
      </w:r>
      <w:r>
        <w:rPr>
          <w:rFonts w:eastAsia="Times New Roman"/>
          <w:color w:val="000000"/>
          <w:sz w:val="20"/>
          <w:szCs w:val="20"/>
        </w:rPr>
        <w:t xml:space="preserve"> loss position for the specified periods at the dates indicated. </w:t>
      </w:r>
    </w:p>
    <w:p w:rsidR="00000000" w:rsidRDefault="00E54EC0">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0"/>
        <w:gridCol w:w="2854"/>
        <w:gridCol w:w="39"/>
        <w:gridCol w:w="120"/>
        <w:gridCol w:w="600"/>
        <w:gridCol w:w="36"/>
        <w:gridCol w:w="36"/>
        <w:gridCol w:w="36"/>
        <w:gridCol w:w="36"/>
        <w:gridCol w:w="121"/>
        <w:gridCol w:w="698"/>
        <w:gridCol w:w="36"/>
        <w:gridCol w:w="36"/>
        <w:gridCol w:w="36"/>
        <w:gridCol w:w="36"/>
        <w:gridCol w:w="120"/>
        <w:gridCol w:w="600"/>
        <w:gridCol w:w="36"/>
        <w:gridCol w:w="36"/>
        <w:gridCol w:w="36"/>
        <w:gridCol w:w="36"/>
        <w:gridCol w:w="121"/>
        <w:gridCol w:w="698"/>
        <w:gridCol w:w="36"/>
        <w:gridCol w:w="36"/>
        <w:gridCol w:w="36"/>
        <w:gridCol w:w="36"/>
        <w:gridCol w:w="120"/>
        <w:gridCol w:w="600"/>
        <w:gridCol w:w="36"/>
        <w:gridCol w:w="36"/>
        <w:gridCol w:w="36"/>
        <w:gridCol w:w="36"/>
        <w:gridCol w:w="121"/>
        <w:gridCol w:w="698"/>
        <w:gridCol w:w="36"/>
      </w:tblGrid>
      <w:tr w:rsidR="00000000">
        <w:trPr>
          <w:divId w:val="324481570"/>
        </w:trPr>
        <w:tc>
          <w:tcPr>
            <w:tcW w:w="50" w:type="pct"/>
            <w:vAlign w:val="center"/>
            <w:hideMark/>
          </w:tcPr>
          <w:p w:rsidR="00000000" w:rsidRDefault="00E54EC0">
            <w:pPr>
              <w:jc w:val="center"/>
              <w:rPr>
                <w:rFonts w:eastAsia="Times New Roman"/>
              </w:rPr>
            </w:pPr>
          </w:p>
        </w:tc>
        <w:tc>
          <w:tcPr>
            <w:tcW w:w="18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2448157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32448157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r>
      <w:tr w:rsidR="00000000">
        <w:trPr>
          <w:divId w:val="32448157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2448157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24481570"/>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24481570"/>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24,580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24481570"/>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at December 31,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39,169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20,816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59,985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9,710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24481570"/>
          <w:trHeight w:val="22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1290361546"/>
        <w:rPr>
          <w:rFonts w:eastAsia="Times New Roman"/>
        </w:rPr>
      </w:pPr>
    </w:p>
    <w:p w:rsidR="00000000" w:rsidRDefault="00E54EC0">
      <w:pPr>
        <w:jc w:val="center"/>
        <w:divId w:val="1290361546"/>
        <w:rPr>
          <w:rFonts w:eastAsia="Times New Roman"/>
        </w:rPr>
      </w:pPr>
      <w:r>
        <w:rPr>
          <w:rFonts w:eastAsia="Times New Roman"/>
          <w:color w:val="000000"/>
          <w:sz w:val="20"/>
          <w:szCs w:val="20"/>
        </w:rPr>
        <w:t>159</w:t>
      </w:r>
    </w:p>
    <w:p w:rsidR="00000000" w:rsidRDefault="00E54EC0">
      <w:pPr>
        <w:rPr>
          <w:rFonts w:eastAsia="Times New Roman"/>
        </w:rPr>
      </w:pPr>
      <w:r>
        <w:rPr>
          <w:rFonts w:eastAsia="Times New Roman"/>
        </w:rPr>
        <w:pict>
          <v:rect id="_x0000_i1197" style="width:0;height:1.5pt" o:hralign="center" o:hrstd="t" o:hr="t" fillcolor="#a0a0a0" stroked="f"/>
        </w:pict>
      </w:r>
    </w:p>
    <w:p w:rsidR="00000000" w:rsidRDefault="00E54EC0">
      <w:pPr>
        <w:divId w:val="1001200477"/>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451437639"/>
        <w:rPr>
          <w:rFonts w:eastAsia="Times New Roman"/>
        </w:rPr>
      </w:pPr>
      <w:r>
        <w:rPr>
          <w:rFonts w:eastAsia="Times New Roman"/>
          <w:b/>
          <w:bCs/>
          <w:color w:val="000000"/>
          <w:sz w:val="20"/>
          <w:szCs w:val="20"/>
        </w:rPr>
        <w:t>EQUITABLE HOLDINGS, INC.</w:t>
      </w:r>
    </w:p>
    <w:p w:rsidR="00000000" w:rsidRDefault="00E54EC0">
      <w:pPr>
        <w:jc w:val="center"/>
        <w:divId w:val="1451437639"/>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4514376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866"/>
        <w:gridCol w:w="40"/>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90663592"/>
        </w:trPr>
        <w:tc>
          <w:tcPr>
            <w:tcW w:w="50" w:type="pct"/>
            <w:vAlign w:val="center"/>
            <w:hideMark/>
          </w:tcPr>
          <w:p w:rsidR="00000000" w:rsidRDefault="00E54EC0">
            <w:pPr>
              <w:jc w:val="center"/>
              <w:rPr>
                <w:rFonts w:eastAsia="Times New Roman"/>
              </w:rPr>
            </w:pPr>
          </w:p>
        </w:tc>
        <w:tc>
          <w:tcPr>
            <w:tcW w:w="18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9066359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Less Than 12 </w:t>
            </w:r>
            <w:r>
              <w:rPr>
                <w:rFonts w:eastAsia="Times New Roman"/>
                <w:b/>
                <w:bCs/>
                <w:color w:val="000000"/>
                <w:sz w:val="16"/>
                <w:szCs w:val="16"/>
              </w:rPr>
              <w:t>Months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9066359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Unrealized Losses</w:t>
            </w:r>
          </w:p>
        </w:tc>
      </w:tr>
      <w:tr w:rsidR="00000000">
        <w:trPr>
          <w:divId w:val="9066359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9066359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December 31, 2021: </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066359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0663592"/>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12,204 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0663592"/>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066359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at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17,425 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166088656"/>
        <w:rPr>
          <w:rFonts w:eastAsia="Times New Roman"/>
        </w:rPr>
      </w:pPr>
    </w:p>
    <w:p w:rsidR="00000000" w:rsidRDefault="00E54EC0">
      <w:pPr>
        <w:divId w:val="1205023999"/>
        <w:rPr>
          <w:rFonts w:eastAsia="Times New Roman"/>
        </w:rPr>
      </w:pPr>
      <w:r>
        <w:rPr>
          <w:rFonts w:eastAsia="Times New Roman"/>
          <w:color w:val="000000"/>
          <w:sz w:val="20"/>
          <w:szCs w:val="20"/>
        </w:rPr>
        <w:t>The Company’s investments in fixed maturities do not include concentrations of credit risk of any single issuer greater than 10% of the consolidate</w:t>
      </w:r>
      <w:r>
        <w:rPr>
          <w:rFonts w:eastAsia="Times New Roman"/>
          <w:color w:val="000000"/>
          <w:sz w:val="20"/>
          <w:szCs w:val="20"/>
        </w:rPr>
        <w:t>d equity of the Company, other than securities of the U.S. government, U.S. government agencies, and certain securities guaranteed by the U.S. government. The Company maintains a diversified portfolio of corporate securities across industries and issuers a</w:t>
      </w:r>
      <w:r>
        <w:rPr>
          <w:rFonts w:eastAsia="Times New Roman"/>
          <w:color w:val="000000"/>
          <w:sz w:val="20"/>
          <w:szCs w:val="20"/>
        </w:rPr>
        <w:t>nd does not have exposure to any single issuer in excess of 0.8% of total corporate securities. The largest exposures to a single issuer of corporate securities held as of December 31, 2022 and 2021 were $327 million and $322 million, respectively, represe</w:t>
      </w:r>
      <w:r>
        <w:rPr>
          <w:rFonts w:eastAsia="Times New Roman"/>
          <w:color w:val="000000"/>
          <w:sz w:val="20"/>
          <w:szCs w:val="20"/>
        </w:rPr>
        <w:t>nting 9.6% and 2.5% of the consolidated equity of the Company.</w:t>
      </w:r>
    </w:p>
    <w:p w:rsidR="00000000" w:rsidRDefault="00E54EC0">
      <w:pPr>
        <w:divId w:val="1034188122"/>
        <w:rPr>
          <w:rFonts w:eastAsia="Times New Roman"/>
        </w:rPr>
      </w:pPr>
      <w:r>
        <w:rPr>
          <w:rFonts w:eastAsia="Times New Roman"/>
          <w:color w:val="000000"/>
          <w:sz w:val="20"/>
          <w:szCs w:val="20"/>
        </w:rPr>
        <w:t>Corporate high yield securities, consisting primarily of public high yield bonds, are classified as other than investment grade by the various rating agencies, i.e., a rating below Baa3/BBB- or the NAIC designation of 3 (medium investment grade), 4 or 5 (b</w:t>
      </w:r>
      <w:r>
        <w:rPr>
          <w:rFonts w:eastAsia="Times New Roman"/>
          <w:color w:val="000000"/>
          <w:sz w:val="20"/>
          <w:szCs w:val="20"/>
        </w:rPr>
        <w:t>elow investment grade) or 6 (in or near default). As of December 31, 2022 and 2021, respectively, approximately $2.9 billion and $2.9 billion, or 4.0% and 3.9%, of the $73.0 billion and $73.4 billion aggregate amortized cost of fixed maturities held by the</w:t>
      </w:r>
      <w:r>
        <w:rPr>
          <w:rFonts w:eastAsia="Times New Roman"/>
          <w:color w:val="000000"/>
          <w:sz w:val="20"/>
          <w:szCs w:val="20"/>
        </w:rPr>
        <w:t xml:space="preserve"> Company were considered to be other than investment grade. These securities had gross unrealized losses of $208 million and $18 million as of December 31, 2022 and 2021, respectively.</w:t>
      </w:r>
    </w:p>
    <w:p w:rsidR="00000000" w:rsidRDefault="00E54EC0">
      <w:pPr>
        <w:divId w:val="913319260"/>
        <w:rPr>
          <w:rFonts w:eastAsia="Times New Roman"/>
        </w:rPr>
      </w:pPr>
      <w:r>
        <w:rPr>
          <w:rFonts w:eastAsia="Times New Roman"/>
          <w:color w:val="000000"/>
          <w:sz w:val="20"/>
          <w:szCs w:val="20"/>
        </w:rPr>
        <w:t>As of December 31, 2022 and 2021, respectively, the $5.3 billion and $9</w:t>
      </w:r>
      <w:r>
        <w:rPr>
          <w:rFonts w:eastAsia="Times New Roman"/>
          <w:color w:val="000000"/>
          <w:sz w:val="20"/>
          <w:szCs w:val="20"/>
        </w:rPr>
        <w:t>1 million of gross unrealized losses of twelve months or more were primarily concentrated in corporate securities. In accordance with the policy described in Note 2 of the Notes to these Consolidated Financial Statements, the Company concluded that an adju</w:t>
      </w:r>
      <w:r>
        <w:rPr>
          <w:rFonts w:eastAsia="Times New Roman"/>
          <w:color w:val="000000"/>
          <w:sz w:val="20"/>
          <w:szCs w:val="20"/>
        </w:rPr>
        <w:t>stment to the allowance for credit losses for these securities was not warranted at either December 31, 2022 or December 31, 2021. As of December 31, 2022 and 2021, the Company did not intend to sell the securities nor will it likely be required to dispose</w:t>
      </w:r>
      <w:r>
        <w:rPr>
          <w:rFonts w:eastAsia="Times New Roman"/>
          <w:color w:val="000000"/>
          <w:sz w:val="20"/>
          <w:szCs w:val="20"/>
        </w:rPr>
        <w:t xml:space="preserve"> of the securities before the anticipated recovery of their remaining amortized cost basis.</w:t>
      </w:r>
    </w:p>
    <w:p w:rsidR="00000000" w:rsidRDefault="00E54EC0">
      <w:pPr>
        <w:divId w:val="1494956329"/>
        <w:rPr>
          <w:rFonts w:eastAsia="Times New Roman"/>
        </w:rPr>
      </w:pPr>
      <w:r>
        <w:rPr>
          <w:rFonts w:eastAsia="Times New Roman"/>
          <w:color w:val="000000"/>
          <w:sz w:val="20"/>
          <w:szCs w:val="20"/>
        </w:rPr>
        <w:t xml:space="preserve">Based on the Company’s evaluation both qualitatively and quantitatively of the drivers of the decline in fair value of fixed maturity securities as of December 31, </w:t>
      </w:r>
      <w:r>
        <w:rPr>
          <w:rFonts w:eastAsia="Times New Roman"/>
          <w:color w:val="000000"/>
          <w:sz w:val="20"/>
          <w:szCs w:val="20"/>
        </w:rPr>
        <w:t>2022, the Company determined that the unrealized loss was primarily due to increases in interest rates and credit spreads.</w:t>
      </w:r>
    </w:p>
    <w:p w:rsidR="00000000" w:rsidRDefault="00E54EC0">
      <w:pPr>
        <w:divId w:val="1835991739"/>
        <w:rPr>
          <w:rFonts w:eastAsia="Times New Roman"/>
        </w:rPr>
      </w:pPr>
      <w:r>
        <w:rPr>
          <w:rFonts w:eastAsia="Times New Roman"/>
          <w:color w:val="000000"/>
          <w:sz w:val="20"/>
          <w:szCs w:val="20"/>
          <w:u w:val="single"/>
        </w:rPr>
        <w:t>Mortgage Loans on Real Estate</w:t>
      </w:r>
    </w:p>
    <w:p w:rsidR="00000000" w:rsidRDefault="00E54EC0">
      <w:pPr>
        <w:divId w:val="1257010192"/>
        <w:rPr>
          <w:rFonts w:eastAsia="Times New Roman"/>
        </w:rPr>
      </w:pPr>
      <w:r>
        <w:rPr>
          <w:rFonts w:eastAsia="Times New Roman"/>
          <w:color w:val="000000"/>
          <w:sz w:val="20"/>
          <w:szCs w:val="20"/>
        </w:rPr>
        <w:t>Accrued interest receivable on commercial and agricultural mortgage loans as of December 31, 2022 and 2</w:t>
      </w:r>
      <w:r>
        <w:rPr>
          <w:rFonts w:eastAsia="Times New Roman"/>
          <w:color w:val="000000"/>
          <w:sz w:val="20"/>
          <w:szCs w:val="20"/>
        </w:rPr>
        <w:t>021 was $71 million and $57 million, respectively. There was no accrued interest written off for commercial and agricultural mortgage loans for the years ended December 31, 2022 and 2021.</w:t>
      </w:r>
    </w:p>
    <w:p w:rsidR="00000000" w:rsidRDefault="00E54EC0">
      <w:pPr>
        <w:divId w:val="791166414"/>
        <w:rPr>
          <w:rFonts w:eastAsia="Times New Roman"/>
        </w:rPr>
      </w:pPr>
      <w:r>
        <w:rPr>
          <w:rFonts w:eastAsia="Times New Roman"/>
          <w:color w:val="000000"/>
          <w:sz w:val="20"/>
          <w:szCs w:val="20"/>
        </w:rPr>
        <w:t>As of December 31, 2022, the Company had no loans for which foreclos</w:t>
      </w:r>
      <w:r>
        <w:rPr>
          <w:rFonts w:eastAsia="Times New Roman"/>
          <w:color w:val="000000"/>
          <w:sz w:val="20"/>
          <w:szCs w:val="20"/>
        </w:rPr>
        <w:t>ure was probable included within the individually assessed mortgage loans, and accordingly had no associated allowance for credit losses.</w:t>
      </w:r>
    </w:p>
    <w:p w:rsidR="00000000" w:rsidRDefault="00E54EC0">
      <w:pPr>
        <w:divId w:val="402138998"/>
        <w:rPr>
          <w:rFonts w:eastAsia="Times New Roman"/>
        </w:rPr>
      </w:pPr>
      <w:r>
        <w:rPr>
          <w:rFonts w:eastAsia="Times New Roman"/>
          <w:color w:val="000000"/>
          <w:sz w:val="20"/>
          <w:szCs w:val="20"/>
          <w:u w:val="single"/>
        </w:rPr>
        <w:t>Allowance for Credit Losses on Mortgage Loans</w:t>
      </w:r>
    </w:p>
    <w:p w:rsidR="00000000" w:rsidRDefault="00E54EC0">
      <w:pPr>
        <w:divId w:val="2003700234"/>
        <w:rPr>
          <w:rFonts w:eastAsia="Times New Roman"/>
        </w:rPr>
      </w:pPr>
      <w:r>
        <w:rPr>
          <w:rFonts w:eastAsia="Times New Roman"/>
          <w:color w:val="000000"/>
          <w:sz w:val="20"/>
          <w:szCs w:val="20"/>
        </w:rPr>
        <w:t>The change in the allowance for credit losses for commercial mortgage lo</w:t>
      </w:r>
      <w:r>
        <w:rPr>
          <w:rFonts w:eastAsia="Times New Roman"/>
          <w:color w:val="000000"/>
          <w:sz w:val="20"/>
          <w:szCs w:val="20"/>
        </w:rPr>
        <w:t>ans and agricultural mortgage loans during the years ended December 31, 2022 and 2021 were as follows:</w:t>
      </w:r>
    </w:p>
    <w:p w:rsidR="00000000" w:rsidRDefault="00E54EC0">
      <w:pPr>
        <w:jc w:val="center"/>
        <w:divId w:val="794252521"/>
        <w:rPr>
          <w:rFonts w:eastAsia="Times New Roman"/>
        </w:rPr>
      </w:pPr>
    </w:p>
    <w:p w:rsidR="00000000" w:rsidRDefault="00E54EC0">
      <w:pPr>
        <w:jc w:val="center"/>
        <w:divId w:val="794252521"/>
        <w:rPr>
          <w:rFonts w:eastAsia="Times New Roman"/>
        </w:rPr>
      </w:pPr>
      <w:r>
        <w:rPr>
          <w:rFonts w:eastAsia="Times New Roman"/>
          <w:color w:val="000000"/>
          <w:sz w:val="20"/>
          <w:szCs w:val="20"/>
        </w:rPr>
        <w:t>160</w:t>
      </w:r>
    </w:p>
    <w:p w:rsidR="00000000" w:rsidRDefault="00E54EC0">
      <w:pPr>
        <w:rPr>
          <w:rFonts w:eastAsia="Times New Roman"/>
        </w:rPr>
      </w:pPr>
      <w:r>
        <w:rPr>
          <w:rFonts w:eastAsia="Times New Roman"/>
        </w:rPr>
        <w:pict>
          <v:rect id="_x0000_i1198" style="width:0;height:1.5pt" o:hralign="center" o:hrstd="t" o:hr="t" fillcolor="#a0a0a0" stroked="f"/>
        </w:pict>
      </w:r>
    </w:p>
    <w:p w:rsidR="00000000" w:rsidRDefault="00E54EC0">
      <w:pPr>
        <w:divId w:val="736971979"/>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900022648"/>
        <w:rPr>
          <w:rFonts w:eastAsia="Times New Roman"/>
        </w:rPr>
      </w:pPr>
      <w:r>
        <w:rPr>
          <w:rFonts w:eastAsia="Times New Roman"/>
          <w:b/>
          <w:bCs/>
          <w:color w:val="000000"/>
          <w:sz w:val="20"/>
          <w:szCs w:val="20"/>
        </w:rPr>
        <w:t>EQUITABLE HOLDINGS, INC.</w:t>
      </w:r>
    </w:p>
    <w:p w:rsidR="00000000" w:rsidRDefault="00E54EC0">
      <w:pPr>
        <w:jc w:val="center"/>
        <w:divId w:val="900022648"/>
        <w:rPr>
          <w:rFonts w:eastAsia="Times New Roman"/>
        </w:rPr>
      </w:pPr>
      <w:r>
        <w:rPr>
          <w:rFonts w:eastAsia="Times New Roman"/>
          <w:b/>
          <w:bCs/>
          <w:color w:val="000000"/>
          <w:sz w:val="20"/>
          <w:szCs w:val="20"/>
        </w:rPr>
        <w:t>Notes to</w:t>
      </w:r>
      <w:r>
        <w:rPr>
          <w:rFonts w:eastAsia="Times New Roman"/>
          <w:b/>
          <w:bCs/>
          <w:color w:val="000000"/>
          <w:sz w:val="20"/>
          <w:szCs w:val="20"/>
        </w:rPr>
        <w:t xml:space="preserve"> Consolidated Financial Statements, Continued</w:t>
      </w:r>
    </w:p>
    <w:p w:rsidR="00000000" w:rsidRDefault="00E54EC0">
      <w:pPr>
        <w:jc w:val="center"/>
        <w:divId w:val="90002264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619"/>
        <w:gridCol w:w="37"/>
        <w:gridCol w:w="36"/>
        <w:gridCol w:w="36"/>
        <w:gridCol w:w="36"/>
        <w:gridCol w:w="36"/>
        <w:gridCol w:w="120"/>
        <w:gridCol w:w="558"/>
        <w:gridCol w:w="36"/>
        <w:gridCol w:w="36"/>
        <w:gridCol w:w="36"/>
        <w:gridCol w:w="36"/>
        <w:gridCol w:w="120"/>
        <w:gridCol w:w="558"/>
        <w:gridCol w:w="36"/>
        <w:gridCol w:w="36"/>
        <w:gridCol w:w="36"/>
        <w:gridCol w:w="36"/>
        <w:gridCol w:w="120"/>
        <w:gridCol w:w="560"/>
        <w:gridCol w:w="36"/>
        <w:gridCol w:w="36"/>
        <w:gridCol w:w="36"/>
        <w:gridCol w:w="36"/>
      </w:tblGrid>
      <w:tr w:rsidR="00000000">
        <w:trPr>
          <w:divId w:val="2071272603"/>
        </w:trPr>
        <w:tc>
          <w:tcPr>
            <w:tcW w:w="50" w:type="pct"/>
            <w:vAlign w:val="center"/>
            <w:hideMark/>
          </w:tcPr>
          <w:p w:rsidR="00000000" w:rsidRDefault="00E54EC0">
            <w:pPr>
              <w:jc w:val="center"/>
              <w:rPr>
                <w:rFonts w:eastAsia="Times New Roman"/>
              </w:rPr>
            </w:pPr>
          </w:p>
        </w:tc>
        <w:tc>
          <w:tcPr>
            <w:tcW w:w="35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E54EC0">
            <w:pPr>
              <w:spacing w:after="100"/>
              <w:jc w:val="center"/>
              <w:rPr>
                <w:rFonts w:eastAsia="Times New Roman"/>
              </w:rPr>
            </w:pPr>
          </w:p>
        </w:tc>
      </w:tr>
      <w:tr w:rsidR="00000000">
        <w:trPr>
          <w:divId w:val="207127260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Allowance for credit losses on mortgage loans: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Commercial mortgages: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 xml:space="preserve">Balance, beginning of period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change in allowance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 xml:space="preserve">Agricultural mortgages: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change in allowance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2071272603"/>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7127260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allowance for credit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bl>
    <w:p w:rsidR="00000000" w:rsidRDefault="00E54EC0">
      <w:pPr>
        <w:ind w:hanging="360"/>
        <w:divId w:val="2110658022"/>
        <w:rPr>
          <w:rFonts w:eastAsia="Times New Roman"/>
        </w:rPr>
      </w:pPr>
    </w:p>
    <w:p w:rsidR="00000000" w:rsidRDefault="00E54EC0">
      <w:pPr>
        <w:divId w:val="687872666"/>
        <w:rPr>
          <w:rFonts w:eastAsia="Times New Roman"/>
        </w:rPr>
      </w:pPr>
      <w:r>
        <w:rPr>
          <w:rFonts w:eastAsia="Times New Roman"/>
          <w:color w:val="000000"/>
          <w:sz w:val="20"/>
          <w:szCs w:val="20"/>
        </w:rPr>
        <w:t>The change in the allowance for credit losses is attributable to:</w:t>
      </w:r>
    </w:p>
    <w:p w:rsidR="00000000" w:rsidRDefault="00E54EC0">
      <w:pPr>
        <w:ind w:hanging="360"/>
        <w:jc w:val="both"/>
        <w:divId w:val="550700550"/>
        <w:rPr>
          <w:rFonts w:eastAsia="Times New Roman"/>
        </w:rPr>
      </w:pPr>
      <w:r>
        <w:rPr>
          <w:rFonts w:eastAsia="Times New Roman"/>
          <w:color w:val="000000"/>
          <w:sz w:val="20"/>
          <w:szCs w:val="20"/>
        </w:rPr>
        <w:t>•increases/decreases in the loan balance due to new originations, maturing mort</w:t>
      </w:r>
      <w:r>
        <w:rPr>
          <w:rFonts w:eastAsia="Times New Roman"/>
          <w:color w:val="000000"/>
          <w:sz w:val="20"/>
          <w:szCs w:val="20"/>
        </w:rPr>
        <w:t>gages, and loan amortization; and</w:t>
      </w:r>
    </w:p>
    <w:p w:rsidR="00000000" w:rsidRDefault="00E54EC0">
      <w:pPr>
        <w:ind w:hanging="360"/>
        <w:divId w:val="671834799"/>
        <w:rPr>
          <w:rFonts w:eastAsia="Times New Roman"/>
        </w:rPr>
      </w:pPr>
      <w:r>
        <w:rPr>
          <w:rFonts w:eastAsia="Times New Roman"/>
          <w:color w:val="000000"/>
          <w:sz w:val="20"/>
          <w:szCs w:val="20"/>
        </w:rPr>
        <w:t>•changes in credit quality and economic assumptions.</w:t>
      </w:r>
    </w:p>
    <w:p w:rsidR="00000000" w:rsidRDefault="00E54EC0">
      <w:pPr>
        <w:divId w:val="2043087311"/>
        <w:rPr>
          <w:rFonts w:eastAsia="Times New Roman"/>
        </w:rPr>
      </w:pPr>
      <w:r>
        <w:rPr>
          <w:rFonts w:eastAsia="Times New Roman"/>
          <w:color w:val="000000"/>
          <w:sz w:val="20"/>
          <w:szCs w:val="20"/>
          <w:u w:val="single"/>
        </w:rPr>
        <w:t>Credit Quality Information</w:t>
      </w:r>
    </w:p>
    <w:p w:rsidR="00000000" w:rsidRDefault="00E54EC0">
      <w:pPr>
        <w:divId w:val="1615406173"/>
        <w:rPr>
          <w:rFonts w:eastAsia="Times New Roman"/>
        </w:rPr>
      </w:pPr>
      <w:r>
        <w:rPr>
          <w:rFonts w:eastAsia="Times New Roman"/>
          <w:color w:val="000000"/>
          <w:sz w:val="20"/>
          <w:szCs w:val="20"/>
        </w:rPr>
        <w:t>The following tables summarize the Company’s mortgage loans segregated by risk rating exposure as of December 31, 2022 and 2021.</w:t>
      </w:r>
    </w:p>
    <w:p w:rsidR="00000000" w:rsidRDefault="00E54EC0">
      <w:pPr>
        <w:divId w:val="65422491"/>
        <w:rPr>
          <w:rFonts w:eastAsia="Times New Roman"/>
        </w:rPr>
      </w:pPr>
    </w:p>
    <w:p w:rsidR="00000000" w:rsidRDefault="00E54EC0">
      <w:pPr>
        <w:jc w:val="center"/>
        <w:rPr>
          <w:rFonts w:eastAsia="Times New Roman"/>
        </w:rPr>
      </w:pPr>
      <w:r>
        <w:rPr>
          <w:rFonts w:eastAsia="Times New Roman"/>
          <w:b/>
          <w:bCs/>
          <w:color w:val="000000"/>
          <w:sz w:val="20"/>
          <w:szCs w:val="20"/>
        </w:rPr>
        <w:t>Loan to Value (“LTV”) Ratios (1)</w:t>
      </w:r>
    </w:p>
    <w:tbl>
      <w:tblPr>
        <w:tblW w:w="4956" w:type="pct"/>
        <w:jc w:val="center"/>
        <w:tblCellMar>
          <w:top w:w="15" w:type="dxa"/>
          <w:left w:w="15" w:type="dxa"/>
          <w:bottom w:w="15" w:type="dxa"/>
          <w:right w:w="15" w:type="dxa"/>
        </w:tblCellMar>
        <w:tblLook w:val="04A0" w:firstRow="1" w:lastRow="0" w:firstColumn="1" w:lastColumn="0" w:noHBand="0" w:noVBand="1"/>
      </w:tblPr>
      <w:tblGrid>
        <w:gridCol w:w="53"/>
        <w:gridCol w:w="1166"/>
        <w:gridCol w:w="38"/>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600649408"/>
          <w:jc w:val="center"/>
        </w:trPr>
        <w:tc>
          <w:tcPr>
            <w:tcW w:w="50" w:type="pct"/>
            <w:vAlign w:val="center"/>
            <w:hideMark/>
          </w:tcPr>
          <w:p w:rsidR="00000000" w:rsidRDefault="00E54EC0">
            <w:pPr>
              <w:jc w:val="center"/>
              <w:rPr>
                <w:rFonts w:eastAsia="Times New Roman"/>
              </w:rPr>
            </w:pPr>
          </w:p>
        </w:tc>
        <w:tc>
          <w:tcPr>
            <w:tcW w:w="11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600649408"/>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2022</w:t>
            </w:r>
          </w:p>
        </w:tc>
      </w:tr>
      <w:tr w:rsidR="00000000">
        <w:trPr>
          <w:divId w:val="600649408"/>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 Basis by Origination Year</w:t>
            </w:r>
          </w:p>
        </w:tc>
      </w:tr>
      <w:tr w:rsidR="00000000">
        <w:trPr>
          <w:divId w:val="600649408"/>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600649408"/>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600649408"/>
          <w:jc w:val="center"/>
        </w:trPr>
        <w:tc>
          <w:tcPr>
            <w:tcW w:w="0" w:type="auto"/>
            <w:gridSpan w:val="3"/>
            <w:tcMar>
              <w:top w:w="30" w:type="dxa"/>
              <w:left w:w="20" w:type="dxa"/>
              <w:bottom w:w="30" w:type="dxa"/>
              <w:right w:w="20" w:type="dxa"/>
            </w:tcMar>
            <w:vAlign w:val="bottom"/>
            <w:hideMark/>
          </w:tcPr>
          <w:p w:rsidR="00000000" w:rsidRDefault="00E54EC0">
            <w:pPr>
              <w:spacing w:after="100"/>
              <w:divId w:val="228998301"/>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600649408"/>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600649408"/>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600649408"/>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1,569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8,278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600649408"/>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600649408"/>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600649408"/>
          <w:jc w:val="center"/>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00649408"/>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600649408"/>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605191872"/>
        <w:rPr>
          <w:rFonts w:eastAsia="Times New Roman"/>
        </w:rPr>
      </w:pPr>
    </w:p>
    <w:p w:rsidR="00000000" w:rsidRDefault="00E54EC0">
      <w:pPr>
        <w:jc w:val="center"/>
        <w:divId w:val="605191872"/>
        <w:rPr>
          <w:rFonts w:eastAsia="Times New Roman"/>
        </w:rPr>
      </w:pPr>
      <w:r>
        <w:rPr>
          <w:rFonts w:eastAsia="Times New Roman"/>
          <w:color w:val="000000"/>
          <w:sz w:val="20"/>
          <w:szCs w:val="20"/>
        </w:rPr>
        <w:t>161</w:t>
      </w:r>
    </w:p>
    <w:p w:rsidR="00000000" w:rsidRDefault="00E54EC0">
      <w:pPr>
        <w:rPr>
          <w:rFonts w:eastAsia="Times New Roman"/>
        </w:rPr>
      </w:pPr>
      <w:r>
        <w:rPr>
          <w:rFonts w:eastAsia="Times New Roman"/>
        </w:rPr>
        <w:pict>
          <v:rect id="_x0000_i1199" style="width:0;height:1.5pt" o:hralign="center" o:hrstd="t" o:hr="t" fillcolor="#a0a0a0" stroked="f"/>
        </w:pict>
      </w:r>
    </w:p>
    <w:p w:rsidR="00000000" w:rsidRDefault="00E54EC0">
      <w:pPr>
        <w:divId w:val="1847789089"/>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406071212"/>
        <w:rPr>
          <w:rFonts w:eastAsia="Times New Roman"/>
        </w:rPr>
      </w:pPr>
      <w:r>
        <w:rPr>
          <w:rFonts w:eastAsia="Times New Roman"/>
          <w:b/>
          <w:bCs/>
          <w:color w:val="000000"/>
          <w:sz w:val="20"/>
          <w:szCs w:val="20"/>
        </w:rPr>
        <w:t>EQUITABLE HOLDINGS, INC.</w:t>
      </w:r>
    </w:p>
    <w:p w:rsidR="00000000" w:rsidRDefault="00E54EC0">
      <w:pPr>
        <w:jc w:val="center"/>
        <w:divId w:val="406071212"/>
        <w:rPr>
          <w:rFonts w:eastAsia="Times New Roman"/>
        </w:rPr>
      </w:pPr>
      <w:r>
        <w:rPr>
          <w:rFonts w:eastAsia="Times New Roman"/>
          <w:b/>
          <w:bCs/>
          <w:color w:val="000000"/>
          <w:sz w:val="20"/>
          <w:szCs w:val="20"/>
        </w:rPr>
        <w:t>Notes to Consolidated Financial Statements, Continued</w:t>
      </w:r>
    </w:p>
    <w:p w:rsidR="00000000" w:rsidRDefault="00E54EC0">
      <w:pPr>
        <w:jc w:val="center"/>
        <w:divId w:val="406071212"/>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52"/>
        <w:gridCol w:w="1145"/>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364141033"/>
          <w:jc w:val="center"/>
        </w:trPr>
        <w:tc>
          <w:tcPr>
            <w:tcW w:w="50" w:type="pct"/>
            <w:vAlign w:val="center"/>
            <w:hideMark/>
          </w:tcPr>
          <w:p w:rsidR="00000000" w:rsidRDefault="00E54EC0">
            <w:pPr>
              <w:jc w:val="center"/>
              <w:rPr>
                <w:rFonts w:eastAsia="Times New Roman"/>
              </w:rPr>
            </w:pPr>
          </w:p>
        </w:tc>
        <w:tc>
          <w:tcPr>
            <w:tcW w:w="110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64141033"/>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2022</w:t>
            </w:r>
          </w:p>
        </w:tc>
      </w:tr>
      <w:tr w:rsidR="00000000">
        <w:trPr>
          <w:divId w:val="364141033"/>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 Basis by Origination Year</w:t>
            </w:r>
          </w:p>
        </w:tc>
      </w:tr>
      <w:tr w:rsidR="00000000">
        <w:trPr>
          <w:divId w:val="364141033"/>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364141033"/>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E54EC0">
        <w:trPr>
          <w:divId w:val="364141033"/>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FFFF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2,590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000000">
        <w:trPr>
          <w:divId w:val="364141033"/>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364141033"/>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64141033"/>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364141033"/>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2,475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3,358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364141033"/>
          <w:jc w:val="center"/>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2,481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bl>
    <w:p w:rsidR="00000000" w:rsidRDefault="00E54EC0">
      <w:pPr>
        <w:divId w:val="1766993358"/>
        <w:rPr>
          <w:rFonts w:eastAsia="Times New Roman"/>
        </w:rPr>
      </w:pPr>
    </w:p>
    <w:p w:rsidR="00000000" w:rsidRDefault="00E54EC0">
      <w:pPr>
        <w:divId w:val="1305816697"/>
        <w:rPr>
          <w:rFonts w:eastAsia="Times New Roman"/>
        </w:rPr>
      </w:pPr>
    </w:p>
    <w:p w:rsidR="00000000" w:rsidRDefault="00E54EC0">
      <w:pPr>
        <w:jc w:val="center"/>
        <w:rPr>
          <w:rFonts w:eastAsia="Times New Roman"/>
        </w:rPr>
      </w:pPr>
      <w:r>
        <w:rPr>
          <w:rFonts w:eastAsia="Times New Roman"/>
          <w:b/>
          <w:bCs/>
          <w:color w:val="000000"/>
          <w:sz w:val="20"/>
          <w:szCs w:val="20"/>
        </w:rPr>
        <w:t>Debt Service Coverage Ratios (“DSC”) (2</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167"/>
        <w:gridCol w:w="38"/>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997342520"/>
          <w:jc w:val="center"/>
        </w:trPr>
        <w:tc>
          <w:tcPr>
            <w:tcW w:w="50" w:type="pct"/>
            <w:vAlign w:val="center"/>
            <w:hideMark/>
          </w:tcPr>
          <w:p w:rsidR="00000000" w:rsidRDefault="00E54EC0">
            <w:pPr>
              <w:jc w:val="center"/>
              <w:rPr>
                <w:rFonts w:eastAsia="Times New Roman"/>
              </w:rPr>
            </w:pPr>
          </w:p>
        </w:tc>
        <w:tc>
          <w:tcPr>
            <w:tcW w:w="11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9973425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2022</w:t>
            </w:r>
          </w:p>
        </w:tc>
      </w:tr>
      <w:tr w:rsidR="00000000">
        <w:trPr>
          <w:divId w:val="199734252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99734252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1997342520"/>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99734252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9734252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997342520"/>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1,041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CCEEFF"/>
            <w:tcMar>
              <w:top w:w="30" w:type="dxa"/>
              <w:left w:w="125"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1.0x </w:t>
            </w:r>
            <w:r>
              <w:rPr>
                <w:rFonts w:eastAsia="Times New Roman"/>
                <w:color w:val="000000"/>
                <w:sz w:val="20"/>
                <w:szCs w:val="20"/>
              </w:rPr>
              <w:t>to 1.2x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FFFFFF"/>
            <w:tcMar>
              <w:top w:w="30" w:type="dxa"/>
              <w:left w:w="125"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5,060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14,020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000000">
        <w:trPr>
          <w:divId w:val="199734252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997342520"/>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997342520"/>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FFFF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CCEE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997342520"/>
          <w:jc w:val="center"/>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2,590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000000">
        <w:trPr>
          <w:divId w:val="1997342520"/>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jc w:val="center"/>
        <w:divId w:val="1912540784"/>
        <w:rPr>
          <w:rFonts w:eastAsia="Times New Roman"/>
        </w:rPr>
      </w:pPr>
    </w:p>
    <w:p w:rsidR="00000000" w:rsidRDefault="00E54EC0">
      <w:pPr>
        <w:jc w:val="center"/>
        <w:divId w:val="1912540784"/>
        <w:rPr>
          <w:rFonts w:eastAsia="Times New Roman"/>
        </w:rPr>
      </w:pPr>
      <w:r>
        <w:rPr>
          <w:rFonts w:eastAsia="Times New Roman"/>
          <w:color w:val="000000"/>
          <w:sz w:val="20"/>
          <w:szCs w:val="20"/>
        </w:rPr>
        <w:t>162</w:t>
      </w:r>
    </w:p>
    <w:p w:rsidR="00000000" w:rsidRDefault="00E54EC0">
      <w:pPr>
        <w:rPr>
          <w:rFonts w:eastAsia="Times New Roman"/>
        </w:rPr>
      </w:pPr>
      <w:r>
        <w:rPr>
          <w:rFonts w:eastAsia="Times New Roman"/>
        </w:rPr>
        <w:pict>
          <v:rect id="_x0000_i1200" style="width:0;height:1.5pt" o:hralign="center" o:hrstd="t" o:hr="t" fillcolor="#a0a0a0" stroked="f"/>
        </w:pict>
      </w:r>
    </w:p>
    <w:p w:rsidR="00000000" w:rsidRDefault="00E54EC0">
      <w:pPr>
        <w:divId w:val="538512334"/>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481727684"/>
        <w:rPr>
          <w:rFonts w:eastAsia="Times New Roman"/>
        </w:rPr>
      </w:pPr>
      <w:r>
        <w:rPr>
          <w:rFonts w:eastAsia="Times New Roman"/>
          <w:b/>
          <w:bCs/>
          <w:color w:val="000000"/>
          <w:sz w:val="20"/>
          <w:szCs w:val="20"/>
        </w:rPr>
        <w:t>EQUITABLE HOLDINGS, INC.</w:t>
      </w:r>
    </w:p>
    <w:p w:rsidR="00000000" w:rsidRDefault="00E54EC0">
      <w:pPr>
        <w:jc w:val="center"/>
        <w:divId w:val="1481727684"/>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481727684"/>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1132"/>
        <w:gridCol w:w="38"/>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276911551"/>
          <w:jc w:val="center"/>
        </w:trPr>
        <w:tc>
          <w:tcPr>
            <w:tcW w:w="50" w:type="pct"/>
            <w:vAlign w:val="center"/>
            <w:hideMark/>
          </w:tcPr>
          <w:p w:rsidR="00000000" w:rsidRDefault="00E54EC0">
            <w:pPr>
              <w:jc w:val="center"/>
              <w:rPr>
                <w:rFonts w:eastAsia="Times New Roman"/>
              </w:rPr>
            </w:pPr>
          </w:p>
        </w:tc>
        <w:tc>
          <w:tcPr>
            <w:tcW w:w="11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76911551"/>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2022</w:t>
            </w:r>
          </w:p>
        </w:tc>
      </w:tr>
      <w:tr w:rsidR="00000000">
        <w:trPr>
          <w:divId w:val="276911551"/>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Amortized Cost Basis by Origination Year</w:t>
            </w:r>
          </w:p>
        </w:tc>
      </w:tr>
      <w:tr w:rsidR="00000000">
        <w:trPr>
          <w:divId w:val="276911551"/>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276911551"/>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7691155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76911551"/>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276911551"/>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276911551"/>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276911551"/>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1.5x </w:t>
            </w:r>
            <w:r>
              <w:rPr>
                <w:rFonts w:eastAsia="Times New Roman"/>
                <w:color w:val="000000"/>
                <w:sz w:val="20"/>
                <w:szCs w:val="20"/>
              </w:rPr>
              <w:t>to 1.8x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2,722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276911551"/>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276911551"/>
          <w:jc w:val="center"/>
        </w:trPr>
        <w:tc>
          <w:tcPr>
            <w:tcW w:w="0" w:type="auto"/>
            <w:gridSpan w:val="3"/>
            <w:shd w:val="clear" w:color="auto" w:fill="CCEE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2,018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276911551"/>
          <w:jc w:val="center"/>
        </w:trPr>
        <w:tc>
          <w:tcPr>
            <w:tcW w:w="0" w:type="auto"/>
            <w:gridSpan w:val="3"/>
            <w:shd w:val="clear" w:color="auto" w:fill="FFFF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276911551"/>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3,625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2,481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1,819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839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1,416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6,068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20"/>
                <w:szCs w:val="20"/>
              </w:rPr>
              <w:t>16,610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bl>
    <w:p w:rsidR="00000000" w:rsidRDefault="00E54EC0">
      <w:pPr>
        <w:ind w:hanging="270"/>
        <w:divId w:val="362052015"/>
        <w:rPr>
          <w:rFonts w:eastAsia="Times New Roman"/>
        </w:rPr>
      </w:pPr>
      <w:r>
        <w:rPr>
          <w:rFonts w:eastAsia="Times New Roman"/>
          <w:color w:val="000000"/>
          <w:sz w:val="18"/>
          <w:szCs w:val="18"/>
        </w:rPr>
        <w:t xml:space="preserve">______________ </w:t>
      </w:r>
    </w:p>
    <w:p w:rsidR="00000000" w:rsidRDefault="00E54EC0">
      <w:pPr>
        <w:ind w:hanging="270"/>
        <w:divId w:val="1326516782"/>
        <w:rPr>
          <w:rFonts w:eastAsia="Times New Roman"/>
        </w:rPr>
      </w:pPr>
      <w:r>
        <w:rPr>
          <w:rFonts w:eastAsia="Times New Roman"/>
          <w:color w:val="000000"/>
          <w:sz w:val="18"/>
          <w:szCs w:val="18"/>
        </w:rPr>
        <w:t xml:space="preserve">(1)The LTV ratio is derived from current loan balance divided by the fair value of the property. The fair value of the underlying commercial properties is </w:t>
      </w:r>
      <w:r>
        <w:rPr>
          <w:rFonts w:eastAsia="Times New Roman"/>
          <w:color w:val="000000"/>
          <w:sz w:val="18"/>
          <w:szCs w:val="18"/>
        </w:rPr>
        <w:t>updated annually for each mortgage loan.</w:t>
      </w:r>
    </w:p>
    <w:p w:rsidR="00000000" w:rsidRDefault="00E54EC0">
      <w:pPr>
        <w:ind w:hanging="270"/>
        <w:divId w:val="15735972"/>
        <w:rPr>
          <w:rFonts w:eastAsia="Times New Roman"/>
        </w:rPr>
      </w:pPr>
      <w:r>
        <w:rPr>
          <w:rFonts w:eastAsia="Times New Roman"/>
          <w:color w:val="000000"/>
          <w:sz w:val="18"/>
          <w:szCs w:val="18"/>
        </w:rPr>
        <w:t>(2)The DSC ratio is calculated using the most recently reported operating income results from property operations divided by annual debt service.</w:t>
      </w:r>
    </w:p>
    <w:p w:rsidR="00000000" w:rsidRDefault="00E54EC0">
      <w:pPr>
        <w:jc w:val="center"/>
        <w:rPr>
          <w:rFonts w:eastAsia="Times New Roman"/>
        </w:rPr>
      </w:pPr>
      <w:r>
        <w:rPr>
          <w:rFonts w:eastAsia="Times New Roman"/>
          <w:b/>
          <w:bCs/>
          <w:color w:val="000000"/>
          <w:sz w:val="20"/>
          <w:szCs w:val="20"/>
        </w:rPr>
        <w:t>LTV Ratios (1)</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167"/>
        <w:gridCol w:w="38"/>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508522112"/>
          <w:jc w:val="center"/>
        </w:trPr>
        <w:tc>
          <w:tcPr>
            <w:tcW w:w="50" w:type="pct"/>
            <w:vAlign w:val="center"/>
            <w:hideMark/>
          </w:tcPr>
          <w:p w:rsidR="00000000" w:rsidRDefault="00E54EC0">
            <w:pPr>
              <w:jc w:val="center"/>
              <w:rPr>
                <w:rFonts w:eastAsia="Times New Roman"/>
              </w:rPr>
            </w:pPr>
          </w:p>
        </w:tc>
        <w:tc>
          <w:tcPr>
            <w:tcW w:w="11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08522112"/>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2021</w:t>
            </w:r>
          </w:p>
        </w:tc>
      </w:tr>
      <w:tr w:rsidR="00000000">
        <w:trPr>
          <w:divId w:val="50852211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Amortized Cost Basis by Origination Year</w:t>
            </w:r>
          </w:p>
        </w:tc>
      </w:tr>
      <w:tr w:rsidR="00000000">
        <w:trPr>
          <w:divId w:val="50852211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Total</w:t>
            </w:r>
          </w:p>
        </w:tc>
      </w:tr>
      <w:tr w:rsidR="00000000">
        <w:trPr>
          <w:divId w:val="50852211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08522112"/>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8522112"/>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508522112"/>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1,009 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1,286 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2,533 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7,351 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972 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2,501 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852211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8522112"/>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508522112"/>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508522112"/>
          <w:jc w:val="center"/>
        </w:trPr>
        <w:tc>
          <w:tcPr>
            <w:tcW w:w="0" w:type="auto"/>
            <w:gridSpan w:val="3"/>
            <w:shd w:val="clear" w:color="auto" w:fill="FFFF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000000">
        <w:trPr>
          <w:divId w:val="508522112"/>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508522112"/>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1571840785"/>
        <w:rPr>
          <w:rFonts w:eastAsia="Times New Roman"/>
        </w:rPr>
      </w:pPr>
    </w:p>
    <w:p w:rsidR="00000000" w:rsidRDefault="00E54EC0">
      <w:pPr>
        <w:jc w:val="center"/>
        <w:divId w:val="1571840785"/>
        <w:rPr>
          <w:rFonts w:eastAsia="Times New Roman"/>
        </w:rPr>
      </w:pPr>
      <w:r>
        <w:rPr>
          <w:rFonts w:eastAsia="Times New Roman"/>
          <w:color w:val="000000"/>
          <w:sz w:val="20"/>
          <w:szCs w:val="20"/>
        </w:rPr>
        <w:t>163</w:t>
      </w:r>
    </w:p>
    <w:p w:rsidR="00000000" w:rsidRDefault="00E54EC0">
      <w:pPr>
        <w:rPr>
          <w:rFonts w:eastAsia="Times New Roman"/>
        </w:rPr>
      </w:pPr>
      <w:r>
        <w:rPr>
          <w:rFonts w:eastAsia="Times New Roman"/>
        </w:rPr>
        <w:pict>
          <v:rect id="_x0000_i1201" style="width:0;height:1.5pt" o:hralign="center" o:hrstd="t" o:hr="t" fillcolor="#a0a0a0" stroked="f"/>
        </w:pict>
      </w:r>
    </w:p>
    <w:p w:rsidR="00000000" w:rsidRDefault="00E54EC0">
      <w:pPr>
        <w:divId w:val="675502058"/>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1197237689"/>
        <w:rPr>
          <w:rFonts w:eastAsia="Times New Roman"/>
        </w:rPr>
      </w:pPr>
      <w:r>
        <w:rPr>
          <w:rFonts w:eastAsia="Times New Roman"/>
          <w:b/>
          <w:bCs/>
          <w:color w:val="000000"/>
          <w:sz w:val="20"/>
          <w:szCs w:val="20"/>
        </w:rPr>
        <w:t>EQUITABLE H</w:t>
      </w:r>
      <w:r>
        <w:rPr>
          <w:rFonts w:eastAsia="Times New Roman"/>
          <w:b/>
          <w:bCs/>
          <w:color w:val="000000"/>
          <w:sz w:val="20"/>
          <w:szCs w:val="20"/>
        </w:rPr>
        <w:t>OLDINGS, INC.</w:t>
      </w:r>
    </w:p>
    <w:p w:rsidR="00000000" w:rsidRDefault="00E54EC0">
      <w:pPr>
        <w:jc w:val="center"/>
        <w:divId w:val="1197237689"/>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197237689"/>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1133"/>
        <w:gridCol w:w="37"/>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470782707"/>
          <w:jc w:val="center"/>
        </w:trPr>
        <w:tc>
          <w:tcPr>
            <w:tcW w:w="50" w:type="pct"/>
            <w:vAlign w:val="center"/>
            <w:hideMark/>
          </w:tcPr>
          <w:p w:rsidR="00000000" w:rsidRDefault="00E54EC0">
            <w:pPr>
              <w:jc w:val="center"/>
              <w:rPr>
                <w:rFonts w:eastAsia="Times New Roman"/>
              </w:rPr>
            </w:pPr>
          </w:p>
        </w:tc>
        <w:tc>
          <w:tcPr>
            <w:tcW w:w="11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70782707"/>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2021</w:t>
            </w:r>
          </w:p>
        </w:tc>
      </w:tr>
      <w:tr w:rsidR="00000000">
        <w:trPr>
          <w:divId w:val="1470782707"/>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Amortized Cost Basis by Origination Year</w:t>
            </w:r>
          </w:p>
        </w:tc>
      </w:tr>
      <w:tr w:rsidR="00000000">
        <w:trPr>
          <w:divId w:val="1470782707"/>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Total</w:t>
            </w:r>
          </w:p>
        </w:tc>
      </w:tr>
      <w:tr w:rsidR="00000000">
        <w:trPr>
          <w:divId w:val="1470782707"/>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470782707"/>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470782707"/>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1,747 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2,992 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470782707"/>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2,144 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1,554 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745 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578 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2,871 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8,472 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470782707"/>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989 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2,518 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470782707"/>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470782707"/>
          <w:jc w:val="center"/>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bl>
    <w:p w:rsidR="00000000" w:rsidRDefault="00E54EC0">
      <w:pPr>
        <w:divId w:val="1927104375"/>
        <w:rPr>
          <w:rFonts w:eastAsia="Times New Roman"/>
        </w:rPr>
      </w:pPr>
    </w:p>
    <w:p w:rsidR="00000000" w:rsidRDefault="00E54EC0">
      <w:pPr>
        <w:jc w:val="center"/>
        <w:rPr>
          <w:rFonts w:eastAsia="Times New Roman"/>
        </w:rPr>
      </w:pPr>
      <w:r>
        <w:rPr>
          <w:rFonts w:eastAsia="Times New Roman"/>
          <w:b/>
          <w:bCs/>
          <w:color w:val="000000"/>
          <w:sz w:val="20"/>
          <w:szCs w:val="20"/>
        </w:rPr>
        <w:t>DSC Ratios (2)</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167"/>
        <w:gridCol w:w="38"/>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045176712"/>
          <w:jc w:val="center"/>
        </w:trPr>
        <w:tc>
          <w:tcPr>
            <w:tcW w:w="50" w:type="pct"/>
            <w:vAlign w:val="center"/>
            <w:hideMark/>
          </w:tcPr>
          <w:p w:rsidR="00000000" w:rsidRDefault="00E54EC0">
            <w:pPr>
              <w:jc w:val="center"/>
              <w:rPr>
                <w:rFonts w:eastAsia="Times New Roman"/>
              </w:rPr>
            </w:pPr>
          </w:p>
        </w:tc>
        <w:tc>
          <w:tcPr>
            <w:tcW w:w="11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45176712"/>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2021</w:t>
            </w:r>
          </w:p>
        </w:tc>
      </w:tr>
      <w:tr w:rsidR="00000000">
        <w:trPr>
          <w:divId w:val="104517671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Amortized Cost Basis by Origination Year</w:t>
            </w:r>
          </w:p>
        </w:tc>
      </w:tr>
      <w:tr w:rsidR="00000000">
        <w:trPr>
          <w:divId w:val="104517671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Total</w:t>
            </w:r>
          </w:p>
        </w:tc>
      </w:tr>
      <w:tr w:rsidR="00000000">
        <w:trPr>
          <w:divId w:val="104517671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45176712"/>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5176712"/>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045176712"/>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1,243 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2,235 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6,088 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045176712"/>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1,149 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045176712"/>
          <w:jc w:val="center"/>
        </w:trPr>
        <w:tc>
          <w:tcPr>
            <w:tcW w:w="0" w:type="auto"/>
            <w:gridSpan w:val="3"/>
            <w:shd w:val="clear" w:color="auto" w:fill="CCEE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1,952 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045176712"/>
          <w:jc w:val="center"/>
        </w:trPr>
        <w:tc>
          <w:tcPr>
            <w:tcW w:w="0" w:type="auto"/>
            <w:gridSpan w:val="3"/>
            <w:shd w:val="clear" w:color="auto" w:fill="FFFFFF"/>
            <w:tcMar>
              <w:top w:w="30" w:type="dxa"/>
              <w:left w:w="125" w:type="dxa"/>
              <w:bottom w:w="30" w:type="dxa"/>
              <w:right w:w="20" w:type="dxa"/>
            </w:tcMar>
            <w:hideMark/>
          </w:tcPr>
          <w:p w:rsidR="00000000" w:rsidRDefault="00E54EC0">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264 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701 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045176712"/>
          <w:jc w:val="center"/>
        </w:trPr>
        <w:tc>
          <w:tcPr>
            <w:tcW w:w="0" w:type="auto"/>
            <w:gridSpan w:val="3"/>
            <w:shd w:val="clear" w:color="auto" w:fill="CCEEFF"/>
            <w:tcMar>
              <w:top w:w="30" w:type="dxa"/>
              <w:left w:w="125"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267 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045176712"/>
          <w:jc w:val="center"/>
        </w:trPr>
        <w:tc>
          <w:tcPr>
            <w:tcW w:w="0" w:type="auto"/>
            <w:gridSpan w:val="3"/>
            <w:shd w:val="clear" w:color="auto" w:fill="FFFFFF"/>
            <w:tcMar>
              <w:top w:w="30" w:type="dxa"/>
              <w:left w:w="125"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045176712"/>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commercial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4,587 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bl>
    <w:p w:rsidR="00000000" w:rsidRDefault="00E54EC0">
      <w:pPr>
        <w:jc w:val="center"/>
        <w:divId w:val="1608391081"/>
        <w:rPr>
          <w:rFonts w:eastAsia="Times New Roman"/>
        </w:rPr>
      </w:pPr>
    </w:p>
    <w:p w:rsidR="00000000" w:rsidRDefault="00E54EC0">
      <w:pPr>
        <w:jc w:val="center"/>
        <w:divId w:val="1608391081"/>
        <w:rPr>
          <w:rFonts w:eastAsia="Times New Roman"/>
        </w:rPr>
      </w:pPr>
      <w:r>
        <w:rPr>
          <w:rFonts w:eastAsia="Times New Roman"/>
          <w:color w:val="000000"/>
          <w:sz w:val="20"/>
          <w:szCs w:val="20"/>
        </w:rPr>
        <w:t>164</w:t>
      </w:r>
    </w:p>
    <w:p w:rsidR="00000000" w:rsidRDefault="00E54EC0">
      <w:pPr>
        <w:rPr>
          <w:rFonts w:eastAsia="Times New Roman"/>
        </w:rPr>
      </w:pPr>
      <w:r>
        <w:rPr>
          <w:rFonts w:eastAsia="Times New Roman"/>
        </w:rPr>
        <w:pict>
          <v:rect id="_x0000_i1202" style="width:0;height:1.5pt" o:hralign="center" o:hrstd="t" o:hr="t" fillcolor="#a0a0a0" stroked="f"/>
        </w:pict>
      </w:r>
    </w:p>
    <w:p w:rsidR="00000000" w:rsidRDefault="00E54EC0">
      <w:pPr>
        <w:divId w:val="723020451"/>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639464097"/>
        <w:rPr>
          <w:rFonts w:eastAsia="Times New Roman"/>
        </w:rPr>
      </w:pPr>
      <w:r>
        <w:rPr>
          <w:rFonts w:eastAsia="Times New Roman"/>
          <w:b/>
          <w:bCs/>
          <w:color w:val="000000"/>
          <w:sz w:val="20"/>
          <w:szCs w:val="20"/>
        </w:rPr>
        <w:t>EQUITABLE HOLDINGS, INC.</w:t>
      </w:r>
    </w:p>
    <w:p w:rsidR="00000000" w:rsidRDefault="00E54EC0">
      <w:pPr>
        <w:jc w:val="center"/>
        <w:divId w:val="639464097"/>
        <w:rPr>
          <w:rFonts w:eastAsia="Times New Roman"/>
        </w:rPr>
      </w:pPr>
      <w:r>
        <w:rPr>
          <w:rFonts w:eastAsia="Times New Roman"/>
          <w:b/>
          <w:bCs/>
          <w:color w:val="000000"/>
          <w:sz w:val="20"/>
          <w:szCs w:val="20"/>
        </w:rPr>
        <w:t>Notes to Consolidated Financial Statements, Continued</w:t>
      </w:r>
    </w:p>
    <w:p w:rsidR="00000000" w:rsidRDefault="00E54EC0">
      <w:pPr>
        <w:jc w:val="center"/>
        <w:divId w:val="639464097"/>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52"/>
        <w:gridCol w:w="1146"/>
        <w:gridCol w:w="37"/>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181167869"/>
          <w:jc w:val="center"/>
        </w:trPr>
        <w:tc>
          <w:tcPr>
            <w:tcW w:w="50" w:type="pct"/>
            <w:vAlign w:val="center"/>
            <w:hideMark/>
          </w:tcPr>
          <w:p w:rsidR="00000000" w:rsidRDefault="00E54EC0">
            <w:pPr>
              <w:jc w:val="center"/>
              <w:rPr>
                <w:rFonts w:eastAsia="Times New Roman"/>
              </w:rPr>
            </w:pPr>
          </w:p>
        </w:tc>
        <w:tc>
          <w:tcPr>
            <w:tcW w:w="11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81167869"/>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December 31, 2021</w:t>
            </w:r>
          </w:p>
        </w:tc>
      </w:tr>
      <w:tr w:rsidR="00000000">
        <w:trPr>
          <w:divId w:val="1181167869"/>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Amortized Cost Basis by Origination Year</w:t>
            </w:r>
          </w:p>
        </w:tc>
      </w:tr>
      <w:tr w:rsidR="00000000">
        <w:trPr>
          <w:divId w:val="1181167869"/>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6"/>
                <w:szCs w:val="16"/>
              </w:rPr>
              <w:t>Total</w:t>
            </w:r>
          </w:p>
        </w:tc>
      </w:tr>
      <w:tr w:rsidR="00000000">
        <w:trPr>
          <w:divId w:val="1181167869"/>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8116786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81167869"/>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181167869"/>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FFFF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CCEE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000000">
        <w:trPr>
          <w:divId w:val="1181167869"/>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18116786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81167869"/>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181167869"/>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1,192 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1,307 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794 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2,445 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6,482 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2,392 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2,484 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CCEE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1,211 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FFFFFF"/>
            <w:tcMar>
              <w:top w:w="30" w:type="dxa"/>
              <w:left w:w="14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r>
      <w:tr w:rsidR="00E54EC0">
        <w:trPr>
          <w:divId w:val="1181167869"/>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2,002 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r>
    </w:tbl>
    <w:p w:rsidR="00000000" w:rsidRDefault="00E54EC0">
      <w:pPr>
        <w:ind w:hanging="270"/>
        <w:divId w:val="2131237755"/>
        <w:rPr>
          <w:rFonts w:eastAsia="Times New Roman"/>
        </w:rPr>
      </w:pPr>
      <w:r>
        <w:rPr>
          <w:rFonts w:eastAsia="Times New Roman"/>
          <w:color w:val="000000"/>
          <w:sz w:val="18"/>
          <w:szCs w:val="18"/>
        </w:rPr>
        <w:t xml:space="preserve">______________ </w:t>
      </w:r>
    </w:p>
    <w:p w:rsidR="00000000" w:rsidRDefault="00E54EC0">
      <w:pPr>
        <w:ind w:hanging="270"/>
        <w:divId w:val="1220825866"/>
        <w:rPr>
          <w:rFonts w:eastAsia="Times New Roman"/>
        </w:rPr>
      </w:pPr>
      <w:r>
        <w:rPr>
          <w:rFonts w:eastAsia="Times New Roman"/>
          <w:color w:val="000000"/>
          <w:sz w:val="18"/>
          <w:szCs w:val="18"/>
        </w:rPr>
        <w:t xml:space="preserve">(1)The LTV ratio is derived from current loan balance divided by the fair value of the property. The fair value of the underlying commercial properties is </w:t>
      </w:r>
      <w:r>
        <w:rPr>
          <w:rFonts w:eastAsia="Times New Roman"/>
          <w:color w:val="000000"/>
          <w:sz w:val="18"/>
          <w:szCs w:val="18"/>
        </w:rPr>
        <w:t>updated annually for each mortgage loan.</w:t>
      </w:r>
    </w:p>
    <w:p w:rsidR="00000000" w:rsidRDefault="00E54EC0">
      <w:pPr>
        <w:ind w:hanging="270"/>
        <w:divId w:val="1286541013"/>
        <w:rPr>
          <w:rFonts w:eastAsia="Times New Roman"/>
        </w:rPr>
      </w:pPr>
      <w:r>
        <w:rPr>
          <w:rFonts w:eastAsia="Times New Roman"/>
          <w:color w:val="000000"/>
          <w:sz w:val="18"/>
          <w:szCs w:val="18"/>
        </w:rPr>
        <w:t>(2)The DSC ratio is calculated using the most recently reported operating income results from property operations divided by annual debt service.</w:t>
      </w:r>
    </w:p>
    <w:p w:rsidR="00000000" w:rsidRDefault="00E54EC0">
      <w:pPr>
        <w:divId w:val="220214516"/>
        <w:rPr>
          <w:rFonts w:eastAsia="Times New Roman"/>
        </w:rPr>
      </w:pPr>
      <w:r>
        <w:rPr>
          <w:rFonts w:eastAsia="Times New Roman"/>
          <w:color w:val="000000"/>
          <w:sz w:val="20"/>
          <w:szCs w:val="20"/>
          <w:u w:val="single"/>
        </w:rPr>
        <w:t>Past-Due and Nonaccrual Mortgage Loan Status</w:t>
      </w:r>
    </w:p>
    <w:p w:rsidR="00000000" w:rsidRDefault="00E54EC0">
      <w:pPr>
        <w:divId w:val="9189710"/>
        <w:rPr>
          <w:rFonts w:eastAsia="Times New Roman"/>
        </w:rPr>
      </w:pPr>
      <w:r>
        <w:rPr>
          <w:rFonts w:eastAsia="Times New Roman"/>
          <w:color w:val="000000"/>
          <w:sz w:val="20"/>
          <w:szCs w:val="20"/>
        </w:rPr>
        <w:t>The following table prov</w:t>
      </w:r>
      <w:r>
        <w:rPr>
          <w:rFonts w:eastAsia="Times New Roman"/>
          <w:color w:val="000000"/>
          <w:sz w:val="20"/>
          <w:szCs w:val="20"/>
        </w:rPr>
        <w:t>ides information relating to the aging analysis of past-due mortgage loans as of December 31, 2022 and 2021, respectively.</w:t>
      </w:r>
    </w:p>
    <w:p w:rsidR="00000000" w:rsidRDefault="00E54EC0">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7"/>
        <w:gridCol w:w="120"/>
        <w:gridCol w:w="250"/>
        <w:gridCol w:w="36"/>
        <w:gridCol w:w="36"/>
        <w:gridCol w:w="36"/>
        <w:gridCol w:w="36"/>
        <w:gridCol w:w="120"/>
        <w:gridCol w:w="250"/>
        <w:gridCol w:w="36"/>
        <w:gridCol w:w="36"/>
        <w:gridCol w:w="36"/>
        <w:gridCol w:w="36"/>
        <w:gridCol w:w="121"/>
        <w:gridCol w:w="328"/>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1042899528"/>
        </w:trPr>
        <w:tc>
          <w:tcPr>
            <w:tcW w:w="50" w:type="pct"/>
            <w:vAlign w:val="center"/>
            <w:hideMark/>
          </w:tcPr>
          <w:p w:rsidR="00000000" w:rsidRDefault="00E54EC0">
            <w:pPr>
              <w:jc w:val="center"/>
              <w:rPr>
                <w:rFonts w:eastAsia="Times New Roman"/>
              </w:rPr>
            </w:pPr>
          </w:p>
        </w:tc>
        <w:tc>
          <w:tcPr>
            <w:tcW w:w="121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42899528"/>
          <w:trHeight w:val="2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1042899528"/>
          <w:trHeight w:val="24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r>
      <w:tr w:rsidR="00000000">
        <w:trPr>
          <w:divId w:val="1042899528"/>
          <w:trHeight w:val="76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E54EC0">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E54EC0">
            <w:pPr>
              <w:spacing w:after="100"/>
              <w:rPr>
                <w:rFonts w:eastAsia="Times New Roman"/>
              </w:rPr>
            </w:pPr>
          </w:p>
        </w:tc>
        <w:tc>
          <w:tcPr>
            <w:tcW w:w="0" w:type="auto"/>
            <w:gridSpan w:val="3"/>
            <w:vMerge/>
            <w:tcBorders>
              <w:top w:val="single" w:sz="4" w:space="0" w:color="000000"/>
            </w:tcBorders>
            <w:vAlign w:val="center"/>
            <w:hideMark/>
          </w:tcPr>
          <w:p w:rsidR="00000000" w:rsidRDefault="00E54EC0">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r>
      <w:tr w:rsidR="00000000">
        <w:trPr>
          <w:divId w:val="104289952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42899528"/>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2899528"/>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042899528"/>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13,964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042899528"/>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042899528"/>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16,517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16,594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16,610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2899528"/>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72164132"/>
        <w:rPr>
          <w:rFonts w:eastAsia="Times New Roman"/>
        </w:rPr>
      </w:pPr>
    </w:p>
    <w:p w:rsidR="00000000" w:rsidRDefault="00E54EC0">
      <w:pPr>
        <w:jc w:val="center"/>
        <w:divId w:val="72164132"/>
        <w:rPr>
          <w:rFonts w:eastAsia="Times New Roman"/>
        </w:rPr>
      </w:pPr>
      <w:r>
        <w:rPr>
          <w:rFonts w:eastAsia="Times New Roman"/>
          <w:color w:val="000000"/>
          <w:sz w:val="20"/>
          <w:szCs w:val="20"/>
        </w:rPr>
        <w:t>165</w:t>
      </w:r>
    </w:p>
    <w:p w:rsidR="00000000" w:rsidRDefault="00E54EC0">
      <w:pPr>
        <w:rPr>
          <w:rFonts w:eastAsia="Times New Roman"/>
        </w:rPr>
      </w:pPr>
      <w:r>
        <w:rPr>
          <w:rFonts w:eastAsia="Times New Roman"/>
        </w:rPr>
        <w:pict>
          <v:rect id="_x0000_i1203" style="width:0;height:1.5pt" o:hralign="center" o:hrstd="t" o:hr="t" fillcolor="#a0a0a0" stroked="f"/>
        </w:pict>
      </w:r>
    </w:p>
    <w:p w:rsidR="00000000" w:rsidRDefault="00E54EC0">
      <w:pPr>
        <w:divId w:val="719747461"/>
        <w:rPr>
          <w:rFonts w:eastAsia="Times New Roman"/>
        </w:rPr>
      </w:pPr>
      <w:hyperlink w:anchor="ifa77335c8c4046aba89b8098f04be9d1_10" w:history="1">
        <w:r>
          <w:rPr>
            <w:rStyle w:val="a3"/>
            <w:rFonts w:eastAsia="Times New Roman"/>
            <w:b/>
            <w:bCs/>
            <w:sz w:val="20"/>
            <w:szCs w:val="20"/>
          </w:rPr>
          <w:t>Table of Contents</w:t>
        </w:r>
      </w:hyperlink>
    </w:p>
    <w:p w:rsidR="00000000" w:rsidRDefault="00E54EC0">
      <w:pPr>
        <w:jc w:val="center"/>
        <w:divId w:val="270477713"/>
        <w:rPr>
          <w:rFonts w:eastAsia="Times New Roman"/>
        </w:rPr>
      </w:pPr>
      <w:r>
        <w:rPr>
          <w:rFonts w:eastAsia="Times New Roman"/>
          <w:b/>
          <w:bCs/>
          <w:color w:val="000000"/>
          <w:sz w:val="20"/>
          <w:szCs w:val="20"/>
        </w:rPr>
        <w:t>EQUITABLE HOLDINGS, INC.</w:t>
      </w:r>
    </w:p>
    <w:p w:rsidR="00000000" w:rsidRDefault="00E54EC0">
      <w:pPr>
        <w:jc w:val="center"/>
        <w:divId w:val="270477713"/>
        <w:rPr>
          <w:rFonts w:eastAsia="Times New Roman"/>
        </w:rPr>
      </w:pPr>
      <w:r>
        <w:rPr>
          <w:rFonts w:eastAsia="Times New Roman"/>
          <w:b/>
          <w:bCs/>
          <w:color w:val="000000"/>
          <w:sz w:val="20"/>
          <w:szCs w:val="20"/>
        </w:rPr>
        <w:t>Notes to Consolidated Financial Statements, Continued</w:t>
      </w:r>
    </w:p>
    <w:p w:rsidR="00000000" w:rsidRDefault="00E54EC0">
      <w:pPr>
        <w:jc w:val="center"/>
        <w:divId w:val="2704777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7"/>
        <w:gridCol w:w="120"/>
        <w:gridCol w:w="250"/>
        <w:gridCol w:w="36"/>
        <w:gridCol w:w="36"/>
        <w:gridCol w:w="36"/>
        <w:gridCol w:w="36"/>
        <w:gridCol w:w="120"/>
        <w:gridCol w:w="250"/>
        <w:gridCol w:w="36"/>
        <w:gridCol w:w="36"/>
        <w:gridCol w:w="36"/>
        <w:gridCol w:w="36"/>
        <w:gridCol w:w="121"/>
        <w:gridCol w:w="328"/>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654458374"/>
        </w:trPr>
        <w:tc>
          <w:tcPr>
            <w:tcW w:w="50" w:type="pct"/>
            <w:vAlign w:val="center"/>
            <w:hideMark/>
          </w:tcPr>
          <w:p w:rsidR="00000000" w:rsidRDefault="00E54EC0">
            <w:pPr>
              <w:jc w:val="center"/>
              <w:rPr>
                <w:rFonts w:eastAsia="Times New Roman"/>
              </w:rPr>
            </w:pPr>
          </w:p>
        </w:tc>
        <w:tc>
          <w:tcPr>
            <w:tcW w:w="121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654458374"/>
          <w:trHeight w:val="2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654458374"/>
          <w:trHeight w:val="24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r>
      <w:tr w:rsidR="00000000">
        <w:trPr>
          <w:divId w:val="654458374"/>
          <w:trHeight w:val="76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E54EC0">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E54EC0">
            <w:pPr>
              <w:spacing w:after="100"/>
              <w:rPr>
                <w:rFonts w:eastAsia="Times New Roman"/>
              </w:rPr>
            </w:pPr>
          </w:p>
        </w:tc>
        <w:tc>
          <w:tcPr>
            <w:tcW w:w="0" w:type="auto"/>
            <w:gridSpan w:val="3"/>
            <w:vMerge/>
            <w:tcBorders>
              <w:top w:val="single" w:sz="4" w:space="0" w:color="000000"/>
            </w:tcBorders>
            <w:vAlign w:val="center"/>
            <w:hideMark/>
          </w:tcPr>
          <w:p w:rsidR="00000000" w:rsidRDefault="00E54EC0">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vMerge/>
            <w:tcBorders>
              <w:bottom w:val="single" w:sz="8" w:space="0" w:color="000000"/>
            </w:tcBorders>
            <w:vAlign w:val="center"/>
            <w:hideMark/>
          </w:tcPr>
          <w:p w:rsidR="00000000" w:rsidRDefault="00E54EC0">
            <w:pPr>
              <w:spacing w:after="100"/>
              <w:rPr>
                <w:rFonts w:eastAsia="Times New Roman"/>
              </w:rPr>
            </w:pPr>
          </w:p>
        </w:tc>
      </w:tr>
      <w:tr w:rsidR="00000000">
        <w:trPr>
          <w:divId w:val="65445837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65445837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65445837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654458374"/>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654458374"/>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65445837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14,079 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270"/>
        <w:divId w:val="116993252"/>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E54EC0">
      <w:pPr>
        <w:ind w:hanging="360"/>
        <w:divId w:val="1205946159"/>
        <w:rPr>
          <w:rFonts w:eastAsia="Times New Roman"/>
        </w:rPr>
      </w:pPr>
      <w:r>
        <w:rPr>
          <w:rFonts w:eastAsia="Times New Roman"/>
          <w:color w:val="000000"/>
          <w:sz w:val="18"/>
          <w:szCs w:val="18"/>
        </w:rPr>
        <w:t xml:space="preserve">(1)Amounts presented at amortized cost basis. </w:t>
      </w:r>
    </w:p>
    <w:p w:rsidR="00000000" w:rsidRDefault="00E54EC0">
      <w:pPr>
        <w:divId w:val="1815293662"/>
        <w:rPr>
          <w:rFonts w:eastAsia="Times New Roman"/>
        </w:rPr>
      </w:pPr>
      <w:r>
        <w:rPr>
          <w:rFonts w:eastAsia="Times New Roman"/>
          <w:color w:val="000000"/>
          <w:sz w:val="20"/>
          <w:szCs w:val="20"/>
        </w:rPr>
        <w:t>As of December 31, 2022 and 2021, the carrying values of problem mortgage loans that had been classified as non-accrual loans were $14 million and $14 million, respectively. The carrying values of those mo</w:t>
      </w:r>
      <w:r>
        <w:rPr>
          <w:rFonts w:eastAsia="Times New Roman"/>
          <w:color w:val="000000"/>
          <w:sz w:val="20"/>
          <w:szCs w:val="20"/>
        </w:rPr>
        <w:t>rtgage loans are presented net of an allowance of $2 million and $2 million, respectively, as of December 31, 2022 and 2021.</w:t>
      </w:r>
    </w:p>
    <w:p w:rsidR="00000000" w:rsidRDefault="00E54EC0">
      <w:pPr>
        <w:divId w:val="225991367"/>
        <w:rPr>
          <w:rFonts w:eastAsia="Times New Roman"/>
        </w:rPr>
      </w:pPr>
      <w:r>
        <w:rPr>
          <w:rFonts w:eastAsia="Times New Roman"/>
          <w:color w:val="000000"/>
          <w:sz w:val="20"/>
          <w:szCs w:val="20"/>
          <w:u w:val="single"/>
        </w:rPr>
        <w:t xml:space="preserve">Troubled Debt Restructuring </w:t>
      </w:r>
    </w:p>
    <w:p w:rsidR="00000000" w:rsidRDefault="00E54EC0">
      <w:pPr>
        <w:divId w:val="708652479"/>
        <w:rPr>
          <w:rFonts w:eastAsia="Times New Roman"/>
        </w:rPr>
      </w:pPr>
      <w:r>
        <w:rPr>
          <w:rFonts w:eastAsia="Times New Roman"/>
          <w:color w:val="000000"/>
          <w:sz w:val="20"/>
          <w:szCs w:val="20"/>
        </w:rPr>
        <w:t>During the years ended December 31, 2022, 2021 and 2020, the Company identified an immaterial amount o</w:t>
      </w:r>
      <w:r>
        <w:rPr>
          <w:rFonts w:eastAsia="Times New Roman"/>
          <w:color w:val="000000"/>
          <w:sz w:val="20"/>
          <w:szCs w:val="20"/>
        </w:rPr>
        <w:t xml:space="preserve">f TDRs. </w:t>
      </w:r>
    </w:p>
    <w:p w:rsidR="00000000" w:rsidRDefault="00E54EC0">
      <w:pPr>
        <w:divId w:val="363597468"/>
        <w:rPr>
          <w:rFonts w:eastAsia="Times New Roman"/>
        </w:rPr>
      </w:pPr>
      <w:r>
        <w:rPr>
          <w:rFonts w:eastAsia="Times New Roman"/>
          <w:color w:val="000000"/>
          <w:sz w:val="20"/>
          <w:szCs w:val="20"/>
          <w:u w:val="single"/>
        </w:rPr>
        <w:t>Equity Securities</w:t>
      </w:r>
    </w:p>
    <w:p w:rsidR="00000000" w:rsidRDefault="00E54EC0">
      <w:pPr>
        <w:divId w:val="168834875"/>
        <w:rPr>
          <w:rFonts w:eastAsia="Times New Roman"/>
        </w:rPr>
      </w:pPr>
      <w:r>
        <w:rPr>
          <w:rFonts w:eastAsia="Times New Roman"/>
          <w:color w:val="000000"/>
          <w:sz w:val="20"/>
          <w:szCs w:val="20"/>
        </w:rPr>
        <w:t>The table below presents a breakdown of unrealized and realized gains and (losses) on equity securities during the years ended December 31, 2022 and 2021.</w:t>
      </w:r>
    </w:p>
    <w:p w:rsidR="00000000" w:rsidRDefault="00E54EC0">
      <w:pPr>
        <w:jc w:val="center"/>
        <w:rPr>
          <w:rFonts w:eastAsia="Times New Roman"/>
        </w:rPr>
      </w:pPr>
      <w:r>
        <w:rPr>
          <w:rFonts w:eastAsia="Times New Roman"/>
          <w:b/>
          <w:bCs/>
          <w:color w:val="000000"/>
          <w:sz w:val="20"/>
          <w:szCs w:val="20"/>
        </w:rPr>
        <w:t xml:space="preserve">Unrealized and Realized Gains (Losses) from Equity Securities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418"/>
        <w:gridCol w:w="36"/>
        <w:gridCol w:w="36"/>
        <w:gridCol w:w="296"/>
        <w:gridCol w:w="296"/>
        <w:gridCol w:w="120"/>
        <w:gridCol w:w="1329"/>
        <w:gridCol w:w="36"/>
        <w:gridCol w:w="36"/>
        <w:gridCol w:w="36"/>
        <w:gridCol w:w="36"/>
        <w:gridCol w:w="120"/>
        <w:gridCol w:w="1330"/>
        <w:gridCol w:w="36"/>
        <w:gridCol w:w="36"/>
        <w:gridCol w:w="36"/>
        <w:gridCol w:w="36"/>
      </w:tblGrid>
      <w:tr w:rsidR="00000000">
        <w:trPr>
          <w:divId w:val="18970753"/>
        </w:trPr>
        <w:tc>
          <w:tcPr>
            <w:tcW w:w="50" w:type="pct"/>
            <w:vAlign w:val="center"/>
            <w:hideMark/>
          </w:tcPr>
          <w:p w:rsidR="00000000" w:rsidRDefault="00E54EC0">
            <w:pPr>
              <w:jc w:val="center"/>
              <w:rPr>
                <w:rFonts w:eastAsia="Times New Roman"/>
              </w:rPr>
            </w:pPr>
          </w:p>
        </w:tc>
        <w:tc>
          <w:tcPr>
            <w:tcW w:w="29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97075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897075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E54EC0">
            <w:pPr>
              <w:spacing w:after="100"/>
              <w:jc w:val="center"/>
              <w:rPr>
                <w:rFonts w:eastAsia="Times New Roman"/>
              </w:rPr>
            </w:pPr>
          </w:p>
        </w:tc>
      </w:tr>
      <w:tr w:rsidR="00000000">
        <w:trPr>
          <w:divId w:val="1897075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897075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1897075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1897075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r>
      <w:tr w:rsidR="00000000">
        <w:trPr>
          <w:divId w:val="18970753"/>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970753"/>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233663136"/>
        <w:rPr>
          <w:rFonts w:eastAsia="Times New Roman"/>
        </w:rPr>
      </w:pPr>
      <w:r>
        <w:rPr>
          <w:rFonts w:eastAsia="Times New Roman"/>
          <w:color w:val="000000"/>
          <w:sz w:val="20"/>
          <w:szCs w:val="20"/>
          <w:u w:val="single"/>
        </w:rPr>
        <w:t>Trading Securities</w:t>
      </w:r>
    </w:p>
    <w:p w:rsidR="00000000" w:rsidRDefault="00E54EC0">
      <w:pPr>
        <w:divId w:val="803810686"/>
        <w:rPr>
          <w:rFonts w:eastAsia="Times New Roman"/>
        </w:rPr>
      </w:pPr>
      <w:r>
        <w:rPr>
          <w:rFonts w:eastAsia="Times New Roman"/>
          <w:color w:val="000000"/>
          <w:sz w:val="20"/>
          <w:szCs w:val="20"/>
        </w:rPr>
        <w:t xml:space="preserve">As of December 31, 2022 and 2021, respectively, the fair value of the Company’s trading securities was $677 million and $631 </w:t>
      </w:r>
      <w:r>
        <w:rPr>
          <w:rFonts w:eastAsia="Times New Roman"/>
          <w:color w:val="000000"/>
          <w:sz w:val="20"/>
          <w:szCs w:val="20"/>
        </w:rPr>
        <w:t>million. As of December 31, 2022 and 2021, respectively, trading securities included the General Account’s investment in Separate Accounts had carrying values of $39 million and $45 million.</w:t>
      </w:r>
    </w:p>
    <w:p w:rsidR="00000000" w:rsidRDefault="00E54EC0">
      <w:pPr>
        <w:divId w:val="1632788735"/>
        <w:rPr>
          <w:rFonts w:eastAsia="Times New Roman"/>
        </w:rPr>
      </w:pPr>
      <w:r>
        <w:rPr>
          <w:rFonts w:eastAsia="Times New Roman"/>
          <w:color w:val="000000"/>
          <w:sz w:val="20"/>
          <w:szCs w:val="20"/>
        </w:rPr>
        <w:t>The table below shows a breakdown of net investment income (loss)</w:t>
      </w:r>
      <w:r>
        <w:rPr>
          <w:rFonts w:eastAsia="Times New Roman"/>
          <w:color w:val="000000"/>
          <w:sz w:val="20"/>
          <w:szCs w:val="20"/>
        </w:rPr>
        <w:t xml:space="preserve"> from trading securities during the years ended December 31, 2022, 2021 and 2020.</w:t>
      </w:r>
    </w:p>
    <w:p w:rsidR="00000000" w:rsidRDefault="00E54EC0">
      <w:pPr>
        <w:jc w:val="center"/>
        <w:divId w:val="1182476551"/>
        <w:rPr>
          <w:rFonts w:eastAsia="Times New Roman"/>
        </w:rPr>
      </w:pPr>
    </w:p>
    <w:p w:rsidR="00000000" w:rsidRDefault="00E54EC0">
      <w:pPr>
        <w:jc w:val="center"/>
        <w:divId w:val="1182476551"/>
        <w:rPr>
          <w:rFonts w:eastAsia="Times New Roman"/>
        </w:rPr>
      </w:pPr>
      <w:r>
        <w:rPr>
          <w:rFonts w:eastAsia="Times New Roman"/>
          <w:color w:val="000000"/>
          <w:sz w:val="20"/>
          <w:szCs w:val="20"/>
        </w:rPr>
        <w:t>166</w:t>
      </w:r>
    </w:p>
    <w:p w:rsidR="00000000" w:rsidRDefault="00E54EC0">
      <w:pPr>
        <w:rPr>
          <w:rFonts w:eastAsia="Times New Roman"/>
        </w:rPr>
      </w:pPr>
      <w:r>
        <w:rPr>
          <w:rFonts w:eastAsia="Times New Roman"/>
        </w:rPr>
        <w:pict>
          <v:rect id="_x0000_i1204" style="width:0;height:1.5pt" o:hralign="center" o:hrstd="t" o:hr="t" fillcolor="#a0a0a0" stroked="f"/>
        </w:pict>
      </w:r>
    </w:p>
    <w:p w:rsidR="00000000" w:rsidRDefault="00E54EC0">
      <w:pPr>
        <w:divId w:val="1884900653"/>
        <w:rPr>
          <w:rFonts w:eastAsia="Times New Roman"/>
        </w:rPr>
      </w:pPr>
    </w:p>
    <w:p w:rsidR="00000000" w:rsidRDefault="00E54EC0">
      <w:pPr>
        <w:jc w:val="center"/>
        <w:rPr>
          <w:rFonts w:eastAsia="Times New Roman"/>
        </w:rPr>
      </w:pPr>
      <w:r>
        <w:rPr>
          <w:rFonts w:eastAsia="Times New Roman"/>
          <w:b/>
          <w:bCs/>
          <w:color w:val="000000"/>
          <w:sz w:val="20"/>
          <w:szCs w:val="20"/>
        </w:rPr>
        <w:t>Net Investment Income (Loss) from Trading Securities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689"/>
        <w:gridCol w:w="36"/>
        <w:gridCol w:w="36"/>
        <w:gridCol w:w="36"/>
        <w:gridCol w:w="36"/>
        <w:gridCol w:w="36"/>
        <w:gridCol w:w="120"/>
        <w:gridCol w:w="581"/>
        <w:gridCol w:w="36"/>
        <w:gridCol w:w="36"/>
        <w:gridCol w:w="36"/>
        <w:gridCol w:w="36"/>
        <w:gridCol w:w="120"/>
        <w:gridCol w:w="531"/>
        <w:gridCol w:w="36"/>
        <w:gridCol w:w="36"/>
        <w:gridCol w:w="36"/>
        <w:gridCol w:w="36"/>
        <w:gridCol w:w="120"/>
        <w:gridCol w:w="604"/>
        <w:gridCol w:w="36"/>
      </w:tblGrid>
      <w:tr w:rsidR="00000000">
        <w:trPr>
          <w:divId w:val="337079918"/>
        </w:trPr>
        <w:tc>
          <w:tcPr>
            <w:tcW w:w="50" w:type="pct"/>
            <w:vAlign w:val="center"/>
            <w:hideMark/>
          </w:tcPr>
          <w:p w:rsidR="00000000" w:rsidRDefault="00E54EC0">
            <w:pPr>
              <w:jc w:val="center"/>
              <w:rPr>
                <w:rFonts w:eastAsia="Times New Roman"/>
              </w:rPr>
            </w:pPr>
          </w:p>
        </w:tc>
        <w:tc>
          <w:tcPr>
            <w:tcW w:w="35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3707991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33707991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3707991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33707991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(198)</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(274)</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128 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370799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3707991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Unrealized and realized gains (losses) on trading securities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370799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and dividend income from trading securities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3707991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 from trading securities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577329086"/>
        <w:rPr>
          <w:rFonts w:eastAsia="Times New Roman"/>
        </w:rPr>
      </w:pPr>
      <w:r>
        <w:rPr>
          <w:rFonts w:eastAsia="Times New Roman"/>
          <w:color w:val="000000"/>
          <w:sz w:val="20"/>
          <w:szCs w:val="20"/>
          <w:u w:val="single"/>
        </w:rPr>
        <w:t xml:space="preserve">Fixed maturities, at fair value using the fair value option </w:t>
      </w:r>
    </w:p>
    <w:p w:rsidR="00000000" w:rsidRDefault="00E54EC0">
      <w:pPr>
        <w:divId w:val="790973493"/>
        <w:rPr>
          <w:rFonts w:eastAsia="Times New Roman"/>
        </w:rPr>
      </w:pPr>
      <w:r>
        <w:rPr>
          <w:rFonts w:eastAsia="Times New Roman"/>
          <w:color w:val="000000"/>
          <w:sz w:val="20"/>
          <w:szCs w:val="20"/>
        </w:rPr>
        <w:t>The table below shows a breakdown of net investme</w:t>
      </w:r>
      <w:r>
        <w:rPr>
          <w:rFonts w:eastAsia="Times New Roman"/>
          <w:color w:val="000000"/>
          <w:sz w:val="20"/>
          <w:szCs w:val="20"/>
        </w:rPr>
        <w:t>nt income (loss) from fixed maturities, at fair value using the fair value option during the years ended December 31, 2022 and 2021.</w:t>
      </w:r>
    </w:p>
    <w:p w:rsidR="00000000" w:rsidRDefault="00E54EC0">
      <w:pPr>
        <w:divId w:val="887255649"/>
        <w:rPr>
          <w:rFonts w:eastAsia="Times New Roman"/>
        </w:rPr>
      </w:pPr>
    </w:p>
    <w:p w:rsidR="00000000" w:rsidRDefault="00E54EC0">
      <w:pPr>
        <w:jc w:val="center"/>
        <w:rPr>
          <w:rFonts w:eastAsia="Times New Roman"/>
        </w:rPr>
      </w:pPr>
      <w:r>
        <w:rPr>
          <w:rFonts w:eastAsia="Times New Roman"/>
          <w:b/>
          <w:bCs/>
          <w:color w:val="000000"/>
          <w:sz w:val="20"/>
          <w:szCs w:val="20"/>
        </w:rPr>
        <w:t>Net Investment Income (Loss) from Fixed Maturities, at Fair Value using the Fair Value Option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4463"/>
        <w:gridCol w:w="36"/>
        <w:gridCol w:w="36"/>
        <w:gridCol w:w="36"/>
        <w:gridCol w:w="296"/>
        <w:gridCol w:w="296"/>
        <w:gridCol w:w="120"/>
        <w:gridCol w:w="1343"/>
        <w:gridCol w:w="36"/>
        <w:gridCol w:w="36"/>
        <w:gridCol w:w="36"/>
        <w:gridCol w:w="36"/>
        <w:gridCol w:w="120"/>
        <w:gridCol w:w="1343"/>
        <w:gridCol w:w="36"/>
      </w:tblGrid>
      <w:tr w:rsidR="00000000">
        <w:trPr>
          <w:divId w:val="1418289387"/>
        </w:trPr>
        <w:tc>
          <w:tcPr>
            <w:tcW w:w="50" w:type="pct"/>
            <w:vAlign w:val="center"/>
            <w:hideMark/>
          </w:tcPr>
          <w:p w:rsidR="00000000" w:rsidRDefault="00E54EC0">
            <w:pPr>
              <w:jc w:val="center"/>
              <w:rPr>
                <w:rFonts w:eastAsia="Times New Roman"/>
              </w:rPr>
            </w:pPr>
          </w:p>
        </w:tc>
        <w:tc>
          <w:tcPr>
            <w:tcW w:w="29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9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1828938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1828938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w:t>
            </w:r>
          </w:p>
        </w:tc>
      </w:tr>
      <w:tr w:rsidR="00000000">
        <w:trPr>
          <w:divId w:val="141828938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418289387"/>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828938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828938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Unrealized and realized gains (losses) from fixed maturities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828938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and dividend income from fixed maturities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1828938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 from fixed maturities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182664419"/>
        <w:rPr>
          <w:rFonts w:eastAsia="Times New Roman"/>
        </w:rPr>
      </w:pPr>
    </w:p>
    <w:p w:rsidR="00000000" w:rsidRDefault="00E54EC0">
      <w:pPr>
        <w:divId w:val="1018198427"/>
        <w:rPr>
          <w:rFonts w:eastAsia="Times New Roman"/>
        </w:rPr>
      </w:pPr>
      <w:r>
        <w:rPr>
          <w:rFonts w:eastAsia="Times New Roman"/>
          <w:color w:val="000000"/>
          <w:sz w:val="20"/>
          <w:szCs w:val="20"/>
          <w:u w:val="single"/>
        </w:rPr>
        <w:t>Net Investment Income (Loss)</w:t>
      </w:r>
    </w:p>
    <w:p w:rsidR="00000000" w:rsidRDefault="00E54EC0">
      <w:pPr>
        <w:divId w:val="1278607814"/>
        <w:rPr>
          <w:rFonts w:eastAsia="Times New Roman"/>
        </w:rPr>
      </w:pPr>
      <w:r>
        <w:rPr>
          <w:rFonts w:eastAsia="Times New Roman"/>
          <w:color w:val="000000"/>
          <w:sz w:val="20"/>
          <w:szCs w:val="20"/>
        </w:rPr>
        <w:t>The following table breaks out net investment income (loss) by asset category:</w:t>
      </w:r>
    </w:p>
    <w:tbl>
      <w:tblPr>
        <w:tblW w:w="5000" w:type="pct"/>
        <w:tblCellMar>
          <w:top w:w="15" w:type="dxa"/>
          <w:left w:w="15" w:type="dxa"/>
          <w:bottom w:w="15" w:type="dxa"/>
          <w:right w:w="15" w:type="dxa"/>
        </w:tblCellMar>
        <w:tblLook w:val="04A0" w:firstRow="1" w:lastRow="0" w:firstColumn="1" w:lastColumn="0" w:noHBand="0" w:noVBand="1"/>
      </w:tblPr>
      <w:tblGrid>
        <w:gridCol w:w="38"/>
        <w:gridCol w:w="4877"/>
        <w:gridCol w:w="37"/>
        <w:gridCol w:w="120"/>
        <w:gridCol w:w="916"/>
        <w:gridCol w:w="36"/>
        <w:gridCol w:w="36"/>
        <w:gridCol w:w="36"/>
        <w:gridCol w:w="36"/>
        <w:gridCol w:w="120"/>
        <w:gridCol w:w="876"/>
        <w:gridCol w:w="36"/>
        <w:gridCol w:w="36"/>
        <w:gridCol w:w="36"/>
        <w:gridCol w:w="36"/>
        <w:gridCol w:w="120"/>
        <w:gridCol w:w="878"/>
        <w:gridCol w:w="36"/>
      </w:tblGrid>
      <w:tr w:rsidR="00000000">
        <w:trPr>
          <w:divId w:val="1394036366"/>
        </w:trPr>
        <w:tc>
          <w:tcPr>
            <w:tcW w:w="50" w:type="pct"/>
            <w:vAlign w:val="center"/>
            <w:hideMark/>
          </w:tcPr>
          <w:p w:rsidR="00000000" w:rsidRDefault="00E54EC0">
            <w:pPr>
              <w:rPr>
                <w:rFonts w:eastAsia="Times New Roman"/>
              </w:rPr>
            </w:pPr>
          </w:p>
        </w:tc>
        <w:tc>
          <w:tcPr>
            <w:tcW w:w="29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9403636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39403636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39403636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39403636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 securities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investment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CCEEFF"/>
            <w:tcMar>
              <w:top w:w="30" w:type="dxa"/>
              <w:left w:w="20" w:type="dxa"/>
              <w:bottom w:w="30" w:type="dxa"/>
              <w:right w:w="20" w:type="dxa"/>
            </w:tcMar>
            <w:hideMark/>
          </w:tcPr>
          <w:p w:rsidR="00000000" w:rsidRDefault="00E54EC0">
            <w:pPr>
              <w:spacing w:after="100"/>
              <w:divId w:val="3165569"/>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Gross investment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expenses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9403636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3,846 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3,477 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996303358"/>
        <w:rPr>
          <w:rFonts w:eastAsia="Times New Roman"/>
        </w:rPr>
      </w:pPr>
      <w:r>
        <w:rPr>
          <w:rFonts w:eastAsia="Times New Roman"/>
          <w:color w:val="000000"/>
          <w:sz w:val="20"/>
          <w:szCs w:val="20"/>
          <w:u w:val="single"/>
        </w:rPr>
        <w:t>Investment Gains (Losses), Net</w:t>
      </w:r>
    </w:p>
    <w:p w:rsidR="00000000" w:rsidRDefault="00E54EC0">
      <w:pPr>
        <w:divId w:val="1700817180"/>
        <w:rPr>
          <w:rFonts w:eastAsia="Times New Roman"/>
        </w:rPr>
      </w:pPr>
      <w:r>
        <w:rPr>
          <w:rFonts w:eastAsia="Times New Roman"/>
          <w:color w:val="000000"/>
          <w:sz w:val="20"/>
          <w:szCs w:val="20"/>
        </w:rPr>
        <w:t>Investment gains (losses), net, including changes in the valuation allowances and credit losses are as follows:</w:t>
      </w:r>
    </w:p>
    <w:p w:rsidR="00000000" w:rsidRDefault="00E54EC0">
      <w:pPr>
        <w:divId w:val="8022268"/>
        <w:rPr>
          <w:rFonts w:eastAsia="Times New Roman"/>
        </w:rPr>
      </w:pPr>
    </w:p>
    <w:p w:rsidR="00000000" w:rsidRDefault="00E54EC0">
      <w:pPr>
        <w:jc w:val="center"/>
        <w:divId w:val="778449494"/>
        <w:rPr>
          <w:rFonts w:eastAsia="Times New Roman"/>
        </w:rPr>
      </w:pPr>
    </w:p>
    <w:p w:rsidR="00000000" w:rsidRDefault="00E54EC0">
      <w:pPr>
        <w:jc w:val="center"/>
        <w:divId w:val="778449494"/>
        <w:rPr>
          <w:rFonts w:eastAsia="Times New Roman"/>
        </w:rPr>
      </w:pPr>
      <w:r>
        <w:rPr>
          <w:rFonts w:eastAsia="Times New Roman"/>
          <w:color w:val="000000"/>
          <w:sz w:val="20"/>
          <w:szCs w:val="20"/>
        </w:rPr>
        <w:t>167</w:t>
      </w:r>
    </w:p>
    <w:p w:rsidR="00000000" w:rsidRDefault="00E54EC0">
      <w:pPr>
        <w:rPr>
          <w:rFonts w:eastAsia="Times New Roman"/>
        </w:rPr>
      </w:pPr>
      <w:r>
        <w:rPr>
          <w:rFonts w:eastAsia="Times New Roman"/>
        </w:rPr>
        <w:pict>
          <v:rect id="_x0000_i1205" style="width:0;height:1.5pt" o:hralign="center" o:hrstd="t" o:hr="t" fillcolor="#a0a0a0" stroked="f"/>
        </w:pict>
      </w:r>
    </w:p>
    <w:p w:rsidR="00000000" w:rsidRDefault="00E54EC0">
      <w:pPr>
        <w:jc w:val="center"/>
        <w:divId w:val="265428128"/>
        <w:rPr>
          <w:rFonts w:eastAsia="Times New Roman"/>
        </w:rPr>
      </w:pPr>
      <w:r>
        <w:rPr>
          <w:rFonts w:eastAsia="Times New Roman"/>
          <w:b/>
          <w:bCs/>
          <w:color w:val="000000"/>
          <w:sz w:val="20"/>
          <w:szCs w:val="20"/>
        </w:rPr>
        <w:t>EQUITABLE HOLDINGS, INC.</w:t>
      </w:r>
    </w:p>
    <w:p w:rsidR="00000000" w:rsidRDefault="00E54EC0">
      <w:pPr>
        <w:jc w:val="center"/>
        <w:divId w:val="265428128"/>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4877"/>
        <w:gridCol w:w="37"/>
        <w:gridCol w:w="120"/>
        <w:gridCol w:w="916"/>
        <w:gridCol w:w="36"/>
        <w:gridCol w:w="36"/>
        <w:gridCol w:w="36"/>
        <w:gridCol w:w="36"/>
        <w:gridCol w:w="120"/>
        <w:gridCol w:w="876"/>
        <w:gridCol w:w="36"/>
        <w:gridCol w:w="36"/>
        <w:gridCol w:w="36"/>
        <w:gridCol w:w="36"/>
        <w:gridCol w:w="120"/>
        <w:gridCol w:w="878"/>
        <w:gridCol w:w="36"/>
      </w:tblGrid>
      <w:tr w:rsidR="00000000">
        <w:trPr>
          <w:divId w:val="420102517"/>
        </w:trPr>
        <w:tc>
          <w:tcPr>
            <w:tcW w:w="50" w:type="pct"/>
            <w:vAlign w:val="center"/>
            <w:hideMark/>
          </w:tcPr>
          <w:p w:rsidR="00000000" w:rsidRDefault="00E54EC0">
            <w:pPr>
              <w:jc w:val="center"/>
              <w:rPr>
                <w:rFonts w:eastAsia="Times New Roman"/>
              </w:rPr>
            </w:pPr>
          </w:p>
        </w:tc>
        <w:tc>
          <w:tcPr>
            <w:tcW w:w="29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2010251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4201025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4201025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420102517"/>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(868)</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847 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828 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201025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201025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equity investments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201025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2010251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187017341"/>
        <w:rPr>
          <w:rFonts w:eastAsia="Times New Roman"/>
        </w:rPr>
      </w:pPr>
      <w:r>
        <w:rPr>
          <w:rFonts w:eastAsia="Times New Roman"/>
          <w:color w:val="000000"/>
          <w:sz w:val="20"/>
          <w:szCs w:val="20"/>
        </w:rPr>
        <w:t>_____________</w:t>
      </w:r>
    </w:p>
    <w:p w:rsidR="00000000" w:rsidRDefault="00E54EC0">
      <w:pPr>
        <w:ind w:hanging="360"/>
        <w:divId w:val="1453792008"/>
        <w:rPr>
          <w:rFonts w:eastAsia="Times New Roman"/>
        </w:rPr>
      </w:pPr>
      <w:r>
        <w:rPr>
          <w:rFonts w:eastAsia="Times New Roman"/>
          <w:color w:val="000000"/>
          <w:sz w:val="18"/>
          <w:szCs w:val="18"/>
        </w:rPr>
        <w:t xml:space="preserve">(1) </w:t>
      </w:r>
      <w:r>
        <w:rPr>
          <w:rFonts w:eastAsia="Times New Roman"/>
          <w:color w:val="000000"/>
          <w:sz w:val="18"/>
          <w:szCs w:val="18"/>
        </w:rPr>
        <w:t>Investment gains (losses), net of Other equity investments includes Real Estate Held for production during the years ended December 31, 2021 and December 31, 2020.</w:t>
      </w:r>
    </w:p>
    <w:p w:rsidR="00000000" w:rsidRDefault="00E54EC0">
      <w:pPr>
        <w:divId w:val="45182911"/>
        <w:rPr>
          <w:rFonts w:eastAsia="Times New Roman"/>
        </w:rPr>
      </w:pPr>
    </w:p>
    <w:p w:rsidR="00000000" w:rsidRDefault="00E54EC0">
      <w:pPr>
        <w:divId w:val="330184752"/>
        <w:rPr>
          <w:rFonts w:eastAsia="Times New Roman"/>
        </w:rPr>
      </w:pPr>
      <w:r>
        <w:rPr>
          <w:rFonts w:eastAsia="Times New Roman"/>
          <w:color w:val="000000"/>
          <w:sz w:val="20"/>
          <w:szCs w:val="20"/>
        </w:rPr>
        <w:t>For the years ended December 31, 2022, 2021 and 2020, respectively, investment results pas</w:t>
      </w:r>
      <w:r>
        <w:rPr>
          <w:rFonts w:eastAsia="Times New Roman"/>
          <w:color w:val="000000"/>
          <w:sz w:val="20"/>
          <w:szCs w:val="20"/>
        </w:rPr>
        <w:t>sed through to certain participating group annuity contracts as interest credited to policyholders’ account balances totaled $1 million, $2 million and $2 million.</w:t>
      </w:r>
    </w:p>
    <w:p w:rsidR="00000000" w:rsidRDefault="00E54EC0">
      <w:pPr>
        <w:divId w:val="365177508"/>
        <w:rPr>
          <w:rFonts w:eastAsia="Times New Roman"/>
        </w:rPr>
      </w:pPr>
    </w:p>
    <w:p w:rsidR="00000000" w:rsidRDefault="00E54EC0">
      <w:pPr>
        <w:divId w:val="1935824497"/>
        <w:rPr>
          <w:rFonts w:eastAsia="Times New Roman"/>
        </w:rPr>
      </w:pPr>
      <w:r>
        <w:rPr>
          <w:rFonts w:eastAsia="Times New Roman"/>
          <w:b/>
          <w:bCs/>
          <w:color w:val="000000"/>
          <w:sz w:val="20"/>
          <w:szCs w:val="20"/>
        </w:rPr>
        <w:t>4)     DERIVATIVES</w:t>
      </w:r>
    </w:p>
    <w:p w:rsidR="00000000" w:rsidRDefault="00E54EC0">
      <w:pPr>
        <w:divId w:val="1413160544"/>
        <w:rPr>
          <w:rFonts w:eastAsia="Times New Roman"/>
        </w:rPr>
      </w:pPr>
      <w:r>
        <w:rPr>
          <w:rFonts w:eastAsia="Times New Roman"/>
          <w:color w:val="000000"/>
          <w:sz w:val="20"/>
          <w:szCs w:val="20"/>
        </w:rPr>
        <w:t>The Company uses derivatives as part of its overall asset/liability ris</w:t>
      </w:r>
      <w:r>
        <w:rPr>
          <w:rFonts w:eastAsia="Times New Roman"/>
          <w:color w:val="000000"/>
          <w:sz w:val="20"/>
          <w:szCs w:val="20"/>
        </w:rPr>
        <w:t>k management primarily to reduce exposures to equity market and interest rate risks. Derivative hedging strategies are designed to reduce these risks from an economic perspective and are all executed within the framework of a “Derivative Use Plan” approved</w:t>
      </w:r>
      <w:r>
        <w:rPr>
          <w:rFonts w:eastAsia="Times New Roman"/>
          <w:color w:val="000000"/>
          <w:sz w:val="20"/>
          <w:szCs w:val="20"/>
        </w:rPr>
        <w:t xml:space="preserve"> by applicable states’ insurance law. Derivatives are generally not accounted for using hedge accounting, with the exception of TIPS and cash flow hedges, which are discussed further below. Operation of these hedging programs is based on models involving n</w:t>
      </w:r>
      <w:r>
        <w:rPr>
          <w:rFonts w:eastAsia="Times New Roman"/>
          <w:color w:val="000000"/>
          <w:sz w:val="20"/>
          <w:szCs w:val="20"/>
        </w:rPr>
        <w:t>umerous estimates and assumptions, including, among others, mortality, lapse, surrender and withdrawal rates, election rates, fund performance, market volatility and interest rates. A wide range of derivative contracts are used in these hedging programs, i</w:t>
      </w:r>
      <w:r>
        <w:rPr>
          <w:rFonts w:eastAsia="Times New Roman"/>
          <w:color w:val="000000"/>
          <w:sz w:val="20"/>
          <w:szCs w:val="20"/>
        </w:rPr>
        <w:t xml:space="preserve">ncluding exchange traded equity, currency and interest rate futures contracts, total return and/or other equity swaps, interest rate swap and floor contracts, bond and bond-index total return swaps, swaptions, variance swaps and equity options, credit and </w:t>
      </w:r>
      <w:r>
        <w:rPr>
          <w:rFonts w:eastAsia="Times New Roman"/>
          <w:color w:val="000000"/>
          <w:sz w:val="20"/>
          <w:szCs w:val="20"/>
        </w:rPr>
        <w:t>foreign exchange derivatives, as well as bond and repo transactions to support the hedging. The derivative contracts are collectively managed in an effort to reduce the economic impact of unfavorable changes in guaranteed benefits’ exposures attributable t</w:t>
      </w:r>
      <w:r>
        <w:rPr>
          <w:rFonts w:eastAsia="Times New Roman"/>
          <w:color w:val="000000"/>
          <w:sz w:val="20"/>
          <w:szCs w:val="20"/>
        </w:rPr>
        <w:t>o movements in capital markets. In addition, as part of its hedging strategy, the Company targets an asset level for all variable annuity products at or above a CTE98 level under most economic scenarios (CTE is a statistical measure of tail risk which quan</w:t>
      </w:r>
      <w:r>
        <w:rPr>
          <w:rFonts w:eastAsia="Times New Roman"/>
          <w:color w:val="000000"/>
          <w:sz w:val="20"/>
          <w:szCs w:val="20"/>
        </w:rPr>
        <w:t xml:space="preserve">tifies the total asset requirement to sustain a loss if an event outside a given probability level has occurred. CTE98 denotes the financial resources a company would need to cover the average of the worst 2% of scenarios.) </w:t>
      </w:r>
    </w:p>
    <w:p w:rsidR="00000000" w:rsidRDefault="00E54EC0">
      <w:pPr>
        <w:divId w:val="1581670440"/>
        <w:rPr>
          <w:rFonts w:eastAsia="Times New Roman"/>
        </w:rPr>
      </w:pPr>
      <w:r>
        <w:rPr>
          <w:rFonts w:eastAsia="Times New Roman"/>
          <w:color w:val="000000"/>
          <w:sz w:val="20"/>
          <w:szCs w:val="20"/>
          <w:u w:val="single"/>
        </w:rPr>
        <w:t>Derivatives Utilized to Hedge E</w:t>
      </w:r>
      <w:r>
        <w:rPr>
          <w:rFonts w:eastAsia="Times New Roman"/>
          <w:color w:val="000000"/>
          <w:sz w:val="20"/>
          <w:szCs w:val="20"/>
          <w:u w:val="single"/>
        </w:rPr>
        <w:t xml:space="preserve">xposure to Variable Annuities with Guarantee Features </w:t>
      </w:r>
    </w:p>
    <w:p w:rsidR="00000000" w:rsidRDefault="00E54EC0">
      <w:pPr>
        <w:divId w:val="286813986"/>
        <w:rPr>
          <w:rFonts w:eastAsia="Times New Roman"/>
        </w:rPr>
      </w:pPr>
      <w:r>
        <w:rPr>
          <w:rFonts w:eastAsia="Times New Roman"/>
          <w:color w:val="000000"/>
          <w:sz w:val="20"/>
          <w:szCs w:val="20"/>
        </w:rPr>
        <w:t xml:space="preserve">The Company has issued and continues to offer variable annuity products with GMxB features. The risk associated with the GMDB feature is that under-performance of the financial markets could result in </w:t>
      </w:r>
      <w:r>
        <w:rPr>
          <w:rFonts w:eastAsia="Times New Roman"/>
          <w:color w:val="000000"/>
          <w:sz w:val="20"/>
          <w:szCs w:val="20"/>
        </w:rPr>
        <w:t xml:space="preserve">GMDB benefits, in the event of death, being higher than what accumulated policyholders’ account balances would support. The risk associated with the GMIB feature is that under-performance of the financial markets could result in the present value of GMIB, </w:t>
      </w:r>
      <w:r>
        <w:rPr>
          <w:rFonts w:eastAsia="Times New Roman"/>
          <w:color w:val="000000"/>
          <w:sz w:val="20"/>
          <w:szCs w:val="20"/>
        </w:rPr>
        <w:t>in the event of annuitization, being higher than what accumulated policyholders’ account balances would support, taking into account the relationship between current annuity purchase rates and the GMIB guaranteed annuity purchase rates. The risk associated</w:t>
      </w:r>
      <w:r>
        <w:rPr>
          <w:rFonts w:eastAsia="Times New Roman"/>
          <w:color w:val="000000"/>
          <w:sz w:val="20"/>
          <w:szCs w:val="20"/>
        </w:rPr>
        <w:t xml:space="preserve"> with products that have a GMxB derivative features liability is that under-performance of the financial markets could result in the GMxB derivative features’ benefits being higher than what accumulated policyholders’ account balances would support. </w:t>
      </w:r>
    </w:p>
    <w:p w:rsidR="00000000" w:rsidRDefault="00E54EC0">
      <w:pPr>
        <w:divId w:val="75787662"/>
        <w:rPr>
          <w:rFonts w:eastAsia="Times New Roman"/>
        </w:rPr>
      </w:pPr>
      <w:r>
        <w:rPr>
          <w:rFonts w:eastAsia="Times New Roman"/>
          <w:color w:val="000000"/>
          <w:sz w:val="20"/>
          <w:szCs w:val="20"/>
        </w:rPr>
        <w:t>For G</w:t>
      </w:r>
      <w:r>
        <w:rPr>
          <w:rFonts w:eastAsia="Times New Roman"/>
          <w:color w:val="000000"/>
          <w:sz w:val="20"/>
          <w:szCs w:val="20"/>
        </w:rPr>
        <w:t>MxB features, the Company retains certain risks including basis, credit spread and some volatility risk and risk associated with actual experience versus expected actuarial assumptions for mortality, lapse and surrender, withdrawal and policyholder electio</w:t>
      </w:r>
      <w:r>
        <w:rPr>
          <w:rFonts w:eastAsia="Times New Roman"/>
          <w:color w:val="000000"/>
          <w:sz w:val="20"/>
          <w:szCs w:val="20"/>
        </w:rPr>
        <w:t>n rates, among other things. The derivative contracts are managed to correlate with changes in the value of the GMxB features that result from financial markets movements. A portion of exposure to realized equity volatility is hedged using equity options a</w:t>
      </w:r>
      <w:r>
        <w:rPr>
          <w:rFonts w:eastAsia="Times New Roman"/>
          <w:color w:val="000000"/>
          <w:sz w:val="20"/>
          <w:szCs w:val="20"/>
        </w:rPr>
        <w:t>nd variance swaps and a portion of exposure to credit risk is hedged using total return swaps on fixed income indices. Additionally, the Company is party to total return swaps for which the reference U.S. Treasury securities are contemporaneously purchased</w:t>
      </w:r>
      <w:r>
        <w:rPr>
          <w:rFonts w:eastAsia="Times New Roman"/>
          <w:color w:val="000000"/>
          <w:sz w:val="20"/>
          <w:szCs w:val="20"/>
        </w:rPr>
        <w:t xml:space="preserve"> from the market and sold to the swap counterparty. As these transactions result in a transfer of control of the U.S. Treasury securities to the swap counterparty, the Company derecognizes these securities with consequent gain or loss from the sale. The Co</w:t>
      </w:r>
      <w:r>
        <w:rPr>
          <w:rFonts w:eastAsia="Times New Roman"/>
          <w:color w:val="000000"/>
          <w:sz w:val="20"/>
          <w:szCs w:val="20"/>
        </w:rPr>
        <w:t xml:space="preserve">mpany has also purchased reinsurance contracts to mitigate the risks associated with GMDB features and the impact of potential </w:t>
      </w:r>
    </w:p>
    <w:p w:rsidR="00000000" w:rsidRDefault="00E54EC0">
      <w:pPr>
        <w:jc w:val="center"/>
        <w:divId w:val="412170616"/>
        <w:rPr>
          <w:rFonts w:eastAsia="Times New Roman"/>
        </w:rPr>
      </w:pPr>
    </w:p>
    <w:p w:rsidR="00000000" w:rsidRDefault="00E54EC0">
      <w:pPr>
        <w:jc w:val="center"/>
        <w:divId w:val="412170616"/>
        <w:rPr>
          <w:rFonts w:eastAsia="Times New Roman"/>
        </w:rPr>
      </w:pPr>
      <w:r>
        <w:rPr>
          <w:rFonts w:eastAsia="Times New Roman"/>
          <w:color w:val="000000"/>
          <w:sz w:val="20"/>
          <w:szCs w:val="20"/>
        </w:rPr>
        <w:t>168</w:t>
      </w:r>
    </w:p>
    <w:p w:rsidR="00000000" w:rsidRDefault="00E54EC0">
      <w:pPr>
        <w:rPr>
          <w:rFonts w:eastAsia="Times New Roman"/>
        </w:rPr>
      </w:pPr>
      <w:r>
        <w:rPr>
          <w:rFonts w:eastAsia="Times New Roman"/>
        </w:rPr>
        <w:pict>
          <v:rect id="_x0000_i1206" style="width:0;height:1.5pt" o:hralign="center" o:hrstd="t" o:hr="t" fillcolor="#a0a0a0" stroked="f"/>
        </w:pict>
      </w:r>
    </w:p>
    <w:p w:rsidR="00000000" w:rsidRDefault="00E54EC0">
      <w:pPr>
        <w:jc w:val="center"/>
        <w:divId w:val="450709478"/>
        <w:rPr>
          <w:rFonts w:eastAsia="Times New Roman"/>
        </w:rPr>
      </w:pPr>
      <w:r>
        <w:rPr>
          <w:rFonts w:eastAsia="Times New Roman"/>
          <w:b/>
          <w:bCs/>
          <w:color w:val="000000"/>
          <w:sz w:val="20"/>
          <w:szCs w:val="20"/>
        </w:rPr>
        <w:t>EQUITABLE HOLDINGS, INC.</w:t>
      </w:r>
    </w:p>
    <w:p w:rsidR="00000000" w:rsidRDefault="00E54EC0">
      <w:pPr>
        <w:jc w:val="center"/>
        <w:divId w:val="450709478"/>
        <w:rPr>
          <w:rFonts w:eastAsia="Times New Roman"/>
        </w:rPr>
      </w:pPr>
      <w:r>
        <w:rPr>
          <w:rFonts w:eastAsia="Times New Roman"/>
          <w:b/>
          <w:bCs/>
          <w:color w:val="000000"/>
          <w:sz w:val="20"/>
          <w:szCs w:val="20"/>
        </w:rPr>
        <w:t>NOTES TO CONSOLIDATED FINANCIAL STATEMENTS, continued</w:t>
      </w:r>
    </w:p>
    <w:p w:rsidR="00000000" w:rsidRDefault="00E54EC0">
      <w:pPr>
        <w:divId w:val="1566795247"/>
        <w:rPr>
          <w:rFonts w:eastAsia="Times New Roman"/>
        </w:rPr>
      </w:pPr>
      <w:r>
        <w:rPr>
          <w:rFonts w:eastAsia="Times New Roman"/>
          <w:color w:val="000000"/>
          <w:sz w:val="20"/>
          <w:szCs w:val="20"/>
        </w:rPr>
        <w:t xml:space="preserve">market </w:t>
      </w:r>
      <w:r>
        <w:rPr>
          <w:rFonts w:eastAsia="Times New Roman"/>
          <w:color w:val="000000"/>
          <w:sz w:val="20"/>
          <w:szCs w:val="20"/>
        </w:rPr>
        <w:t>fluctuations on future policyholder elections of GMIB features contained in certain annuity contracts issued by the Company. The reinsurance of the GMIB features is accounted for as a derivative. In addition, on June 1, 2021, we ceded legacy variable annui</w:t>
      </w:r>
      <w:r>
        <w:rPr>
          <w:rFonts w:eastAsia="Times New Roman"/>
          <w:color w:val="000000"/>
          <w:sz w:val="20"/>
          <w:szCs w:val="20"/>
        </w:rPr>
        <w:t xml:space="preserve">ty policies sold by Equitable Financial between 2006-2008 (the “Block”), comprised of non-New York “Accumulator” policies containing fixed rate GMIB and/or GMDB guarantees to CS Life. As this contract provides full risk transfer and thus has the same risk </w:t>
      </w:r>
      <w:r>
        <w:rPr>
          <w:rFonts w:eastAsia="Times New Roman"/>
          <w:color w:val="000000"/>
          <w:sz w:val="20"/>
          <w:szCs w:val="20"/>
        </w:rPr>
        <w:t>attributes as the underlying direct contracts, the benefits of this treaty are accounted for in the same manner as the underlying gross reserves and therefore the Amounts Due from Reinsurers related to the GMIB with NLG are accounted for as an embedded der</w:t>
      </w:r>
      <w:r>
        <w:rPr>
          <w:rFonts w:eastAsia="Times New Roman"/>
          <w:color w:val="000000"/>
          <w:sz w:val="20"/>
          <w:szCs w:val="20"/>
        </w:rPr>
        <w:t>ivative.</w:t>
      </w:r>
    </w:p>
    <w:p w:rsidR="00000000" w:rsidRDefault="00E54EC0">
      <w:pPr>
        <w:divId w:val="431441983"/>
        <w:rPr>
          <w:rFonts w:eastAsia="Times New Roman"/>
        </w:rPr>
      </w:pPr>
      <w:r>
        <w:rPr>
          <w:rFonts w:eastAsia="Times New Roman"/>
          <w:color w:val="000000"/>
          <w:sz w:val="20"/>
          <w:szCs w:val="20"/>
        </w:rPr>
        <w:t>The Company has in place an economic hedge program using U.S. Treasury futures to partially protect the overall profitability of future variable annuity sales against declining interest rates.</w:t>
      </w:r>
    </w:p>
    <w:p w:rsidR="00000000" w:rsidRDefault="00E54EC0">
      <w:pPr>
        <w:divId w:val="1097406069"/>
        <w:rPr>
          <w:rFonts w:eastAsia="Times New Roman"/>
        </w:rPr>
      </w:pPr>
      <w:r>
        <w:rPr>
          <w:rFonts w:eastAsia="Times New Roman"/>
          <w:color w:val="000000"/>
          <w:sz w:val="20"/>
          <w:szCs w:val="20"/>
          <w:u w:val="single"/>
        </w:rPr>
        <w:t xml:space="preserve">Derivatives Utilized to Hedge Crediting Rate Exposure </w:t>
      </w:r>
      <w:r>
        <w:rPr>
          <w:rFonts w:eastAsia="Times New Roman"/>
          <w:color w:val="000000"/>
          <w:sz w:val="20"/>
          <w:szCs w:val="20"/>
          <w:u w:val="single"/>
        </w:rPr>
        <w:t xml:space="preserve">on SCS, SIO, MSO and IUL Products/Investment Options </w:t>
      </w:r>
    </w:p>
    <w:p w:rsidR="00000000" w:rsidRDefault="00E54EC0">
      <w:pPr>
        <w:divId w:val="72972157"/>
        <w:rPr>
          <w:rFonts w:eastAsia="Times New Roman"/>
        </w:rPr>
      </w:pPr>
      <w:r>
        <w:rPr>
          <w:rFonts w:eastAsia="Times New Roman"/>
          <w:color w:val="000000"/>
          <w:sz w:val="20"/>
          <w:szCs w:val="20"/>
        </w:rPr>
        <w:t>The Company hedges crediting rates in the SCS variable annuity, SIO in the EQUI-VEST variable annuity series, MSO in the variable life insurance products and IUL insurance products. These products permi</w:t>
      </w:r>
      <w:r>
        <w:rPr>
          <w:rFonts w:eastAsia="Times New Roman"/>
          <w:color w:val="000000"/>
          <w:sz w:val="20"/>
          <w:szCs w:val="20"/>
        </w:rPr>
        <w:t>t the contract owner to participate in the performance of an index, ETF or commodity price movement up to a cap for a set period of time. They also contain a protection feature, in which the Company will absorb, up to a certain percentage, the loss of valu</w:t>
      </w:r>
      <w:r>
        <w:rPr>
          <w:rFonts w:eastAsia="Times New Roman"/>
          <w:color w:val="000000"/>
          <w:sz w:val="20"/>
          <w:szCs w:val="20"/>
        </w:rPr>
        <w:t xml:space="preserve">e in an index, ETF or commodity price, which varies by product segment. </w:t>
      </w:r>
    </w:p>
    <w:p w:rsidR="00000000" w:rsidRDefault="00E54EC0">
      <w:pPr>
        <w:divId w:val="254483350"/>
        <w:rPr>
          <w:rFonts w:eastAsia="Times New Roman"/>
        </w:rPr>
      </w:pPr>
      <w:r>
        <w:rPr>
          <w:rFonts w:eastAsia="Times New Roman"/>
          <w:color w:val="000000"/>
          <w:sz w:val="20"/>
          <w:szCs w:val="20"/>
        </w:rPr>
        <w:t>In order to support the returns associated with these features, the Company enters into derivative contracts whose payouts, in combination with fixed income investments, emulate those</w:t>
      </w:r>
      <w:r>
        <w:rPr>
          <w:rFonts w:eastAsia="Times New Roman"/>
          <w:color w:val="000000"/>
          <w:sz w:val="20"/>
          <w:szCs w:val="20"/>
        </w:rPr>
        <w:t xml:space="preserve"> of the index, ETF or commodity price, subject to caps and buffers, thereby substantially reducing any exposure to market-related earnings volatility.</w:t>
      </w:r>
    </w:p>
    <w:p w:rsidR="00000000" w:rsidRDefault="00E54EC0">
      <w:pPr>
        <w:divId w:val="1778089977"/>
        <w:rPr>
          <w:rFonts w:eastAsia="Times New Roman"/>
        </w:rPr>
      </w:pPr>
      <w:r>
        <w:rPr>
          <w:rFonts w:eastAsia="Times New Roman"/>
          <w:color w:val="000000"/>
          <w:sz w:val="20"/>
          <w:szCs w:val="20"/>
          <w:u w:val="single"/>
        </w:rPr>
        <w:t>Derivatives Used to Hedge Equity Market Risks Associated with the General Account’s Seed Money Investment</w:t>
      </w:r>
      <w:r>
        <w:rPr>
          <w:rFonts w:eastAsia="Times New Roman"/>
          <w:color w:val="000000"/>
          <w:sz w:val="20"/>
          <w:szCs w:val="20"/>
          <w:u w:val="single"/>
        </w:rPr>
        <w:t>s in Retail Mutual Funds</w:t>
      </w:r>
    </w:p>
    <w:p w:rsidR="00000000" w:rsidRDefault="00E54EC0">
      <w:pPr>
        <w:divId w:val="622731466"/>
        <w:rPr>
          <w:rFonts w:eastAsia="Times New Roman"/>
        </w:rPr>
      </w:pPr>
      <w:r>
        <w:rPr>
          <w:rFonts w:eastAsia="Times New Roman"/>
          <w:color w:val="000000"/>
          <w:sz w:val="20"/>
          <w:szCs w:val="20"/>
        </w:rPr>
        <w:t>The Company’s General Account seed money investments in retail mutual funds expose us to market risk, including equity market risk which is partially hedged through equity-index futures contracts to minimize such risk.</w:t>
      </w:r>
    </w:p>
    <w:p w:rsidR="00000000" w:rsidRDefault="00E54EC0">
      <w:pPr>
        <w:divId w:val="1797141431"/>
        <w:rPr>
          <w:rFonts w:eastAsia="Times New Roman"/>
        </w:rPr>
      </w:pPr>
      <w:r>
        <w:rPr>
          <w:rFonts w:eastAsia="Times New Roman"/>
          <w:color w:val="000000"/>
          <w:sz w:val="20"/>
          <w:szCs w:val="20"/>
          <w:u w:val="single"/>
        </w:rPr>
        <w:t xml:space="preserve">Derivatives Used for General Account Investment Portfolio </w:t>
      </w:r>
    </w:p>
    <w:p w:rsidR="00000000" w:rsidRDefault="00E54EC0">
      <w:pPr>
        <w:divId w:val="469251608"/>
        <w:rPr>
          <w:rFonts w:eastAsia="Times New Roman"/>
        </w:rPr>
      </w:pPr>
      <w:r>
        <w:rPr>
          <w:rFonts w:eastAsia="Times New Roman"/>
          <w:color w:val="000000"/>
          <w:sz w:val="20"/>
          <w:szCs w:val="20"/>
        </w:rPr>
        <w:t xml:space="preserve">The Company maintains a strategy in its General Account investment portfolio to replicate the credit exposure of fixed maturity securities otherwise permissible for investment under its investment </w:t>
      </w:r>
      <w:r>
        <w:rPr>
          <w:rFonts w:eastAsia="Times New Roman"/>
          <w:color w:val="000000"/>
          <w:sz w:val="20"/>
          <w:szCs w:val="20"/>
        </w:rPr>
        <w:t>guidelines through the sale of CDS. Under the terms of these swaps, the Company receives quarterly fixed premiums that, together with any initial amount paid or received at trade inception, replicate the credit spread otherwise currently obtainable by purc</w:t>
      </w:r>
      <w:r>
        <w:rPr>
          <w:rFonts w:eastAsia="Times New Roman"/>
          <w:color w:val="000000"/>
          <w:sz w:val="20"/>
          <w:szCs w:val="20"/>
        </w:rPr>
        <w:t>hasing the referenced entity’s bonds of similar maturity. These credit derivatives generally have remaining terms of five years or less and are recorded at fair value with changes in fair value, including the yield component that emerges from initial amoun</w:t>
      </w:r>
      <w:r>
        <w:rPr>
          <w:rFonts w:eastAsia="Times New Roman"/>
          <w:color w:val="000000"/>
          <w:sz w:val="20"/>
          <w:szCs w:val="20"/>
        </w:rPr>
        <w:t xml:space="preserve">ts paid or received, reported in net derivative gains (losses). </w:t>
      </w:r>
    </w:p>
    <w:p w:rsidR="00000000" w:rsidRDefault="00E54EC0">
      <w:pPr>
        <w:divId w:val="1314945758"/>
        <w:rPr>
          <w:rFonts w:eastAsia="Times New Roman"/>
        </w:rPr>
      </w:pPr>
      <w:r>
        <w:rPr>
          <w:rFonts w:eastAsia="Times New Roman"/>
          <w:color w:val="000000"/>
          <w:sz w:val="20"/>
          <w:szCs w:val="20"/>
        </w:rPr>
        <w:t>The Company manages its credit exposure taking into consideration both cash and derivatives based positions and selects the reference entities in its replicated credit exposures in a manner c</w:t>
      </w:r>
      <w:r>
        <w:rPr>
          <w:rFonts w:eastAsia="Times New Roman"/>
          <w:color w:val="000000"/>
          <w:sz w:val="20"/>
          <w:szCs w:val="20"/>
        </w:rPr>
        <w:t>onsistent with its selection of fixed maturities. In addition, the Company generally transacts the sale of CDS in single name reference entities of investment grade credit quality and with counterparties subject to collateral posting requirements. If there</w:t>
      </w:r>
      <w:r>
        <w:rPr>
          <w:rFonts w:eastAsia="Times New Roman"/>
          <w:color w:val="000000"/>
          <w:sz w:val="20"/>
          <w:szCs w:val="20"/>
        </w:rPr>
        <w:t xml:space="preserve"> is an event of default by the reference entity or other such credit event as defined under the terms of the swap contract, the Company is obligated to perform under the credit derivative and, at its option, either pay the referenced amount of the contract</w:t>
      </w:r>
      <w:r>
        <w:rPr>
          <w:rFonts w:eastAsia="Times New Roman"/>
          <w:color w:val="000000"/>
          <w:sz w:val="20"/>
          <w:szCs w:val="20"/>
        </w:rPr>
        <w:t xml:space="preserve"> less an auction-determined recovery amount or pay the referenced amount of the contract and receive in return the defaulted or similar security of the reference entity for recovery by sale at the contract settlement auction. The Company purchased CDS to m</w:t>
      </w:r>
      <w:r>
        <w:rPr>
          <w:rFonts w:eastAsia="Times New Roman"/>
          <w:color w:val="000000"/>
          <w:sz w:val="20"/>
          <w:szCs w:val="20"/>
        </w:rPr>
        <w:t>itigate its exposure to a reference entity through cash positions. These positions do not replicate credit spreads.</w:t>
      </w:r>
    </w:p>
    <w:p w:rsidR="00000000" w:rsidRDefault="00E54EC0">
      <w:pPr>
        <w:divId w:val="1316883501"/>
        <w:rPr>
          <w:rFonts w:eastAsia="Times New Roman"/>
        </w:rPr>
      </w:pPr>
      <w:r>
        <w:rPr>
          <w:rFonts w:eastAsia="Times New Roman"/>
          <w:color w:val="000000"/>
          <w:sz w:val="20"/>
          <w:szCs w:val="20"/>
        </w:rPr>
        <w:t>To date, there have been no events of default or circumstances indicative of a deterioration in the credit quality of the named referenced e</w:t>
      </w:r>
      <w:r>
        <w:rPr>
          <w:rFonts w:eastAsia="Times New Roman"/>
          <w:color w:val="000000"/>
          <w:sz w:val="20"/>
          <w:szCs w:val="20"/>
        </w:rPr>
        <w:t>ntities to require or suggest that the Company will have to perform under the CDS that it sold. The maximum potential amount of future payments the Company could be required to make under the credit derivatives sold is limited to the par value of the refer</w:t>
      </w:r>
      <w:r>
        <w:rPr>
          <w:rFonts w:eastAsia="Times New Roman"/>
          <w:color w:val="000000"/>
          <w:sz w:val="20"/>
          <w:szCs w:val="20"/>
        </w:rPr>
        <w:t>enced securities which is the dollar or euro-equivalent of the derivative’s notional amount. The Standard North American CDS Contract or Standard European Corporate Contract under which the Company executes these CDS sales transactions does not contain rec</w:t>
      </w:r>
      <w:r>
        <w:rPr>
          <w:rFonts w:eastAsia="Times New Roman"/>
          <w:color w:val="000000"/>
          <w:sz w:val="20"/>
          <w:szCs w:val="20"/>
        </w:rPr>
        <w:t xml:space="preserve">ourse provisions for recovery of amounts paid under the credit derivative. </w:t>
      </w:r>
    </w:p>
    <w:p w:rsidR="00000000" w:rsidRDefault="00E54EC0">
      <w:pPr>
        <w:divId w:val="555702431"/>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cross-currency</w:t>
      </w:r>
      <w:r>
        <w:rPr>
          <w:rFonts w:eastAsia="Times New Roman"/>
          <w:color w:val="000000"/>
          <w:sz w:val="20"/>
          <w:szCs w:val="20"/>
        </w:rPr>
        <w:t xml:space="preserve"> basis swaps, to result in payment of the given bond’s coupons and principal at maturity in the bond’s specified currency to the swap counterparty in return for fixed </w:t>
      </w:r>
    </w:p>
    <w:p w:rsidR="00000000" w:rsidRDefault="00E54EC0">
      <w:pPr>
        <w:jc w:val="center"/>
        <w:divId w:val="1661080215"/>
        <w:rPr>
          <w:rFonts w:eastAsia="Times New Roman"/>
        </w:rPr>
      </w:pPr>
    </w:p>
    <w:p w:rsidR="00000000" w:rsidRDefault="00E54EC0">
      <w:pPr>
        <w:jc w:val="center"/>
        <w:divId w:val="1661080215"/>
        <w:rPr>
          <w:rFonts w:eastAsia="Times New Roman"/>
        </w:rPr>
      </w:pPr>
      <w:r>
        <w:rPr>
          <w:rFonts w:eastAsia="Times New Roman"/>
          <w:color w:val="000000"/>
          <w:sz w:val="20"/>
          <w:szCs w:val="20"/>
        </w:rPr>
        <w:t>169</w:t>
      </w:r>
    </w:p>
    <w:p w:rsidR="00000000" w:rsidRDefault="00E54EC0">
      <w:pPr>
        <w:rPr>
          <w:rFonts w:eastAsia="Times New Roman"/>
        </w:rPr>
      </w:pPr>
      <w:r>
        <w:rPr>
          <w:rFonts w:eastAsia="Times New Roman"/>
        </w:rPr>
        <w:pict>
          <v:rect id="_x0000_i1207" style="width:0;height:1.5pt" o:hralign="center" o:hrstd="t" o:hr="t" fillcolor="#a0a0a0" stroked="f"/>
        </w:pict>
      </w:r>
    </w:p>
    <w:p w:rsidR="00000000" w:rsidRDefault="00E54EC0">
      <w:pPr>
        <w:jc w:val="center"/>
        <w:divId w:val="1825395814"/>
        <w:rPr>
          <w:rFonts w:eastAsia="Times New Roman"/>
        </w:rPr>
      </w:pPr>
      <w:r>
        <w:rPr>
          <w:rFonts w:eastAsia="Times New Roman"/>
          <w:b/>
          <w:bCs/>
          <w:color w:val="000000"/>
          <w:sz w:val="20"/>
          <w:szCs w:val="20"/>
        </w:rPr>
        <w:t>EQUITABLE HOLDINGS, INC.</w:t>
      </w:r>
    </w:p>
    <w:p w:rsidR="00000000" w:rsidRDefault="00E54EC0">
      <w:pPr>
        <w:jc w:val="center"/>
        <w:divId w:val="1825395814"/>
        <w:rPr>
          <w:rFonts w:eastAsia="Times New Roman"/>
        </w:rPr>
      </w:pPr>
      <w:r>
        <w:rPr>
          <w:rFonts w:eastAsia="Times New Roman"/>
          <w:b/>
          <w:bCs/>
          <w:color w:val="000000"/>
          <w:sz w:val="20"/>
          <w:szCs w:val="20"/>
        </w:rPr>
        <w:t>NOTES TO CONSOLIDATED FINANCIAL STATEMENTS, continued</w:t>
      </w:r>
    </w:p>
    <w:p w:rsidR="00000000" w:rsidRDefault="00E54EC0">
      <w:pPr>
        <w:divId w:val="1963418463"/>
        <w:rPr>
          <w:rFonts w:eastAsia="Times New Roman"/>
        </w:rPr>
      </w:pPr>
      <w:r>
        <w:rPr>
          <w:rFonts w:eastAsia="Times New Roman"/>
          <w:color w:val="000000"/>
          <w:sz w:val="20"/>
          <w:szCs w:val="20"/>
        </w:rPr>
        <w:t>dollar amounts. These swaps, when considered in combination with the bonds, together result in a net position that is intended to replicate a</w:t>
      </w:r>
      <w:r>
        <w:rPr>
          <w:rFonts w:eastAsia="Times New Roman"/>
          <w:color w:val="000000"/>
          <w:sz w:val="20"/>
          <w:szCs w:val="20"/>
        </w:rPr>
        <w:t xml:space="preserve"> dollar-denominated fixed-coupon cash bond with a yield higher than a term-equivalent U.S. Treasury bond. </w:t>
      </w:r>
    </w:p>
    <w:p w:rsidR="00000000" w:rsidRDefault="00E54EC0">
      <w:pPr>
        <w:divId w:val="1399085558"/>
        <w:rPr>
          <w:rFonts w:eastAsia="Times New Roman"/>
        </w:rPr>
      </w:pPr>
      <w:r>
        <w:rPr>
          <w:rFonts w:eastAsia="Times New Roman"/>
          <w:color w:val="000000"/>
          <w:sz w:val="20"/>
          <w:szCs w:val="20"/>
          <w:u w:val="single"/>
        </w:rPr>
        <w:t>Derivatives Utilized to Hedge Exposure to Foreign Currency Denominated Cash Flows</w:t>
      </w:r>
    </w:p>
    <w:p w:rsidR="00000000" w:rsidRDefault="00E54EC0">
      <w:pPr>
        <w:divId w:val="1647396945"/>
        <w:rPr>
          <w:rFonts w:eastAsia="Times New Roman"/>
        </w:rPr>
      </w:pPr>
      <w:r>
        <w:rPr>
          <w:rFonts w:eastAsia="Times New Roman"/>
          <w:color w:val="000000"/>
          <w:sz w:val="20"/>
          <w:szCs w:val="20"/>
        </w:rPr>
        <w:t xml:space="preserve">The Company purchases private placement debt securities and issues </w:t>
      </w:r>
      <w:r>
        <w:rPr>
          <w:rFonts w:eastAsia="Times New Roman"/>
          <w:color w:val="000000"/>
          <w:sz w:val="20"/>
          <w:szCs w:val="20"/>
        </w:rPr>
        <w:t>funding agreements in the FABN program in currencies other than its functional U.S. dollar currency. The Company enters into cross currency swaps with external counterparties to hedge the exposure of the foreign currency denominated cash flows of these ins</w:t>
      </w:r>
      <w:r>
        <w:rPr>
          <w:rFonts w:eastAsia="Times New Roman"/>
          <w:color w:val="000000"/>
          <w:sz w:val="20"/>
          <w:szCs w:val="20"/>
        </w:rPr>
        <w:t>truments. The foreign currency received from or paid to the cross currency swap counterparty is exchanged for fixed U.S. dollar amounts with improved net investment yields or net product costs over equivalent U.S. dollar denominated instruments issued at t</w:t>
      </w:r>
      <w:r>
        <w:rPr>
          <w:rFonts w:eastAsia="Times New Roman"/>
          <w:color w:val="000000"/>
          <w:sz w:val="20"/>
          <w:szCs w:val="20"/>
        </w:rPr>
        <w:t xml:space="preserve">hat time. The transactions are accounted for as cash flow hedges when they are designated in hedging relationships and qualify for hedge accounting. The first cross currency swap hedges were designated and applied hedge accounting during the quarter ended </w:t>
      </w:r>
      <w:r>
        <w:rPr>
          <w:rFonts w:eastAsia="Times New Roman"/>
          <w:color w:val="000000"/>
          <w:sz w:val="20"/>
          <w:szCs w:val="20"/>
        </w:rPr>
        <w:t>June 30, 2021.</w:t>
      </w:r>
    </w:p>
    <w:p w:rsidR="00000000" w:rsidRDefault="00E54EC0">
      <w:pPr>
        <w:divId w:val="1940866189"/>
        <w:rPr>
          <w:rFonts w:eastAsia="Times New Roman"/>
        </w:rPr>
      </w:pPr>
      <w:r>
        <w:rPr>
          <w:rFonts w:eastAsia="Times New Roman"/>
          <w:color w:val="000000"/>
          <w:sz w:val="20"/>
          <w:szCs w:val="20"/>
        </w:rPr>
        <w:t>These cross currency swaps are for the period the foreign currency denominated private placement debt securities and funding agreement are outstanding, with the longest cross currency swap expiring in 2033. Since these cross currency swaps a</w:t>
      </w:r>
      <w:r>
        <w:rPr>
          <w:rFonts w:eastAsia="Times New Roman"/>
          <w:color w:val="000000"/>
          <w:sz w:val="20"/>
          <w:szCs w:val="20"/>
        </w:rPr>
        <w:t xml:space="preserve">re designated and qualify as cash flow hedges, the corresponding interest accruals are recognized in Net investment income and in Interest credited to policyholders’ account balances. </w:t>
      </w:r>
    </w:p>
    <w:p w:rsidR="00000000" w:rsidRDefault="00E54EC0">
      <w:pPr>
        <w:divId w:val="2000308040"/>
        <w:rPr>
          <w:rFonts w:eastAsia="Times New Roman"/>
        </w:rPr>
      </w:pPr>
      <w:r>
        <w:rPr>
          <w:rFonts w:eastAsia="Times New Roman"/>
          <w:color w:val="000000"/>
          <w:sz w:val="20"/>
          <w:szCs w:val="20"/>
        </w:rPr>
        <w:t>The tables below present quantitative disclosures about the Company’s d</w:t>
      </w:r>
      <w:r>
        <w:rPr>
          <w:rFonts w:eastAsia="Times New Roman"/>
          <w:color w:val="000000"/>
          <w:sz w:val="20"/>
          <w:szCs w:val="20"/>
        </w:rPr>
        <w:t>erivative instruments designated in hedging relationships and derivative instruments which have not been designated in hedging relationships, including those embedded in other contracts required to be accounted for as derivative instruments.</w:t>
      </w:r>
    </w:p>
    <w:p w:rsidR="00000000" w:rsidRDefault="00E54EC0">
      <w:pPr>
        <w:divId w:val="779498360"/>
        <w:rPr>
          <w:rFonts w:eastAsia="Times New Roman"/>
        </w:rPr>
      </w:pPr>
      <w:r>
        <w:rPr>
          <w:rFonts w:eastAsia="Times New Roman"/>
          <w:color w:val="000000"/>
          <w:sz w:val="20"/>
          <w:szCs w:val="20"/>
        </w:rPr>
        <w:t xml:space="preserve">The following </w:t>
      </w:r>
      <w:r>
        <w:rPr>
          <w:rFonts w:eastAsia="Times New Roman"/>
          <w:color w:val="000000"/>
          <w:sz w:val="20"/>
          <w:szCs w:val="20"/>
        </w:rPr>
        <w:t>table presents the gross notional amount and estimated fair value of the Company’s derivatives:</w:t>
      </w:r>
    </w:p>
    <w:p w:rsidR="00000000" w:rsidRDefault="00E54EC0">
      <w:pPr>
        <w:divId w:val="377318262"/>
        <w:rPr>
          <w:rFonts w:eastAsia="Times New Roman"/>
        </w:rPr>
      </w:pPr>
    </w:p>
    <w:p w:rsidR="00000000" w:rsidRDefault="00E54EC0">
      <w:pPr>
        <w:jc w:val="center"/>
        <w:divId w:val="912661955"/>
        <w:rPr>
          <w:rFonts w:eastAsia="Times New Roman"/>
        </w:rPr>
      </w:pPr>
    </w:p>
    <w:p w:rsidR="00000000" w:rsidRDefault="00E54EC0">
      <w:pPr>
        <w:jc w:val="center"/>
        <w:divId w:val="912661955"/>
        <w:rPr>
          <w:rFonts w:eastAsia="Times New Roman"/>
        </w:rPr>
      </w:pPr>
      <w:r>
        <w:rPr>
          <w:rFonts w:eastAsia="Times New Roman"/>
          <w:color w:val="000000"/>
          <w:sz w:val="20"/>
          <w:szCs w:val="20"/>
        </w:rPr>
        <w:t>170</w:t>
      </w:r>
    </w:p>
    <w:p w:rsidR="00000000" w:rsidRDefault="00E54EC0">
      <w:pPr>
        <w:rPr>
          <w:rFonts w:eastAsia="Times New Roman"/>
        </w:rPr>
      </w:pPr>
      <w:r>
        <w:rPr>
          <w:rFonts w:eastAsia="Times New Roman"/>
        </w:rPr>
        <w:pict>
          <v:rect id="_x0000_i1208" style="width:0;height:1.5pt" o:hralign="center" o:hrstd="t" o:hr="t" fillcolor="#a0a0a0" stroked="f"/>
        </w:pict>
      </w:r>
    </w:p>
    <w:p w:rsidR="00000000" w:rsidRDefault="00E54EC0">
      <w:pPr>
        <w:jc w:val="center"/>
        <w:divId w:val="1107847476"/>
        <w:rPr>
          <w:rFonts w:eastAsia="Times New Roman"/>
        </w:rPr>
      </w:pPr>
      <w:r>
        <w:rPr>
          <w:rFonts w:eastAsia="Times New Roman"/>
          <w:b/>
          <w:bCs/>
          <w:color w:val="000000"/>
          <w:sz w:val="20"/>
          <w:szCs w:val="20"/>
        </w:rPr>
        <w:t>EQUITABLE HOLDINGS, INC.</w:t>
      </w:r>
    </w:p>
    <w:p w:rsidR="00000000" w:rsidRDefault="00E54EC0">
      <w:pPr>
        <w:jc w:val="center"/>
        <w:divId w:val="1107847476"/>
        <w:rPr>
          <w:rFonts w:eastAsia="Times New Roman"/>
        </w:rPr>
      </w:pPr>
      <w:r>
        <w:rPr>
          <w:rFonts w:eastAsia="Times New Roman"/>
          <w:b/>
          <w:bCs/>
          <w:color w:val="000000"/>
          <w:sz w:val="20"/>
          <w:szCs w:val="20"/>
        </w:rPr>
        <w:t>NOTES TO CONSOLIDATED FINANCIAL STATEMENTS, continued</w:t>
      </w:r>
    </w:p>
    <w:p w:rsidR="00000000" w:rsidRDefault="00E54EC0">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825"/>
        <w:gridCol w:w="38"/>
        <w:gridCol w:w="120"/>
        <w:gridCol w:w="600"/>
        <w:gridCol w:w="36"/>
        <w:gridCol w:w="36"/>
        <w:gridCol w:w="36"/>
        <w:gridCol w:w="36"/>
        <w:gridCol w:w="121"/>
        <w:gridCol w:w="691"/>
        <w:gridCol w:w="36"/>
        <w:gridCol w:w="36"/>
        <w:gridCol w:w="36"/>
        <w:gridCol w:w="36"/>
        <w:gridCol w:w="121"/>
        <w:gridCol w:w="691"/>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36"/>
      </w:tblGrid>
      <w:tr w:rsidR="00000000">
        <w:trPr>
          <w:divId w:val="2014605683"/>
        </w:trPr>
        <w:tc>
          <w:tcPr>
            <w:tcW w:w="50" w:type="pct"/>
            <w:vAlign w:val="center"/>
            <w:hideMark/>
          </w:tcPr>
          <w:p w:rsidR="00000000" w:rsidRDefault="00E54EC0">
            <w:pPr>
              <w:jc w:val="center"/>
              <w:rPr>
                <w:rFonts w:eastAsia="Times New Roman"/>
              </w:rPr>
            </w:pPr>
          </w:p>
        </w:tc>
        <w:tc>
          <w:tcPr>
            <w:tcW w:w="220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5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8"/>
                <w:szCs w:val="18"/>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8"/>
                <w:szCs w:val="18"/>
              </w:rPr>
              <w:t>December 31, 2021</w:t>
            </w:r>
          </w:p>
        </w:tc>
        <w:tc>
          <w:tcPr>
            <w:tcW w:w="0" w:type="auto"/>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 Value</w:t>
            </w:r>
          </w:p>
        </w:tc>
        <w:tc>
          <w:tcPr>
            <w:tcW w:w="0" w:type="auto"/>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Derivative Liabilities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Derivative Liabilities</w:t>
            </w:r>
          </w:p>
        </w:tc>
        <w:tc>
          <w:tcPr>
            <w:tcW w:w="0" w:type="auto"/>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Derivatives: designated for hedge accounting (1)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w:t>
            </w:r>
            <w:r>
              <w:rPr>
                <w:rFonts w:eastAsia="Times New Roman"/>
                <w:color w:val="000000"/>
                <w:sz w:val="20"/>
                <w:szCs w:val="20"/>
              </w:rPr>
              <w:t xml:space="preserve">Cash flow hedges: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 Currency swaps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Interest 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 Total: designated for hedge accounting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Derivatives: not designated for hedge accounting (1)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Futures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Swaps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13,378 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48,489 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5,065 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1,889 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Currency contracts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Currency forwards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6,160 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71,455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12,351 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Amounts due from reinsurers (5)</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GMIB reinsurance contracts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GMxB derivative features liability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FFFF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SCS, SIO, MSO and IUL indexed features (4)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14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embedded derivatives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14605683"/>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73,841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18,420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27,028 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1838038866"/>
        <w:rPr>
          <w:rFonts w:eastAsia="Times New Roman"/>
        </w:rPr>
      </w:pPr>
      <w:r>
        <w:rPr>
          <w:rFonts w:eastAsia="Times New Roman"/>
          <w:color w:val="000000"/>
          <w:sz w:val="18"/>
          <w:szCs w:val="18"/>
        </w:rPr>
        <w:t>___________</w:t>
      </w:r>
    </w:p>
    <w:p w:rsidR="00000000" w:rsidRDefault="00E54EC0">
      <w:pPr>
        <w:ind w:hanging="360"/>
        <w:divId w:val="1102070015"/>
        <w:rPr>
          <w:rFonts w:eastAsia="Times New Roman"/>
        </w:rPr>
      </w:pPr>
      <w:r>
        <w:rPr>
          <w:rFonts w:eastAsia="Times New Roman"/>
          <w:color w:val="000000"/>
          <w:sz w:val="18"/>
          <w:szCs w:val="18"/>
        </w:rPr>
        <w:t>(1)Reported in other invested assets in the consolidated balance sheets.</w:t>
      </w:r>
    </w:p>
    <w:p w:rsidR="00000000" w:rsidRDefault="00E54EC0">
      <w:pPr>
        <w:ind w:hanging="360"/>
        <w:divId w:val="432240462"/>
        <w:rPr>
          <w:rFonts w:eastAsia="Times New Roman"/>
        </w:rPr>
      </w:pPr>
      <w:r>
        <w:rPr>
          <w:rFonts w:eastAsia="Times New Roman"/>
          <w:color w:val="000000"/>
          <w:sz w:val="18"/>
          <w:szCs w:val="18"/>
        </w:rPr>
        <w:t xml:space="preserve">(2)Reported in GMIB reinsurance contract asset in </w:t>
      </w:r>
      <w:r>
        <w:rPr>
          <w:rFonts w:eastAsia="Times New Roman"/>
          <w:color w:val="000000"/>
          <w:sz w:val="18"/>
          <w:szCs w:val="18"/>
        </w:rPr>
        <w:t>the consolidated balance sheets.</w:t>
      </w:r>
    </w:p>
    <w:p w:rsidR="00000000" w:rsidRDefault="00E54EC0">
      <w:pPr>
        <w:ind w:hanging="360"/>
        <w:divId w:val="159933667"/>
        <w:rPr>
          <w:rFonts w:eastAsia="Times New Roman"/>
        </w:rPr>
      </w:pPr>
      <w:r>
        <w:rPr>
          <w:rFonts w:eastAsia="Times New Roman"/>
          <w:color w:val="000000"/>
          <w:sz w:val="18"/>
          <w:szCs w:val="18"/>
        </w:rPr>
        <w:t>(3)Reported in future policy benefits and other policyholders’ liabilities in the consolidated balance sheets.</w:t>
      </w:r>
    </w:p>
    <w:p w:rsidR="00000000" w:rsidRDefault="00E54EC0">
      <w:pPr>
        <w:ind w:hanging="360"/>
        <w:divId w:val="1997762358"/>
        <w:rPr>
          <w:rFonts w:eastAsia="Times New Roman"/>
        </w:rPr>
      </w:pPr>
      <w:r>
        <w:rPr>
          <w:rFonts w:eastAsia="Times New Roman"/>
          <w:color w:val="000000"/>
          <w:sz w:val="18"/>
          <w:szCs w:val="18"/>
        </w:rPr>
        <w:t>(4)Reported in policyholders’ account balances in the consolidated balance sheets.</w:t>
      </w:r>
    </w:p>
    <w:p w:rsidR="00000000" w:rsidRDefault="00E54EC0">
      <w:pPr>
        <w:ind w:hanging="360"/>
        <w:divId w:val="72631365"/>
        <w:rPr>
          <w:rFonts w:eastAsia="Times New Roman"/>
        </w:rPr>
      </w:pPr>
      <w:r>
        <w:rPr>
          <w:rFonts w:eastAsia="Times New Roman"/>
          <w:color w:val="000000"/>
          <w:sz w:val="18"/>
          <w:szCs w:val="18"/>
        </w:rPr>
        <w:t xml:space="preserve">(5)Represents GMIB NLG ceded </w:t>
      </w:r>
      <w:r>
        <w:rPr>
          <w:rFonts w:eastAsia="Times New Roman"/>
          <w:color w:val="000000"/>
          <w:sz w:val="18"/>
          <w:szCs w:val="18"/>
        </w:rPr>
        <w:t>related to the Venerable Transaction.</w:t>
      </w:r>
    </w:p>
    <w:p w:rsidR="00000000" w:rsidRDefault="00E54EC0">
      <w:pPr>
        <w:ind w:firstLine="360"/>
        <w:divId w:val="960038919"/>
        <w:rPr>
          <w:rFonts w:eastAsia="Times New Roman"/>
        </w:rPr>
      </w:pPr>
    </w:p>
    <w:p w:rsidR="00000000" w:rsidRDefault="00E54EC0">
      <w:pPr>
        <w:divId w:val="1835099954"/>
        <w:rPr>
          <w:rFonts w:eastAsia="Times New Roman"/>
        </w:rPr>
      </w:pPr>
      <w:r>
        <w:rPr>
          <w:rFonts w:eastAsia="Times New Roman"/>
          <w:color w:val="000000"/>
          <w:sz w:val="20"/>
          <w:szCs w:val="20"/>
        </w:rPr>
        <w:t>The following table presents the effects of derivative instruments on the consolidated statements of income and comprehensive income (loss).</w:t>
      </w:r>
    </w:p>
    <w:p w:rsidR="00000000" w:rsidRDefault="00E54EC0">
      <w:pPr>
        <w:jc w:val="center"/>
        <w:rPr>
          <w:rFonts w:eastAsia="Times New Roman"/>
        </w:rPr>
      </w:pPr>
    </w:p>
    <w:p w:rsidR="00000000" w:rsidRDefault="00E54EC0">
      <w:pPr>
        <w:jc w:val="center"/>
        <w:rPr>
          <w:rFonts w:eastAsia="Times New Roman"/>
        </w:rPr>
      </w:pPr>
      <w:r>
        <w:rPr>
          <w:rFonts w:eastAsia="Times New Roman"/>
          <w:b/>
          <w:bCs/>
          <w:color w:val="000000"/>
          <w:sz w:val="20"/>
          <w:szCs w:val="20"/>
        </w:rPr>
        <w:t>Derivative Instruments by Category</w:t>
      </w:r>
    </w:p>
    <w:p w:rsidR="00000000" w:rsidRDefault="00E54EC0">
      <w:pPr>
        <w:jc w:val="center"/>
        <w:divId w:val="2118675094"/>
        <w:rPr>
          <w:rFonts w:eastAsia="Times New Roman"/>
        </w:rPr>
      </w:pPr>
    </w:p>
    <w:p w:rsidR="00000000" w:rsidRDefault="00E54EC0">
      <w:pPr>
        <w:jc w:val="center"/>
        <w:divId w:val="2118675094"/>
        <w:rPr>
          <w:rFonts w:eastAsia="Times New Roman"/>
        </w:rPr>
      </w:pPr>
      <w:r>
        <w:rPr>
          <w:rFonts w:eastAsia="Times New Roman"/>
          <w:color w:val="000000"/>
          <w:sz w:val="20"/>
          <w:szCs w:val="20"/>
        </w:rPr>
        <w:t>171</w:t>
      </w:r>
    </w:p>
    <w:p w:rsidR="00000000" w:rsidRDefault="00E54EC0">
      <w:pPr>
        <w:rPr>
          <w:rFonts w:eastAsia="Times New Roman"/>
        </w:rPr>
      </w:pPr>
      <w:r>
        <w:rPr>
          <w:rFonts w:eastAsia="Times New Roman"/>
        </w:rPr>
        <w:pict>
          <v:rect id="_x0000_i1209" style="width:0;height:1.5pt" o:hralign="center" o:hrstd="t" o:hr="t" fillcolor="#a0a0a0" stroked="f"/>
        </w:pict>
      </w:r>
    </w:p>
    <w:p w:rsidR="00000000" w:rsidRDefault="00E54EC0">
      <w:pPr>
        <w:jc w:val="center"/>
        <w:divId w:val="1702314460"/>
        <w:rPr>
          <w:rFonts w:eastAsia="Times New Roman"/>
        </w:rPr>
      </w:pPr>
      <w:r>
        <w:rPr>
          <w:rFonts w:eastAsia="Times New Roman"/>
          <w:b/>
          <w:bCs/>
          <w:color w:val="000000"/>
          <w:sz w:val="20"/>
          <w:szCs w:val="20"/>
        </w:rPr>
        <w:t>EQUITABLE HOLDINGS, INC.</w:t>
      </w:r>
    </w:p>
    <w:p w:rsidR="00000000" w:rsidRDefault="00E54EC0">
      <w:pPr>
        <w:jc w:val="center"/>
        <w:divId w:val="1702314460"/>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80"/>
        <w:gridCol w:w="986"/>
        <w:gridCol w:w="36"/>
        <w:gridCol w:w="121"/>
        <w:gridCol w:w="825"/>
        <w:gridCol w:w="36"/>
        <w:gridCol w:w="36"/>
        <w:gridCol w:w="36"/>
        <w:gridCol w:w="36"/>
        <w:gridCol w:w="120"/>
        <w:gridCol w:w="150"/>
        <w:gridCol w:w="36"/>
        <w:gridCol w:w="121"/>
        <w:gridCol w:w="798"/>
        <w:gridCol w:w="36"/>
        <w:gridCol w:w="36"/>
        <w:gridCol w:w="36"/>
        <w:gridCol w:w="36"/>
        <w:gridCol w:w="121"/>
        <w:gridCol w:w="379"/>
        <w:gridCol w:w="37"/>
        <w:gridCol w:w="36"/>
        <w:gridCol w:w="36"/>
        <w:gridCol w:w="36"/>
        <w:gridCol w:w="121"/>
        <w:gridCol w:w="789"/>
        <w:gridCol w:w="36"/>
        <w:gridCol w:w="36"/>
        <w:gridCol w:w="36"/>
        <w:gridCol w:w="36"/>
        <w:gridCol w:w="36"/>
        <w:gridCol w:w="121"/>
        <w:gridCol w:w="755"/>
        <w:gridCol w:w="37"/>
        <w:gridCol w:w="36"/>
        <w:gridCol w:w="36"/>
        <w:gridCol w:w="36"/>
        <w:gridCol w:w="121"/>
        <w:gridCol w:w="357"/>
        <w:gridCol w:w="36"/>
        <w:gridCol w:w="36"/>
        <w:gridCol w:w="36"/>
        <w:gridCol w:w="36"/>
        <w:gridCol w:w="121"/>
        <w:gridCol w:w="790"/>
        <w:gridCol w:w="36"/>
        <w:gridCol w:w="36"/>
        <w:gridCol w:w="36"/>
        <w:gridCol w:w="36"/>
        <w:gridCol w:w="36"/>
        <w:gridCol w:w="121"/>
        <w:gridCol w:w="757"/>
        <w:gridCol w:w="36"/>
        <w:gridCol w:w="36"/>
        <w:gridCol w:w="36"/>
        <w:gridCol w:w="36"/>
        <w:gridCol w:w="121"/>
        <w:gridCol w:w="362"/>
        <w:gridCol w:w="36"/>
      </w:tblGrid>
      <w:tr w:rsidR="00000000">
        <w:trPr>
          <w:divId w:val="1210873116"/>
        </w:trPr>
        <w:tc>
          <w:tcPr>
            <w:tcW w:w="50" w:type="pct"/>
            <w:vAlign w:val="center"/>
            <w:hideMark/>
          </w:tcPr>
          <w:p w:rsidR="00000000" w:rsidRDefault="00E54EC0">
            <w:pPr>
              <w:jc w:val="center"/>
              <w:rPr>
                <w:rFonts w:eastAsia="Times New Roman"/>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4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Year Ended 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1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Year Ended December 31, 2021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1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Year Ended December 31, 2020</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divId w:val="1082990687"/>
              <w:rPr>
                <w:rFonts w:eastAsia="Times New Roman"/>
              </w:rPr>
            </w:pPr>
            <w:r>
              <w:rPr>
                <w:rFonts w:eastAsia="Times New Roman"/>
                <w:b/>
                <w:bCs/>
                <w:color w:val="000000"/>
                <w:sz w:val="16"/>
                <w:szCs w:val="16"/>
              </w:rPr>
              <w:t>NII (2)</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AOCI</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AOCI</w:t>
            </w: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50"/>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Derivatives: Designated for Hedge accounting</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Designated for Hedge accounting</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Derivatives: Not Designated for Hedge accounting</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(3,614)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3,368)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(2,750)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3,886 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(1,688)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(2,317)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0873116"/>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(1,981)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(3,337)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0873116"/>
          <w:trHeight w:val="30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Amounts due from reinsurers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 reinsurance contracts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21087311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918785180"/>
              <w:rPr>
                <w:rFonts w:eastAsia="Times New Roman"/>
              </w:rPr>
            </w:pPr>
            <w:r>
              <w:rPr>
                <w:rFonts w:eastAsia="Times New Roman"/>
                <w:color w:val="000000"/>
                <w:sz w:val="20"/>
                <w:szCs w:val="20"/>
              </w:rPr>
              <w:t>GMxB derivative features liability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1430660522"/>
        <w:rPr>
          <w:rFonts w:eastAsia="Times New Roman"/>
        </w:rPr>
      </w:pPr>
    </w:p>
    <w:p w:rsidR="00000000" w:rsidRDefault="00E54EC0">
      <w:pPr>
        <w:jc w:val="center"/>
        <w:divId w:val="1430660522"/>
        <w:rPr>
          <w:rFonts w:eastAsia="Times New Roman"/>
        </w:rPr>
      </w:pPr>
      <w:r>
        <w:rPr>
          <w:rFonts w:eastAsia="Times New Roman"/>
          <w:color w:val="000000"/>
          <w:sz w:val="20"/>
          <w:szCs w:val="20"/>
        </w:rPr>
        <w:t>172</w:t>
      </w:r>
    </w:p>
    <w:p w:rsidR="00000000" w:rsidRDefault="00E54EC0">
      <w:pPr>
        <w:rPr>
          <w:rFonts w:eastAsia="Times New Roman"/>
        </w:rPr>
      </w:pPr>
      <w:r>
        <w:rPr>
          <w:rFonts w:eastAsia="Times New Roman"/>
        </w:rPr>
        <w:pict>
          <v:rect id="_x0000_i1210" style="width:0;height:1.5pt" o:hralign="center" o:hrstd="t" o:hr="t" fillcolor="#a0a0a0" stroked="f"/>
        </w:pict>
      </w:r>
    </w:p>
    <w:p w:rsidR="00000000" w:rsidRDefault="00E54EC0">
      <w:pPr>
        <w:jc w:val="center"/>
        <w:divId w:val="821656208"/>
        <w:rPr>
          <w:rFonts w:eastAsia="Times New Roman"/>
        </w:rPr>
      </w:pPr>
      <w:r>
        <w:rPr>
          <w:rFonts w:eastAsia="Times New Roman"/>
          <w:b/>
          <w:bCs/>
          <w:color w:val="000000"/>
          <w:sz w:val="20"/>
          <w:szCs w:val="20"/>
        </w:rPr>
        <w:t>EQUITABLE HOLDINGS, INC.</w:t>
      </w:r>
    </w:p>
    <w:p w:rsidR="00000000" w:rsidRDefault="00E54EC0">
      <w:pPr>
        <w:jc w:val="center"/>
        <w:divId w:val="821656208"/>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79"/>
        <w:gridCol w:w="977"/>
        <w:gridCol w:w="38"/>
        <w:gridCol w:w="121"/>
        <w:gridCol w:w="825"/>
        <w:gridCol w:w="36"/>
        <w:gridCol w:w="36"/>
        <w:gridCol w:w="36"/>
        <w:gridCol w:w="36"/>
        <w:gridCol w:w="120"/>
        <w:gridCol w:w="150"/>
        <w:gridCol w:w="36"/>
        <w:gridCol w:w="121"/>
        <w:gridCol w:w="798"/>
        <w:gridCol w:w="36"/>
        <w:gridCol w:w="36"/>
        <w:gridCol w:w="36"/>
        <w:gridCol w:w="36"/>
        <w:gridCol w:w="120"/>
        <w:gridCol w:w="350"/>
        <w:gridCol w:w="36"/>
        <w:gridCol w:w="36"/>
        <w:gridCol w:w="36"/>
        <w:gridCol w:w="36"/>
        <w:gridCol w:w="121"/>
        <w:gridCol w:w="789"/>
        <w:gridCol w:w="37"/>
        <w:gridCol w:w="36"/>
        <w:gridCol w:w="36"/>
        <w:gridCol w:w="36"/>
        <w:gridCol w:w="36"/>
        <w:gridCol w:w="121"/>
        <w:gridCol w:w="755"/>
        <w:gridCol w:w="36"/>
        <w:gridCol w:w="36"/>
        <w:gridCol w:w="36"/>
        <w:gridCol w:w="36"/>
        <w:gridCol w:w="120"/>
        <w:gridCol w:w="334"/>
        <w:gridCol w:w="36"/>
        <w:gridCol w:w="36"/>
        <w:gridCol w:w="36"/>
        <w:gridCol w:w="36"/>
        <w:gridCol w:w="121"/>
        <w:gridCol w:w="791"/>
        <w:gridCol w:w="37"/>
        <w:gridCol w:w="36"/>
        <w:gridCol w:w="36"/>
        <w:gridCol w:w="36"/>
        <w:gridCol w:w="36"/>
        <w:gridCol w:w="121"/>
        <w:gridCol w:w="757"/>
        <w:gridCol w:w="36"/>
        <w:gridCol w:w="36"/>
        <w:gridCol w:w="36"/>
        <w:gridCol w:w="36"/>
        <w:gridCol w:w="120"/>
        <w:gridCol w:w="334"/>
        <w:gridCol w:w="36"/>
      </w:tblGrid>
      <w:tr w:rsidR="00000000">
        <w:trPr>
          <w:divId w:val="2020548226"/>
        </w:trPr>
        <w:tc>
          <w:tcPr>
            <w:tcW w:w="50" w:type="pct"/>
            <w:vAlign w:val="center"/>
            <w:hideMark/>
          </w:tcPr>
          <w:p w:rsidR="00000000" w:rsidRDefault="00E54EC0">
            <w:pPr>
              <w:jc w:val="center"/>
              <w:rPr>
                <w:rFonts w:eastAsia="Times New Roman"/>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4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2054822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Year Ended 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1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Year Ended December 31, 2021</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1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Year Ended December 31, 2020</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02054822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divId w:val="93288244"/>
              <w:rPr>
                <w:rFonts w:eastAsia="Times New Roman"/>
              </w:rPr>
            </w:pPr>
            <w:r>
              <w:rPr>
                <w:rFonts w:eastAsia="Times New Roman"/>
                <w:b/>
                <w:bCs/>
                <w:color w:val="000000"/>
                <w:sz w:val="16"/>
                <w:szCs w:val="16"/>
              </w:rPr>
              <w:t>NII (2)</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AOCI</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6"/>
                <w:szCs w:val="16"/>
              </w:rPr>
              <w:t>AOCI</w:t>
            </w:r>
          </w:p>
        </w:tc>
        <w:tc>
          <w:tcPr>
            <w:tcW w:w="0" w:type="auto"/>
            <w:vAlign w:val="center"/>
            <w:hideMark/>
          </w:tcPr>
          <w:p w:rsidR="00000000" w:rsidRDefault="00E54EC0">
            <w:pPr>
              <w:spacing w:after="100"/>
              <w:rPr>
                <w:rFonts w:eastAsia="Times New Roman"/>
                <w:sz w:val="20"/>
                <w:szCs w:val="20"/>
              </w:rPr>
            </w:pPr>
          </w:p>
        </w:tc>
      </w:tr>
      <w:tr w:rsidR="00000000">
        <w:trPr>
          <w:divId w:val="202054822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50"/>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202054822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1,738)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202054822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Embedded Derivatives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(3,574)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20548226"/>
          <w:trHeight w:val="30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E54EC0">
        <w:trPr>
          <w:divId w:val="202054822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Total derivatives instruments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20548226"/>
        <w:rPr>
          <w:rFonts w:eastAsia="Times New Roman"/>
        </w:rPr>
      </w:pPr>
      <w:r>
        <w:rPr>
          <w:rFonts w:eastAsia="Times New Roman"/>
          <w:color w:val="000000"/>
          <w:sz w:val="20"/>
          <w:szCs w:val="20"/>
        </w:rPr>
        <w:t>_____________</w:t>
      </w:r>
    </w:p>
    <w:p w:rsidR="00000000" w:rsidRDefault="00E54EC0">
      <w:pPr>
        <w:ind w:firstLine="360"/>
        <w:divId w:val="1605725033"/>
        <w:rPr>
          <w:rFonts w:eastAsia="Times New Roman"/>
        </w:rPr>
      </w:pPr>
    </w:p>
    <w:p w:rsidR="00000000" w:rsidRDefault="00E54EC0">
      <w:pPr>
        <w:ind w:firstLine="360"/>
        <w:divId w:val="903295297"/>
        <w:rPr>
          <w:rFonts w:eastAsia="Times New Roman"/>
        </w:rPr>
      </w:pPr>
    </w:p>
    <w:p w:rsidR="00000000" w:rsidRDefault="00E54EC0">
      <w:pPr>
        <w:ind w:firstLine="360"/>
        <w:divId w:val="387076615"/>
        <w:rPr>
          <w:rFonts w:eastAsia="Times New Roman"/>
        </w:rPr>
      </w:pPr>
      <w:r>
        <w:rPr>
          <w:rFonts w:eastAsia="Times New Roman"/>
          <w:color w:val="000000"/>
          <w:sz w:val="18"/>
          <w:szCs w:val="18"/>
        </w:rPr>
        <w:t>(1)Reported in net derivative gains (losses) in the consolidated statements of income (loss).</w:t>
      </w:r>
    </w:p>
    <w:p w:rsidR="00000000" w:rsidRDefault="00E54EC0">
      <w:pPr>
        <w:ind w:firstLine="360"/>
        <w:divId w:val="42759668"/>
        <w:rPr>
          <w:rFonts w:eastAsia="Times New Roman"/>
        </w:rPr>
      </w:pPr>
      <w:r>
        <w:rPr>
          <w:rFonts w:eastAsia="Times New Roman"/>
          <w:color w:val="000000"/>
          <w:sz w:val="20"/>
          <w:szCs w:val="20"/>
        </w:rPr>
        <w:t xml:space="preserve">(2)Net Investment Income (“NII”). </w:t>
      </w:r>
    </w:p>
    <w:p w:rsidR="00000000" w:rsidRDefault="00E54EC0">
      <w:pPr>
        <w:ind w:firstLine="360"/>
        <w:divId w:val="882716136"/>
        <w:rPr>
          <w:rFonts w:eastAsia="Times New Roman"/>
        </w:rPr>
      </w:pPr>
      <w:r>
        <w:rPr>
          <w:rFonts w:eastAsia="Times New Roman"/>
          <w:color w:val="000000"/>
          <w:sz w:val="18"/>
          <w:szCs w:val="18"/>
        </w:rPr>
        <w:t>(3)Excludes settlement fees of $45 million on CS Life reinsurance contract for the year ended Decemb</w:t>
      </w:r>
      <w:r>
        <w:rPr>
          <w:rFonts w:eastAsia="Times New Roman"/>
          <w:color w:val="000000"/>
          <w:sz w:val="18"/>
          <w:szCs w:val="18"/>
        </w:rPr>
        <w:t xml:space="preserve">er 31, 2021. </w:t>
      </w:r>
    </w:p>
    <w:p w:rsidR="00000000" w:rsidRDefault="00E54EC0">
      <w:pPr>
        <w:divId w:val="602693415"/>
        <w:rPr>
          <w:rFonts w:eastAsia="Times New Roman"/>
        </w:rPr>
      </w:pPr>
      <w:r>
        <w:rPr>
          <w:rFonts w:eastAsia="Times New Roman"/>
          <w:color w:val="000000"/>
          <w:sz w:val="20"/>
          <w:szCs w:val="20"/>
        </w:rPr>
        <w:t>The following table presents a roll-forward of cash flow hedges recognized in AOCI.</w:t>
      </w:r>
    </w:p>
    <w:p w:rsidR="00000000" w:rsidRDefault="00E54EC0">
      <w:pPr>
        <w:jc w:val="center"/>
        <w:rPr>
          <w:rFonts w:eastAsia="Times New Roman"/>
        </w:rPr>
      </w:pPr>
      <w:r>
        <w:rPr>
          <w:rFonts w:eastAsia="Times New Roman"/>
          <w:b/>
          <w:bCs/>
          <w:color w:val="000000"/>
          <w:sz w:val="20"/>
          <w:szCs w:val="20"/>
        </w:rPr>
        <w:t>Roll-forward of Cash flow hedges in AOCI</w:t>
      </w:r>
    </w:p>
    <w:tbl>
      <w:tblPr>
        <w:tblW w:w="5000" w:type="pct"/>
        <w:tblCellMar>
          <w:top w:w="15" w:type="dxa"/>
          <w:left w:w="15" w:type="dxa"/>
          <w:bottom w:w="15" w:type="dxa"/>
          <w:right w:w="15" w:type="dxa"/>
        </w:tblCellMar>
        <w:tblLook w:val="04A0" w:firstRow="1" w:lastRow="0" w:firstColumn="1" w:lastColumn="0" w:noHBand="0" w:noVBand="1"/>
      </w:tblPr>
      <w:tblGrid>
        <w:gridCol w:w="38"/>
        <w:gridCol w:w="5507"/>
        <w:gridCol w:w="37"/>
        <w:gridCol w:w="36"/>
        <w:gridCol w:w="36"/>
        <w:gridCol w:w="36"/>
        <w:gridCol w:w="36"/>
        <w:gridCol w:w="120"/>
        <w:gridCol w:w="592"/>
        <w:gridCol w:w="36"/>
        <w:gridCol w:w="36"/>
        <w:gridCol w:w="36"/>
        <w:gridCol w:w="36"/>
        <w:gridCol w:w="120"/>
        <w:gridCol w:w="592"/>
        <w:gridCol w:w="36"/>
        <w:gridCol w:w="36"/>
        <w:gridCol w:w="36"/>
        <w:gridCol w:w="36"/>
        <w:gridCol w:w="120"/>
        <w:gridCol w:w="712"/>
        <w:gridCol w:w="36"/>
      </w:tblGrid>
      <w:tr w:rsidR="00000000">
        <w:trPr>
          <w:divId w:val="880508665"/>
        </w:trPr>
        <w:tc>
          <w:tcPr>
            <w:tcW w:w="50" w:type="pct"/>
            <w:vAlign w:val="center"/>
            <w:hideMark/>
          </w:tcPr>
          <w:p w:rsidR="00000000" w:rsidRDefault="00E54EC0">
            <w:pPr>
              <w:jc w:val="center"/>
              <w:rPr>
                <w:rFonts w:eastAsia="Times New Roman"/>
              </w:rPr>
            </w:pPr>
          </w:p>
        </w:tc>
        <w:tc>
          <w:tcPr>
            <w:tcW w:w="343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80508665"/>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880508665"/>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2020</w:t>
            </w:r>
          </w:p>
        </w:tc>
      </w:tr>
      <w:tr w:rsidR="00000000">
        <w:trPr>
          <w:divId w:val="880508665"/>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8805086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 xml:space="preserve">Balance, beginning of period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 recorded in AOCI</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80508665"/>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swaps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swaps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amount recorded in AOCI</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 reclassified from AOCI to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80508665"/>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Currency swaps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swaps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amount reclassified from AOCI to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050866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end of period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223371283"/>
        <w:rPr>
          <w:rFonts w:eastAsia="Times New Roman"/>
        </w:rPr>
      </w:pPr>
      <w:r>
        <w:rPr>
          <w:rFonts w:eastAsia="Times New Roman"/>
          <w:color w:val="000000"/>
          <w:sz w:val="18"/>
          <w:szCs w:val="18"/>
        </w:rPr>
        <w:t>_______________</w:t>
      </w:r>
    </w:p>
    <w:p w:rsidR="00000000" w:rsidRDefault="00E54EC0">
      <w:pPr>
        <w:ind w:hanging="360"/>
        <w:divId w:val="715082723"/>
        <w:rPr>
          <w:rFonts w:eastAsia="Times New Roman"/>
        </w:rPr>
      </w:pPr>
      <w:r>
        <w:rPr>
          <w:rFonts w:eastAsia="Times New Roman"/>
          <w:color w:val="000000"/>
          <w:sz w:val="18"/>
          <w:szCs w:val="18"/>
        </w:rPr>
        <w:t>(1)    </w:t>
      </w:r>
      <w:r>
        <w:rPr>
          <w:rFonts w:eastAsia="Times New Roman"/>
          <w:color w:val="000000"/>
          <w:sz w:val="18"/>
          <w:szCs w:val="18"/>
        </w:rPr>
        <w:t>Currency swaps reclassified from AOCI to income are reported in net investment income in the consolidated statements of income (loss). Interest swaps reclassified from AOCI to income are reported in net derivative gains (losses) in the consolidated stateme</w:t>
      </w:r>
      <w:r>
        <w:rPr>
          <w:rFonts w:eastAsia="Times New Roman"/>
          <w:color w:val="000000"/>
          <w:sz w:val="18"/>
          <w:szCs w:val="18"/>
        </w:rPr>
        <w:t>nts of income (loss).</w:t>
      </w:r>
    </w:p>
    <w:p w:rsidR="00000000" w:rsidRDefault="00E54EC0">
      <w:pPr>
        <w:ind w:hanging="360"/>
        <w:divId w:val="1670715025"/>
        <w:rPr>
          <w:rFonts w:eastAsia="Times New Roman"/>
        </w:rPr>
      </w:pPr>
      <w:r>
        <w:rPr>
          <w:rFonts w:eastAsia="Times New Roman"/>
          <w:color w:val="000000"/>
          <w:sz w:val="18"/>
          <w:szCs w:val="18"/>
        </w:rPr>
        <w:t>(2) The Company does not estimate the amount of the deferred losses in AOCI at years ended December 31, 2022, 2021 and 2020 which will be released and reclassified into Net income (loss) over the next 12 months as the amounts cannot b</w:t>
      </w:r>
      <w:r>
        <w:rPr>
          <w:rFonts w:eastAsia="Times New Roman"/>
          <w:color w:val="000000"/>
          <w:sz w:val="18"/>
          <w:szCs w:val="18"/>
        </w:rPr>
        <w:t>e reasonably estimated.</w:t>
      </w:r>
    </w:p>
    <w:p w:rsidR="00000000" w:rsidRDefault="00E54EC0">
      <w:pPr>
        <w:divId w:val="886643412"/>
        <w:rPr>
          <w:rFonts w:eastAsia="Times New Roman"/>
        </w:rPr>
      </w:pPr>
      <w:r>
        <w:rPr>
          <w:rFonts w:eastAsia="Times New Roman"/>
          <w:color w:val="000000"/>
          <w:sz w:val="20"/>
          <w:szCs w:val="20"/>
          <w:u w:val="single"/>
        </w:rPr>
        <w:t>Equity-Based and Treasury Futures Contracts Margin</w:t>
      </w:r>
    </w:p>
    <w:p w:rsidR="00000000" w:rsidRDefault="00E54EC0">
      <w:pPr>
        <w:divId w:val="1182816656"/>
        <w:rPr>
          <w:rFonts w:eastAsia="Times New Roman"/>
        </w:rPr>
      </w:pPr>
      <w:r>
        <w:rPr>
          <w:rFonts w:eastAsia="Times New Roman"/>
          <w:color w:val="000000"/>
          <w:sz w:val="20"/>
          <w:szCs w:val="20"/>
        </w:rPr>
        <w:t>All outstanding equity-based and treasury futures contracts as of December 31, 2022 and 2021 are exchange-traded and net settled daily in cash. As of December 31, 2022 and 2021, res</w:t>
      </w:r>
      <w:r>
        <w:rPr>
          <w:rFonts w:eastAsia="Times New Roman"/>
          <w:color w:val="000000"/>
          <w:sz w:val="20"/>
          <w:szCs w:val="20"/>
        </w:rPr>
        <w:t xml:space="preserve">pectively, the Company had open exchange-traded futures positions on: (i) the S&amp;P 500, Nasdaq, Russell 2000 and Emerging Market indices, having initial margin requirements of $247 million and $109 million, (ii) the 2-year, 5-year and 10-year U.S. Treasury </w:t>
      </w:r>
      <w:r>
        <w:rPr>
          <w:rFonts w:eastAsia="Times New Roman"/>
          <w:color w:val="000000"/>
          <w:sz w:val="20"/>
          <w:szCs w:val="20"/>
        </w:rPr>
        <w:t>Notes on U.S. Treasury bonds and ultra-long bonds, having initial margin requirements of $113 million and $200 million, and (iii) the Euro Stoxx, FTSE 100, Topix, ASX 200 and EAFE indices as well as corresponding currency futures on the Euro/U.S. dollar, P</w:t>
      </w:r>
      <w:r>
        <w:rPr>
          <w:rFonts w:eastAsia="Times New Roman"/>
          <w:color w:val="000000"/>
          <w:sz w:val="20"/>
          <w:szCs w:val="20"/>
        </w:rPr>
        <w:t>ound/U.S. dollar, Australian dollar/U.S. dollar, and Yen/U.S. dollar, having initial margin requirements of $16 million and $16 million.</w:t>
      </w:r>
    </w:p>
    <w:p w:rsidR="00000000" w:rsidRDefault="00E54EC0">
      <w:pPr>
        <w:jc w:val="center"/>
        <w:divId w:val="478494795"/>
        <w:rPr>
          <w:rFonts w:eastAsia="Times New Roman"/>
        </w:rPr>
      </w:pPr>
    </w:p>
    <w:p w:rsidR="00000000" w:rsidRDefault="00E54EC0">
      <w:pPr>
        <w:jc w:val="center"/>
        <w:divId w:val="478494795"/>
        <w:rPr>
          <w:rFonts w:eastAsia="Times New Roman"/>
        </w:rPr>
      </w:pPr>
      <w:r>
        <w:rPr>
          <w:rFonts w:eastAsia="Times New Roman"/>
          <w:color w:val="000000"/>
          <w:sz w:val="20"/>
          <w:szCs w:val="20"/>
        </w:rPr>
        <w:t>173</w:t>
      </w:r>
    </w:p>
    <w:p w:rsidR="00000000" w:rsidRDefault="00E54EC0">
      <w:pPr>
        <w:rPr>
          <w:rFonts w:eastAsia="Times New Roman"/>
        </w:rPr>
      </w:pPr>
      <w:r>
        <w:rPr>
          <w:rFonts w:eastAsia="Times New Roman"/>
        </w:rPr>
        <w:pict>
          <v:rect id="_x0000_i1211" style="width:0;height:1.5pt" o:hralign="center" o:hrstd="t" o:hr="t" fillcolor="#a0a0a0" stroked="f"/>
        </w:pict>
      </w:r>
    </w:p>
    <w:p w:rsidR="00000000" w:rsidRDefault="00E54EC0">
      <w:pPr>
        <w:jc w:val="center"/>
        <w:divId w:val="554588774"/>
        <w:rPr>
          <w:rFonts w:eastAsia="Times New Roman"/>
        </w:rPr>
      </w:pPr>
      <w:r>
        <w:rPr>
          <w:rFonts w:eastAsia="Times New Roman"/>
          <w:b/>
          <w:bCs/>
          <w:color w:val="000000"/>
          <w:sz w:val="20"/>
          <w:szCs w:val="20"/>
        </w:rPr>
        <w:t>EQUITABLE HOLDINGS, INC.</w:t>
      </w:r>
    </w:p>
    <w:p w:rsidR="00000000" w:rsidRDefault="00E54EC0">
      <w:pPr>
        <w:jc w:val="center"/>
        <w:divId w:val="554588774"/>
        <w:rPr>
          <w:rFonts w:eastAsia="Times New Roman"/>
        </w:rPr>
      </w:pPr>
      <w:r>
        <w:rPr>
          <w:rFonts w:eastAsia="Times New Roman"/>
          <w:b/>
          <w:bCs/>
          <w:color w:val="000000"/>
          <w:sz w:val="20"/>
          <w:szCs w:val="20"/>
        </w:rPr>
        <w:t>NOTES TO CONSOLIDATED FINANCIAL STATEMENTS, continued</w:t>
      </w:r>
    </w:p>
    <w:p w:rsidR="00000000" w:rsidRDefault="00E54EC0">
      <w:pPr>
        <w:divId w:val="499544011"/>
        <w:rPr>
          <w:rFonts w:eastAsia="Times New Roman"/>
        </w:rPr>
      </w:pPr>
      <w:r>
        <w:rPr>
          <w:rFonts w:eastAsia="Times New Roman"/>
          <w:color w:val="000000"/>
          <w:sz w:val="20"/>
          <w:szCs w:val="20"/>
          <w:u w:val="single"/>
        </w:rPr>
        <w:t>Collateral Arrangements</w:t>
      </w:r>
    </w:p>
    <w:p w:rsidR="00000000" w:rsidRDefault="00E54EC0">
      <w:pPr>
        <w:divId w:val="1460030330"/>
        <w:rPr>
          <w:rFonts w:eastAsia="Times New Roman"/>
        </w:rPr>
      </w:pPr>
      <w:r>
        <w:rPr>
          <w:rFonts w:eastAsia="Times New Roman"/>
          <w:color w:val="000000"/>
          <w:sz w:val="20"/>
          <w:szCs w:val="20"/>
        </w:rPr>
        <w:t>The Company generally has executed a CSA under the ISDA Master Agreement it maintains with each of its OTC derivative</w:t>
      </w:r>
      <w:r>
        <w:rPr>
          <w:rFonts w:eastAsia="Times New Roman"/>
          <w:color w:val="000000"/>
          <w:sz w:val="20"/>
          <w:szCs w:val="20"/>
        </w:rPr>
        <w:t xml:space="preserve"> counterparties that requires both posting and accepting collateral either in the form of cash or high-quality securities, such as U.S. Treasury securities, U.S. government and government agency securities and investment grade corporate bonds. The Company </w:t>
      </w:r>
      <w:r>
        <w:rPr>
          <w:rFonts w:eastAsia="Times New Roman"/>
          <w:color w:val="000000"/>
          <w:sz w:val="20"/>
          <w:szCs w:val="20"/>
        </w:rPr>
        <w:t>nets the fair value of all derivative financial instruments with counterparties for which an ISDA Master Agreement and related CSA have been executed. As of December 31, 2022 and 2021, respectively, the Company held $4.5 billion and $6.2 billion in cash an</w:t>
      </w:r>
      <w:r>
        <w:rPr>
          <w:rFonts w:eastAsia="Times New Roman"/>
          <w:color w:val="000000"/>
          <w:sz w:val="20"/>
          <w:szCs w:val="20"/>
        </w:rPr>
        <w:t>d securities collateral delivered by trade counterparties, representing the fair value of the related derivative agreements. The unrestricted cash collateral is reported in other invested assets. The Company posted collateral of $142 million and $178 milli</w:t>
      </w:r>
      <w:r>
        <w:rPr>
          <w:rFonts w:eastAsia="Times New Roman"/>
          <w:color w:val="000000"/>
          <w:sz w:val="20"/>
          <w:szCs w:val="20"/>
        </w:rPr>
        <w:t>on as of December 31, 2022 and 2021, respectively, in the normal operation of its collateral arrangements. The Company is exposed to losses in the event of non-performance by counterparties to financial derivative transactions with a positive fair value. T</w:t>
      </w:r>
      <w:r>
        <w:rPr>
          <w:rFonts w:eastAsia="Times New Roman"/>
          <w:color w:val="000000"/>
          <w:sz w:val="20"/>
          <w:szCs w:val="20"/>
        </w:rPr>
        <w:t>he Company manages credit risk by: (i) entering into derivative transactions with highly rated major international financial institutions and other creditworthy counterparties governed by master netting agreements, as applicable; (ii) trading through centr</w:t>
      </w:r>
      <w:r>
        <w:rPr>
          <w:rFonts w:eastAsia="Times New Roman"/>
          <w:color w:val="000000"/>
          <w:sz w:val="20"/>
          <w:szCs w:val="20"/>
        </w:rPr>
        <w:t>al clearing and OTC parties; (iii) obtaining collateral, such as cash and securities, when appropriate; and (iv) setting limits on single party credit exposures which are subject to periodic management review.</w:t>
      </w:r>
    </w:p>
    <w:p w:rsidR="00000000" w:rsidRDefault="00E54EC0">
      <w:pPr>
        <w:divId w:val="943077721"/>
        <w:rPr>
          <w:rFonts w:eastAsia="Times New Roman"/>
        </w:rPr>
      </w:pPr>
      <w:r>
        <w:rPr>
          <w:rFonts w:eastAsia="Times New Roman"/>
          <w:color w:val="000000"/>
          <w:sz w:val="20"/>
          <w:szCs w:val="20"/>
        </w:rPr>
        <w:t xml:space="preserve">Substantially all of the Company’s derivative </w:t>
      </w:r>
      <w:r>
        <w:rPr>
          <w:rFonts w:eastAsia="Times New Roman"/>
          <w:color w:val="000000"/>
          <w:sz w:val="20"/>
          <w:szCs w:val="20"/>
        </w:rPr>
        <w:t>agreements have zero thresholds which require daily full collateralization by the party in a liability position. In addition, certain of the Company’s derivative agreements contain credit-risk related contingent features; if the credit rating of one of the</w:t>
      </w:r>
      <w:r>
        <w:rPr>
          <w:rFonts w:eastAsia="Times New Roman"/>
          <w:color w:val="000000"/>
          <w:sz w:val="20"/>
          <w:szCs w:val="20"/>
        </w:rPr>
        <w:t xml:space="preserve"> parties to the derivative agreement is to fall below a certain level, the party with positive fair value could request termination at the then fair value or demand immediate full collateralization from the party whose credit rating fell and is in a net li</w:t>
      </w:r>
      <w:r>
        <w:rPr>
          <w:rFonts w:eastAsia="Times New Roman"/>
          <w:color w:val="000000"/>
          <w:sz w:val="20"/>
          <w:szCs w:val="20"/>
        </w:rPr>
        <w:t>ability position.</w:t>
      </w:r>
    </w:p>
    <w:p w:rsidR="00000000" w:rsidRDefault="00E54EC0">
      <w:pPr>
        <w:divId w:val="385184529"/>
        <w:rPr>
          <w:rFonts w:eastAsia="Times New Roman"/>
        </w:rPr>
      </w:pPr>
      <w:r>
        <w:rPr>
          <w:rFonts w:eastAsia="Times New Roman"/>
          <w:color w:val="000000"/>
          <w:sz w:val="20"/>
          <w:szCs w:val="20"/>
        </w:rPr>
        <w:t xml:space="preserve">As of December 31, 2022 and 2021, there were no net liability derivative positions with counterparties with credit risk-related contingent features whose credit rating has fallen. All derivatives have been appropriately collateralized by </w:t>
      </w:r>
      <w:r>
        <w:rPr>
          <w:rFonts w:eastAsia="Times New Roman"/>
          <w:color w:val="000000"/>
          <w:sz w:val="20"/>
          <w:szCs w:val="20"/>
        </w:rPr>
        <w:t>the Company or the counterparty in accordance with the terms of the derivative agreements.</w:t>
      </w:r>
    </w:p>
    <w:p w:rsidR="00000000" w:rsidRDefault="00E54EC0">
      <w:pPr>
        <w:divId w:val="260458959"/>
        <w:rPr>
          <w:rFonts w:eastAsia="Times New Roman"/>
        </w:rPr>
      </w:pPr>
      <w:r>
        <w:rPr>
          <w:rFonts w:eastAsia="Times New Roman"/>
          <w:color w:val="000000"/>
          <w:sz w:val="20"/>
          <w:szCs w:val="20"/>
        </w:rPr>
        <w:t>The following tables presents information about the Company’s offsetting of financial assets and liabilities and derivative instruments as of December 31, 2022 and 2</w:t>
      </w:r>
      <w:r>
        <w:rPr>
          <w:rFonts w:eastAsia="Times New Roman"/>
          <w:color w:val="000000"/>
          <w:sz w:val="20"/>
          <w:szCs w:val="20"/>
        </w:rPr>
        <w:t>021:</w:t>
      </w:r>
    </w:p>
    <w:p w:rsidR="00000000" w:rsidRDefault="00E54EC0">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E54EC0">
      <w:pPr>
        <w:jc w:val="center"/>
        <w:rPr>
          <w:rFonts w:eastAsia="Times New Roman"/>
        </w:rPr>
      </w:pPr>
      <w:r>
        <w:rPr>
          <w:rFonts w:eastAsia="Times New Roman"/>
          <w:b/>
          <w:bCs/>
          <w:color w:val="000000"/>
          <w:sz w:val="20"/>
          <w:szCs w:val="20"/>
        </w:rPr>
        <w:t xml:space="preserve">As of December 31, 2022 </w:t>
      </w:r>
    </w:p>
    <w:p w:rsidR="00000000" w:rsidRDefault="00E54EC0">
      <w:pPr>
        <w:divId w:val="6868346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646"/>
        <w:gridCol w:w="38"/>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114103054"/>
        </w:trPr>
        <w:tc>
          <w:tcPr>
            <w:tcW w:w="50" w:type="pct"/>
            <w:vAlign w:val="center"/>
            <w:hideMark/>
          </w:tcPr>
          <w:p w:rsidR="00000000" w:rsidRDefault="00E54EC0">
            <w:pPr>
              <w:rPr>
                <w:rFonts w:eastAsia="Times New Roman"/>
              </w:rPr>
            </w:pPr>
          </w:p>
        </w:tc>
        <w:tc>
          <w:tcPr>
            <w:tcW w:w="166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410305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Amount</w:t>
            </w:r>
          </w:p>
        </w:tc>
      </w:tr>
      <w:tr w:rsidR="00000000">
        <w:trPr>
          <w:divId w:val="11410305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410305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41030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1030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103054"/>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10,932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3,037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103054"/>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410305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410305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10305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103054"/>
        </w:trPr>
        <w:tc>
          <w:tcPr>
            <w:tcW w:w="0" w:type="auto"/>
            <w:gridSpan w:val="3"/>
            <w:shd w:val="clear" w:color="auto" w:fill="FFFF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12,920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103054"/>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81536898"/>
        <w:rPr>
          <w:rFonts w:eastAsia="Times New Roman"/>
        </w:rPr>
      </w:pPr>
      <w:r>
        <w:rPr>
          <w:rFonts w:eastAsia="Times New Roman"/>
          <w:color w:val="000000"/>
          <w:sz w:val="18"/>
          <w:szCs w:val="18"/>
        </w:rPr>
        <w:t>______________</w:t>
      </w:r>
    </w:p>
    <w:p w:rsidR="00000000" w:rsidRDefault="00E54EC0">
      <w:pPr>
        <w:ind w:hanging="360"/>
        <w:divId w:val="854074360"/>
        <w:rPr>
          <w:rFonts w:eastAsia="Times New Roman"/>
        </w:rPr>
      </w:pPr>
      <w:r>
        <w:rPr>
          <w:rFonts w:eastAsia="Times New Roman"/>
          <w:color w:val="000000"/>
          <w:sz w:val="18"/>
          <w:szCs w:val="18"/>
        </w:rPr>
        <w:t>(1)Excludes Investment Management and Research segment’s derivative assets of consolidated VIEs/VOEs.</w:t>
      </w:r>
    </w:p>
    <w:p w:rsidR="00000000" w:rsidRDefault="00E54EC0">
      <w:pPr>
        <w:ind w:hanging="360"/>
        <w:divId w:val="80879789"/>
        <w:rPr>
          <w:rFonts w:eastAsia="Times New Roman"/>
        </w:rPr>
      </w:pPr>
      <w:r>
        <w:rPr>
          <w:rFonts w:eastAsia="Times New Roman"/>
          <w:color w:val="000000"/>
          <w:sz w:val="18"/>
          <w:szCs w:val="18"/>
        </w:rPr>
        <w:t>(2)</w:t>
      </w:r>
      <w:r>
        <w:rPr>
          <w:rFonts w:eastAsia="Times New Roman"/>
          <w:color w:val="000000"/>
          <w:sz w:val="18"/>
          <w:szCs w:val="18"/>
        </w:rPr>
        <w:t>Excludes Investment Management and Research segment’s derivative liabilities of consolidated VIEs/VOEs.</w:t>
      </w:r>
    </w:p>
    <w:p w:rsidR="00000000" w:rsidRDefault="00E54EC0">
      <w:pPr>
        <w:ind w:hanging="360"/>
        <w:divId w:val="452099249"/>
        <w:rPr>
          <w:rFonts w:eastAsia="Times New Roman"/>
        </w:rPr>
      </w:pPr>
      <w:r>
        <w:rPr>
          <w:rFonts w:eastAsia="Times New Roman"/>
          <w:color w:val="000000"/>
          <w:sz w:val="18"/>
          <w:szCs w:val="18"/>
        </w:rPr>
        <w:t xml:space="preserve">(3)Financial instruments/Collateral sent (held). </w:t>
      </w:r>
    </w:p>
    <w:p w:rsidR="00000000" w:rsidRDefault="00E54EC0">
      <w:pPr>
        <w:jc w:val="center"/>
        <w:rPr>
          <w:rFonts w:eastAsia="Times New Roman"/>
        </w:rPr>
      </w:pPr>
      <w:r>
        <w:rPr>
          <w:rFonts w:eastAsia="Times New Roman"/>
          <w:color w:val="000000"/>
          <w:sz w:val="20"/>
          <w:szCs w:val="20"/>
        </w:rPr>
        <w:t>As of December 31, 2021</w:t>
      </w:r>
    </w:p>
    <w:p w:rsidR="00000000" w:rsidRDefault="00E54EC0">
      <w:pPr>
        <w:divId w:val="1031801182"/>
        <w:rPr>
          <w:rFonts w:eastAsia="Times New Roman"/>
        </w:rPr>
      </w:pPr>
    </w:p>
    <w:p w:rsidR="00000000" w:rsidRDefault="00E54EC0">
      <w:pPr>
        <w:jc w:val="center"/>
        <w:divId w:val="1627347232"/>
        <w:rPr>
          <w:rFonts w:eastAsia="Times New Roman"/>
        </w:rPr>
      </w:pPr>
    </w:p>
    <w:p w:rsidR="00000000" w:rsidRDefault="00E54EC0">
      <w:pPr>
        <w:jc w:val="center"/>
        <w:divId w:val="1627347232"/>
        <w:rPr>
          <w:rFonts w:eastAsia="Times New Roman"/>
        </w:rPr>
      </w:pPr>
      <w:r>
        <w:rPr>
          <w:rFonts w:eastAsia="Times New Roman"/>
          <w:color w:val="000000"/>
          <w:sz w:val="20"/>
          <w:szCs w:val="20"/>
        </w:rPr>
        <w:t>174</w:t>
      </w:r>
    </w:p>
    <w:p w:rsidR="00000000" w:rsidRDefault="00E54EC0">
      <w:pPr>
        <w:rPr>
          <w:rFonts w:eastAsia="Times New Roman"/>
        </w:rPr>
      </w:pPr>
      <w:r>
        <w:rPr>
          <w:rFonts w:eastAsia="Times New Roman"/>
        </w:rPr>
        <w:pict>
          <v:rect id="_x0000_i1212" style="width:0;height:1.5pt" o:hralign="center" o:hrstd="t" o:hr="t" fillcolor="#a0a0a0" stroked="f"/>
        </w:pict>
      </w:r>
    </w:p>
    <w:p w:rsidR="00000000" w:rsidRDefault="00E54EC0">
      <w:pPr>
        <w:divId w:val="85677498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93"/>
        <w:gridCol w:w="38"/>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8"/>
        <w:gridCol w:w="36"/>
        <w:gridCol w:w="36"/>
        <w:gridCol w:w="36"/>
      </w:tblGrid>
      <w:tr w:rsidR="00000000">
        <w:trPr>
          <w:jc w:val="center"/>
        </w:trPr>
        <w:tc>
          <w:tcPr>
            <w:tcW w:w="50" w:type="pct"/>
            <w:vAlign w:val="center"/>
            <w:hideMark/>
          </w:tcPr>
          <w:p w:rsidR="00000000" w:rsidRDefault="00E54EC0">
            <w:pPr>
              <w:rPr>
                <w:rFonts w:eastAsia="Times New Roman"/>
              </w:rPr>
            </w:pPr>
          </w:p>
        </w:tc>
        <w:tc>
          <w:tcPr>
            <w:tcW w:w="16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Amount</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12,358 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14,347 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10,770 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10,756 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14,689 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bl>
    <w:p w:rsidR="00000000" w:rsidRDefault="00E54EC0">
      <w:pPr>
        <w:ind w:hanging="360"/>
        <w:divId w:val="1137260532"/>
        <w:rPr>
          <w:rFonts w:eastAsia="Times New Roman"/>
        </w:rPr>
      </w:pPr>
      <w:r>
        <w:rPr>
          <w:rFonts w:eastAsia="Times New Roman"/>
          <w:color w:val="000000"/>
          <w:sz w:val="18"/>
          <w:szCs w:val="18"/>
        </w:rPr>
        <w:t>______________</w:t>
      </w:r>
    </w:p>
    <w:p w:rsidR="00000000" w:rsidRDefault="00E54EC0">
      <w:pPr>
        <w:ind w:hanging="360"/>
        <w:divId w:val="883566067"/>
        <w:rPr>
          <w:rFonts w:eastAsia="Times New Roman"/>
        </w:rPr>
      </w:pPr>
      <w:r>
        <w:rPr>
          <w:rFonts w:eastAsia="Times New Roman"/>
          <w:color w:val="000000"/>
          <w:sz w:val="18"/>
          <w:szCs w:val="18"/>
        </w:rPr>
        <w:t>(1)Excludes Investment Management and Research segment’s derivative assets of consolidated VIEs/VOEs.</w:t>
      </w:r>
    </w:p>
    <w:p w:rsidR="00000000" w:rsidRDefault="00E54EC0">
      <w:pPr>
        <w:ind w:hanging="360"/>
        <w:divId w:val="2031296044"/>
        <w:rPr>
          <w:rFonts w:eastAsia="Times New Roman"/>
        </w:rPr>
      </w:pPr>
      <w:r>
        <w:rPr>
          <w:rFonts w:eastAsia="Times New Roman"/>
          <w:color w:val="000000"/>
          <w:sz w:val="18"/>
          <w:szCs w:val="18"/>
        </w:rPr>
        <w:t>(2)Excludes Investment Management and Rese</w:t>
      </w:r>
      <w:r>
        <w:rPr>
          <w:rFonts w:eastAsia="Times New Roman"/>
          <w:color w:val="000000"/>
          <w:sz w:val="18"/>
          <w:szCs w:val="18"/>
        </w:rPr>
        <w:t>arch segment’s derivative liabilities of consolidated VIEs/VOEs.</w:t>
      </w:r>
    </w:p>
    <w:p w:rsidR="00000000" w:rsidRDefault="00E54EC0">
      <w:pPr>
        <w:ind w:hanging="360"/>
        <w:divId w:val="399912064"/>
        <w:rPr>
          <w:rFonts w:eastAsia="Times New Roman"/>
        </w:rPr>
      </w:pPr>
      <w:r>
        <w:rPr>
          <w:rFonts w:eastAsia="Times New Roman"/>
          <w:color w:val="000000"/>
          <w:sz w:val="18"/>
          <w:szCs w:val="18"/>
        </w:rPr>
        <w:t>(3)Financial instruments sent (held).</w:t>
      </w:r>
    </w:p>
    <w:p w:rsidR="00000000" w:rsidRDefault="00E54EC0">
      <w:pPr>
        <w:divId w:val="904292179"/>
        <w:rPr>
          <w:rFonts w:eastAsia="Times New Roman"/>
        </w:rPr>
      </w:pPr>
      <w:r>
        <w:rPr>
          <w:rFonts w:eastAsia="Times New Roman"/>
          <w:b/>
          <w:bCs/>
          <w:color w:val="000000"/>
          <w:sz w:val="20"/>
          <w:szCs w:val="20"/>
        </w:rPr>
        <w:t xml:space="preserve">5)    GOODWILL </w:t>
      </w:r>
    </w:p>
    <w:p w:rsidR="00000000" w:rsidRDefault="00E54EC0">
      <w:pPr>
        <w:divId w:val="21592188"/>
        <w:rPr>
          <w:rFonts w:eastAsia="Times New Roman"/>
        </w:rPr>
      </w:pPr>
      <w:r>
        <w:rPr>
          <w:rFonts w:eastAsia="Times New Roman"/>
          <w:color w:val="000000"/>
          <w:sz w:val="20"/>
          <w:szCs w:val="20"/>
          <w:u w:val="single"/>
        </w:rPr>
        <w:t>Goodwill</w:t>
      </w:r>
    </w:p>
    <w:p w:rsidR="00000000" w:rsidRDefault="00E54EC0">
      <w:pPr>
        <w:divId w:val="1530140765"/>
        <w:rPr>
          <w:rFonts w:eastAsia="Times New Roman"/>
        </w:rPr>
      </w:pPr>
      <w:r>
        <w:rPr>
          <w:rFonts w:eastAsia="Times New Roman"/>
          <w:color w:val="000000"/>
          <w:sz w:val="20"/>
          <w:szCs w:val="20"/>
        </w:rPr>
        <w:t>Goodwill represents the excess of purchase price over the estimated fair value of identifiable net assets acquired in a business combination. The Company tests goodwill for recoverability each annual reporting period at December 31 and at interim periods i</w:t>
      </w:r>
      <w:r>
        <w:rPr>
          <w:rFonts w:eastAsia="Times New Roman"/>
          <w:color w:val="000000"/>
          <w:sz w:val="20"/>
          <w:szCs w:val="20"/>
        </w:rPr>
        <w:t xml:space="preserve">f facts or circumstances are indicative of potential impairment. </w:t>
      </w:r>
    </w:p>
    <w:p w:rsidR="00000000" w:rsidRDefault="00E54EC0">
      <w:pPr>
        <w:divId w:val="620306764"/>
        <w:rPr>
          <w:rFonts w:eastAsia="Times New Roman"/>
        </w:rPr>
      </w:pPr>
      <w:r>
        <w:rPr>
          <w:rFonts w:eastAsia="Times New Roman"/>
          <w:color w:val="000000"/>
          <w:sz w:val="20"/>
          <w:szCs w:val="20"/>
        </w:rPr>
        <w:t>The carrying value of goodwill from the Company’s Investment Management reporting unit totaled $5.1 billion and $4.6 billion at December 31, 2022 and 2021, resulting from its investment in A</w:t>
      </w:r>
      <w:r>
        <w:rPr>
          <w:rFonts w:eastAsia="Times New Roman"/>
          <w:color w:val="000000"/>
          <w:sz w:val="20"/>
          <w:szCs w:val="20"/>
        </w:rPr>
        <w:t>B as well as direct strategic acquisitions of AB, including its purchases of Sanford C. Bernstein, Inc and CarVal. The increase of $496 million as of December 31, 2022 was a result of the CarVal acquisition, which generated $666 million of goodwill, offset</w:t>
      </w:r>
      <w:r>
        <w:rPr>
          <w:rFonts w:eastAsia="Times New Roman"/>
          <w:color w:val="000000"/>
          <w:sz w:val="20"/>
          <w:szCs w:val="20"/>
        </w:rPr>
        <w:t xml:space="preserve"> by the reallocation of $170 million of goodwill to held-for-sale assets. See Note 1 of the Notes to these Consolidated Financial Statements for information on the CarVal acquisition. </w:t>
      </w:r>
    </w:p>
    <w:p w:rsidR="00000000" w:rsidRDefault="00E54EC0">
      <w:pPr>
        <w:divId w:val="57094402"/>
        <w:rPr>
          <w:rFonts w:eastAsia="Times New Roman"/>
        </w:rPr>
      </w:pPr>
      <w:r>
        <w:rPr>
          <w:rFonts w:eastAsia="Times New Roman"/>
          <w:color w:val="000000"/>
          <w:sz w:val="20"/>
          <w:szCs w:val="20"/>
        </w:rPr>
        <w:t>On November 22, 2022, AB and Société Générale, a leading European bank,</w:t>
      </w:r>
      <w:r>
        <w:rPr>
          <w:rFonts w:eastAsia="Times New Roman"/>
          <w:color w:val="000000"/>
          <w:sz w:val="20"/>
          <w:szCs w:val="20"/>
        </w:rPr>
        <w:t xml:space="preserve"> announced plans to form a joint venture combining their respective cash equities and research businesses, as such AB’s Bernstein Research Services business was classified as held-for-sale and $170 million of goodwill recorded was allocated to the held-for</w:t>
      </w:r>
      <w:r>
        <w:rPr>
          <w:rFonts w:eastAsia="Times New Roman"/>
          <w:color w:val="000000"/>
          <w:sz w:val="20"/>
          <w:szCs w:val="20"/>
        </w:rPr>
        <w:t>-sale disposal group. See Note 23 of the Notes to these Consolidated Financial Statements for additional information.</w:t>
      </w:r>
    </w:p>
    <w:p w:rsidR="00000000" w:rsidRDefault="00E54EC0">
      <w:pPr>
        <w:divId w:val="638344292"/>
        <w:rPr>
          <w:rFonts w:eastAsia="Times New Roman"/>
        </w:rPr>
      </w:pPr>
      <w:r>
        <w:rPr>
          <w:rFonts w:eastAsia="Times New Roman"/>
          <w:color w:val="000000"/>
          <w:sz w:val="20"/>
          <w:szCs w:val="20"/>
        </w:rPr>
        <w:t>As of December 31, 2022 and 2021, the Company’s annual testing resulted in no impairment of this goodwill, as the fair value of the report</w:t>
      </w:r>
      <w:r>
        <w:rPr>
          <w:rFonts w:eastAsia="Times New Roman"/>
          <w:color w:val="000000"/>
          <w:sz w:val="20"/>
          <w:szCs w:val="20"/>
        </w:rPr>
        <w:t xml:space="preserve">ing unit exceeded its carrying amount at each respective date. </w:t>
      </w:r>
    </w:p>
    <w:p w:rsidR="00000000" w:rsidRDefault="00E54EC0">
      <w:pPr>
        <w:divId w:val="32506185"/>
        <w:rPr>
          <w:rFonts w:eastAsia="Times New Roman"/>
        </w:rPr>
      </w:pPr>
      <w:r>
        <w:rPr>
          <w:rFonts w:eastAsia="Times New Roman"/>
          <w:color w:val="000000"/>
          <w:sz w:val="20"/>
          <w:szCs w:val="20"/>
          <w:u w:val="single"/>
        </w:rPr>
        <w:t>Other Intangible Assets</w:t>
      </w:r>
    </w:p>
    <w:p w:rsidR="00000000" w:rsidRDefault="00E54EC0">
      <w:pPr>
        <w:divId w:val="1637370018"/>
        <w:rPr>
          <w:rFonts w:eastAsia="Times New Roman"/>
        </w:rPr>
      </w:pPr>
      <w:r>
        <w:rPr>
          <w:rFonts w:eastAsia="Times New Roman"/>
          <w:color w:val="000000"/>
          <w:sz w:val="20"/>
          <w:szCs w:val="20"/>
        </w:rPr>
        <w:t>The Company’s intangible assets primarily relate to the CarVal acquisition and reflect amounts assigned to acquired investment management contracts based on their estim</w:t>
      </w:r>
      <w:r>
        <w:rPr>
          <w:rFonts w:eastAsia="Times New Roman"/>
          <w:color w:val="000000"/>
          <w:sz w:val="20"/>
          <w:szCs w:val="20"/>
        </w:rPr>
        <w:t xml:space="preserve">ated fair values at the time of acquisition, less accumulated amortization. </w:t>
      </w:r>
    </w:p>
    <w:p w:rsidR="00000000" w:rsidRDefault="00E54EC0">
      <w:pPr>
        <w:divId w:val="387729666"/>
        <w:rPr>
          <w:rFonts w:eastAsia="Times New Roman"/>
        </w:rPr>
      </w:pPr>
      <w:r>
        <w:rPr>
          <w:rFonts w:eastAsia="Times New Roman"/>
          <w:color w:val="000000"/>
          <w:sz w:val="20"/>
          <w:szCs w:val="20"/>
        </w:rPr>
        <w:t>The gross carrying amount of AB-related intangible assets was $1.2 billion as of December 31, 2022 and $932 million as of December 31, 2021, and the accumulated amortization of th</w:t>
      </w:r>
      <w:r>
        <w:rPr>
          <w:rFonts w:eastAsia="Times New Roman"/>
          <w:color w:val="000000"/>
          <w:sz w:val="20"/>
          <w:szCs w:val="20"/>
        </w:rPr>
        <w:t>ese intangible assets was $853 million and $809 million as of December 31, 2022 and 2021, respectively. The net increase of $257 million as of December 31, 2022 was primarily a result of the CarVal acquisition. Amortization expense for AB-related intangibl</w:t>
      </w:r>
      <w:r>
        <w:rPr>
          <w:rFonts w:eastAsia="Times New Roman"/>
          <w:color w:val="000000"/>
          <w:sz w:val="20"/>
          <w:szCs w:val="20"/>
        </w:rPr>
        <w:t>e assets totaled $43 million, $21 million, and $37 million for 2022, 2021 and 2020, respectively. Estimated annual amortization expense for each of the next five years is approximately $60 million, $60 million, $60 million, $59 million and $38 million, res</w:t>
      </w:r>
      <w:r>
        <w:rPr>
          <w:rFonts w:eastAsia="Times New Roman"/>
          <w:color w:val="000000"/>
          <w:sz w:val="20"/>
          <w:szCs w:val="20"/>
        </w:rPr>
        <w:t>pectively.</w:t>
      </w:r>
    </w:p>
    <w:p w:rsidR="00000000" w:rsidRDefault="00E54EC0">
      <w:pPr>
        <w:divId w:val="1936017732"/>
        <w:rPr>
          <w:rFonts w:eastAsia="Times New Roman"/>
        </w:rPr>
      </w:pPr>
      <w:r>
        <w:rPr>
          <w:rFonts w:eastAsia="Times New Roman"/>
          <w:b/>
          <w:bCs/>
          <w:color w:val="000000"/>
          <w:sz w:val="20"/>
          <w:szCs w:val="20"/>
        </w:rPr>
        <w:t>6)    CLOSED BLOCK</w:t>
      </w:r>
    </w:p>
    <w:p w:rsidR="00000000" w:rsidRDefault="00E54EC0">
      <w:pPr>
        <w:jc w:val="center"/>
        <w:divId w:val="1399094057"/>
        <w:rPr>
          <w:rFonts w:eastAsia="Times New Roman"/>
        </w:rPr>
      </w:pPr>
    </w:p>
    <w:p w:rsidR="00000000" w:rsidRDefault="00E54EC0">
      <w:pPr>
        <w:jc w:val="center"/>
        <w:divId w:val="1399094057"/>
        <w:rPr>
          <w:rFonts w:eastAsia="Times New Roman"/>
        </w:rPr>
      </w:pPr>
      <w:r>
        <w:rPr>
          <w:rFonts w:eastAsia="Times New Roman"/>
          <w:color w:val="000000"/>
          <w:sz w:val="20"/>
          <w:szCs w:val="20"/>
        </w:rPr>
        <w:t>175</w:t>
      </w:r>
    </w:p>
    <w:p w:rsidR="00000000" w:rsidRDefault="00E54EC0">
      <w:pPr>
        <w:rPr>
          <w:rFonts w:eastAsia="Times New Roman"/>
        </w:rPr>
      </w:pPr>
      <w:r>
        <w:rPr>
          <w:rFonts w:eastAsia="Times New Roman"/>
        </w:rPr>
        <w:pict>
          <v:rect id="_x0000_i1213" style="width:0;height:1.5pt" o:hralign="center" o:hrstd="t" o:hr="t" fillcolor="#a0a0a0" stroked="f"/>
        </w:pict>
      </w:r>
    </w:p>
    <w:p w:rsidR="00000000" w:rsidRDefault="00E54EC0">
      <w:pPr>
        <w:jc w:val="center"/>
        <w:divId w:val="2048140354"/>
        <w:rPr>
          <w:rFonts w:eastAsia="Times New Roman"/>
        </w:rPr>
      </w:pPr>
      <w:r>
        <w:rPr>
          <w:rFonts w:eastAsia="Times New Roman"/>
          <w:b/>
          <w:bCs/>
          <w:color w:val="000000"/>
          <w:sz w:val="20"/>
          <w:szCs w:val="20"/>
        </w:rPr>
        <w:t>EQUITABLE HOLDINGS, INC.</w:t>
      </w:r>
    </w:p>
    <w:p w:rsidR="00000000" w:rsidRDefault="00E54EC0">
      <w:pPr>
        <w:jc w:val="center"/>
        <w:divId w:val="2048140354"/>
        <w:rPr>
          <w:rFonts w:eastAsia="Times New Roman"/>
        </w:rPr>
      </w:pPr>
      <w:r>
        <w:rPr>
          <w:rFonts w:eastAsia="Times New Roman"/>
          <w:b/>
          <w:bCs/>
          <w:color w:val="000000"/>
          <w:sz w:val="20"/>
          <w:szCs w:val="20"/>
        </w:rPr>
        <w:t>NOTES TO CONSOLIDATED FINANCIAL STATEMENTS, continued</w:t>
      </w:r>
    </w:p>
    <w:p w:rsidR="00000000" w:rsidRDefault="00E54EC0">
      <w:pPr>
        <w:divId w:val="434710310"/>
        <w:rPr>
          <w:rFonts w:eastAsia="Times New Roman"/>
        </w:rPr>
      </w:pPr>
      <w:r>
        <w:rPr>
          <w:rFonts w:eastAsia="Times New Roman"/>
          <w:color w:val="000000"/>
          <w:sz w:val="20"/>
          <w:szCs w:val="20"/>
        </w:rPr>
        <w:t>As a result of demutualization, the Company’s Closed Block was established in 1992 for the benefit of cer</w:t>
      </w:r>
      <w:r>
        <w:rPr>
          <w:rFonts w:eastAsia="Times New Roman"/>
          <w:color w:val="000000"/>
          <w:sz w:val="20"/>
          <w:szCs w:val="20"/>
        </w:rPr>
        <w:t>tain individual participating policies that were in force on that date. Assets, liabilities and earnings of the Closed Block are specifically identified to support its participating policyholders.</w:t>
      </w:r>
    </w:p>
    <w:p w:rsidR="00000000" w:rsidRDefault="00E54EC0">
      <w:pPr>
        <w:divId w:val="1591740338"/>
        <w:rPr>
          <w:rFonts w:eastAsia="Times New Roman"/>
        </w:rPr>
      </w:pPr>
      <w:r>
        <w:rPr>
          <w:rFonts w:eastAsia="Times New Roman"/>
          <w:color w:val="000000"/>
          <w:sz w:val="20"/>
          <w:szCs w:val="20"/>
        </w:rPr>
        <w:t>Assets allocated to the Closed Block inure solely to the be</w:t>
      </w:r>
      <w:r>
        <w:rPr>
          <w:rFonts w:eastAsia="Times New Roman"/>
          <w:color w:val="000000"/>
          <w:sz w:val="20"/>
          <w:szCs w:val="20"/>
        </w:rPr>
        <w:t>nefit of the Closed Block policyholders and will not revert to the benefit of the Company. No reallocation, transfer, borrowing or lending of assets can be made between the Closed Block and other portions of the Company’s General Account, any of its Separa</w:t>
      </w:r>
      <w:r>
        <w:rPr>
          <w:rFonts w:eastAsia="Times New Roman"/>
          <w:color w:val="000000"/>
          <w:sz w:val="20"/>
          <w:szCs w:val="20"/>
        </w:rPr>
        <w:t>te Accounts or any affiliate of the Company without the approval of the NYDFS. Closed Block assets and liabilities are carried on the same basis as similar assets and liabilities held in the General Account.</w:t>
      </w:r>
    </w:p>
    <w:p w:rsidR="00000000" w:rsidRDefault="00E54EC0">
      <w:pPr>
        <w:divId w:val="876963774"/>
        <w:rPr>
          <w:rFonts w:eastAsia="Times New Roman"/>
        </w:rPr>
      </w:pPr>
      <w:r>
        <w:rPr>
          <w:rFonts w:eastAsia="Times New Roman"/>
          <w:color w:val="000000"/>
          <w:sz w:val="20"/>
          <w:szCs w:val="20"/>
        </w:rPr>
        <w:t>The excess of Closed Block liabilities over Clos</w:t>
      </w:r>
      <w:r>
        <w:rPr>
          <w:rFonts w:eastAsia="Times New Roman"/>
          <w:color w:val="000000"/>
          <w:sz w:val="20"/>
          <w:szCs w:val="20"/>
        </w:rPr>
        <w:t>ed Block assets (adjusted to exclude the impact of related amounts in AOCI) represents the expected maximum future post-tax earnings from the Closed Block that would be recognized in income from continuing operations over the period the policies and contra</w:t>
      </w:r>
      <w:r>
        <w:rPr>
          <w:rFonts w:eastAsia="Times New Roman"/>
          <w:color w:val="000000"/>
          <w:sz w:val="20"/>
          <w:szCs w:val="20"/>
        </w:rPr>
        <w:t>cts in the Closed Block remain in force. As of January 1, 2001, the Company has developed an actuarial calculation of the expected timing of the Closed Block’s earnings.</w:t>
      </w:r>
    </w:p>
    <w:p w:rsidR="00000000" w:rsidRDefault="00E54EC0">
      <w:pPr>
        <w:divId w:val="130825751"/>
        <w:rPr>
          <w:rFonts w:eastAsia="Times New Roman"/>
        </w:rPr>
      </w:pPr>
      <w:r>
        <w:rPr>
          <w:rFonts w:eastAsia="Times New Roman"/>
          <w:color w:val="000000"/>
          <w:sz w:val="20"/>
          <w:szCs w:val="20"/>
        </w:rPr>
        <w:t xml:space="preserve">If the actual cumulative earnings from the Closed Block are greater than the expected </w:t>
      </w:r>
      <w:r>
        <w:rPr>
          <w:rFonts w:eastAsia="Times New Roman"/>
          <w:color w:val="000000"/>
          <w:sz w:val="20"/>
          <w:szCs w:val="20"/>
        </w:rPr>
        <w:t>cumulative earnings, only the expected earnings will be recognized in net income. Actual cumulative earnings in excess of expected cumulative earnings at any point in time are recorded as a policyholder dividend obligation because they will ultimately be p</w:t>
      </w:r>
      <w:r>
        <w:rPr>
          <w:rFonts w:eastAsia="Times New Roman"/>
          <w:color w:val="000000"/>
          <w:sz w:val="20"/>
          <w:szCs w:val="20"/>
        </w:rPr>
        <w:t xml:space="preserve">aid to Closed Block policyholders as an additional policyholder dividend unless offset by future performance that is less favorable than originally expected. If a policyholder dividend obligation has been previously established and the actual Closed Block </w:t>
      </w:r>
      <w:r>
        <w:rPr>
          <w:rFonts w:eastAsia="Times New Roman"/>
          <w:color w:val="000000"/>
          <w:sz w:val="20"/>
          <w:szCs w:val="20"/>
        </w:rPr>
        <w:t xml:space="preserve">earnings in a subsequent period are less than the expected earnings for that period, the policyholder dividend obligation would be reduced (but not below zero). If, over the period the policies and contracts in the Closed Block remain in force, the actual </w:t>
      </w:r>
      <w:r>
        <w:rPr>
          <w:rFonts w:eastAsia="Times New Roman"/>
          <w:color w:val="000000"/>
          <w:sz w:val="20"/>
          <w:szCs w:val="20"/>
        </w:rPr>
        <w:t>cumulative earnings of the Closed Block are less than the expected cumulative earnings, only actual earnings would be recognized in income from continuing operations. If the Closed Block has insufficient funds to make guaranteed policy benefit payments, su</w:t>
      </w:r>
      <w:r>
        <w:rPr>
          <w:rFonts w:eastAsia="Times New Roman"/>
          <w:color w:val="000000"/>
          <w:sz w:val="20"/>
          <w:szCs w:val="20"/>
        </w:rPr>
        <w:t>ch payments will be made from assets outside the Closed Block.</w:t>
      </w:r>
    </w:p>
    <w:p w:rsidR="00000000" w:rsidRDefault="00E54EC0">
      <w:pPr>
        <w:divId w:val="292449018"/>
        <w:rPr>
          <w:rFonts w:eastAsia="Times New Roman"/>
        </w:rPr>
      </w:pPr>
      <w:r>
        <w:rPr>
          <w:rFonts w:eastAsia="Times New Roman"/>
          <w:color w:val="000000"/>
          <w:sz w:val="20"/>
          <w:szCs w:val="20"/>
        </w:rPr>
        <w:t>Many expenses related to Closed Block operations, including amortization of DAC, are charged to operations outside of the Closed Block; accordingly, net revenues of the Closed Block do not repr</w:t>
      </w:r>
      <w:r>
        <w:rPr>
          <w:rFonts w:eastAsia="Times New Roman"/>
          <w:color w:val="000000"/>
          <w:sz w:val="20"/>
          <w:szCs w:val="20"/>
        </w:rPr>
        <w:t>esent the actual profitability of the Closed Block operations. Operating costs and expenses outside of the Closed Block are, therefore, disproportionate to the business outside of the Closed Block.</w:t>
      </w:r>
    </w:p>
    <w:p w:rsidR="00000000" w:rsidRDefault="00E54EC0">
      <w:pPr>
        <w:jc w:val="center"/>
        <w:divId w:val="792479445"/>
        <w:rPr>
          <w:rFonts w:eastAsia="Times New Roman"/>
        </w:rPr>
      </w:pPr>
      <w:r>
        <w:rPr>
          <w:rFonts w:eastAsia="Times New Roman"/>
          <w:color w:val="000000"/>
          <w:sz w:val="20"/>
          <w:szCs w:val="20"/>
        </w:rPr>
        <w:t>176</w:t>
      </w:r>
    </w:p>
    <w:p w:rsidR="00000000" w:rsidRDefault="00E54EC0">
      <w:pPr>
        <w:rPr>
          <w:rFonts w:eastAsia="Times New Roman"/>
        </w:rPr>
      </w:pPr>
      <w:r>
        <w:rPr>
          <w:rFonts w:eastAsia="Times New Roman"/>
        </w:rPr>
        <w:pict>
          <v:rect id="_x0000_i1214" style="width:0;height:1.5pt" o:hralign="center" o:hrstd="t" o:hr="t" fillcolor="#a0a0a0" stroked="f"/>
        </w:pict>
      </w:r>
    </w:p>
    <w:p w:rsidR="00000000" w:rsidRDefault="00E54EC0">
      <w:pPr>
        <w:jc w:val="center"/>
        <w:divId w:val="958755851"/>
        <w:rPr>
          <w:rFonts w:eastAsia="Times New Roman"/>
        </w:rPr>
      </w:pPr>
      <w:r>
        <w:rPr>
          <w:rFonts w:eastAsia="Times New Roman"/>
          <w:b/>
          <w:bCs/>
          <w:color w:val="000000"/>
          <w:sz w:val="20"/>
          <w:szCs w:val="20"/>
        </w:rPr>
        <w:t>EQUITABLE HOLDINGS</w:t>
      </w:r>
      <w:r>
        <w:rPr>
          <w:rFonts w:eastAsia="Times New Roman"/>
          <w:b/>
          <w:bCs/>
          <w:color w:val="000000"/>
          <w:sz w:val="20"/>
          <w:szCs w:val="20"/>
        </w:rPr>
        <w:t>, INC.</w:t>
      </w:r>
    </w:p>
    <w:p w:rsidR="00000000" w:rsidRDefault="00E54EC0">
      <w:pPr>
        <w:jc w:val="center"/>
        <w:divId w:val="958755851"/>
        <w:rPr>
          <w:rFonts w:eastAsia="Times New Roman"/>
        </w:rPr>
      </w:pPr>
      <w:r>
        <w:rPr>
          <w:rFonts w:eastAsia="Times New Roman"/>
          <w:b/>
          <w:bCs/>
          <w:color w:val="000000"/>
          <w:sz w:val="20"/>
          <w:szCs w:val="20"/>
        </w:rPr>
        <w:t>NOTES TO CONSOLIDATED FINANCIAL STATEMENTS, continued</w:t>
      </w:r>
    </w:p>
    <w:p w:rsidR="00000000" w:rsidRDefault="00E54EC0">
      <w:pPr>
        <w:divId w:val="1818910952"/>
        <w:rPr>
          <w:rFonts w:eastAsia="Times New Roman"/>
        </w:rPr>
      </w:pPr>
      <w:r>
        <w:rPr>
          <w:rFonts w:eastAsia="Times New Roman"/>
          <w:color w:val="000000"/>
          <w:sz w:val="20"/>
          <w:szCs w:val="20"/>
        </w:rPr>
        <w:t>Summarized financial information for the Company’s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97"/>
        <w:gridCol w:w="37"/>
        <w:gridCol w:w="120"/>
        <w:gridCol w:w="1116"/>
        <w:gridCol w:w="36"/>
        <w:gridCol w:w="36"/>
        <w:gridCol w:w="36"/>
        <w:gridCol w:w="36"/>
        <w:gridCol w:w="120"/>
        <w:gridCol w:w="996"/>
        <w:gridCol w:w="36"/>
      </w:tblGrid>
      <w:tr w:rsidR="00000000">
        <w:trPr>
          <w:divId w:val="862011712"/>
        </w:trPr>
        <w:tc>
          <w:tcPr>
            <w:tcW w:w="50" w:type="pct"/>
            <w:vAlign w:val="center"/>
            <w:hideMark/>
          </w:tcPr>
          <w:p w:rsidR="00000000" w:rsidRDefault="00E54EC0">
            <w:pPr>
              <w:rPr>
                <w:rFonts w:eastAsia="Times New Roman"/>
              </w:rPr>
            </w:pPr>
          </w:p>
        </w:tc>
        <w:tc>
          <w:tcPr>
            <w:tcW w:w="34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9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6201171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86201171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86201171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86201171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5,756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Height w:val="30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297836099"/>
              <w:rPr>
                <w:rFonts w:eastAsia="Times New Roman"/>
              </w:rPr>
            </w:pPr>
            <w:r>
              <w:rPr>
                <w:rFonts w:eastAsia="Times New Roman"/>
                <w:color w:val="000000"/>
                <w:sz w:val="20"/>
                <w:szCs w:val="20"/>
              </w:rPr>
              <w:t>Fixed maturities AFS, at fair value (amortized cost of $3,171 and $3,185</w:t>
            </w:r>
            <w:r>
              <w:rPr>
                <w:rFonts w:eastAsia="Times New Roman"/>
                <w:color w:val="000000"/>
                <w:sz w:val="20"/>
                <w:szCs w:val="20"/>
              </w:rPr>
              <w:t>) (allowance for credit losses of $0 and $0)</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724713767"/>
              <w:rPr>
                <w:rFonts w:eastAsia="Times New Roman"/>
              </w:rPr>
            </w:pPr>
            <w:r>
              <w:rPr>
                <w:rFonts w:eastAsia="Times New Roman"/>
                <w:color w:val="000000"/>
                <w:sz w:val="20"/>
                <w:szCs w:val="20"/>
              </w:rPr>
              <w:t>Mortgage loans on real estate (net of allowance for credit losses of $4 and $4)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1,771 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Height w:val="30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6201171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912353092"/>
              <w:rPr>
                <w:rFonts w:eastAsia="Times New Roman"/>
              </w:rPr>
            </w:pPr>
            <w:r>
              <w:rPr>
                <w:rFonts w:eastAsia="Times New Roman"/>
                <w:color w:val="000000"/>
                <w:sz w:val="20"/>
                <w:szCs w:val="20"/>
              </w:rPr>
              <w:t>Net unrealized investment gains (losses), net of policyholders’ dividend obligation: $0 and $0; and net of income tax: $47 and ($43)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201171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231963517"/>
        <w:rPr>
          <w:rFonts w:eastAsia="Times New Roman"/>
        </w:rPr>
      </w:pPr>
    </w:p>
    <w:p w:rsidR="00000000" w:rsidRDefault="00E54EC0">
      <w:pPr>
        <w:divId w:val="1924139762"/>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217"/>
        <w:gridCol w:w="38"/>
        <w:gridCol w:w="36"/>
        <w:gridCol w:w="36"/>
        <w:gridCol w:w="223"/>
        <w:gridCol w:w="222"/>
        <w:gridCol w:w="120"/>
        <w:gridCol w:w="550"/>
        <w:gridCol w:w="36"/>
        <w:gridCol w:w="222"/>
        <w:gridCol w:w="120"/>
        <w:gridCol w:w="551"/>
        <w:gridCol w:w="36"/>
        <w:gridCol w:w="36"/>
        <w:gridCol w:w="36"/>
        <w:gridCol w:w="36"/>
        <w:gridCol w:w="120"/>
        <w:gridCol w:w="596"/>
        <w:gridCol w:w="36"/>
      </w:tblGrid>
      <w:tr w:rsidR="00000000">
        <w:trPr>
          <w:divId w:val="721247501"/>
        </w:trPr>
        <w:tc>
          <w:tcPr>
            <w:tcW w:w="50" w:type="pct"/>
            <w:vAlign w:val="center"/>
            <w:hideMark/>
          </w:tcPr>
          <w:p w:rsidR="00000000" w:rsidRDefault="00E54EC0">
            <w:pPr>
              <w:rPr>
                <w:rFonts w:eastAsia="Times New Roman"/>
              </w:rPr>
            </w:pPr>
          </w:p>
        </w:tc>
        <w:tc>
          <w:tcPr>
            <w:tcW w:w="35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2124750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72124750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2124750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0"/>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72124750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2124750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Premiums and other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2124750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2124750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Policyholders’ benefits and dividends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before income taxes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Income tax (expense) benefit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2124750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Net income (loss)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316715476"/>
        <w:rPr>
          <w:rFonts w:eastAsia="Times New Roman"/>
        </w:rPr>
      </w:pPr>
    </w:p>
    <w:p w:rsidR="00000000" w:rsidRDefault="00E54EC0">
      <w:pPr>
        <w:jc w:val="center"/>
        <w:divId w:val="582253741"/>
        <w:rPr>
          <w:rFonts w:eastAsia="Times New Roman"/>
        </w:rPr>
      </w:pPr>
      <w:r>
        <w:rPr>
          <w:rFonts w:eastAsia="Times New Roman"/>
          <w:color w:val="000000"/>
          <w:sz w:val="20"/>
          <w:szCs w:val="20"/>
        </w:rPr>
        <w:t>177</w:t>
      </w:r>
    </w:p>
    <w:p w:rsidR="00000000" w:rsidRDefault="00E54EC0">
      <w:pPr>
        <w:rPr>
          <w:rFonts w:eastAsia="Times New Roman"/>
        </w:rPr>
      </w:pPr>
      <w:r>
        <w:rPr>
          <w:rFonts w:eastAsia="Times New Roman"/>
        </w:rPr>
        <w:pict>
          <v:rect id="_x0000_i1215" style="width:0;height:1.5pt" o:hralign="center" o:hrstd="t" o:hr="t" fillcolor="#a0a0a0" stroked="f"/>
        </w:pict>
      </w:r>
    </w:p>
    <w:p w:rsidR="00000000" w:rsidRDefault="00E54EC0">
      <w:pPr>
        <w:jc w:val="center"/>
        <w:divId w:val="905141450"/>
        <w:rPr>
          <w:rFonts w:eastAsia="Times New Roman"/>
        </w:rPr>
      </w:pPr>
      <w:r>
        <w:rPr>
          <w:rFonts w:eastAsia="Times New Roman"/>
          <w:b/>
          <w:bCs/>
          <w:color w:val="000000"/>
          <w:sz w:val="20"/>
          <w:szCs w:val="20"/>
        </w:rPr>
        <w:t>EQUITABLE HOLDINGS, INC.</w:t>
      </w:r>
    </w:p>
    <w:p w:rsidR="00000000" w:rsidRDefault="00E54EC0">
      <w:pPr>
        <w:jc w:val="center"/>
        <w:divId w:val="905141450"/>
        <w:rPr>
          <w:rFonts w:eastAsia="Times New Roman"/>
        </w:rPr>
      </w:pPr>
      <w:r>
        <w:rPr>
          <w:rFonts w:eastAsia="Times New Roman"/>
          <w:b/>
          <w:bCs/>
          <w:color w:val="000000"/>
          <w:sz w:val="20"/>
          <w:szCs w:val="20"/>
        </w:rPr>
        <w:t>NOTES TO CONSOLIDATED FINANCIAL STATEMENTS, continued</w:t>
      </w:r>
    </w:p>
    <w:p w:rsidR="00000000" w:rsidRDefault="00E54EC0">
      <w:pPr>
        <w:divId w:val="1570264613"/>
        <w:rPr>
          <w:rFonts w:eastAsia="Times New Roman"/>
        </w:rPr>
      </w:pPr>
      <w:r>
        <w:rPr>
          <w:rFonts w:eastAsia="Times New Roman"/>
          <w:color w:val="000000"/>
          <w:sz w:val="20"/>
          <w:szCs w:val="20"/>
        </w:rPr>
        <w:t>A reconciliation of the Company’s policyholder dividend obligation follows:</w:t>
      </w:r>
    </w:p>
    <w:p w:rsidR="00000000" w:rsidRDefault="00E54EC0">
      <w:pPr>
        <w:divId w:val="1532451332"/>
        <w:rPr>
          <w:rFonts w:eastAsia="Times New Roman"/>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37"/>
        <w:gridCol w:w="4914"/>
        <w:gridCol w:w="36"/>
        <w:gridCol w:w="36"/>
        <w:gridCol w:w="36"/>
        <w:gridCol w:w="222"/>
        <w:gridCol w:w="221"/>
        <w:gridCol w:w="120"/>
        <w:gridCol w:w="549"/>
        <w:gridCol w:w="36"/>
        <w:gridCol w:w="221"/>
        <w:gridCol w:w="120"/>
        <w:gridCol w:w="549"/>
        <w:gridCol w:w="36"/>
        <w:gridCol w:w="36"/>
        <w:gridCol w:w="36"/>
        <w:gridCol w:w="36"/>
        <w:gridCol w:w="120"/>
        <w:gridCol w:w="495"/>
        <w:gridCol w:w="36"/>
      </w:tblGrid>
      <w:tr w:rsidR="00000000">
        <w:trPr>
          <w:jc w:val="center"/>
        </w:trPr>
        <w:tc>
          <w:tcPr>
            <w:tcW w:w="50" w:type="pct"/>
            <w:vAlign w:val="center"/>
            <w:hideMark/>
          </w:tcPr>
          <w:p w:rsidR="00000000" w:rsidRDefault="00E54EC0">
            <w:pPr>
              <w:rPr>
                <w:rFonts w:eastAsia="Times New Roman"/>
              </w:rPr>
            </w:pPr>
          </w:p>
        </w:tc>
        <w:tc>
          <w:tcPr>
            <w:tcW w:w="349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ascii="Calibri" w:eastAsia="Times New Roman" w:hAnsi="Calibri" w:cs="Calibri"/>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0"/>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Beginning balance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Unrealized investment gains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Ending balance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1249732027"/>
        <w:rPr>
          <w:rFonts w:eastAsia="Times New Roman"/>
        </w:rPr>
      </w:pPr>
    </w:p>
    <w:p w:rsidR="00000000" w:rsidRDefault="00E54EC0">
      <w:pPr>
        <w:divId w:val="1482236817"/>
        <w:rPr>
          <w:rFonts w:eastAsia="Times New Roman"/>
        </w:rPr>
      </w:pPr>
      <w:r>
        <w:rPr>
          <w:rFonts w:eastAsia="Times New Roman"/>
          <w:b/>
          <w:bCs/>
          <w:color w:val="000000"/>
          <w:sz w:val="20"/>
          <w:szCs w:val="20"/>
        </w:rPr>
        <w:t xml:space="preserve">7)    DAC AND POLICYHOLDER BONUS INTEREST CREDITS </w:t>
      </w:r>
    </w:p>
    <w:p w:rsidR="00000000" w:rsidRDefault="00E54EC0">
      <w:pPr>
        <w:divId w:val="35744040"/>
        <w:rPr>
          <w:rFonts w:eastAsia="Times New Roman"/>
        </w:rPr>
      </w:pPr>
      <w:r>
        <w:rPr>
          <w:rFonts w:eastAsia="Times New Roman"/>
          <w:color w:val="000000"/>
          <w:sz w:val="20"/>
          <w:szCs w:val="20"/>
        </w:rPr>
        <w:t>Changes in the DAC asset for the years ended D</w:t>
      </w:r>
      <w:r>
        <w:rPr>
          <w:rFonts w:eastAsia="Times New Roman"/>
          <w:color w:val="000000"/>
          <w:sz w:val="20"/>
          <w:szCs w:val="20"/>
        </w:rPr>
        <w:t>ecember 31, 2022,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687756043"/>
        </w:trPr>
        <w:tc>
          <w:tcPr>
            <w:tcW w:w="50" w:type="pct"/>
            <w:vAlign w:val="center"/>
            <w:hideMark/>
          </w:tcPr>
          <w:p w:rsidR="00000000" w:rsidRDefault="00E54EC0">
            <w:pPr>
              <w:rPr>
                <w:rFonts w:eastAsia="Times New Roman"/>
              </w:rPr>
            </w:pPr>
          </w:p>
        </w:tc>
        <w:tc>
          <w:tcPr>
            <w:tcW w:w="30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8775604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68775604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68775604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68775604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Capitalization of commissions, sales and issue expenses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Amortization:</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8775604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Impact of assumptions updates and model changes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All 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r>
              <w:rPr>
                <w:rFonts w:eastAsia="Times New Roman"/>
                <w:color w:val="000000"/>
                <w:sz w:val="20"/>
                <w:szCs w:val="20"/>
              </w:rPr>
              <w:t>Total amortization</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(1,613)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investment gains and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Reclassified to assets HFS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end of year</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5,491 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4,243 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8775604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68775604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905915817"/>
        <w:rPr>
          <w:rFonts w:eastAsia="Times New Roman"/>
        </w:rPr>
      </w:pPr>
      <w:r>
        <w:rPr>
          <w:rFonts w:eastAsia="Times New Roman"/>
          <w:color w:val="000000"/>
          <w:sz w:val="20"/>
          <w:szCs w:val="20"/>
        </w:rPr>
        <w:t xml:space="preserve">The deferred asset for policyholder bonus interest credits is reported in other assets in the consolidated balance sheets and changes in the deferred asset for policyholder bonus interest credits are reported in Interest credited to policyholders’ account </w:t>
      </w:r>
      <w:r>
        <w:rPr>
          <w:rFonts w:eastAsia="Times New Roman"/>
          <w:color w:val="000000"/>
          <w:sz w:val="20"/>
          <w:szCs w:val="20"/>
        </w:rPr>
        <w:t>balances. For the years ended December 31, 2022, 2021 and 2020 changes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718091123"/>
        </w:trPr>
        <w:tc>
          <w:tcPr>
            <w:tcW w:w="50" w:type="pct"/>
            <w:vAlign w:val="center"/>
            <w:hideMark/>
          </w:tcPr>
          <w:p w:rsidR="00000000" w:rsidRDefault="00E54EC0">
            <w:pPr>
              <w:rPr>
                <w:rFonts w:eastAsia="Times New Roman"/>
              </w:rPr>
            </w:pPr>
          </w:p>
        </w:tc>
        <w:tc>
          <w:tcPr>
            <w:tcW w:w="30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1809112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71809112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1809112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71809112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1809112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charged to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1809112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end of year</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207795642"/>
        <w:rPr>
          <w:rFonts w:eastAsia="Times New Roman"/>
        </w:rPr>
      </w:pPr>
      <w:r>
        <w:rPr>
          <w:rFonts w:eastAsia="Times New Roman"/>
          <w:b/>
          <w:bCs/>
          <w:color w:val="000000"/>
          <w:sz w:val="20"/>
          <w:szCs w:val="20"/>
        </w:rPr>
        <w:t xml:space="preserve">8)    FAIR VALUE DISCLOSURES </w:t>
      </w:r>
    </w:p>
    <w:p w:rsidR="00000000" w:rsidRDefault="00E54EC0">
      <w:pPr>
        <w:divId w:val="901452835"/>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used to measure fair valu</w:t>
      </w:r>
      <w:r>
        <w:rPr>
          <w:rFonts w:eastAsia="Times New Roman"/>
          <w:color w:val="000000"/>
          <w:sz w:val="20"/>
          <w:szCs w:val="20"/>
        </w:rPr>
        <w:t>e:</w:t>
      </w:r>
    </w:p>
    <w:p w:rsidR="00000000" w:rsidRDefault="00E54EC0">
      <w:pPr>
        <w:ind w:hanging="360"/>
        <w:jc w:val="both"/>
        <w:divId w:val="105779446"/>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 an ongoing basis.</w:t>
      </w:r>
    </w:p>
    <w:p w:rsidR="00000000" w:rsidRDefault="00E54EC0">
      <w:pPr>
        <w:ind w:hanging="360"/>
        <w:jc w:val="both"/>
        <w:divId w:val="896474730"/>
        <w:rPr>
          <w:rFonts w:eastAsia="Times New Roman"/>
        </w:rPr>
      </w:pPr>
      <w:r>
        <w:rPr>
          <w:rFonts w:eastAsia="Times New Roman"/>
          <w:color w:val="000000"/>
          <w:sz w:val="20"/>
          <w:szCs w:val="20"/>
        </w:rPr>
        <w:t>Level</w:t>
      </w:r>
      <w:r>
        <w:rPr>
          <w:rFonts w:eastAsia="Times New Roman"/>
          <w:color w:val="000000"/>
          <w:sz w:val="20"/>
          <w:szCs w:val="20"/>
        </w:rPr>
        <w:t xml:space="preserve"> 2    Observable inputs other than Level 1 prices, such as quoted prices for similar instruments, quoted prices in markets that are not active, and inputs to model-derived valuations that are directly observable or can be corroborated by observable market </w:t>
      </w:r>
      <w:r>
        <w:rPr>
          <w:rFonts w:eastAsia="Times New Roman"/>
          <w:color w:val="000000"/>
          <w:sz w:val="20"/>
          <w:szCs w:val="20"/>
        </w:rPr>
        <w:t>data.</w:t>
      </w:r>
    </w:p>
    <w:p w:rsidR="00000000" w:rsidRDefault="00E54EC0">
      <w:pPr>
        <w:ind w:hanging="360"/>
        <w:jc w:val="both"/>
        <w:divId w:val="1595363744"/>
        <w:rPr>
          <w:rFonts w:eastAsia="Times New Roman"/>
        </w:rPr>
      </w:pPr>
      <w:r>
        <w:rPr>
          <w:rFonts w:eastAsia="Times New Roman"/>
          <w:color w:val="000000"/>
          <w:sz w:val="20"/>
          <w:szCs w:val="20"/>
        </w:rPr>
        <w:t xml:space="preserve">Level 3    Unobservable inputs supported by little or no market activity and often requiring significant management judgment or estimation, such as an entity’s own assumptions about the cash flows or other significant components of value that market </w:t>
      </w:r>
      <w:r>
        <w:rPr>
          <w:rFonts w:eastAsia="Times New Roman"/>
          <w:color w:val="000000"/>
          <w:sz w:val="20"/>
          <w:szCs w:val="20"/>
        </w:rPr>
        <w:t>participants would use in pricing the asset or liability.</w:t>
      </w:r>
    </w:p>
    <w:p w:rsidR="00000000" w:rsidRDefault="00E54EC0">
      <w:pPr>
        <w:jc w:val="center"/>
        <w:divId w:val="256721017"/>
        <w:rPr>
          <w:rFonts w:eastAsia="Times New Roman"/>
        </w:rPr>
      </w:pPr>
      <w:r>
        <w:rPr>
          <w:rFonts w:eastAsia="Times New Roman"/>
          <w:color w:val="000000"/>
          <w:sz w:val="20"/>
          <w:szCs w:val="20"/>
        </w:rPr>
        <w:t>178</w:t>
      </w:r>
    </w:p>
    <w:p w:rsidR="00000000" w:rsidRDefault="00E54EC0">
      <w:pPr>
        <w:rPr>
          <w:rFonts w:eastAsia="Times New Roman"/>
        </w:rPr>
      </w:pPr>
      <w:r>
        <w:rPr>
          <w:rFonts w:eastAsia="Times New Roman"/>
        </w:rPr>
        <w:pict>
          <v:rect id="_x0000_i1216" style="width:0;height:1.5pt" o:hralign="center" o:hrstd="t" o:hr="t" fillcolor="#a0a0a0" stroked="f"/>
        </w:pict>
      </w:r>
    </w:p>
    <w:p w:rsidR="00000000" w:rsidRDefault="00E54EC0">
      <w:pPr>
        <w:jc w:val="center"/>
        <w:divId w:val="683673612"/>
        <w:rPr>
          <w:rFonts w:eastAsia="Times New Roman"/>
        </w:rPr>
      </w:pPr>
      <w:r>
        <w:rPr>
          <w:rFonts w:eastAsia="Times New Roman"/>
          <w:b/>
          <w:bCs/>
          <w:color w:val="000000"/>
          <w:sz w:val="20"/>
          <w:szCs w:val="20"/>
        </w:rPr>
        <w:t>EQUITABLE HOLDINGS, INC.</w:t>
      </w:r>
    </w:p>
    <w:p w:rsidR="00000000" w:rsidRDefault="00E54EC0">
      <w:pPr>
        <w:jc w:val="center"/>
        <w:divId w:val="683673612"/>
        <w:rPr>
          <w:rFonts w:eastAsia="Times New Roman"/>
        </w:rPr>
      </w:pPr>
      <w:r>
        <w:rPr>
          <w:rFonts w:eastAsia="Times New Roman"/>
          <w:b/>
          <w:bCs/>
          <w:color w:val="000000"/>
          <w:sz w:val="20"/>
          <w:szCs w:val="20"/>
        </w:rPr>
        <w:t>NOTES TO CONSOLIDATED FINANCIAL STATEMENTS, continued</w:t>
      </w:r>
    </w:p>
    <w:p w:rsidR="00000000" w:rsidRDefault="00E54EC0">
      <w:pPr>
        <w:divId w:val="1090463186"/>
        <w:rPr>
          <w:rFonts w:eastAsia="Times New Roman"/>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 are measured using present value or other valuati</w:t>
      </w:r>
      <w:r>
        <w:rPr>
          <w:rFonts w:eastAsia="Times New Roman"/>
          <w:color w:val="000000"/>
          <w:sz w:val="20"/>
          <w:szCs w:val="20"/>
        </w:rPr>
        <w:t>on techniques. The fair value determinations are made at a specific point in time, based on available market information and judgments about the financial instrument, including estimates of the timing and amount of expected future cash flows and the credit</w:t>
      </w:r>
      <w:r>
        <w:rPr>
          <w:rFonts w:eastAsia="Times New Roman"/>
          <w:color w:val="000000"/>
          <w:sz w:val="20"/>
          <w:szCs w:val="20"/>
        </w:rPr>
        <w:t xml:space="preserve"> standing of counterparties. Such adjustments do not reflect any premium or discount that could result from offering for sale at one time the Company’s entire holdings of a particular financial instrument, nor do they consider the tax impact of the realiza</w:t>
      </w:r>
      <w:r>
        <w:rPr>
          <w:rFonts w:eastAsia="Times New Roman"/>
          <w:color w:val="000000"/>
          <w:sz w:val="20"/>
          <w:szCs w:val="20"/>
        </w:rPr>
        <w:t>tion of unrealized gains or losses. In many cases, the fair value cannot be substantiated by direct comparison to independent markets, nor can the disclosed value be realized in immediate settlement of the instrument.</w:t>
      </w:r>
    </w:p>
    <w:p w:rsidR="00000000" w:rsidRDefault="00E54EC0">
      <w:pPr>
        <w:divId w:val="2062438731"/>
        <w:rPr>
          <w:rFonts w:eastAsia="Times New Roman"/>
        </w:rPr>
      </w:pPr>
      <w:r>
        <w:rPr>
          <w:rFonts w:eastAsia="Times New Roman"/>
          <w:color w:val="000000"/>
          <w:sz w:val="20"/>
          <w:szCs w:val="20"/>
        </w:rPr>
        <w:t>Management is responsible for the dete</w:t>
      </w:r>
      <w:r>
        <w:rPr>
          <w:rFonts w:eastAsia="Times New Roman"/>
          <w:color w:val="000000"/>
          <w:sz w:val="20"/>
          <w:szCs w:val="20"/>
        </w:rPr>
        <w:t>rmination of the value of investments carried at fair value and the supporting methodologies and assumptions. Under the terms of various service agreements, the Company often utilizes independent valuation service providers to gather, analyze, and interpre</w:t>
      </w:r>
      <w:r>
        <w:rPr>
          <w:rFonts w:eastAsia="Times New Roman"/>
          <w:color w:val="000000"/>
          <w:sz w:val="20"/>
          <w:szCs w:val="20"/>
        </w:rPr>
        <w:t>t market information and derive fair values based upon relevant methodologies and assumptions for individual securities. These independent valuation service providers typically obtain data about market transactions and other key valuation model inputs from</w:t>
      </w:r>
      <w:r>
        <w:rPr>
          <w:rFonts w:eastAsia="Times New Roman"/>
          <w:color w:val="000000"/>
          <w:sz w:val="20"/>
          <w:szCs w:val="20"/>
        </w:rPr>
        <w:t xml:space="preserve"> multiple sources and, through the use of widely accepted valuation models, provide a single fair value measurement for individual securities for which a fair value has been requested. As further described below with respect to specific asset classes, thes</w:t>
      </w:r>
      <w:r>
        <w:rPr>
          <w:rFonts w:eastAsia="Times New Roman"/>
          <w:color w:val="000000"/>
          <w:sz w:val="20"/>
          <w:szCs w:val="20"/>
        </w:rPr>
        <w:t>e inputs include, but are not limited to, market prices for recent trades and transactions in comparable securities, benchmark yields, interest rate yield curves, credit spreads, quoted prices for similar securities, and other market-observable information</w:t>
      </w:r>
      <w:r>
        <w:rPr>
          <w:rFonts w:eastAsia="Times New Roman"/>
          <w:color w:val="000000"/>
          <w:sz w:val="20"/>
          <w:szCs w:val="20"/>
        </w:rPr>
        <w:t>, as applicable. Specific attributes of the security being valued also are considered, including its term, interest rate, credit rating, industry sector, and when applicable, collateral quality and other security- or issuer-specific information. When insuf</w:t>
      </w:r>
      <w:r>
        <w:rPr>
          <w:rFonts w:eastAsia="Times New Roman"/>
          <w:color w:val="000000"/>
          <w:sz w:val="20"/>
          <w:szCs w:val="20"/>
        </w:rPr>
        <w:t xml:space="preserve">ficient market observable information is available upon which to measure fair value, the Company either will request brokers knowledgeable about these securities to provide a non-binding quote or will employ internal valuation models. Fair values received </w:t>
      </w:r>
      <w:r>
        <w:rPr>
          <w:rFonts w:eastAsia="Times New Roman"/>
          <w:color w:val="000000"/>
          <w:sz w:val="20"/>
          <w:szCs w:val="20"/>
        </w:rPr>
        <w:t>from independent valuation service providers and brokers and those internally modeled or otherwise estimated are assessed for reasonableness.</w:t>
      </w:r>
    </w:p>
    <w:p w:rsidR="00000000" w:rsidRDefault="00E54EC0">
      <w:pPr>
        <w:divId w:val="1040936460"/>
        <w:rPr>
          <w:rFonts w:eastAsia="Times New Roman"/>
        </w:rPr>
      </w:pPr>
      <w:r>
        <w:rPr>
          <w:rFonts w:eastAsia="Times New Roman"/>
          <w:color w:val="000000"/>
          <w:sz w:val="20"/>
          <w:szCs w:val="20"/>
          <w:u w:val="single"/>
        </w:rPr>
        <w:t>Assets and Liabilities Measured at Fair Value on a Nonrecurring Basis</w:t>
      </w:r>
    </w:p>
    <w:p w:rsidR="00000000" w:rsidRDefault="00E54EC0">
      <w:pPr>
        <w:divId w:val="1909148852"/>
        <w:rPr>
          <w:rFonts w:eastAsia="Times New Roman"/>
        </w:rPr>
      </w:pPr>
      <w:r>
        <w:rPr>
          <w:rFonts w:eastAsia="Times New Roman"/>
          <w:color w:val="000000"/>
          <w:sz w:val="20"/>
          <w:szCs w:val="20"/>
        </w:rPr>
        <w:t>Fair value measurements are required on a no</w:t>
      </w:r>
      <w:r>
        <w:rPr>
          <w:rFonts w:eastAsia="Times New Roman"/>
          <w:color w:val="000000"/>
          <w:sz w:val="20"/>
          <w:szCs w:val="20"/>
        </w:rPr>
        <w:t>n-recurring basis for certain assets only when an impairment or other events occur. For the periods ended December 31, 2022, the Company recognized impairment adjustments and impairment losses, respectively, to adjust the carrying value of held-for-sale as</w:t>
      </w:r>
      <w:r>
        <w:rPr>
          <w:rFonts w:eastAsia="Times New Roman"/>
          <w:color w:val="000000"/>
          <w:sz w:val="20"/>
          <w:szCs w:val="20"/>
        </w:rPr>
        <w:t>set and liabilities to their fair value less cost to sell. The value is measured on a nonrecurring basis and categorized within Level 3 of the fair value hierarchy. The fair value was determined using a market approach, estimated based on the negotiated va</w:t>
      </w:r>
      <w:r>
        <w:rPr>
          <w:rFonts w:eastAsia="Times New Roman"/>
          <w:color w:val="000000"/>
          <w:sz w:val="20"/>
          <w:szCs w:val="20"/>
        </w:rPr>
        <w:t>lue of the asset and liabilities. See Note 23 of the Notes to these Consolidated Financial Statements for additional details of the Held-for-Sale assets and liabilities. As of December 31, 2021, no assets or liabilities were required to be measured at fair</w:t>
      </w:r>
      <w:r>
        <w:rPr>
          <w:rFonts w:eastAsia="Times New Roman"/>
          <w:color w:val="000000"/>
          <w:sz w:val="20"/>
          <w:szCs w:val="20"/>
        </w:rPr>
        <w:t xml:space="preserve"> value on a non-recurring basis.</w:t>
      </w:r>
    </w:p>
    <w:p w:rsidR="00000000" w:rsidRDefault="00E54EC0">
      <w:pPr>
        <w:divId w:val="850876006"/>
        <w:rPr>
          <w:rFonts w:eastAsia="Times New Roman"/>
        </w:rPr>
      </w:pPr>
      <w:r>
        <w:rPr>
          <w:rFonts w:eastAsia="Times New Roman"/>
          <w:color w:val="000000"/>
          <w:sz w:val="20"/>
          <w:szCs w:val="20"/>
          <w:u w:val="single"/>
        </w:rPr>
        <w:t>Assets and Liabilities Measured at Fair Value on a Recurring Basis</w:t>
      </w:r>
    </w:p>
    <w:p w:rsidR="00000000" w:rsidRDefault="00E54EC0">
      <w:pPr>
        <w:divId w:val="362949964"/>
        <w:rPr>
          <w:rFonts w:eastAsia="Times New Roman"/>
        </w:rPr>
      </w:pPr>
      <w:r>
        <w:rPr>
          <w:rFonts w:eastAsia="Times New Roman"/>
          <w:color w:val="000000"/>
          <w:sz w:val="20"/>
          <w:szCs w:val="20"/>
        </w:rPr>
        <w:t xml:space="preserve">Assets and liabilities measured at fair value on a recurring basis are summarized below. </w:t>
      </w:r>
    </w:p>
    <w:p w:rsidR="00000000" w:rsidRDefault="00E54EC0">
      <w:pPr>
        <w:jc w:val="center"/>
        <w:divId w:val="1347443599"/>
        <w:rPr>
          <w:rFonts w:eastAsia="Times New Roman"/>
        </w:rPr>
      </w:pPr>
      <w:r>
        <w:rPr>
          <w:rFonts w:eastAsia="Times New Roman"/>
          <w:color w:val="000000"/>
          <w:sz w:val="20"/>
          <w:szCs w:val="20"/>
        </w:rPr>
        <w:t>179</w:t>
      </w:r>
    </w:p>
    <w:p w:rsidR="00000000" w:rsidRDefault="00E54EC0">
      <w:pPr>
        <w:rPr>
          <w:rFonts w:eastAsia="Times New Roman"/>
        </w:rPr>
      </w:pPr>
      <w:r>
        <w:rPr>
          <w:rFonts w:eastAsia="Times New Roman"/>
        </w:rPr>
        <w:pict>
          <v:rect id="_x0000_i1217" style="width:0;height:1.5pt" o:hralign="center" o:hrstd="t" o:hr="t" fillcolor="#a0a0a0" stroked="f"/>
        </w:pict>
      </w:r>
    </w:p>
    <w:p w:rsidR="00000000" w:rsidRDefault="00E54EC0">
      <w:pPr>
        <w:jc w:val="center"/>
        <w:divId w:val="965618693"/>
        <w:rPr>
          <w:rFonts w:eastAsia="Times New Roman"/>
        </w:rPr>
      </w:pPr>
      <w:r>
        <w:rPr>
          <w:rFonts w:eastAsia="Times New Roman"/>
          <w:b/>
          <w:bCs/>
          <w:color w:val="000000"/>
          <w:sz w:val="20"/>
          <w:szCs w:val="20"/>
        </w:rPr>
        <w:t>EQUITABLE HOLDINGS, INC.</w:t>
      </w:r>
    </w:p>
    <w:p w:rsidR="00000000" w:rsidRDefault="00E54EC0">
      <w:pPr>
        <w:jc w:val="center"/>
        <w:divId w:val="965618693"/>
        <w:rPr>
          <w:rFonts w:eastAsia="Times New Roman"/>
        </w:rPr>
      </w:pPr>
      <w:r>
        <w:rPr>
          <w:rFonts w:eastAsia="Times New Roman"/>
          <w:b/>
          <w:bCs/>
          <w:color w:val="000000"/>
          <w:sz w:val="20"/>
          <w:szCs w:val="20"/>
        </w:rPr>
        <w:t>N</w:t>
      </w:r>
      <w:r>
        <w:rPr>
          <w:rFonts w:eastAsia="Times New Roman"/>
          <w:b/>
          <w:bCs/>
          <w:color w:val="000000"/>
          <w:sz w:val="20"/>
          <w:szCs w:val="20"/>
        </w:rPr>
        <w:t>OTES TO CONSOLIDATED FINANCIAL STATEMENTS, continued</w:t>
      </w:r>
    </w:p>
    <w:p w:rsidR="00000000" w:rsidRDefault="00E54EC0">
      <w:pPr>
        <w:jc w:val="center"/>
        <w:rPr>
          <w:rFonts w:eastAsia="Times New Roman"/>
        </w:rPr>
      </w:pPr>
      <w:r>
        <w:rPr>
          <w:rFonts w:eastAsia="Times New Roman"/>
          <w:b/>
          <w:bCs/>
          <w:color w:val="000000"/>
          <w:sz w:val="20"/>
          <w:szCs w:val="20"/>
        </w:rPr>
        <w:t>Fair Value Measurements as of December 31, 2022</w:t>
      </w:r>
    </w:p>
    <w:p w:rsidR="00000000" w:rsidRDefault="00E54E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2114085004"/>
        </w:trPr>
        <w:tc>
          <w:tcPr>
            <w:tcW w:w="50" w:type="pct"/>
            <w:vAlign w:val="center"/>
            <w:hideMark/>
          </w:tcPr>
          <w:p w:rsidR="00000000" w:rsidRDefault="00E54EC0">
            <w:pPr>
              <w:jc w:val="center"/>
              <w:rPr>
                <w:rFonts w:eastAsia="Times New Roman"/>
              </w:rPr>
            </w:pPr>
          </w:p>
        </w:tc>
        <w:tc>
          <w:tcPr>
            <w:tcW w:w="237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211408500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11408500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148207338"/>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43,571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816874558"/>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12566122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61,146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63,361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equity investments (7)</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587693701"/>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5,091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5,229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111,744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50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114,767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72,809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7,855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195,431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827477621"/>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114085004"/>
        </w:trPr>
        <w:tc>
          <w:tcPr>
            <w:tcW w:w="0" w:type="auto"/>
            <w:gridSpan w:val="3"/>
            <w:shd w:val="clear" w:color="auto" w:fill="FFFFFF"/>
            <w:tcMar>
              <w:top w:w="30" w:type="dxa"/>
              <w:left w:w="50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5,545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6,011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11,571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997880292"/>
        <w:rPr>
          <w:rFonts w:eastAsia="Times New Roman"/>
        </w:rPr>
      </w:pPr>
      <w:r>
        <w:rPr>
          <w:rFonts w:eastAsia="Times New Roman"/>
          <w:color w:val="000000"/>
          <w:sz w:val="20"/>
          <w:szCs w:val="20"/>
        </w:rPr>
        <w:t>______________</w:t>
      </w:r>
    </w:p>
    <w:p w:rsidR="00000000" w:rsidRDefault="00E54EC0">
      <w:pPr>
        <w:ind w:hanging="360"/>
        <w:divId w:val="839151617"/>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rsidR="00000000" w:rsidRDefault="00E54EC0">
      <w:pPr>
        <w:ind w:hanging="360"/>
        <w:divId w:val="64227416"/>
        <w:rPr>
          <w:rFonts w:eastAsia="Times New Roman"/>
        </w:rPr>
      </w:pPr>
      <w:r>
        <w:rPr>
          <w:rFonts w:eastAsia="Times New Roman"/>
          <w:color w:val="000000"/>
          <w:sz w:val="18"/>
          <w:szCs w:val="18"/>
        </w:rPr>
        <w:t>(2)Includes publicly traded agency pass-through securities and collateralized obligations.</w:t>
      </w:r>
    </w:p>
    <w:p w:rsidR="00000000" w:rsidRDefault="00E54EC0">
      <w:pPr>
        <w:ind w:hanging="360"/>
        <w:divId w:val="691149344"/>
        <w:rPr>
          <w:rFonts w:eastAsia="Times New Roman"/>
        </w:rPr>
      </w:pPr>
      <w:r>
        <w:rPr>
          <w:rFonts w:eastAsia="Times New Roman"/>
          <w:color w:val="000000"/>
          <w:sz w:val="18"/>
          <w:szCs w:val="18"/>
        </w:rPr>
        <w:t xml:space="preserve">(3)Includes credit-tranched securities collateralized by sub-prime mortgages, credit risk transfer securities and other asset </w:t>
      </w:r>
      <w:r>
        <w:rPr>
          <w:rFonts w:eastAsia="Times New Roman"/>
          <w:color w:val="000000"/>
          <w:sz w:val="18"/>
          <w:szCs w:val="18"/>
        </w:rPr>
        <w:t>types.</w:t>
      </w:r>
    </w:p>
    <w:p w:rsidR="00000000" w:rsidRDefault="00E54EC0">
      <w:pPr>
        <w:ind w:hanging="360"/>
        <w:divId w:val="1236941576"/>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December 31, 2022, the fair value of such investments was $456 million.</w:t>
      </w:r>
    </w:p>
    <w:p w:rsidR="00000000" w:rsidRDefault="00E54EC0">
      <w:pPr>
        <w:jc w:val="center"/>
        <w:divId w:val="1311598099"/>
        <w:rPr>
          <w:rFonts w:eastAsia="Times New Roman"/>
        </w:rPr>
      </w:pPr>
      <w:r>
        <w:rPr>
          <w:rFonts w:eastAsia="Times New Roman"/>
          <w:color w:val="000000"/>
          <w:sz w:val="20"/>
          <w:szCs w:val="20"/>
        </w:rPr>
        <w:t>180</w:t>
      </w:r>
    </w:p>
    <w:p w:rsidR="00000000" w:rsidRDefault="00E54EC0">
      <w:pPr>
        <w:rPr>
          <w:rFonts w:eastAsia="Times New Roman"/>
        </w:rPr>
      </w:pPr>
      <w:r>
        <w:rPr>
          <w:rFonts w:eastAsia="Times New Roman"/>
        </w:rPr>
        <w:pict>
          <v:rect id="_x0000_i1218" style="width:0;height:1.5pt" o:hralign="center" o:hrstd="t" o:hr="t" fillcolor="#a0a0a0" stroked="f"/>
        </w:pict>
      </w:r>
    </w:p>
    <w:p w:rsidR="00000000" w:rsidRDefault="00E54EC0">
      <w:pPr>
        <w:jc w:val="center"/>
        <w:divId w:val="1375807723"/>
        <w:rPr>
          <w:rFonts w:eastAsia="Times New Roman"/>
        </w:rPr>
      </w:pPr>
      <w:r>
        <w:rPr>
          <w:rFonts w:eastAsia="Times New Roman"/>
          <w:b/>
          <w:bCs/>
          <w:color w:val="000000"/>
          <w:sz w:val="20"/>
          <w:szCs w:val="20"/>
        </w:rPr>
        <w:t>EQUITABLE HOLDINGS, INC.</w:t>
      </w:r>
    </w:p>
    <w:p w:rsidR="00000000" w:rsidRDefault="00E54EC0">
      <w:pPr>
        <w:jc w:val="center"/>
        <w:divId w:val="1375807723"/>
        <w:rPr>
          <w:rFonts w:eastAsia="Times New Roman"/>
        </w:rPr>
      </w:pPr>
      <w:r>
        <w:rPr>
          <w:rFonts w:eastAsia="Times New Roman"/>
          <w:b/>
          <w:bCs/>
          <w:color w:val="000000"/>
          <w:sz w:val="20"/>
          <w:szCs w:val="20"/>
        </w:rPr>
        <w:t>NOTES TO CONSOLIDATED FINANCIAL STATEMENTS, continued</w:t>
      </w:r>
    </w:p>
    <w:p w:rsidR="00000000" w:rsidRDefault="00E54EC0">
      <w:pPr>
        <w:ind w:hanging="360"/>
        <w:divId w:val="1142696311"/>
        <w:rPr>
          <w:rFonts w:eastAsia="Times New Roman"/>
        </w:rPr>
      </w:pPr>
      <w:r>
        <w:rPr>
          <w:rFonts w:eastAsia="Times New Roman"/>
          <w:color w:val="000000"/>
          <w:sz w:val="18"/>
          <w:szCs w:val="18"/>
        </w:rPr>
        <w:t>(5)Includes CLO short-term debt of $239 million, whic</w:t>
      </w:r>
      <w:r>
        <w:rPr>
          <w:rFonts w:eastAsia="Times New Roman"/>
          <w:color w:val="000000"/>
          <w:sz w:val="18"/>
          <w:szCs w:val="18"/>
        </w:rPr>
        <w:t xml:space="preserve">h is inclusive as fair valued within Notes issued by consolidated VIE’s, at fair value using the fair value option. Accrued interest payable of $15 million is reported in Notes issued by consolidated VIE’s, at fair value using the fair value option in the </w:t>
      </w:r>
      <w:r>
        <w:rPr>
          <w:rFonts w:eastAsia="Times New Roman"/>
          <w:color w:val="000000"/>
          <w:sz w:val="18"/>
          <w:szCs w:val="18"/>
        </w:rPr>
        <w:t>consolidated balance sheets, which is not required to be measured at fair value on a recurring basis.</w:t>
      </w:r>
    </w:p>
    <w:p w:rsidR="00000000" w:rsidRDefault="00E54EC0">
      <w:pPr>
        <w:ind w:hanging="360"/>
        <w:divId w:val="1229724071"/>
        <w:rPr>
          <w:rFonts w:eastAsia="Times New Roman"/>
        </w:rPr>
      </w:pPr>
      <w:r>
        <w:rPr>
          <w:rFonts w:eastAsia="Times New Roman"/>
          <w:color w:val="000000"/>
          <w:sz w:val="18"/>
          <w:szCs w:val="18"/>
        </w:rPr>
        <w:t>(6)This represents GMIB NLG ceded reserves related to the Venerable Transaction. See Note 1 of the Notes to these Consolidated Financial Statements for de</w:t>
      </w:r>
      <w:r>
        <w:rPr>
          <w:rFonts w:eastAsia="Times New Roman"/>
          <w:color w:val="000000"/>
          <w:sz w:val="18"/>
          <w:szCs w:val="18"/>
        </w:rPr>
        <w:t>tails of the Venerable Transaction.</w:t>
      </w:r>
    </w:p>
    <w:p w:rsidR="00000000" w:rsidRDefault="00E54EC0">
      <w:pPr>
        <w:ind w:hanging="360"/>
        <w:divId w:val="742339159"/>
        <w:rPr>
          <w:rFonts w:eastAsia="Times New Roman"/>
        </w:rPr>
      </w:pPr>
      <w:r>
        <w:rPr>
          <w:rFonts w:eastAsia="Times New Roman"/>
          <w:color w:val="000000"/>
          <w:sz w:val="18"/>
          <w:szCs w:val="18"/>
        </w:rPr>
        <w:t>(7)Includes short position equity securities of $12 million that are reported in other liabilities.</w:t>
      </w:r>
    </w:p>
    <w:p w:rsidR="00000000" w:rsidRDefault="00E54EC0">
      <w:pPr>
        <w:jc w:val="center"/>
        <w:rPr>
          <w:rFonts w:eastAsia="Times New Roman"/>
        </w:rPr>
      </w:pPr>
      <w:r>
        <w:rPr>
          <w:rFonts w:eastAsia="Times New Roman"/>
          <w:color w:val="000000"/>
          <w:sz w:val="20"/>
          <w:szCs w:val="20"/>
        </w:rPr>
        <w:t xml:space="preserve">Fair Value Measurements as of December 31, 2021 </w:t>
      </w:r>
    </w:p>
    <w:p w:rsidR="00000000" w:rsidRDefault="00E54EC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1047681568"/>
        </w:trPr>
        <w:tc>
          <w:tcPr>
            <w:tcW w:w="50" w:type="pct"/>
            <w:vAlign w:val="center"/>
            <w:hideMark/>
          </w:tcPr>
          <w:p w:rsidR="00000000" w:rsidRDefault="00E54EC0">
            <w:pPr>
              <w:jc w:val="center"/>
              <w:rPr>
                <w:rFonts w:eastAsia="Times New Roman"/>
              </w:rPr>
            </w:pPr>
          </w:p>
        </w:tc>
        <w:tc>
          <w:tcPr>
            <w:tcW w:w="237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4768156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Total</w:t>
            </w:r>
          </w:p>
        </w:tc>
      </w:tr>
      <w:tr w:rsidR="00000000">
        <w:trPr>
          <w:divId w:val="104768156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(in millions)</w:t>
            </w:r>
          </w:p>
        </w:tc>
      </w:tr>
      <w:tr w:rsidR="00000000">
        <w:trPr>
          <w:divId w:val="104768156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061322458"/>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51,007 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52,511 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488326977"/>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704406506"/>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989402518"/>
              <w:rPr>
                <w:rFonts w:eastAsia="Times New Roman"/>
              </w:rPr>
            </w:pPr>
            <w:r>
              <w:rPr>
                <w:rFonts w:eastAsia="Times New Roman"/>
                <w:color w:val="000000"/>
                <w:sz w:val="20"/>
                <w:szCs w:val="20"/>
              </w:rPr>
              <w:t>Commercial mortgage-backed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2,401 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76,649 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78,216 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maturities, at fair value using the fair value option</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825781182"/>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3,568 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Amounts due from reinsurer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4235668"/>
              <w:rPr>
                <w:rFonts w:eastAsia="Times New Roman"/>
              </w:rPr>
            </w:pPr>
            <w:r>
              <w:rPr>
                <w:rFonts w:eastAsia="Times New Roman"/>
                <w:color w:val="000000"/>
                <w:sz w:val="20"/>
                <w:szCs w:val="20"/>
              </w:rPr>
              <w:t>Separate Accounts assets (4)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144,124 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2,572 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146,697 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148,226 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90,106 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247,843 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943488847"/>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7681568"/>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16,631 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856626157"/>
        <w:rPr>
          <w:rFonts w:eastAsia="Times New Roman"/>
        </w:rPr>
      </w:pPr>
      <w:r>
        <w:rPr>
          <w:rFonts w:eastAsia="Times New Roman"/>
          <w:color w:val="000000"/>
          <w:sz w:val="18"/>
          <w:szCs w:val="18"/>
        </w:rPr>
        <w:t>______________</w:t>
      </w:r>
    </w:p>
    <w:p w:rsidR="00000000" w:rsidRDefault="00E54EC0">
      <w:pPr>
        <w:jc w:val="center"/>
        <w:divId w:val="165443460"/>
        <w:rPr>
          <w:rFonts w:eastAsia="Times New Roman"/>
        </w:rPr>
      </w:pPr>
      <w:r>
        <w:rPr>
          <w:rFonts w:eastAsia="Times New Roman"/>
          <w:color w:val="000000"/>
          <w:sz w:val="20"/>
          <w:szCs w:val="20"/>
        </w:rPr>
        <w:t>181</w:t>
      </w:r>
    </w:p>
    <w:p w:rsidR="00000000" w:rsidRDefault="00E54EC0">
      <w:pPr>
        <w:rPr>
          <w:rFonts w:eastAsia="Times New Roman"/>
        </w:rPr>
      </w:pPr>
      <w:r>
        <w:rPr>
          <w:rFonts w:eastAsia="Times New Roman"/>
        </w:rPr>
        <w:pict>
          <v:rect id="_x0000_i1219" style="width:0;height:1.5pt" o:hralign="center" o:hrstd="t" o:hr="t" fillcolor="#a0a0a0" stroked="f"/>
        </w:pict>
      </w:r>
    </w:p>
    <w:p w:rsidR="00000000" w:rsidRDefault="00E54EC0">
      <w:pPr>
        <w:jc w:val="center"/>
        <w:divId w:val="1112046077"/>
        <w:rPr>
          <w:rFonts w:eastAsia="Times New Roman"/>
        </w:rPr>
      </w:pPr>
      <w:r>
        <w:rPr>
          <w:rFonts w:eastAsia="Times New Roman"/>
          <w:b/>
          <w:bCs/>
          <w:color w:val="000000"/>
          <w:sz w:val="20"/>
          <w:szCs w:val="20"/>
        </w:rPr>
        <w:t>EQUITABLE HOLDINGS, INC.</w:t>
      </w:r>
    </w:p>
    <w:p w:rsidR="00000000" w:rsidRDefault="00E54EC0">
      <w:pPr>
        <w:jc w:val="center"/>
        <w:divId w:val="1112046077"/>
        <w:rPr>
          <w:rFonts w:eastAsia="Times New Roman"/>
        </w:rPr>
      </w:pPr>
      <w:r>
        <w:rPr>
          <w:rFonts w:eastAsia="Times New Roman"/>
          <w:b/>
          <w:bCs/>
          <w:color w:val="000000"/>
          <w:sz w:val="20"/>
          <w:szCs w:val="20"/>
        </w:rPr>
        <w:t>NOTES TO CONSOLIDATED FINANCIAL STATEMENTS, continued</w:t>
      </w:r>
    </w:p>
    <w:p w:rsidR="00000000" w:rsidRDefault="00E54EC0">
      <w:pPr>
        <w:ind w:hanging="360"/>
        <w:divId w:val="173810015"/>
        <w:rPr>
          <w:rFonts w:eastAsia="Times New Roman"/>
        </w:rPr>
      </w:pPr>
      <w:r>
        <w:rPr>
          <w:rFonts w:eastAsia="Times New Roman"/>
          <w:color w:val="000000"/>
          <w:sz w:val="18"/>
          <w:szCs w:val="18"/>
        </w:rPr>
        <w:t>(1)Corporate fixed maturities includes both public and private issues.</w:t>
      </w:r>
    </w:p>
    <w:p w:rsidR="00000000" w:rsidRDefault="00E54EC0">
      <w:pPr>
        <w:ind w:hanging="360"/>
        <w:divId w:val="1128668419"/>
        <w:rPr>
          <w:rFonts w:eastAsia="Times New Roman"/>
        </w:rPr>
      </w:pPr>
      <w:r>
        <w:rPr>
          <w:rFonts w:eastAsia="Times New Roman"/>
          <w:color w:val="000000"/>
          <w:sz w:val="18"/>
          <w:szCs w:val="18"/>
        </w:rPr>
        <w:t>(2)</w:t>
      </w:r>
      <w:r>
        <w:rPr>
          <w:rFonts w:eastAsia="Times New Roman"/>
          <w:color w:val="000000"/>
          <w:sz w:val="18"/>
          <w:szCs w:val="18"/>
        </w:rPr>
        <w:t>Includes publicly traded agency pass-through securities and collateralized obligations.</w:t>
      </w:r>
    </w:p>
    <w:p w:rsidR="00000000" w:rsidRDefault="00E54EC0">
      <w:pPr>
        <w:ind w:hanging="360"/>
        <w:divId w:val="30880961"/>
        <w:rPr>
          <w:rFonts w:eastAsia="Times New Roman"/>
        </w:rPr>
      </w:pPr>
      <w:r>
        <w:rPr>
          <w:rFonts w:eastAsia="Times New Roman"/>
          <w:color w:val="000000"/>
          <w:sz w:val="18"/>
          <w:szCs w:val="18"/>
        </w:rPr>
        <w:t>(3)Includes credit-tranched securities collateralized by sub-prime mortgages and other asset types and credit tenant loans.</w:t>
      </w:r>
    </w:p>
    <w:p w:rsidR="00000000" w:rsidRDefault="00E54EC0">
      <w:pPr>
        <w:ind w:hanging="360"/>
        <w:divId w:val="1562016104"/>
        <w:rPr>
          <w:rFonts w:eastAsia="Times New Roman"/>
        </w:rPr>
      </w:pPr>
      <w:r>
        <w:rPr>
          <w:rFonts w:eastAsia="Times New Roman"/>
          <w:color w:val="000000"/>
          <w:sz w:val="18"/>
          <w:szCs w:val="18"/>
        </w:rPr>
        <w:t xml:space="preserve">(4)Separate Accounts assets included in the </w:t>
      </w:r>
      <w:r>
        <w:rPr>
          <w:rFonts w:eastAsia="Times New Roman"/>
          <w:color w:val="000000"/>
          <w:sz w:val="18"/>
          <w:szCs w:val="18"/>
        </w:rPr>
        <w:t>fair value hierarchy exclude investments in entities that calculate NAV per share (or its equivalent) as a practical expedient. Such investments excluded from the fair value hierarchy include investments in real estate and commercial mortgages. As of Decem</w:t>
      </w:r>
      <w:r>
        <w:rPr>
          <w:rFonts w:eastAsia="Times New Roman"/>
          <w:color w:val="000000"/>
          <w:sz w:val="18"/>
          <w:szCs w:val="18"/>
        </w:rPr>
        <w:t>ber 31, 2021, the fair value of such investments was $404 million.</w:t>
      </w:r>
    </w:p>
    <w:p w:rsidR="00000000" w:rsidRDefault="00E54EC0">
      <w:pPr>
        <w:ind w:hanging="360"/>
        <w:divId w:val="799032215"/>
        <w:rPr>
          <w:rFonts w:eastAsia="Times New Roman"/>
        </w:rPr>
      </w:pPr>
      <w:r>
        <w:rPr>
          <w:rFonts w:eastAsia="Times New Roman"/>
          <w:color w:val="000000"/>
          <w:sz w:val="18"/>
          <w:szCs w:val="18"/>
        </w:rPr>
        <w:t>(5)Includes CLO short-term debt of $92 million, which is inclusive as fair valued within Notes issued by consolidated VIE’s, at fair value using the fair value option Accrued interest payab</w:t>
      </w:r>
      <w:r>
        <w:rPr>
          <w:rFonts w:eastAsia="Times New Roman"/>
          <w:color w:val="000000"/>
          <w:sz w:val="18"/>
          <w:szCs w:val="18"/>
        </w:rPr>
        <w:t>le of $6 million is reported in Notes issued by consolidated VIE’s, at fair value using the fair value option in the consolidated balance sheets, which is not required to be measured at fair value on a recurring basis.</w:t>
      </w:r>
    </w:p>
    <w:p w:rsidR="00000000" w:rsidRDefault="00E54EC0">
      <w:pPr>
        <w:jc w:val="both"/>
        <w:divId w:val="516384818"/>
        <w:rPr>
          <w:rFonts w:eastAsia="Times New Roman"/>
        </w:rPr>
      </w:pPr>
      <w:r>
        <w:rPr>
          <w:rFonts w:eastAsia="Times New Roman"/>
          <w:b/>
          <w:bCs/>
          <w:i/>
          <w:iCs/>
          <w:color w:val="000000"/>
          <w:sz w:val="20"/>
          <w:szCs w:val="20"/>
        </w:rPr>
        <w:t>Public Fixed Maturities</w:t>
      </w:r>
    </w:p>
    <w:p w:rsidR="00000000" w:rsidRDefault="00E54EC0">
      <w:pPr>
        <w:divId w:val="1952666577"/>
        <w:rPr>
          <w:rFonts w:eastAsia="Times New Roman"/>
        </w:rPr>
      </w:pPr>
      <w:r>
        <w:rPr>
          <w:rFonts w:eastAsia="Times New Roman"/>
          <w:color w:val="000000"/>
          <w:sz w:val="20"/>
          <w:szCs w:val="20"/>
        </w:rPr>
        <w:t>The fair valu</w:t>
      </w:r>
      <w:r>
        <w:rPr>
          <w:rFonts w:eastAsia="Times New Roman"/>
          <w:color w:val="000000"/>
          <w:sz w:val="20"/>
          <w:szCs w:val="20"/>
        </w:rPr>
        <w:t xml:space="preserve">es of the Company’s public fixed maturities, including those accounted for using the fair value option are generally based on prices obtained from independent valuation service providers and for which the Company maintains a vendor hierarchy by asset type </w:t>
      </w:r>
      <w:r>
        <w:rPr>
          <w:rFonts w:eastAsia="Times New Roman"/>
          <w:color w:val="000000"/>
          <w:sz w:val="20"/>
          <w:szCs w:val="20"/>
        </w:rPr>
        <w:t>based on historical pricing experience and vendor expertise. Although each security generally is priced by multiple independent valuation service providers, the Company ultimately uses the price received from the independent valuation service provider high</w:t>
      </w:r>
      <w:r>
        <w:rPr>
          <w:rFonts w:eastAsia="Times New Roman"/>
          <w:color w:val="000000"/>
          <w:sz w:val="20"/>
          <w:szCs w:val="20"/>
        </w:rPr>
        <w:t>est in the vendor hierarchy based on the respective asset type, with limited exception. To validate reasonableness, prices also are internally reviewed by those with relevant expertise through comparison with directly observed recent market trades. Consist</w:t>
      </w:r>
      <w:r>
        <w:rPr>
          <w:rFonts w:eastAsia="Times New Roman"/>
          <w:color w:val="000000"/>
          <w:sz w:val="20"/>
          <w:szCs w:val="20"/>
        </w:rPr>
        <w:t xml:space="preserve">ent with the fair value hierarchy, public fixed maturities validated in this manner generally are reflected within Level 2, as they are primarily based on observable pricing for similar assets and/or other market observable inputs. </w:t>
      </w:r>
    </w:p>
    <w:p w:rsidR="00000000" w:rsidRDefault="00E54EC0">
      <w:pPr>
        <w:jc w:val="both"/>
        <w:divId w:val="642350719"/>
        <w:rPr>
          <w:rFonts w:eastAsia="Times New Roman"/>
        </w:rPr>
      </w:pPr>
      <w:r>
        <w:rPr>
          <w:rFonts w:eastAsia="Times New Roman"/>
          <w:b/>
          <w:bCs/>
          <w:i/>
          <w:iCs/>
          <w:color w:val="000000"/>
          <w:sz w:val="20"/>
          <w:szCs w:val="20"/>
        </w:rPr>
        <w:t>Private Fixed Maturitie</w:t>
      </w:r>
      <w:r>
        <w:rPr>
          <w:rFonts w:eastAsia="Times New Roman"/>
          <w:b/>
          <w:bCs/>
          <w:i/>
          <w:iCs/>
          <w:color w:val="000000"/>
          <w:sz w:val="20"/>
          <w:szCs w:val="20"/>
        </w:rPr>
        <w:t>s</w:t>
      </w:r>
    </w:p>
    <w:p w:rsidR="00000000" w:rsidRDefault="00E54EC0">
      <w:pPr>
        <w:divId w:val="75133265"/>
        <w:rPr>
          <w:rFonts w:eastAsia="Times New Roman"/>
        </w:rPr>
      </w:pPr>
      <w:r>
        <w:rPr>
          <w:rFonts w:eastAsia="Times New Roman"/>
          <w:color w:val="000000"/>
          <w:sz w:val="20"/>
          <w:szCs w:val="20"/>
        </w:rPr>
        <w:t>The fair values of the Company’s private fixed maturities, including those accounted for using the fair value option are determined from prices obtained from independent valuation service providers. Prices not obtained from an independent valuation servi</w:t>
      </w:r>
      <w:r>
        <w:rPr>
          <w:rFonts w:eastAsia="Times New Roman"/>
          <w:color w:val="000000"/>
          <w:sz w:val="20"/>
          <w:szCs w:val="20"/>
        </w:rPr>
        <w:t>ce provider are determined by using a discounted cash flow model or a market comparable company valuation technique. In certain cases, these models use observable inputs with a discount rate based upon the average of spread surveys collected from private m</w:t>
      </w:r>
      <w:r>
        <w:rPr>
          <w:rFonts w:eastAsia="Times New Roman"/>
          <w:color w:val="000000"/>
          <w:sz w:val="20"/>
          <w:szCs w:val="20"/>
        </w:rPr>
        <w:t>arket intermediaries who are active in both primary and secondary transactions, taking into account, among other factors, the credit quality and industry sector of the issuer and the reduced liquidity associated with private placements. Generally, these se</w:t>
      </w:r>
      <w:r>
        <w:rPr>
          <w:rFonts w:eastAsia="Times New Roman"/>
          <w:color w:val="000000"/>
          <w:sz w:val="20"/>
          <w:szCs w:val="20"/>
        </w:rPr>
        <w:t>curities have been reflected within Level 2. For certain private fixed maturities, the discounted cash flow model or a market comparable company valuation technique may also incorporate unobservable inputs, which reflect the Company’s own assumptions about</w:t>
      </w:r>
      <w:r>
        <w:rPr>
          <w:rFonts w:eastAsia="Times New Roman"/>
          <w:color w:val="000000"/>
          <w:sz w:val="20"/>
          <w:szCs w:val="20"/>
        </w:rPr>
        <w:t xml:space="preserve"> the inputs market participants would use in pricing the asset. To the extent management determines that such unobservable inputs are significant to the fair value measurement of a security, a Level 3 classification generally is made.</w:t>
      </w:r>
    </w:p>
    <w:p w:rsidR="00000000" w:rsidRDefault="00E54EC0">
      <w:pPr>
        <w:jc w:val="both"/>
        <w:divId w:val="1197087694"/>
        <w:rPr>
          <w:rFonts w:eastAsia="Times New Roman"/>
        </w:rPr>
      </w:pPr>
      <w:r>
        <w:rPr>
          <w:rFonts w:eastAsia="Times New Roman"/>
          <w:b/>
          <w:bCs/>
          <w:i/>
          <w:iCs/>
          <w:color w:val="000000"/>
          <w:sz w:val="20"/>
          <w:szCs w:val="20"/>
        </w:rPr>
        <w:t>Notes issued by conso</w:t>
      </w:r>
      <w:r>
        <w:rPr>
          <w:rFonts w:eastAsia="Times New Roman"/>
          <w:b/>
          <w:bCs/>
          <w:i/>
          <w:iCs/>
          <w:color w:val="000000"/>
          <w:sz w:val="20"/>
          <w:szCs w:val="20"/>
        </w:rPr>
        <w:t>lidated VIE’s, at fair value using the fair value option</w:t>
      </w:r>
    </w:p>
    <w:p w:rsidR="00000000" w:rsidRDefault="00E54EC0">
      <w:pPr>
        <w:divId w:val="1269005319"/>
        <w:rPr>
          <w:rFonts w:eastAsia="Times New Roman"/>
        </w:rPr>
      </w:pPr>
      <w:r>
        <w:rPr>
          <w:rFonts w:eastAsia="Times New Roman"/>
          <w:color w:val="000000"/>
          <w:sz w:val="20"/>
          <w:szCs w:val="20"/>
        </w:rPr>
        <w:t xml:space="preserve">These notes are based on the fair values of corresponding fixed maturity collateral. The CLO liabilities are also reduced by the fair value of the beneficial interests the Company retains in the CLO </w:t>
      </w:r>
      <w:r>
        <w:rPr>
          <w:rFonts w:eastAsia="Times New Roman"/>
          <w:color w:val="000000"/>
          <w:sz w:val="20"/>
          <w:szCs w:val="20"/>
        </w:rPr>
        <w:t xml:space="preserve">and the carrying value of any beneficial interests that represent compensation for services. As the notes are valued based on the reference collateral, they are classified as Level 2 or 3. </w:t>
      </w:r>
    </w:p>
    <w:p w:rsidR="00000000" w:rsidRDefault="00E54EC0">
      <w:pPr>
        <w:jc w:val="both"/>
        <w:divId w:val="1035042729"/>
        <w:rPr>
          <w:rFonts w:eastAsia="Times New Roman"/>
        </w:rPr>
      </w:pPr>
      <w:r>
        <w:rPr>
          <w:rFonts w:eastAsia="Times New Roman"/>
          <w:b/>
          <w:bCs/>
          <w:i/>
          <w:iCs/>
          <w:color w:val="000000"/>
          <w:sz w:val="20"/>
          <w:szCs w:val="20"/>
        </w:rPr>
        <w:t>Freestanding Derivative Positions</w:t>
      </w:r>
    </w:p>
    <w:p w:rsidR="00000000" w:rsidRDefault="00E54EC0">
      <w:pPr>
        <w:divId w:val="544676605"/>
        <w:rPr>
          <w:rFonts w:eastAsia="Times New Roman"/>
        </w:rPr>
      </w:pPr>
      <w:r>
        <w:rPr>
          <w:rFonts w:eastAsia="Times New Roman"/>
          <w:color w:val="000000"/>
          <w:sz w:val="20"/>
          <w:szCs w:val="20"/>
        </w:rPr>
        <w:t>The net fair value of the Compan</w:t>
      </w:r>
      <w:r>
        <w:rPr>
          <w:rFonts w:eastAsia="Times New Roman"/>
          <w:color w:val="000000"/>
          <w:sz w:val="20"/>
          <w:szCs w:val="20"/>
        </w:rPr>
        <w:t>y’s freestanding derivative positions as disclosed in Note 4 of the Notes to these Consolidated Financial Statements are generally based on prices obtained either from independent valuation service providers or derived by applying market inputs from recogn</w:t>
      </w:r>
      <w:r>
        <w:rPr>
          <w:rFonts w:eastAsia="Times New Roman"/>
          <w:color w:val="000000"/>
          <w:sz w:val="20"/>
          <w:szCs w:val="20"/>
        </w:rPr>
        <w:t>ized vendors into industry standard pricing models. The majority of these derivative contracts are traded in the OTC derivative market and are classified in Level 2. The fair values of derivative assets and liabilities traded in the OTC market are determin</w:t>
      </w:r>
      <w:r>
        <w:rPr>
          <w:rFonts w:eastAsia="Times New Roman"/>
          <w:color w:val="000000"/>
          <w:sz w:val="20"/>
          <w:szCs w:val="20"/>
        </w:rPr>
        <w:t>ed using quantitative models that require use of the contractual terms of the derivative instruments and multiple market inputs, including interest rates, prices, and indices to generate continuous yield or pricing curves, including overnight index swap cu</w:t>
      </w:r>
      <w:r>
        <w:rPr>
          <w:rFonts w:eastAsia="Times New Roman"/>
          <w:color w:val="000000"/>
          <w:sz w:val="20"/>
          <w:szCs w:val="20"/>
        </w:rPr>
        <w:t>rves, and volatility factors, which then are applied to value the positions. The predominance of market inputs is actively quoted and can be validated through external sources or reliably interpolated if less observable.</w:t>
      </w:r>
    </w:p>
    <w:p w:rsidR="00000000" w:rsidRDefault="00E54EC0">
      <w:pPr>
        <w:divId w:val="1548374550"/>
        <w:rPr>
          <w:rFonts w:eastAsia="Times New Roman"/>
        </w:rPr>
      </w:pPr>
      <w:r>
        <w:rPr>
          <w:rFonts w:eastAsia="Times New Roman"/>
          <w:color w:val="000000"/>
          <w:sz w:val="20"/>
          <w:szCs w:val="20"/>
          <w:u w:val="single"/>
        </w:rPr>
        <w:t>Level Classifications of the Compan</w:t>
      </w:r>
      <w:r>
        <w:rPr>
          <w:rFonts w:eastAsia="Times New Roman"/>
          <w:color w:val="000000"/>
          <w:sz w:val="20"/>
          <w:szCs w:val="20"/>
          <w:u w:val="single"/>
        </w:rPr>
        <w:t>y’s Financial Instruments</w:t>
      </w:r>
    </w:p>
    <w:p w:rsidR="00000000" w:rsidRDefault="00E54EC0">
      <w:pPr>
        <w:jc w:val="both"/>
        <w:divId w:val="1136489721"/>
        <w:rPr>
          <w:rFonts w:eastAsia="Times New Roman"/>
        </w:rPr>
      </w:pPr>
      <w:r>
        <w:rPr>
          <w:rFonts w:eastAsia="Times New Roman"/>
          <w:b/>
          <w:bCs/>
          <w:i/>
          <w:iCs/>
          <w:color w:val="000000"/>
          <w:sz w:val="20"/>
          <w:szCs w:val="20"/>
        </w:rPr>
        <w:t>Financial Instruments Classified as Level 1</w:t>
      </w:r>
    </w:p>
    <w:p w:rsidR="00000000" w:rsidRDefault="00E54EC0">
      <w:pPr>
        <w:divId w:val="712537231"/>
        <w:rPr>
          <w:rFonts w:eastAsia="Times New Roman"/>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exchange-traded prices of fixed maturities, equity secu</w:t>
      </w:r>
      <w:r>
        <w:rPr>
          <w:rFonts w:eastAsia="Times New Roman"/>
          <w:color w:val="000000"/>
          <w:sz w:val="20"/>
          <w:szCs w:val="20"/>
        </w:rPr>
        <w:t xml:space="preserve">rities and derivative contracts, and net asset values for transacting subscriptions and redemptions </w:t>
      </w:r>
    </w:p>
    <w:p w:rsidR="00000000" w:rsidRDefault="00E54EC0">
      <w:pPr>
        <w:jc w:val="center"/>
        <w:divId w:val="859780168"/>
        <w:rPr>
          <w:rFonts w:eastAsia="Times New Roman"/>
        </w:rPr>
      </w:pPr>
      <w:r>
        <w:rPr>
          <w:rFonts w:eastAsia="Times New Roman"/>
          <w:color w:val="000000"/>
          <w:sz w:val="20"/>
          <w:szCs w:val="20"/>
        </w:rPr>
        <w:t>182</w:t>
      </w:r>
    </w:p>
    <w:p w:rsidR="00000000" w:rsidRDefault="00E54EC0">
      <w:pPr>
        <w:rPr>
          <w:rFonts w:eastAsia="Times New Roman"/>
        </w:rPr>
      </w:pPr>
      <w:r>
        <w:rPr>
          <w:rFonts w:eastAsia="Times New Roman"/>
        </w:rPr>
        <w:pict>
          <v:rect id="_x0000_i1220" style="width:0;height:1.5pt" o:hralign="center" o:hrstd="t" o:hr="t" fillcolor="#a0a0a0" stroked="f"/>
        </w:pict>
      </w:r>
    </w:p>
    <w:p w:rsidR="00000000" w:rsidRDefault="00E54EC0">
      <w:pPr>
        <w:jc w:val="center"/>
        <w:divId w:val="150953760"/>
        <w:rPr>
          <w:rFonts w:eastAsia="Times New Roman"/>
        </w:rPr>
      </w:pPr>
      <w:r>
        <w:rPr>
          <w:rFonts w:eastAsia="Times New Roman"/>
          <w:b/>
          <w:bCs/>
          <w:color w:val="000000"/>
          <w:sz w:val="20"/>
          <w:szCs w:val="20"/>
        </w:rPr>
        <w:t>EQUITABLE HOLDINGS, INC.</w:t>
      </w:r>
    </w:p>
    <w:p w:rsidR="00000000" w:rsidRDefault="00E54EC0">
      <w:pPr>
        <w:jc w:val="center"/>
        <w:divId w:val="150953760"/>
        <w:rPr>
          <w:rFonts w:eastAsia="Times New Roman"/>
        </w:rPr>
      </w:pPr>
      <w:r>
        <w:rPr>
          <w:rFonts w:eastAsia="Times New Roman"/>
          <w:b/>
          <w:bCs/>
          <w:color w:val="000000"/>
          <w:sz w:val="20"/>
          <w:szCs w:val="20"/>
        </w:rPr>
        <w:t>NOTES TO CONSOLIDATED FINANCIAL STATEMENTS, continued</w:t>
      </w:r>
    </w:p>
    <w:p w:rsidR="00000000" w:rsidRDefault="00E54EC0">
      <w:pPr>
        <w:divId w:val="1822036729"/>
        <w:rPr>
          <w:rFonts w:eastAsia="Times New Roman"/>
        </w:rPr>
      </w:pPr>
      <w:r>
        <w:rPr>
          <w:rFonts w:eastAsia="Times New Roman"/>
          <w:color w:val="000000"/>
          <w:sz w:val="20"/>
          <w:szCs w:val="20"/>
        </w:rPr>
        <w:t>of mutual fund shares held by Separ</w:t>
      </w:r>
      <w:r>
        <w:rPr>
          <w:rFonts w:eastAsia="Times New Roman"/>
          <w:color w:val="000000"/>
          <w:sz w:val="20"/>
          <w:szCs w:val="20"/>
        </w:rPr>
        <w:t xml:space="preserve">ate Accounts. Cash equivalents classified as Level 1 include money market accounts, overnight commercial paper and highly liquid debt instruments purchased with an original maturity of three months or less and are carried at cost as a proxy for fair value </w:t>
      </w:r>
      <w:r>
        <w:rPr>
          <w:rFonts w:eastAsia="Times New Roman"/>
          <w:color w:val="000000"/>
          <w:sz w:val="20"/>
          <w:szCs w:val="20"/>
        </w:rPr>
        <w:t>measurement due to their short-term nature.</w:t>
      </w:r>
    </w:p>
    <w:p w:rsidR="00000000" w:rsidRDefault="00E54EC0">
      <w:pPr>
        <w:jc w:val="both"/>
        <w:divId w:val="1436485602"/>
        <w:rPr>
          <w:rFonts w:eastAsia="Times New Roman"/>
        </w:rPr>
      </w:pPr>
      <w:r>
        <w:rPr>
          <w:rFonts w:eastAsia="Times New Roman"/>
          <w:b/>
          <w:bCs/>
          <w:i/>
          <w:iCs/>
          <w:color w:val="000000"/>
          <w:sz w:val="20"/>
          <w:szCs w:val="20"/>
        </w:rPr>
        <w:t>Financial Instruments Classified as Level 2</w:t>
      </w:r>
    </w:p>
    <w:p w:rsidR="00000000" w:rsidRDefault="00E54EC0">
      <w:pPr>
        <w:divId w:val="1663660503"/>
        <w:rPr>
          <w:rFonts w:eastAsia="Times New Roman"/>
        </w:rPr>
      </w:pPr>
      <w:r>
        <w:rPr>
          <w:rFonts w:eastAsia="Times New Roman"/>
          <w:color w:val="000000"/>
          <w:sz w:val="20"/>
          <w:szCs w:val="20"/>
        </w:rPr>
        <w:t>Investments classified as Level 2 are measured at fair value on a recurring basis and primarily include U.S. government and agency securities, certain corporate debt se</w:t>
      </w:r>
      <w:r>
        <w:rPr>
          <w:rFonts w:eastAsia="Times New Roman"/>
          <w:color w:val="000000"/>
          <w:sz w:val="20"/>
          <w:szCs w:val="20"/>
        </w:rPr>
        <w:t>curities and financial assets and liabilities accounted for using the fair value option, such as public and private fixed maturities. As market quotes generally are not readily available or accessible for these securities, their fair value measures are det</w:t>
      </w:r>
      <w:r>
        <w:rPr>
          <w:rFonts w:eastAsia="Times New Roman"/>
          <w:color w:val="000000"/>
          <w:sz w:val="20"/>
          <w:szCs w:val="20"/>
        </w:rPr>
        <w:t>ermined utilizing relevant information generated by market transactions involving comparable securities and often are based on model pricing techniques that effectively discount prospective cash flows to present value using appropriate sector-adjusted cred</w:t>
      </w:r>
      <w:r>
        <w:rPr>
          <w:rFonts w:eastAsia="Times New Roman"/>
          <w:color w:val="000000"/>
          <w:sz w:val="20"/>
          <w:szCs w:val="20"/>
        </w:rPr>
        <w:t>it spreads commensurate with the security’s duration, also taking into consideration issuer-specific credit quality and liquidity. Segregated securities classified as Level 2 are U.S. Treasury bills segregated by AB in a special reserve bank custody accoun</w:t>
      </w:r>
      <w:r>
        <w:rPr>
          <w:rFonts w:eastAsia="Times New Roman"/>
          <w:color w:val="000000"/>
          <w:sz w:val="20"/>
          <w:szCs w:val="20"/>
        </w:rPr>
        <w:t>t for the exclusive benefit of brokerage customers, as required by Rule 15c3-3 of the Exchange Act and for which fair values are based on quoted yields in secondary markets.</w:t>
      </w:r>
    </w:p>
    <w:p w:rsidR="00000000" w:rsidRDefault="00E54EC0">
      <w:pPr>
        <w:divId w:val="1754473742"/>
        <w:rPr>
          <w:rFonts w:eastAsia="Times New Roman"/>
        </w:rPr>
      </w:pPr>
      <w:r>
        <w:rPr>
          <w:rFonts w:eastAsia="Times New Roman"/>
          <w:color w:val="000000"/>
          <w:sz w:val="20"/>
          <w:szCs w:val="20"/>
        </w:rPr>
        <w:t>Observable inputs generally used to measure the fair value of securities classifie</w:t>
      </w:r>
      <w:r>
        <w:rPr>
          <w:rFonts w:eastAsia="Times New Roman"/>
          <w:color w:val="000000"/>
          <w:sz w:val="20"/>
          <w:szCs w:val="20"/>
        </w:rPr>
        <w:t>d as Level 2 include benchmark yields, reported secondary trades, issuer spreads, benchmark securities and other reference data. Additional observable inputs are used when available, and as may be appropriate, for certain security types, such as prepayment</w:t>
      </w:r>
      <w:r>
        <w:rPr>
          <w:rFonts w:eastAsia="Times New Roman"/>
          <w:color w:val="000000"/>
          <w:sz w:val="20"/>
          <w:szCs w:val="20"/>
        </w:rPr>
        <w:t>, default, and collateral information for the purpose of measuring the fair value of mortgage- and asset-backed securities. The Company’s AAA-rated mortgage- and asset-backed securities are classified as Level 2 for which the observability of market inputs</w:t>
      </w:r>
      <w:r>
        <w:rPr>
          <w:rFonts w:eastAsia="Times New Roman"/>
          <w:color w:val="000000"/>
          <w:sz w:val="20"/>
          <w:szCs w:val="20"/>
        </w:rPr>
        <w:t xml:space="preserve"> to their pricing models is supported by sufficient, albeit more recently contracted, market activity in these sectors.</w:t>
      </w:r>
    </w:p>
    <w:p w:rsidR="00000000" w:rsidRDefault="00E54EC0">
      <w:pPr>
        <w:divId w:val="434325301"/>
        <w:rPr>
          <w:rFonts w:eastAsia="Times New Roman"/>
        </w:rPr>
      </w:pPr>
      <w:r>
        <w:rPr>
          <w:rFonts w:eastAsia="Times New Roman"/>
          <w:color w:val="000000"/>
          <w:sz w:val="20"/>
          <w:szCs w:val="20"/>
        </w:rPr>
        <w:t>Certain Company products, such as the SCS, EQUI-VEST variable annuity products, IUL and the MSO fund available in some life contracts, o</w:t>
      </w:r>
      <w:r>
        <w:rPr>
          <w:rFonts w:eastAsia="Times New Roman"/>
          <w:color w:val="000000"/>
          <w:sz w:val="20"/>
          <w:szCs w:val="20"/>
        </w:rPr>
        <w:t>ffer investment options which permit the contract owner to participate in the performance of an index, ETF or commodity price. These investment options, which depending on the product and on the index selected, can currently have one, three, five or six ye</w:t>
      </w:r>
      <w:r>
        <w:rPr>
          <w:rFonts w:eastAsia="Times New Roman"/>
          <w:color w:val="000000"/>
          <w:sz w:val="20"/>
          <w:szCs w:val="20"/>
        </w:rPr>
        <w:t>ar terms, provide for participation in the performance of specified indices, ETF or commodity price movement up to a segment-specific declared maximum rate. Under certain conditions that vary by product, e.g., holding these segments for the full term, thes</w:t>
      </w:r>
      <w:r>
        <w:rPr>
          <w:rFonts w:eastAsia="Times New Roman"/>
          <w:color w:val="000000"/>
          <w:sz w:val="20"/>
          <w:szCs w:val="20"/>
        </w:rPr>
        <w:t xml:space="preserve">e segments also shield policyholders from some or all negative investment performance associated with these indices, ETF or commodity prices. These investment options have defined formulaic liability amounts, and the current values of the option component </w:t>
      </w:r>
      <w:r>
        <w:rPr>
          <w:rFonts w:eastAsia="Times New Roman"/>
          <w:color w:val="000000"/>
          <w:sz w:val="20"/>
          <w:szCs w:val="20"/>
        </w:rPr>
        <w:t>of these segment reserves are classified as Level 2 embedded derivatives. The fair values of these embedded derivatives are based on data obtained from independent valuation service providers.</w:t>
      </w:r>
    </w:p>
    <w:p w:rsidR="00000000" w:rsidRDefault="00E54EC0">
      <w:pPr>
        <w:jc w:val="both"/>
        <w:divId w:val="1473328664"/>
        <w:rPr>
          <w:rFonts w:eastAsia="Times New Roman"/>
        </w:rPr>
      </w:pPr>
      <w:r>
        <w:rPr>
          <w:rFonts w:eastAsia="Times New Roman"/>
          <w:b/>
          <w:bCs/>
          <w:i/>
          <w:iCs/>
          <w:color w:val="000000"/>
          <w:sz w:val="20"/>
          <w:szCs w:val="20"/>
        </w:rPr>
        <w:t>Financial Instruments Classified as Level 3</w:t>
      </w:r>
    </w:p>
    <w:p w:rsidR="00000000" w:rsidRDefault="00E54EC0">
      <w:pPr>
        <w:divId w:val="1087186863"/>
        <w:rPr>
          <w:rFonts w:eastAsia="Times New Roman"/>
        </w:rPr>
      </w:pPr>
      <w:r>
        <w:rPr>
          <w:rFonts w:eastAsia="Times New Roman"/>
          <w:color w:val="000000"/>
          <w:sz w:val="20"/>
          <w:szCs w:val="20"/>
        </w:rPr>
        <w:t>The Company’s investments classified as Level 3 primarily include corporate debt securities and financial assets and liabilities accounted for using the fair value option, such as private fixed maturities and ass</w:t>
      </w:r>
      <w:r>
        <w:rPr>
          <w:rFonts w:eastAsia="Times New Roman"/>
          <w:color w:val="000000"/>
          <w:sz w:val="20"/>
          <w:szCs w:val="20"/>
        </w:rPr>
        <w:t>et-backed securities. Determinations to classify fair value measures within Level 3 of the valuation hierarchy generally are based upon the significance of the unobservable factors to the overall fair value measurement. Included in the Level 3 classificati</w:t>
      </w:r>
      <w:r>
        <w:rPr>
          <w:rFonts w:eastAsia="Times New Roman"/>
          <w:color w:val="000000"/>
          <w:sz w:val="20"/>
          <w:szCs w:val="20"/>
        </w:rPr>
        <w:t>on are fixed maturities with indicative pricing obtained from brokers that otherwise could not be corroborated to market observable data.</w:t>
      </w:r>
    </w:p>
    <w:p w:rsidR="00000000" w:rsidRDefault="00E54EC0">
      <w:pPr>
        <w:divId w:val="189682442"/>
        <w:rPr>
          <w:rFonts w:eastAsia="Times New Roman"/>
        </w:rPr>
      </w:pPr>
      <w:r>
        <w:rPr>
          <w:rFonts w:eastAsia="Times New Roman"/>
          <w:color w:val="000000"/>
          <w:sz w:val="20"/>
          <w:szCs w:val="20"/>
        </w:rPr>
        <w:t>The Company also issues certain benefits on its variable annuity products that are accounted for as derivatives and ar</w:t>
      </w:r>
      <w:r>
        <w:rPr>
          <w:rFonts w:eastAsia="Times New Roman"/>
          <w:color w:val="000000"/>
          <w:sz w:val="20"/>
          <w:szCs w:val="20"/>
        </w:rPr>
        <w:t>e also considered Level 3. The GMIB NLG feature allows the policyholder to receive guaranteed minimum lifetime annuity payments based on predetermined annuity purchase rates applied to the contract’s benefit base if and when the contract account value is d</w:t>
      </w:r>
      <w:r>
        <w:rPr>
          <w:rFonts w:eastAsia="Times New Roman"/>
          <w:color w:val="000000"/>
          <w:sz w:val="20"/>
          <w:szCs w:val="20"/>
        </w:rPr>
        <w:t>epleted and the NLG feature is activated. The GMWB feature allows the policyholder to withdraw at minimum, over the life of the contract, an amount based on the contract’s benefit base. The GWBL feature allows the policyholder to withdraw, each year for th</w:t>
      </w:r>
      <w:r>
        <w:rPr>
          <w:rFonts w:eastAsia="Times New Roman"/>
          <w:color w:val="000000"/>
          <w:sz w:val="20"/>
          <w:szCs w:val="20"/>
        </w:rPr>
        <w:t>e life of the contract, a specified annual percentage of an amount based on the contract’s benefit base. The GMAB feature increases the contract account value at the end of a specified period to a GMAB base. The GIB feature provides a lifetime annuity base</w:t>
      </w:r>
      <w:r>
        <w:rPr>
          <w:rFonts w:eastAsia="Times New Roman"/>
          <w:color w:val="000000"/>
          <w:sz w:val="20"/>
          <w:szCs w:val="20"/>
        </w:rPr>
        <w:t>d on predetermined annuity purchase rates if and when the contract account value is depleted. This lifetime annuity is based on predetermined annuity purchase rates applied to a GIB base.</w:t>
      </w:r>
    </w:p>
    <w:p w:rsidR="00000000" w:rsidRDefault="00E54EC0">
      <w:pPr>
        <w:divId w:val="1180852676"/>
        <w:rPr>
          <w:rFonts w:eastAsia="Times New Roman"/>
        </w:rPr>
      </w:pPr>
      <w:r>
        <w:rPr>
          <w:rFonts w:eastAsia="Times New Roman"/>
          <w:color w:val="000000"/>
          <w:sz w:val="20"/>
          <w:szCs w:val="20"/>
        </w:rPr>
        <w:t>Level 3 also includes the GMIB reinsurance contract assets, which ar</w:t>
      </w:r>
      <w:r>
        <w:rPr>
          <w:rFonts w:eastAsia="Times New Roman"/>
          <w:color w:val="000000"/>
          <w:sz w:val="20"/>
          <w:szCs w:val="20"/>
        </w:rPr>
        <w:t>e accounted for as derivative contracts. The GMIB reinsurance contract asset and liabilities’ fair value reflects the present value of reinsurance premiums, net of recoveries, and risk margins over a range of market consistent economic scenarios while GMxB</w:t>
      </w:r>
      <w:r>
        <w:rPr>
          <w:rFonts w:eastAsia="Times New Roman"/>
          <w:color w:val="000000"/>
          <w:sz w:val="20"/>
          <w:szCs w:val="20"/>
        </w:rPr>
        <w:t xml:space="preserve"> derivative features liability reflects the present value of expected future payments (benefits) less fees, adjusted for risk margins and </w:t>
      </w:r>
    </w:p>
    <w:p w:rsidR="00000000" w:rsidRDefault="00E54EC0">
      <w:pPr>
        <w:jc w:val="center"/>
        <w:divId w:val="776288279"/>
        <w:rPr>
          <w:rFonts w:eastAsia="Times New Roman"/>
        </w:rPr>
      </w:pPr>
      <w:r>
        <w:rPr>
          <w:rFonts w:eastAsia="Times New Roman"/>
          <w:color w:val="000000"/>
          <w:sz w:val="20"/>
          <w:szCs w:val="20"/>
        </w:rPr>
        <w:t>183</w:t>
      </w:r>
    </w:p>
    <w:p w:rsidR="00000000" w:rsidRDefault="00E54EC0">
      <w:pPr>
        <w:rPr>
          <w:rFonts w:eastAsia="Times New Roman"/>
        </w:rPr>
      </w:pPr>
      <w:r>
        <w:rPr>
          <w:rFonts w:eastAsia="Times New Roman"/>
        </w:rPr>
        <w:pict>
          <v:rect id="_x0000_i1221" style="width:0;height:1.5pt" o:hralign="center" o:hrstd="t" o:hr="t" fillcolor="#a0a0a0" stroked="f"/>
        </w:pict>
      </w:r>
    </w:p>
    <w:p w:rsidR="00000000" w:rsidRDefault="00E54EC0">
      <w:pPr>
        <w:jc w:val="center"/>
        <w:divId w:val="652836547"/>
        <w:rPr>
          <w:rFonts w:eastAsia="Times New Roman"/>
        </w:rPr>
      </w:pPr>
      <w:r>
        <w:rPr>
          <w:rFonts w:eastAsia="Times New Roman"/>
          <w:b/>
          <w:bCs/>
          <w:color w:val="000000"/>
          <w:sz w:val="20"/>
          <w:szCs w:val="20"/>
        </w:rPr>
        <w:t>EQUITABLE HOLDINGS, INC.</w:t>
      </w:r>
    </w:p>
    <w:p w:rsidR="00000000" w:rsidRDefault="00E54EC0">
      <w:pPr>
        <w:jc w:val="center"/>
        <w:divId w:val="652836547"/>
        <w:rPr>
          <w:rFonts w:eastAsia="Times New Roman"/>
        </w:rPr>
      </w:pPr>
      <w:r>
        <w:rPr>
          <w:rFonts w:eastAsia="Times New Roman"/>
          <w:b/>
          <w:bCs/>
          <w:color w:val="000000"/>
          <w:sz w:val="20"/>
          <w:szCs w:val="20"/>
        </w:rPr>
        <w:t>NOTES TO CONSOLIDATED FINANCIAL STATEMENTS, continu</w:t>
      </w:r>
      <w:r>
        <w:rPr>
          <w:rFonts w:eastAsia="Times New Roman"/>
          <w:b/>
          <w:bCs/>
          <w:color w:val="000000"/>
          <w:sz w:val="20"/>
          <w:szCs w:val="20"/>
        </w:rPr>
        <w:t>ed</w:t>
      </w:r>
    </w:p>
    <w:p w:rsidR="00000000" w:rsidRDefault="00E54EC0">
      <w:pPr>
        <w:divId w:val="461778027"/>
        <w:rPr>
          <w:rFonts w:eastAsia="Times New Roman"/>
        </w:rPr>
      </w:pPr>
      <w:r>
        <w:rPr>
          <w:rFonts w:eastAsia="Times New Roman"/>
          <w:color w:val="000000"/>
          <w:sz w:val="20"/>
          <w:szCs w:val="20"/>
        </w:rPr>
        <w:t>nonperformance risk, attributable to GMxB derivative features’ liability over a range of market-consistent economic scenarios. </w:t>
      </w:r>
    </w:p>
    <w:p w:rsidR="00000000" w:rsidRDefault="00E54EC0">
      <w:pPr>
        <w:divId w:val="192115772"/>
        <w:rPr>
          <w:rFonts w:eastAsia="Times New Roman"/>
        </w:rPr>
      </w:pPr>
      <w:r>
        <w:rPr>
          <w:rFonts w:eastAsia="Times New Roman"/>
          <w:color w:val="000000"/>
          <w:sz w:val="20"/>
          <w:szCs w:val="20"/>
        </w:rPr>
        <w:t>Also included are the Amounts due from Reinsurers related to the GMIB NLG product features (GMIB NLG Reinsurance). The fair v</w:t>
      </w:r>
      <w:r>
        <w:rPr>
          <w:rFonts w:eastAsia="Times New Roman"/>
          <w:color w:val="000000"/>
          <w:sz w:val="20"/>
          <w:szCs w:val="20"/>
        </w:rPr>
        <w:t>alue reflects the present value of reinsurance premiums, net of recoveries, adjusted for risk margins and nonperformance risk over a range of market consistent economic scenarios.</w:t>
      </w:r>
    </w:p>
    <w:p w:rsidR="00000000" w:rsidRDefault="00E54EC0">
      <w:pPr>
        <w:divId w:val="1221136196"/>
        <w:rPr>
          <w:rFonts w:eastAsia="Times New Roman"/>
        </w:rPr>
      </w:pPr>
      <w:r>
        <w:rPr>
          <w:rFonts w:eastAsia="Times New Roman"/>
          <w:color w:val="000000"/>
          <w:sz w:val="20"/>
          <w:szCs w:val="20"/>
        </w:rPr>
        <w:t xml:space="preserve">The valuations of the GMIB reinsurance contract asset, GMIB NLG Reinsurance </w:t>
      </w:r>
      <w:r>
        <w:rPr>
          <w:rFonts w:eastAsia="Times New Roman"/>
          <w:color w:val="000000"/>
          <w:sz w:val="20"/>
          <w:szCs w:val="20"/>
        </w:rPr>
        <w:t>and GMxB derivative features liability incorporate significant non-observable assumptions related to policyholder behavior, risk margins and equity projections of Separate Account funds. The credit risks of the counterparty and of the Company are considere</w:t>
      </w:r>
      <w:r>
        <w:rPr>
          <w:rFonts w:eastAsia="Times New Roman"/>
          <w:color w:val="000000"/>
          <w:sz w:val="20"/>
          <w:szCs w:val="20"/>
        </w:rPr>
        <w:t>d in determining the fair values of its GMIB reinsurance contract asset, GMIB NLG Reinsurance and GMxB derivative features liability positions, respectively, after taking into account the effects of collateral arrangements. Incremental adjustment to the U.</w:t>
      </w:r>
      <w:r>
        <w:rPr>
          <w:rFonts w:eastAsia="Times New Roman"/>
          <w:color w:val="000000"/>
          <w:sz w:val="20"/>
          <w:szCs w:val="20"/>
        </w:rPr>
        <w:t>S. Treasury curve for non-performance risk is made to the fair values of the GMIB reinsurance contract asset, GMIB NLG Reinsurance and GMIB NLG feature to reflect the claims-paying ratings of counterparties and the Company. Due to the unique, long duration</w:t>
      </w:r>
      <w:r>
        <w:rPr>
          <w:rFonts w:eastAsia="Times New Roman"/>
          <w:color w:val="000000"/>
          <w:sz w:val="20"/>
          <w:szCs w:val="20"/>
        </w:rPr>
        <w:t xml:space="preserve"> of the GMIB NLG feature and GMIB NLG Reinsurance, risk margins were applied to the non-capital markets inputs to the GMIB NLG valuations.</w:t>
      </w:r>
    </w:p>
    <w:p w:rsidR="00000000" w:rsidRDefault="00E54EC0">
      <w:pPr>
        <w:divId w:val="932324347"/>
        <w:rPr>
          <w:rFonts w:eastAsia="Times New Roman"/>
        </w:rPr>
      </w:pPr>
      <w:r>
        <w:rPr>
          <w:rFonts w:eastAsia="Times New Roman"/>
          <w:color w:val="000000"/>
          <w:sz w:val="20"/>
          <w:szCs w:val="20"/>
        </w:rPr>
        <w:t xml:space="preserve">After giving consideration to collateral arrangements, the impact to the fair value of its GMIB reinsurance contract </w:t>
      </w:r>
      <w:r>
        <w:rPr>
          <w:rFonts w:eastAsia="Times New Roman"/>
          <w:color w:val="000000"/>
          <w:sz w:val="20"/>
          <w:szCs w:val="20"/>
        </w:rPr>
        <w:t>asset was a decrease of $74 million and $107 million as of December 31, 2022 and 2021, respectively, to recognize incremental counterparty non-performance risk.</w:t>
      </w:r>
    </w:p>
    <w:p w:rsidR="00000000" w:rsidRDefault="00E54EC0">
      <w:pPr>
        <w:divId w:val="1430856185"/>
        <w:rPr>
          <w:rFonts w:eastAsia="Times New Roman"/>
        </w:rPr>
      </w:pPr>
      <w:r>
        <w:rPr>
          <w:rFonts w:eastAsia="Times New Roman"/>
          <w:color w:val="000000"/>
          <w:sz w:val="20"/>
          <w:szCs w:val="20"/>
        </w:rPr>
        <w:t>After giving consideration to collateral arrangements, the impact to the fair value of its Amou</w:t>
      </w:r>
      <w:r>
        <w:rPr>
          <w:rFonts w:eastAsia="Times New Roman"/>
          <w:color w:val="000000"/>
          <w:sz w:val="20"/>
          <w:szCs w:val="20"/>
        </w:rPr>
        <w:t xml:space="preserve">nts due from Reinsurers was a decrease of $151 million and $210 million at December 31, 2022 and 2021 to recognize incremental counterparty non-performance risk. </w:t>
      </w:r>
    </w:p>
    <w:p w:rsidR="00000000" w:rsidRDefault="00E54EC0">
      <w:pPr>
        <w:divId w:val="1349256458"/>
        <w:rPr>
          <w:rFonts w:eastAsia="Times New Roman"/>
        </w:rPr>
      </w:pPr>
      <w:r>
        <w:rPr>
          <w:rFonts w:eastAsia="Times New Roman"/>
          <w:color w:val="000000"/>
          <w:sz w:val="20"/>
          <w:szCs w:val="20"/>
        </w:rPr>
        <w:t>Lapse rates are adjusted at the contract level based on a comparison of the actuarial calcula</w:t>
      </w:r>
      <w:r>
        <w:rPr>
          <w:rFonts w:eastAsia="Times New Roman"/>
          <w:color w:val="000000"/>
          <w:sz w:val="20"/>
          <w:szCs w:val="20"/>
        </w:rPr>
        <w:t>ted guaranteed values and the current policyholder account value, which include other factors such as considering surrender charges. Generally, lapse rates are assumed to be lower in periods when a surrender charge applies. A dynamic lapse function reduces</w:t>
      </w:r>
      <w:r>
        <w:rPr>
          <w:rFonts w:eastAsia="Times New Roman"/>
          <w:color w:val="000000"/>
          <w:sz w:val="20"/>
          <w:szCs w:val="20"/>
        </w:rPr>
        <w:t xml:space="preserve"> the base lapse rate when the guaranteed amount is greater than the account value as in-the-money contracts are less likely to lapse. For valuing the embedded derivative, lapse rates vary throughout the period over which cash flows are projected. </w:t>
      </w:r>
    </w:p>
    <w:p w:rsidR="00000000" w:rsidRDefault="00E54EC0">
      <w:pPr>
        <w:divId w:val="1357076424"/>
        <w:rPr>
          <w:rFonts w:eastAsia="Times New Roman"/>
        </w:rPr>
      </w:pPr>
      <w:r>
        <w:rPr>
          <w:rFonts w:eastAsia="Times New Roman"/>
          <w:color w:val="000000"/>
          <w:sz w:val="20"/>
          <w:szCs w:val="20"/>
        </w:rPr>
        <w:t>The Comp</w:t>
      </w:r>
      <w:r>
        <w:rPr>
          <w:rFonts w:eastAsia="Times New Roman"/>
          <w:color w:val="000000"/>
          <w:sz w:val="20"/>
          <w:szCs w:val="20"/>
        </w:rPr>
        <w:t xml:space="preserve">any’s Level 3 liabilities include contingent payment arrangements associated with acquisitions in 2016 and 2019 by AB. At each reporting date, AB estimates the fair values of the contingent consideration expected to be paid based upon revenue and discount </w:t>
      </w:r>
      <w:r>
        <w:rPr>
          <w:rFonts w:eastAsia="Times New Roman"/>
          <w:color w:val="000000"/>
          <w:sz w:val="20"/>
          <w:szCs w:val="20"/>
        </w:rPr>
        <w:t>rate projections, using unobservable market data inputs, which are included in Level 3 of the valuation hierarchy. The Company’s consolidated VIEs/VOEs hold investments that are classified as Level 3, primarily corporate bonds that are vendor priced with n</w:t>
      </w:r>
      <w:r>
        <w:rPr>
          <w:rFonts w:eastAsia="Times New Roman"/>
          <w:color w:val="000000"/>
          <w:sz w:val="20"/>
          <w:szCs w:val="20"/>
        </w:rPr>
        <w:t>o ratings available, bank loans, non-agency collateralized mortgage obligations and asset-backed securities.</w:t>
      </w:r>
    </w:p>
    <w:p w:rsidR="00000000" w:rsidRDefault="00E54EC0">
      <w:pPr>
        <w:divId w:val="786241399"/>
        <w:rPr>
          <w:rFonts w:eastAsia="Times New Roman"/>
        </w:rPr>
      </w:pPr>
      <w:r>
        <w:rPr>
          <w:rFonts w:eastAsia="Times New Roman"/>
          <w:color w:val="000000"/>
          <w:sz w:val="20"/>
          <w:szCs w:val="20"/>
          <w:u w:val="single"/>
        </w:rPr>
        <w:t>Transfers of Financial Instruments Between Levels 2 and 3</w:t>
      </w:r>
    </w:p>
    <w:p w:rsidR="00000000" w:rsidRDefault="00E54EC0">
      <w:pPr>
        <w:divId w:val="872116125"/>
        <w:rPr>
          <w:rFonts w:eastAsia="Times New Roman"/>
        </w:rPr>
      </w:pPr>
      <w:r>
        <w:rPr>
          <w:rFonts w:eastAsia="Times New Roman"/>
          <w:color w:val="000000"/>
          <w:sz w:val="20"/>
          <w:szCs w:val="20"/>
        </w:rPr>
        <w:t>During the year ended December 31, 2022, fixed maturities with fair values of $200 millio</w:t>
      </w:r>
      <w:r>
        <w:rPr>
          <w:rFonts w:eastAsia="Times New Roman"/>
          <w:color w:val="000000"/>
          <w:sz w:val="20"/>
          <w:szCs w:val="20"/>
        </w:rPr>
        <w:t>n were transferred out of Level 3 and into Level 2 principally due to the availability of trading activity and/or market observable inputs to measure and validate their fair values. In addition, fixed maturities with fair value of $213 million were transfe</w:t>
      </w:r>
      <w:r>
        <w:rPr>
          <w:rFonts w:eastAsia="Times New Roman"/>
          <w:color w:val="000000"/>
          <w:sz w:val="20"/>
          <w:szCs w:val="20"/>
        </w:rPr>
        <w:t>rred from Level 2 into the Level 3 classification. These transfers in the aggregate represent approximately 12.2% of total equity as of December 31, 2022.</w:t>
      </w:r>
    </w:p>
    <w:p w:rsidR="00000000" w:rsidRDefault="00E54EC0">
      <w:pPr>
        <w:divId w:val="57100408"/>
        <w:rPr>
          <w:rFonts w:eastAsia="Times New Roman"/>
        </w:rPr>
      </w:pPr>
      <w:r>
        <w:rPr>
          <w:rFonts w:eastAsia="Times New Roman"/>
          <w:color w:val="000000"/>
          <w:sz w:val="20"/>
          <w:szCs w:val="20"/>
        </w:rPr>
        <w:t>During the year ended December 31, 2021, fixed maturities with fair values of $785 million were trans</w:t>
      </w:r>
      <w:r>
        <w:rPr>
          <w:rFonts w:eastAsia="Times New Roman"/>
          <w:color w:val="000000"/>
          <w:sz w:val="20"/>
          <w:szCs w:val="20"/>
        </w:rPr>
        <w:t>ferred out of Level 3 and into Level 2 principally due to the availability of trading activity and/or market observable inputs to measure and validate their fair values. In addition, fixed maturities with fair value of $27 million were transferred from Lev</w:t>
      </w:r>
      <w:r>
        <w:rPr>
          <w:rFonts w:eastAsia="Times New Roman"/>
          <w:color w:val="000000"/>
          <w:sz w:val="20"/>
          <w:szCs w:val="20"/>
        </w:rPr>
        <w:t>el 2 into the Level 3 classification. These transfers in the aggregate represent approximately 6.2% of total equity as of December 31, 2021.</w:t>
      </w:r>
    </w:p>
    <w:p w:rsidR="00000000" w:rsidRDefault="00E54EC0">
      <w:pPr>
        <w:jc w:val="center"/>
        <w:divId w:val="1186748497"/>
        <w:rPr>
          <w:rFonts w:eastAsia="Times New Roman"/>
        </w:rPr>
      </w:pPr>
      <w:r>
        <w:rPr>
          <w:rFonts w:eastAsia="Times New Roman"/>
          <w:color w:val="000000"/>
          <w:sz w:val="20"/>
          <w:szCs w:val="20"/>
        </w:rPr>
        <w:t>184</w:t>
      </w:r>
    </w:p>
    <w:p w:rsidR="00000000" w:rsidRDefault="00E54EC0">
      <w:pPr>
        <w:rPr>
          <w:rFonts w:eastAsia="Times New Roman"/>
        </w:rPr>
      </w:pPr>
      <w:r>
        <w:rPr>
          <w:rFonts w:eastAsia="Times New Roman"/>
        </w:rPr>
        <w:pict>
          <v:rect id="_x0000_i1222" style="width:0;height:1.5pt" o:hralign="center" o:hrstd="t" o:hr="t" fillcolor="#a0a0a0" stroked="f"/>
        </w:pict>
      </w:r>
    </w:p>
    <w:p w:rsidR="00000000" w:rsidRDefault="00E54EC0">
      <w:pPr>
        <w:jc w:val="center"/>
        <w:divId w:val="2091074089"/>
        <w:rPr>
          <w:rFonts w:eastAsia="Times New Roman"/>
        </w:rPr>
      </w:pPr>
      <w:r>
        <w:rPr>
          <w:rFonts w:eastAsia="Times New Roman"/>
          <w:b/>
          <w:bCs/>
          <w:color w:val="000000"/>
          <w:sz w:val="20"/>
          <w:szCs w:val="20"/>
        </w:rPr>
        <w:t>EQUITABLE HOLDINGS, INC.</w:t>
      </w:r>
    </w:p>
    <w:p w:rsidR="00000000" w:rsidRDefault="00E54EC0">
      <w:pPr>
        <w:jc w:val="center"/>
        <w:divId w:val="2091074089"/>
        <w:rPr>
          <w:rFonts w:eastAsia="Times New Roman"/>
        </w:rPr>
      </w:pPr>
      <w:r>
        <w:rPr>
          <w:rFonts w:eastAsia="Times New Roman"/>
          <w:b/>
          <w:bCs/>
          <w:color w:val="000000"/>
          <w:sz w:val="20"/>
          <w:szCs w:val="20"/>
        </w:rPr>
        <w:t>NOTES TO CONSOLIDATED FINANCIAL STATEMENTS, conti</w:t>
      </w:r>
      <w:r>
        <w:rPr>
          <w:rFonts w:eastAsia="Times New Roman"/>
          <w:b/>
          <w:bCs/>
          <w:color w:val="000000"/>
          <w:sz w:val="20"/>
          <w:szCs w:val="20"/>
        </w:rPr>
        <w:t>nued</w:t>
      </w:r>
    </w:p>
    <w:p w:rsidR="00000000" w:rsidRDefault="00E54EC0">
      <w:pPr>
        <w:divId w:val="806969512"/>
        <w:rPr>
          <w:rFonts w:eastAsia="Times New Roman"/>
        </w:rPr>
      </w:pPr>
      <w:r>
        <w:rPr>
          <w:rFonts w:eastAsia="Times New Roman"/>
          <w:color w:val="000000"/>
          <w:sz w:val="20"/>
          <w:szCs w:val="20"/>
        </w:rPr>
        <w:t>The tables below present reconciliations for all Level 3 assets and liabilities and changes in unrealized gains (losses) for the years ended December 31, 2022, 2021 and 2020, respectively.</w:t>
      </w:r>
    </w:p>
    <w:tbl>
      <w:tblPr>
        <w:tblW w:w="4824" w:type="pct"/>
        <w:tblCellMar>
          <w:top w:w="15" w:type="dxa"/>
          <w:left w:w="15" w:type="dxa"/>
          <w:bottom w:w="15" w:type="dxa"/>
          <w:right w:w="15" w:type="dxa"/>
        </w:tblCellMar>
        <w:tblLook w:val="04A0" w:firstRow="1" w:lastRow="0" w:firstColumn="1" w:lastColumn="0" w:noHBand="0" w:noVBand="1"/>
      </w:tblPr>
      <w:tblGrid>
        <w:gridCol w:w="40"/>
        <w:gridCol w:w="2104"/>
        <w:gridCol w:w="39"/>
        <w:gridCol w:w="121"/>
        <w:gridCol w:w="654"/>
        <w:gridCol w:w="36"/>
        <w:gridCol w:w="36"/>
        <w:gridCol w:w="36"/>
        <w:gridCol w:w="36"/>
        <w:gridCol w:w="121"/>
        <w:gridCol w:w="779"/>
        <w:gridCol w:w="36"/>
        <w:gridCol w:w="36"/>
        <w:gridCol w:w="36"/>
        <w:gridCol w:w="36"/>
        <w:gridCol w:w="121"/>
        <w:gridCol w:w="457"/>
        <w:gridCol w:w="36"/>
        <w:gridCol w:w="36"/>
        <w:gridCol w:w="36"/>
        <w:gridCol w:w="36"/>
        <w:gridCol w:w="121"/>
        <w:gridCol w:w="425"/>
        <w:gridCol w:w="36"/>
        <w:gridCol w:w="36"/>
        <w:gridCol w:w="36"/>
        <w:gridCol w:w="36"/>
        <w:gridCol w:w="121"/>
        <w:gridCol w:w="425"/>
        <w:gridCol w:w="36"/>
        <w:gridCol w:w="36"/>
        <w:gridCol w:w="36"/>
        <w:gridCol w:w="36"/>
        <w:gridCol w:w="121"/>
        <w:gridCol w:w="656"/>
        <w:gridCol w:w="36"/>
        <w:gridCol w:w="36"/>
        <w:gridCol w:w="36"/>
        <w:gridCol w:w="36"/>
        <w:gridCol w:w="121"/>
        <w:gridCol w:w="688"/>
        <w:gridCol w:w="36"/>
      </w:tblGrid>
      <w:tr w:rsidR="00000000">
        <w:trPr>
          <w:divId w:val="1324626389"/>
        </w:trPr>
        <w:tc>
          <w:tcPr>
            <w:tcW w:w="50" w:type="pct"/>
            <w:vAlign w:val="center"/>
            <w:hideMark/>
          </w:tcPr>
          <w:p w:rsidR="00000000" w:rsidRDefault="00E54EC0">
            <w:pPr>
              <w:rPr>
                <w:rFonts w:eastAsia="Times New Roman"/>
              </w:rPr>
            </w:pPr>
          </w:p>
        </w:tc>
        <w:tc>
          <w:tcPr>
            <w:tcW w:w="191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2462638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RMBS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 xml:space="preserve">Fixed maturities, at FVO </w:t>
            </w:r>
          </w:p>
        </w:tc>
      </w:tr>
      <w:tr w:rsidR="00000000">
        <w:trPr>
          <w:divId w:val="132462638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32462638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24626389"/>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24626389"/>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60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2462638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24626389"/>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24626389"/>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2462638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2462638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24626389"/>
          <w:trHeight w:val="8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1477644758"/>
        <w:rPr>
          <w:rFonts w:eastAsia="Times New Roman"/>
        </w:rPr>
      </w:pPr>
      <w:r>
        <w:rPr>
          <w:rFonts w:eastAsia="Times New Roman"/>
          <w:color w:val="000000"/>
          <w:sz w:val="20"/>
          <w:szCs w:val="20"/>
        </w:rPr>
        <w:t>185</w:t>
      </w:r>
    </w:p>
    <w:p w:rsidR="00000000" w:rsidRDefault="00E54EC0">
      <w:pPr>
        <w:rPr>
          <w:rFonts w:eastAsia="Times New Roman"/>
        </w:rPr>
      </w:pPr>
      <w:r>
        <w:rPr>
          <w:rFonts w:eastAsia="Times New Roman"/>
        </w:rPr>
        <w:pict>
          <v:rect id="_x0000_i1223" style="width:0;height:1.5pt" o:hralign="center" o:hrstd="t" o:hr="t" fillcolor="#a0a0a0" stroked="f"/>
        </w:pict>
      </w:r>
    </w:p>
    <w:p w:rsidR="00000000" w:rsidRDefault="00E54EC0">
      <w:pPr>
        <w:jc w:val="center"/>
        <w:divId w:val="1255895896"/>
        <w:rPr>
          <w:rFonts w:eastAsia="Times New Roman"/>
        </w:rPr>
      </w:pPr>
      <w:r>
        <w:rPr>
          <w:rFonts w:eastAsia="Times New Roman"/>
          <w:b/>
          <w:bCs/>
          <w:color w:val="000000"/>
          <w:sz w:val="20"/>
          <w:szCs w:val="20"/>
        </w:rPr>
        <w:t>EQUITABLE HOLDINGS, INC.</w:t>
      </w:r>
    </w:p>
    <w:p w:rsidR="00000000" w:rsidRDefault="00E54EC0">
      <w:pPr>
        <w:jc w:val="center"/>
        <w:divId w:val="1255895896"/>
        <w:rPr>
          <w:rFonts w:eastAsia="Times New Roman"/>
        </w:rPr>
      </w:pPr>
      <w:r>
        <w:rPr>
          <w:rFonts w:eastAsia="Times New Roman"/>
          <w:b/>
          <w:bCs/>
          <w:color w:val="000000"/>
          <w:sz w:val="20"/>
          <w:szCs w:val="20"/>
        </w:rPr>
        <w:t>NOTES TO CONSOLIDATED FINANCIAL STATEMENTS, continued</w:t>
      </w:r>
    </w:p>
    <w:tbl>
      <w:tblPr>
        <w:tblW w:w="4824" w:type="pct"/>
        <w:tblCellMar>
          <w:top w:w="15" w:type="dxa"/>
          <w:left w:w="15" w:type="dxa"/>
          <w:bottom w:w="15" w:type="dxa"/>
          <w:right w:w="15" w:type="dxa"/>
        </w:tblCellMar>
        <w:tblLook w:val="04A0" w:firstRow="1" w:lastRow="0" w:firstColumn="1" w:lastColumn="0" w:noHBand="0" w:noVBand="1"/>
      </w:tblPr>
      <w:tblGrid>
        <w:gridCol w:w="40"/>
        <w:gridCol w:w="2104"/>
        <w:gridCol w:w="39"/>
        <w:gridCol w:w="121"/>
        <w:gridCol w:w="654"/>
        <w:gridCol w:w="36"/>
        <w:gridCol w:w="36"/>
        <w:gridCol w:w="36"/>
        <w:gridCol w:w="36"/>
        <w:gridCol w:w="121"/>
        <w:gridCol w:w="779"/>
        <w:gridCol w:w="36"/>
        <w:gridCol w:w="36"/>
        <w:gridCol w:w="36"/>
        <w:gridCol w:w="36"/>
        <w:gridCol w:w="121"/>
        <w:gridCol w:w="457"/>
        <w:gridCol w:w="36"/>
        <w:gridCol w:w="36"/>
        <w:gridCol w:w="36"/>
        <w:gridCol w:w="36"/>
        <w:gridCol w:w="121"/>
        <w:gridCol w:w="425"/>
        <w:gridCol w:w="36"/>
        <w:gridCol w:w="36"/>
        <w:gridCol w:w="36"/>
        <w:gridCol w:w="36"/>
        <w:gridCol w:w="121"/>
        <w:gridCol w:w="425"/>
        <w:gridCol w:w="36"/>
        <w:gridCol w:w="36"/>
        <w:gridCol w:w="36"/>
        <w:gridCol w:w="36"/>
        <w:gridCol w:w="121"/>
        <w:gridCol w:w="656"/>
        <w:gridCol w:w="36"/>
        <w:gridCol w:w="36"/>
        <w:gridCol w:w="36"/>
        <w:gridCol w:w="36"/>
        <w:gridCol w:w="121"/>
        <w:gridCol w:w="688"/>
        <w:gridCol w:w="36"/>
      </w:tblGrid>
      <w:tr w:rsidR="00000000">
        <w:trPr>
          <w:divId w:val="221252924"/>
        </w:trPr>
        <w:tc>
          <w:tcPr>
            <w:tcW w:w="50" w:type="pct"/>
            <w:vAlign w:val="center"/>
            <w:hideMark/>
          </w:tcPr>
          <w:p w:rsidR="00000000" w:rsidRDefault="00E54EC0">
            <w:pPr>
              <w:jc w:val="center"/>
              <w:rPr>
                <w:rFonts w:eastAsia="Times New Roman"/>
              </w:rPr>
            </w:pPr>
          </w:p>
        </w:tc>
        <w:tc>
          <w:tcPr>
            <w:tcW w:w="191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6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0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9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2125292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RMBS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b/>
                <w:bCs/>
                <w:color w:val="000000"/>
                <w:sz w:val="16"/>
                <w:szCs w:val="16"/>
              </w:rPr>
              <w:t xml:space="preserve">Fixed maturities, at FVO </w:t>
            </w:r>
          </w:p>
        </w:tc>
      </w:tr>
      <w:tr w:rsidR="00000000">
        <w:trPr>
          <w:divId w:val="22125292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E54EC0">
        <w:trPr>
          <w:divId w:val="22125292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21252924"/>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21252924"/>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2125292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22125292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2020</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1,702 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22125292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22125292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341154285"/>
        <w:rPr>
          <w:rFonts w:eastAsia="Times New Roman"/>
        </w:rPr>
      </w:pPr>
      <w:r>
        <w:rPr>
          <w:rFonts w:eastAsia="Times New Roman"/>
          <w:color w:val="000000"/>
          <w:sz w:val="18"/>
          <w:szCs w:val="18"/>
        </w:rPr>
        <w:t>________</w:t>
      </w:r>
    </w:p>
    <w:p w:rsidR="00000000" w:rsidRDefault="00E54EC0">
      <w:pPr>
        <w:ind w:hanging="360"/>
        <w:divId w:val="769855620"/>
        <w:rPr>
          <w:rFonts w:eastAsia="Times New Roman"/>
        </w:rPr>
      </w:pPr>
      <w:r>
        <w:rPr>
          <w:rFonts w:eastAsia="Times New Roman"/>
          <w:color w:val="000000"/>
          <w:sz w:val="18"/>
          <w:szCs w:val="18"/>
        </w:rPr>
        <w:t>(1)Transfers into/out of the Level 3 classification are reflected at beginning-of-period fair values.</w:t>
      </w:r>
    </w:p>
    <w:p w:rsidR="00000000" w:rsidRDefault="00E54EC0">
      <w:pPr>
        <w:ind w:hanging="360"/>
        <w:divId w:val="717048655"/>
        <w:rPr>
          <w:rFonts w:eastAsia="Times New Roman"/>
        </w:rPr>
      </w:pPr>
      <w:r>
        <w:rPr>
          <w:rFonts w:eastAsia="Times New Roman"/>
          <w:color w:val="000000"/>
          <w:sz w:val="18"/>
          <w:szCs w:val="18"/>
        </w:rPr>
        <w:t>(2)For instruments held as of Dece</w:t>
      </w:r>
      <w:r>
        <w:rPr>
          <w:rFonts w:eastAsia="Times New Roman"/>
          <w:color w:val="000000"/>
          <w:sz w:val="18"/>
          <w:szCs w:val="18"/>
        </w:rPr>
        <w:t>mber 31, 2022 or December 31, 2021, amounts are included in net investment income or net derivative gains (losses) in the consolidated statements of income (loss) or unrealized gains (losses) on investments in the consolidated statements of comprehensive i</w:t>
      </w:r>
      <w:r>
        <w:rPr>
          <w:rFonts w:eastAsia="Times New Roman"/>
          <w:color w:val="000000"/>
          <w:sz w:val="18"/>
          <w:szCs w:val="18"/>
        </w:rPr>
        <w:t xml:space="preserve">ncome. </w:t>
      </w:r>
    </w:p>
    <w:p w:rsidR="00000000" w:rsidRDefault="00E54EC0">
      <w:pPr>
        <w:divId w:val="11089628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366"/>
        <w:gridCol w:w="40"/>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1"/>
        <w:gridCol w:w="666"/>
        <w:gridCol w:w="36"/>
        <w:gridCol w:w="36"/>
        <w:gridCol w:w="36"/>
        <w:gridCol w:w="36"/>
        <w:gridCol w:w="121"/>
        <w:gridCol w:w="860"/>
        <w:gridCol w:w="36"/>
      </w:tblGrid>
      <w:tr w:rsidR="00000000">
        <w:trPr>
          <w:divId w:val="656346083"/>
        </w:trPr>
        <w:tc>
          <w:tcPr>
            <w:tcW w:w="50" w:type="pct"/>
            <w:vAlign w:val="center"/>
            <w:hideMark/>
          </w:tcPr>
          <w:p w:rsidR="00000000" w:rsidRDefault="00E54EC0">
            <w:pPr>
              <w:rPr>
                <w:rFonts w:eastAsia="Times New Roman"/>
              </w:rPr>
            </w:pPr>
          </w:p>
        </w:tc>
        <w:tc>
          <w:tcPr>
            <w:tcW w:w="188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65634608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Contingent Payment Arrangement</w:t>
            </w:r>
          </w:p>
        </w:tc>
      </w:tr>
      <w:tr w:rsidR="00000000">
        <w:trPr>
          <w:divId w:val="65634608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65634608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5,815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(8,525)</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65634608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FFFFFF"/>
            <w:tcMar>
              <w:top w:w="30" w:type="dxa"/>
              <w:left w:w="60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3,076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Settlements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(8)</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563460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2022</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(5,764)</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130365327"/>
        <w:rPr>
          <w:rFonts w:eastAsia="Times New Roman"/>
        </w:rPr>
      </w:pPr>
      <w:r>
        <w:rPr>
          <w:rFonts w:eastAsia="Times New Roman"/>
          <w:color w:val="000000"/>
          <w:sz w:val="20"/>
          <w:szCs w:val="20"/>
        </w:rPr>
        <w:t>186</w:t>
      </w:r>
    </w:p>
    <w:p w:rsidR="00000000" w:rsidRDefault="00E54EC0">
      <w:pPr>
        <w:rPr>
          <w:rFonts w:eastAsia="Times New Roman"/>
        </w:rPr>
      </w:pPr>
      <w:r>
        <w:rPr>
          <w:rFonts w:eastAsia="Times New Roman"/>
        </w:rPr>
        <w:pict>
          <v:rect id="_x0000_i1224" style="width:0;height:1.5pt" o:hralign="center" o:hrstd="t" o:hr="t" fillcolor="#a0a0a0" stroked="f"/>
        </w:pict>
      </w:r>
    </w:p>
    <w:p w:rsidR="00000000" w:rsidRDefault="00E54EC0">
      <w:pPr>
        <w:jc w:val="center"/>
        <w:divId w:val="1768116765"/>
        <w:rPr>
          <w:rFonts w:eastAsia="Times New Roman"/>
        </w:rPr>
      </w:pPr>
      <w:r>
        <w:rPr>
          <w:rFonts w:eastAsia="Times New Roman"/>
          <w:b/>
          <w:bCs/>
          <w:color w:val="000000"/>
          <w:sz w:val="20"/>
          <w:szCs w:val="20"/>
        </w:rPr>
        <w:t>EQUITABLE HOLDINGS, INC.</w:t>
      </w:r>
    </w:p>
    <w:p w:rsidR="00000000" w:rsidRDefault="00E54EC0">
      <w:pPr>
        <w:jc w:val="center"/>
        <w:divId w:val="1768116765"/>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49"/>
        <w:gridCol w:w="39"/>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0"/>
        <w:gridCol w:w="684"/>
        <w:gridCol w:w="36"/>
        <w:gridCol w:w="36"/>
        <w:gridCol w:w="36"/>
        <w:gridCol w:w="36"/>
        <w:gridCol w:w="121"/>
        <w:gridCol w:w="860"/>
        <w:gridCol w:w="36"/>
      </w:tblGrid>
      <w:tr w:rsidR="00000000">
        <w:trPr>
          <w:divId w:val="580605461"/>
        </w:trPr>
        <w:tc>
          <w:tcPr>
            <w:tcW w:w="50" w:type="pct"/>
            <w:vAlign w:val="center"/>
            <w:hideMark/>
          </w:tcPr>
          <w:p w:rsidR="00000000" w:rsidRDefault="00E54EC0">
            <w:pPr>
              <w:jc w:val="center"/>
              <w:rPr>
                <w:rFonts w:eastAsia="Times New Roman"/>
              </w:rPr>
            </w:pPr>
          </w:p>
        </w:tc>
        <w:tc>
          <w:tcPr>
            <w:tcW w:w="188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8060546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Contingent Payment Arrangement</w:t>
            </w:r>
          </w:p>
        </w:tc>
      </w:tr>
      <w:tr w:rsidR="00000000">
        <w:trPr>
          <w:divId w:val="58060546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58060546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3,076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060546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60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5,259 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Height w:val="30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(8,502)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060546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60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(2,253)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estimate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into Level 3 (4)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Transfers out of Level 3 (4)</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060546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384640509"/>
        <w:rPr>
          <w:rFonts w:eastAsia="Times New Roman"/>
        </w:rPr>
      </w:pPr>
      <w:r>
        <w:rPr>
          <w:rFonts w:eastAsia="Times New Roman"/>
          <w:color w:val="000000"/>
          <w:sz w:val="20"/>
          <w:szCs w:val="20"/>
        </w:rPr>
        <w:t>187</w:t>
      </w:r>
    </w:p>
    <w:p w:rsidR="00000000" w:rsidRDefault="00E54EC0">
      <w:pPr>
        <w:rPr>
          <w:rFonts w:eastAsia="Times New Roman"/>
        </w:rPr>
      </w:pPr>
      <w:r>
        <w:rPr>
          <w:rFonts w:eastAsia="Times New Roman"/>
        </w:rPr>
        <w:pict>
          <v:rect id="_x0000_i1225" style="width:0;height:1.5pt" o:hralign="center" o:hrstd="t" o:hr="t" fillcolor="#a0a0a0" stroked="f"/>
        </w:pict>
      </w:r>
    </w:p>
    <w:p w:rsidR="00000000" w:rsidRDefault="00E54EC0">
      <w:pPr>
        <w:jc w:val="center"/>
        <w:divId w:val="1666205527"/>
        <w:rPr>
          <w:rFonts w:eastAsia="Times New Roman"/>
        </w:rPr>
      </w:pPr>
      <w:r>
        <w:rPr>
          <w:rFonts w:eastAsia="Times New Roman"/>
          <w:b/>
          <w:bCs/>
          <w:color w:val="000000"/>
          <w:sz w:val="20"/>
          <w:szCs w:val="20"/>
        </w:rPr>
        <w:t>EQUITABLE HOLDINGS, INC.</w:t>
      </w:r>
    </w:p>
    <w:p w:rsidR="00000000" w:rsidRDefault="00E54EC0">
      <w:pPr>
        <w:jc w:val="center"/>
        <w:divId w:val="1666205527"/>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2372"/>
        <w:gridCol w:w="37"/>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1"/>
        <w:gridCol w:w="666"/>
        <w:gridCol w:w="36"/>
        <w:gridCol w:w="36"/>
        <w:gridCol w:w="36"/>
        <w:gridCol w:w="36"/>
        <w:gridCol w:w="121"/>
        <w:gridCol w:w="860"/>
        <w:gridCol w:w="36"/>
      </w:tblGrid>
      <w:tr w:rsidR="00000000">
        <w:trPr>
          <w:divId w:val="1069839515"/>
        </w:trPr>
        <w:tc>
          <w:tcPr>
            <w:tcW w:w="50" w:type="pct"/>
            <w:vAlign w:val="center"/>
            <w:hideMark/>
          </w:tcPr>
          <w:p w:rsidR="00000000" w:rsidRDefault="00E54EC0">
            <w:pPr>
              <w:jc w:val="center"/>
              <w:rPr>
                <w:rFonts w:eastAsia="Times New Roman"/>
              </w:rPr>
            </w:pPr>
          </w:p>
        </w:tc>
        <w:tc>
          <w:tcPr>
            <w:tcW w:w="188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6983951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Contingent Payment Arrangement</w:t>
            </w:r>
          </w:p>
        </w:tc>
      </w:tr>
      <w:tr w:rsidR="00000000">
        <w:trPr>
          <w:divId w:val="106983951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6983951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(2,253)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983951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37359188"/>
        <w:rPr>
          <w:rFonts w:eastAsia="Times New Roman"/>
        </w:rPr>
      </w:pPr>
      <w:r>
        <w:rPr>
          <w:rFonts w:eastAsia="Times New Roman"/>
          <w:color w:val="000000"/>
          <w:sz w:val="18"/>
          <w:szCs w:val="18"/>
        </w:rPr>
        <w:t>_____________</w:t>
      </w:r>
    </w:p>
    <w:p w:rsidR="00000000" w:rsidRDefault="00E54EC0">
      <w:pPr>
        <w:ind w:hanging="360"/>
        <w:divId w:val="1110470228"/>
        <w:rPr>
          <w:rFonts w:eastAsia="Times New Roman"/>
        </w:rPr>
      </w:pPr>
      <w:r>
        <w:rPr>
          <w:rFonts w:eastAsia="Times New Roman"/>
          <w:color w:val="000000"/>
          <w:sz w:val="18"/>
          <w:szCs w:val="18"/>
        </w:rPr>
        <w:t>(1)For the years ended December 31, 2022, 2021 and 2020, the Company’s non-performance risk impact of $522 million, $213 million and ($764) million for t</w:t>
      </w:r>
      <w:r>
        <w:rPr>
          <w:rFonts w:eastAsia="Times New Roman"/>
          <w:color w:val="000000"/>
          <w:sz w:val="18"/>
          <w:szCs w:val="18"/>
        </w:rPr>
        <w:t>he GMxB Derivative Features Liability, ($35) million, ($23) million and $7 million for the GMIB Reinsurance Contract Asset, and ($60) million, ($19) million and $0 million for the Amounts Due from Reinsurers, respectively, is recorded through Net derivativ</w:t>
      </w:r>
      <w:r>
        <w:rPr>
          <w:rFonts w:eastAsia="Times New Roman"/>
          <w:color w:val="000000"/>
          <w:sz w:val="18"/>
          <w:szCs w:val="18"/>
        </w:rPr>
        <w:t>e gains (losses).</w:t>
      </w:r>
    </w:p>
    <w:p w:rsidR="00000000" w:rsidRDefault="00E54EC0">
      <w:pPr>
        <w:ind w:hanging="360"/>
        <w:divId w:val="1134132822"/>
        <w:rPr>
          <w:rFonts w:eastAsia="Times New Roman"/>
        </w:rPr>
      </w:pPr>
      <w:r>
        <w:rPr>
          <w:rFonts w:eastAsia="Times New Roman"/>
          <w:color w:val="000000"/>
          <w:sz w:val="18"/>
          <w:szCs w:val="18"/>
        </w:rPr>
        <w:t>(2)For the GMIB reinsurance contract asset, Amounts Due from Reinsurers and GMxB derivative features liability, represents attributed fee.</w:t>
      </w:r>
    </w:p>
    <w:p w:rsidR="00000000" w:rsidRDefault="00E54EC0">
      <w:pPr>
        <w:ind w:hanging="360"/>
        <w:divId w:val="1460682783"/>
        <w:rPr>
          <w:rFonts w:eastAsia="Times New Roman"/>
        </w:rPr>
      </w:pPr>
      <w:r>
        <w:rPr>
          <w:rFonts w:eastAsia="Times New Roman"/>
          <w:color w:val="000000"/>
          <w:sz w:val="18"/>
          <w:szCs w:val="18"/>
        </w:rPr>
        <w:t>(3)For the GMIB reinsurance contract asset and Amounts Due from Reinsurers, represents recoveries f</w:t>
      </w:r>
      <w:r>
        <w:rPr>
          <w:rFonts w:eastAsia="Times New Roman"/>
          <w:color w:val="000000"/>
          <w:sz w:val="18"/>
          <w:szCs w:val="18"/>
        </w:rPr>
        <w:t>rom reinsurers and for GMxB derivative features liability represents benefits paid.</w:t>
      </w:r>
    </w:p>
    <w:p w:rsidR="00000000" w:rsidRDefault="00E54EC0">
      <w:pPr>
        <w:ind w:hanging="360"/>
        <w:divId w:val="1959410630"/>
        <w:rPr>
          <w:rFonts w:eastAsia="Times New Roman"/>
        </w:rPr>
      </w:pPr>
      <w:r>
        <w:rPr>
          <w:rFonts w:eastAsia="Times New Roman"/>
          <w:color w:val="000000"/>
          <w:sz w:val="18"/>
          <w:szCs w:val="18"/>
        </w:rPr>
        <w:t>(4)Transfers into/out of the Level 3 classification are reflected at beginning-of-period fair values.</w:t>
      </w:r>
    </w:p>
    <w:p w:rsidR="00000000" w:rsidRDefault="00E54EC0">
      <w:pPr>
        <w:ind w:hanging="360"/>
        <w:divId w:val="1185023763"/>
        <w:rPr>
          <w:rFonts w:eastAsia="Times New Roman"/>
        </w:rPr>
      </w:pPr>
      <w:r>
        <w:rPr>
          <w:rFonts w:eastAsia="Times New Roman"/>
          <w:color w:val="000000"/>
          <w:sz w:val="18"/>
          <w:szCs w:val="18"/>
        </w:rPr>
        <w:t xml:space="preserve">(5)For the </w:t>
      </w:r>
      <w:r>
        <w:rPr>
          <w:rFonts w:eastAsia="Times New Roman"/>
          <w:color w:val="000000"/>
          <w:sz w:val="20"/>
          <w:szCs w:val="20"/>
        </w:rPr>
        <w:t xml:space="preserve">year ended December 31, 2021, </w:t>
      </w:r>
      <w:r>
        <w:rPr>
          <w:rFonts w:eastAsia="Times New Roman"/>
          <w:color w:val="000000"/>
          <w:sz w:val="18"/>
          <w:szCs w:val="18"/>
        </w:rPr>
        <w:t>GMxB Derivative Features Liab</w:t>
      </w:r>
      <w:r>
        <w:rPr>
          <w:rFonts w:eastAsia="Times New Roman"/>
          <w:color w:val="000000"/>
          <w:sz w:val="18"/>
          <w:szCs w:val="18"/>
        </w:rPr>
        <w:t>ility excludes settlement fees on CS Life reinsurance contract of $45 million.</w:t>
      </w:r>
    </w:p>
    <w:p w:rsidR="00000000" w:rsidRDefault="00E54EC0">
      <w:pPr>
        <w:ind w:hanging="360"/>
        <w:divId w:val="1784035380"/>
        <w:rPr>
          <w:rFonts w:eastAsia="Times New Roman"/>
        </w:rPr>
      </w:pPr>
      <w:r>
        <w:rPr>
          <w:rFonts w:eastAsia="Times New Roman"/>
          <w:color w:val="000000"/>
          <w:sz w:val="18"/>
          <w:szCs w:val="18"/>
        </w:rPr>
        <w:t>(6)For instruments held as of December 31, 2022 or December 31, 2021, amounts are included in net investment income or net derivative gains (losses) in the consolidated statemen</w:t>
      </w:r>
      <w:r>
        <w:rPr>
          <w:rFonts w:eastAsia="Times New Roman"/>
          <w:color w:val="000000"/>
          <w:sz w:val="18"/>
          <w:szCs w:val="18"/>
        </w:rPr>
        <w:t xml:space="preserve">ts of income (loss) or unrealized gains (losses) on investments in the consolidated statements of comprehensive income. </w:t>
      </w:r>
    </w:p>
    <w:p w:rsidR="00000000" w:rsidRDefault="00E54EC0">
      <w:pPr>
        <w:ind w:hanging="360"/>
        <w:divId w:val="975261323"/>
        <w:rPr>
          <w:rFonts w:eastAsia="Times New Roman"/>
        </w:rPr>
      </w:pPr>
      <w:r>
        <w:rPr>
          <w:rFonts w:eastAsia="Times New Roman"/>
          <w:color w:val="000000"/>
          <w:sz w:val="18"/>
          <w:szCs w:val="18"/>
        </w:rPr>
        <w:t>(7)Other Equity Investments include other invested assets.</w:t>
      </w:r>
    </w:p>
    <w:p w:rsidR="00000000" w:rsidRDefault="00E54EC0">
      <w:pPr>
        <w:ind w:hanging="360"/>
        <w:divId w:val="1036193900"/>
        <w:rPr>
          <w:rFonts w:eastAsia="Times New Roman"/>
        </w:rPr>
      </w:pPr>
      <w:r>
        <w:rPr>
          <w:rFonts w:eastAsia="Times New Roman"/>
          <w:color w:val="000000"/>
          <w:sz w:val="18"/>
          <w:szCs w:val="18"/>
        </w:rPr>
        <w:t>(8)Contingent Payment Arrangements Other includes $7 million of accretion an</w:t>
      </w:r>
      <w:r>
        <w:rPr>
          <w:rFonts w:eastAsia="Times New Roman"/>
          <w:color w:val="000000"/>
          <w:sz w:val="18"/>
          <w:szCs w:val="18"/>
        </w:rPr>
        <w:t xml:space="preserve">d ($29) million of held-for-sale reclassifications. </w:t>
      </w:r>
    </w:p>
    <w:p w:rsidR="00000000" w:rsidRDefault="00E54EC0">
      <w:pPr>
        <w:ind w:firstLine="360"/>
        <w:divId w:val="2036805391"/>
        <w:rPr>
          <w:rFonts w:eastAsia="Times New Roman"/>
        </w:rPr>
      </w:pPr>
      <w:r>
        <w:rPr>
          <w:rFonts w:eastAsia="Times New Roman"/>
          <w:color w:val="000000"/>
          <w:sz w:val="20"/>
          <w:szCs w:val="20"/>
          <w:u w:val="single"/>
        </w:rPr>
        <w:t>Quantitative and Qualitative Information about Level 3 Fair Value Measurements</w:t>
      </w:r>
    </w:p>
    <w:p w:rsidR="00000000" w:rsidRDefault="00E54EC0">
      <w:pPr>
        <w:divId w:val="1933779752"/>
        <w:rPr>
          <w:rFonts w:eastAsia="Times New Roman"/>
        </w:rPr>
      </w:pPr>
      <w:r>
        <w:rPr>
          <w:rFonts w:eastAsia="Times New Roman"/>
          <w:color w:val="000000"/>
          <w:sz w:val="20"/>
          <w:szCs w:val="20"/>
        </w:rPr>
        <w:t>The following tables disclose quantitative information about Level 3 fair value measurements by category for assets and liab</w:t>
      </w:r>
      <w:r>
        <w:rPr>
          <w:rFonts w:eastAsia="Times New Roman"/>
          <w:color w:val="000000"/>
          <w:sz w:val="20"/>
          <w:szCs w:val="20"/>
        </w:rPr>
        <w:t>ilities as of December 31, 2022 and 2021, respectively.</w:t>
      </w:r>
    </w:p>
    <w:p w:rsidR="00000000" w:rsidRDefault="00E54EC0">
      <w:pPr>
        <w:jc w:val="center"/>
        <w:rPr>
          <w:rFonts w:eastAsia="Times New Roman"/>
        </w:rPr>
      </w:pPr>
      <w:r>
        <w:rPr>
          <w:rFonts w:eastAsia="Times New Roman"/>
          <w:b/>
          <w:bCs/>
          <w:color w:val="000000"/>
          <w:sz w:val="20"/>
          <w:szCs w:val="20"/>
        </w:rPr>
        <w:t>Quantitative Information about Level 3 Fair Value Measurements as of December 31, 2022</w:t>
      </w:r>
    </w:p>
    <w:p w:rsidR="00000000" w:rsidRDefault="00E54E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722"/>
        <w:gridCol w:w="36"/>
        <w:gridCol w:w="111"/>
        <w:gridCol w:w="396"/>
        <w:gridCol w:w="36"/>
        <w:gridCol w:w="36"/>
        <w:gridCol w:w="36"/>
        <w:gridCol w:w="36"/>
        <w:gridCol w:w="85"/>
        <w:gridCol w:w="833"/>
        <w:gridCol w:w="37"/>
        <w:gridCol w:w="36"/>
        <w:gridCol w:w="36"/>
        <w:gridCol w:w="36"/>
        <w:gridCol w:w="37"/>
        <w:gridCol w:w="2157"/>
        <w:gridCol w:w="36"/>
        <w:gridCol w:w="36"/>
        <w:gridCol w:w="36"/>
        <w:gridCol w:w="36"/>
        <w:gridCol w:w="39"/>
        <w:gridCol w:w="1027"/>
        <w:gridCol w:w="37"/>
        <w:gridCol w:w="36"/>
        <w:gridCol w:w="36"/>
        <w:gridCol w:w="36"/>
        <w:gridCol w:w="45"/>
        <w:gridCol w:w="1155"/>
        <w:gridCol w:w="36"/>
      </w:tblGrid>
      <w:tr w:rsidR="00000000">
        <w:trPr>
          <w:divId w:val="967055761"/>
          <w:jc w:val="center"/>
        </w:trPr>
        <w:tc>
          <w:tcPr>
            <w:tcW w:w="50" w:type="pct"/>
            <w:vAlign w:val="center"/>
            <w:hideMark/>
          </w:tcPr>
          <w:p w:rsidR="00000000" w:rsidRDefault="00E54EC0">
            <w:pPr>
              <w:jc w:val="center"/>
              <w:rPr>
                <w:rFonts w:eastAsia="Times New Roman"/>
              </w:rPr>
            </w:pPr>
          </w:p>
        </w:tc>
        <w:tc>
          <w:tcPr>
            <w:tcW w:w="10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3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967055761"/>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Valuation</w:t>
            </w:r>
          </w:p>
          <w:p w:rsidR="00000000" w:rsidRDefault="00E54EC0">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Significant</w:t>
            </w:r>
          </w:p>
          <w:p w:rsidR="00000000" w:rsidRDefault="00E54EC0">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 Average (2)</w:t>
            </w:r>
          </w:p>
        </w:tc>
      </w:tr>
      <w:tr w:rsidR="00000000">
        <w:trPr>
          <w:divId w:val="967055761"/>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67055761"/>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67055761"/>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67055761"/>
          <w:jc w:val="center"/>
        </w:trPr>
        <w:tc>
          <w:tcPr>
            <w:tcW w:w="0" w:type="auto"/>
            <w:gridSpan w:val="3"/>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67055761"/>
          <w:jc w:val="center"/>
        </w:trPr>
        <w:tc>
          <w:tcPr>
            <w:tcW w:w="0" w:type="auto"/>
            <w:gridSpan w:val="3"/>
            <w:tcBorders>
              <w:top w:val="single" w:sz="2" w:space="0" w:color="000000"/>
            </w:tcBorders>
            <w:shd w:val="clear" w:color="auto" w:fill="CCEEFF"/>
            <w:tcMar>
              <w:top w:w="30" w:type="dxa"/>
              <w:left w:w="35"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417</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20 bps - 797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205 bps</w:t>
            </w:r>
          </w:p>
        </w:tc>
      </w:tr>
      <w:tr w:rsidR="00000000">
        <w:trPr>
          <w:divId w:val="967055761"/>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1,029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EBITDA multiples</w:t>
            </w:r>
          </w:p>
          <w:p w:rsidR="00000000" w:rsidRDefault="00E54EC0">
            <w:pPr>
              <w:spacing w:after="100"/>
              <w:jc w:val="right"/>
              <w:rPr>
                <w:rFonts w:eastAsia="Times New Roman"/>
              </w:rPr>
            </w:pPr>
            <w:r>
              <w:rPr>
                <w:rFonts w:eastAsia="Times New Roman"/>
                <w:color w:val="000000"/>
                <w:sz w:val="18"/>
                <w:szCs w:val="18"/>
              </w:rPr>
              <w:t>Discount rate</w:t>
            </w:r>
          </w:p>
          <w:p w:rsidR="00000000" w:rsidRDefault="00E54EC0">
            <w:pPr>
              <w:spacing w:after="100"/>
              <w:jc w:val="right"/>
              <w:rPr>
                <w:rFonts w:eastAsia="Times New Roman"/>
              </w:rPr>
            </w:pPr>
            <w:r>
              <w:rPr>
                <w:rFonts w:eastAsia="Times New Roman"/>
                <w:color w:val="000000"/>
                <w:sz w:val="18"/>
                <w:szCs w:val="18"/>
              </w:rPr>
              <w:t>Cash flow multiples</w:t>
            </w:r>
          </w:p>
          <w:p w:rsidR="00000000" w:rsidRDefault="00E54EC0">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5.3x - 35.8x</w:t>
            </w:r>
          </w:p>
          <w:p w:rsidR="00000000" w:rsidRDefault="00E54EC0">
            <w:pPr>
              <w:spacing w:after="100"/>
              <w:jc w:val="center"/>
              <w:rPr>
                <w:rFonts w:eastAsia="Times New Roman"/>
              </w:rPr>
            </w:pPr>
            <w:r>
              <w:rPr>
                <w:rFonts w:eastAsia="Times New Roman"/>
                <w:b/>
                <w:bCs/>
                <w:color w:val="000000"/>
                <w:sz w:val="18"/>
                <w:szCs w:val="18"/>
              </w:rPr>
              <w:t>9.0% - 45.7%</w:t>
            </w:r>
          </w:p>
          <w:p w:rsidR="00000000" w:rsidRDefault="00E54EC0">
            <w:pPr>
              <w:spacing w:after="100"/>
              <w:jc w:val="center"/>
              <w:rPr>
                <w:rFonts w:eastAsia="Times New Roman"/>
              </w:rPr>
            </w:pPr>
            <w:r>
              <w:rPr>
                <w:rFonts w:eastAsia="Times New Roman"/>
                <w:b/>
                <w:bCs/>
                <w:color w:val="000000"/>
                <w:sz w:val="18"/>
                <w:szCs w:val="18"/>
              </w:rPr>
              <w:t>0.0x - 10.3x</w:t>
            </w:r>
          </w:p>
          <w:p w:rsidR="00000000" w:rsidRDefault="00E54EC0">
            <w:pPr>
              <w:spacing w:after="100"/>
              <w:jc w:val="center"/>
              <w:rPr>
                <w:rFonts w:eastAsia="Times New Roman"/>
              </w:rPr>
            </w:pPr>
            <w:r>
              <w:rPr>
                <w:rFonts w:eastAsia="Times New Roman"/>
                <w:b/>
                <w:bCs/>
                <w:color w:val="000000"/>
                <w:sz w:val="18"/>
                <w:szCs w:val="18"/>
              </w:rPr>
              <w:t>0.0% - 40.4%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13.6x</w:t>
            </w:r>
          </w:p>
          <w:p w:rsidR="00000000" w:rsidRDefault="00E54EC0">
            <w:pPr>
              <w:spacing w:after="100"/>
              <w:jc w:val="center"/>
              <w:rPr>
                <w:rFonts w:eastAsia="Times New Roman"/>
              </w:rPr>
            </w:pPr>
            <w:r>
              <w:rPr>
                <w:rFonts w:eastAsia="Times New Roman"/>
                <w:b/>
                <w:bCs/>
                <w:color w:val="000000"/>
                <w:sz w:val="18"/>
                <w:szCs w:val="18"/>
              </w:rPr>
              <w:t>11.9%</w:t>
            </w:r>
          </w:p>
          <w:p w:rsidR="00000000" w:rsidRDefault="00E54EC0">
            <w:pPr>
              <w:spacing w:after="100"/>
              <w:jc w:val="center"/>
              <w:rPr>
                <w:rFonts w:eastAsia="Times New Roman"/>
              </w:rPr>
            </w:pPr>
            <w:r>
              <w:rPr>
                <w:rFonts w:eastAsia="Times New Roman"/>
                <w:b/>
                <w:bCs/>
                <w:color w:val="000000"/>
                <w:sz w:val="18"/>
                <w:szCs w:val="18"/>
              </w:rPr>
              <w:t>6.1x</w:t>
            </w:r>
          </w:p>
          <w:p w:rsidR="00000000" w:rsidRDefault="00E54EC0">
            <w:pPr>
              <w:spacing w:after="100"/>
              <w:jc w:val="center"/>
              <w:rPr>
                <w:rFonts w:eastAsia="Times New Roman"/>
              </w:rPr>
            </w:pPr>
            <w:r>
              <w:rPr>
                <w:rFonts w:eastAsia="Times New Roman"/>
                <w:b/>
                <w:bCs/>
                <w:color w:val="000000"/>
                <w:sz w:val="18"/>
                <w:szCs w:val="18"/>
              </w:rPr>
              <w:t>12.0%</w:t>
            </w:r>
          </w:p>
        </w:tc>
      </w:tr>
      <w:tr w:rsidR="00000000">
        <w:trPr>
          <w:divId w:val="967055761"/>
          <w:jc w:val="center"/>
        </w:trPr>
        <w:tc>
          <w:tcPr>
            <w:tcW w:w="0" w:type="auto"/>
            <w:gridSpan w:val="3"/>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Trading Securities, at Fair Value</w:t>
            </w:r>
          </w:p>
        </w:tc>
        <w:tc>
          <w:tcPr>
            <w:tcW w:w="0" w:type="auto"/>
            <w:gridSpan w:val="2"/>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Earnings multiple</w:t>
            </w:r>
          </w:p>
          <w:p w:rsidR="00000000" w:rsidRDefault="00E54EC0">
            <w:pPr>
              <w:spacing w:after="100"/>
              <w:jc w:val="right"/>
              <w:rPr>
                <w:rFonts w:eastAsia="Times New Roman"/>
              </w:rPr>
            </w:pPr>
            <w:r>
              <w:rPr>
                <w:rFonts w:eastAsia="Times New Roman"/>
                <w:color w:val="000000"/>
                <w:sz w:val="18"/>
                <w:szCs w:val="18"/>
              </w:rPr>
              <w:t>Discount factor</w:t>
            </w:r>
          </w:p>
          <w:p w:rsidR="00000000" w:rsidRDefault="00E54EC0">
            <w:pPr>
              <w:spacing w:after="100"/>
              <w:jc w:val="right"/>
              <w:rPr>
                <w:rFonts w:eastAsia="Times New Roman"/>
              </w:rPr>
            </w:pPr>
            <w:r>
              <w:rPr>
                <w:rFonts w:eastAsia="Times New Roman"/>
                <w:color w:val="000000"/>
                <w:sz w:val="18"/>
                <w:szCs w:val="18"/>
              </w:rPr>
              <w:t>Discount years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8.3x</w:t>
            </w:r>
          </w:p>
          <w:p w:rsidR="00000000" w:rsidRDefault="00E54EC0">
            <w:pPr>
              <w:spacing w:after="100"/>
              <w:jc w:val="center"/>
              <w:rPr>
                <w:rFonts w:eastAsia="Times New Roman"/>
              </w:rPr>
            </w:pPr>
            <w:r>
              <w:rPr>
                <w:rFonts w:eastAsia="Times New Roman"/>
                <w:b/>
                <w:bCs/>
                <w:color w:val="000000"/>
                <w:sz w:val="18"/>
                <w:szCs w:val="18"/>
              </w:rPr>
              <w:t>10.0%</w:t>
            </w:r>
          </w:p>
          <w:p w:rsidR="00000000" w:rsidRDefault="00E54EC0">
            <w:pPr>
              <w:spacing w:after="100"/>
              <w:jc w:val="center"/>
              <w:rPr>
                <w:rFonts w:eastAsia="Times New Roman"/>
              </w:rPr>
            </w:pPr>
            <w:r>
              <w:rPr>
                <w:rFonts w:eastAsia="Times New Roman"/>
                <w:b/>
                <w:bCs/>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67055761"/>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0.5x - 10.8x</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2.4x</w:t>
            </w:r>
          </w:p>
        </w:tc>
      </w:tr>
    </w:tbl>
    <w:p w:rsidR="00000000" w:rsidRDefault="00E54EC0">
      <w:pPr>
        <w:jc w:val="center"/>
        <w:divId w:val="1789741820"/>
        <w:rPr>
          <w:rFonts w:eastAsia="Times New Roman"/>
        </w:rPr>
      </w:pPr>
      <w:r>
        <w:rPr>
          <w:rFonts w:eastAsia="Times New Roman"/>
          <w:color w:val="000000"/>
          <w:sz w:val="20"/>
          <w:szCs w:val="20"/>
        </w:rPr>
        <w:t>188</w:t>
      </w:r>
    </w:p>
    <w:p w:rsidR="00000000" w:rsidRDefault="00E54EC0">
      <w:pPr>
        <w:rPr>
          <w:rFonts w:eastAsia="Times New Roman"/>
        </w:rPr>
      </w:pPr>
      <w:r>
        <w:rPr>
          <w:rFonts w:eastAsia="Times New Roman"/>
        </w:rPr>
        <w:pict>
          <v:rect id="_x0000_i1226" style="width:0;height:1.5pt" o:hralign="center" o:hrstd="t" o:hr="t" fillcolor="#a0a0a0" stroked="f"/>
        </w:pict>
      </w:r>
    </w:p>
    <w:p w:rsidR="00000000" w:rsidRDefault="00E54EC0">
      <w:pPr>
        <w:jc w:val="center"/>
        <w:divId w:val="454518570"/>
        <w:rPr>
          <w:rFonts w:eastAsia="Times New Roman"/>
        </w:rPr>
      </w:pPr>
      <w:r>
        <w:rPr>
          <w:rFonts w:eastAsia="Times New Roman"/>
          <w:b/>
          <w:bCs/>
          <w:color w:val="000000"/>
          <w:sz w:val="20"/>
          <w:szCs w:val="20"/>
        </w:rPr>
        <w:t>EQUITABLE HOLDINGS, INC.</w:t>
      </w:r>
    </w:p>
    <w:p w:rsidR="00000000" w:rsidRDefault="00E54EC0">
      <w:pPr>
        <w:jc w:val="center"/>
        <w:divId w:val="454518570"/>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28"/>
        <w:gridCol w:w="38"/>
        <w:gridCol w:w="111"/>
        <w:gridCol w:w="402"/>
        <w:gridCol w:w="36"/>
        <w:gridCol w:w="36"/>
        <w:gridCol w:w="36"/>
        <w:gridCol w:w="36"/>
        <w:gridCol w:w="79"/>
        <w:gridCol w:w="774"/>
        <w:gridCol w:w="36"/>
        <w:gridCol w:w="36"/>
        <w:gridCol w:w="36"/>
        <w:gridCol w:w="36"/>
        <w:gridCol w:w="38"/>
        <w:gridCol w:w="2169"/>
        <w:gridCol w:w="37"/>
        <w:gridCol w:w="36"/>
        <w:gridCol w:w="36"/>
        <w:gridCol w:w="36"/>
        <w:gridCol w:w="51"/>
        <w:gridCol w:w="1030"/>
        <w:gridCol w:w="37"/>
        <w:gridCol w:w="36"/>
        <w:gridCol w:w="36"/>
        <w:gridCol w:w="36"/>
        <w:gridCol w:w="45"/>
        <w:gridCol w:w="1172"/>
        <w:gridCol w:w="36"/>
      </w:tblGrid>
      <w:tr w:rsidR="00000000">
        <w:trPr>
          <w:divId w:val="384649627"/>
          <w:jc w:val="center"/>
        </w:trPr>
        <w:tc>
          <w:tcPr>
            <w:tcW w:w="50" w:type="pct"/>
            <w:vAlign w:val="center"/>
            <w:hideMark/>
          </w:tcPr>
          <w:p w:rsidR="00000000" w:rsidRDefault="00E54EC0">
            <w:pPr>
              <w:jc w:val="center"/>
              <w:rPr>
                <w:rFonts w:eastAsia="Times New Roman"/>
              </w:rPr>
            </w:pPr>
          </w:p>
        </w:tc>
        <w:tc>
          <w:tcPr>
            <w:tcW w:w="105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3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84649627"/>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Valuation</w:t>
            </w:r>
          </w:p>
          <w:p w:rsidR="00000000" w:rsidRDefault="00E54EC0">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Significant</w:t>
            </w:r>
          </w:p>
          <w:p w:rsidR="00000000" w:rsidRDefault="00E54EC0">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 Average (2)</w:t>
            </w:r>
          </w:p>
        </w:tc>
      </w:tr>
      <w:tr w:rsidR="00000000">
        <w:trPr>
          <w:divId w:val="384649627"/>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1,229</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GMIB Utilization Rates</w:t>
            </w:r>
          </w:p>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Mortality: Ages 0-40</w:t>
            </w:r>
          </w:p>
          <w:p w:rsidR="00000000" w:rsidRDefault="00E54EC0">
            <w:pPr>
              <w:spacing w:after="100"/>
              <w:jc w:val="right"/>
              <w:rPr>
                <w:rFonts w:eastAsia="Times New Roman"/>
              </w:rPr>
            </w:pPr>
            <w:r>
              <w:rPr>
                <w:rFonts w:eastAsia="Times New Roman"/>
                <w:color w:val="000000"/>
                <w:sz w:val="18"/>
                <w:szCs w:val="18"/>
              </w:rPr>
              <w:t>Ages 41-60</w:t>
            </w:r>
          </w:p>
          <w:p w:rsidR="00000000" w:rsidRDefault="00E54EC0">
            <w:pPr>
              <w:spacing w:after="100"/>
              <w:jc w:val="right"/>
              <w:rPr>
                <w:rFonts w:eastAsia="Times New Roman"/>
              </w:rPr>
            </w:pPr>
            <w:r>
              <w:rPr>
                <w:rFonts w:eastAsia="Times New Roman"/>
                <w:color w:val="000000"/>
                <w:sz w:val="18"/>
                <w:szCs w:val="18"/>
              </w:rPr>
              <w:t>Ages 61-115</w:t>
            </w:r>
          </w:p>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0.26%-</w:t>
            </w:r>
            <w:r>
              <w:rPr>
                <w:rFonts w:eastAsia="Times New Roman"/>
                <w:b/>
                <w:bCs/>
                <w:color w:val="000000"/>
                <w:sz w:val="18"/>
                <w:szCs w:val="18"/>
              </w:rPr>
              <w:t>26.23%</w:t>
            </w:r>
          </w:p>
          <w:p w:rsidR="00000000" w:rsidRDefault="00E54EC0">
            <w:pPr>
              <w:spacing w:after="100"/>
              <w:jc w:val="center"/>
              <w:rPr>
                <w:rFonts w:eastAsia="Times New Roman"/>
              </w:rPr>
            </w:pPr>
            <w:r>
              <w:rPr>
                <w:rFonts w:eastAsia="Times New Roman"/>
                <w:b/>
                <w:bCs/>
                <w:color w:val="000000"/>
                <w:sz w:val="18"/>
                <w:szCs w:val="18"/>
              </w:rPr>
              <w:t>0.06%-10.93%</w:t>
            </w:r>
          </w:p>
          <w:p w:rsidR="00000000" w:rsidRDefault="00E54EC0">
            <w:pPr>
              <w:spacing w:after="100"/>
              <w:jc w:val="center"/>
              <w:rPr>
                <w:rFonts w:eastAsia="Times New Roman"/>
              </w:rPr>
            </w:pPr>
            <w:r>
              <w:rPr>
                <w:rFonts w:eastAsia="Times New Roman"/>
                <w:b/>
                <w:bCs/>
                <w:color w:val="000000"/>
                <w:sz w:val="18"/>
                <w:szCs w:val="18"/>
              </w:rPr>
              <w:t>0.04%-62.30%</w:t>
            </w:r>
          </w:p>
          <w:p w:rsidR="00000000" w:rsidRDefault="00E54EC0">
            <w:pPr>
              <w:spacing w:after="100"/>
              <w:jc w:val="center"/>
              <w:rPr>
                <w:rFonts w:eastAsia="Times New Roman"/>
              </w:rPr>
            </w:pPr>
            <w:r>
              <w:rPr>
                <w:rFonts w:eastAsia="Times New Roman"/>
                <w:b/>
                <w:bCs/>
                <w:color w:val="000000"/>
                <w:sz w:val="18"/>
                <w:szCs w:val="18"/>
              </w:rPr>
              <w:t>69 bps - 133 bps</w:t>
            </w:r>
          </w:p>
          <w:p w:rsidR="00000000" w:rsidRDefault="00E54EC0">
            <w:pPr>
              <w:spacing w:after="100"/>
              <w:jc w:val="center"/>
              <w:rPr>
                <w:rFonts w:eastAsia="Times New Roman"/>
              </w:rPr>
            </w:pPr>
            <w:r>
              <w:rPr>
                <w:rFonts w:eastAsia="Times New Roman"/>
                <w:b/>
                <w:bCs/>
                <w:color w:val="000000"/>
                <w:sz w:val="18"/>
                <w:szCs w:val="18"/>
              </w:rPr>
              <w:t>14%-32%</w:t>
            </w:r>
          </w:p>
          <w:p w:rsidR="00000000" w:rsidRDefault="00E54EC0">
            <w:pPr>
              <w:spacing w:after="100"/>
              <w:jc w:val="center"/>
              <w:rPr>
                <w:rFonts w:eastAsia="Times New Roman"/>
              </w:rPr>
            </w:pPr>
            <w:r>
              <w:rPr>
                <w:rFonts w:eastAsia="Times New Roman"/>
                <w:b/>
                <w:bCs/>
                <w:color w:val="000000"/>
                <w:sz w:val="18"/>
                <w:szCs w:val="18"/>
              </w:rPr>
              <w:t>0.01%-0.17%</w:t>
            </w:r>
          </w:p>
          <w:p w:rsidR="00000000" w:rsidRDefault="00E54EC0">
            <w:pPr>
              <w:spacing w:after="100"/>
              <w:jc w:val="center"/>
              <w:rPr>
                <w:rFonts w:eastAsia="Times New Roman"/>
              </w:rPr>
            </w:pPr>
            <w:r>
              <w:rPr>
                <w:rFonts w:eastAsia="Times New Roman"/>
                <w:b/>
                <w:bCs/>
                <w:color w:val="000000"/>
                <w:sz w:val="18"/>
                <w:szCs w:val="18"/>
              </w:rPr>
              <w:t>0.06%-0.52%</w:t>
            </w:r>
          </w:p>
          <w:p w:rsidR="00000000" w:rsidRDefault="00E54EC0">
            <w:pPr>
              <w:spacing w:after="100"/>
              <w:jc w:val="center"/>
              <w:rPr>
                <w:rFonts w:eastAsia="Times New Roman"/>
              </w:rPr>
            </w:pPr>
            <w:r>
              <w:rPr>
                <w:rFonts w:eastAsia="Times New Roman"/>
                <w:b/>
                <w:bCs/>
                <w:color w:val="000000"/>
                <w:sz w:val="18"/>
                <w:szCs w:val="18"/>
              </w:rPr>
              <w:t>0.32%-40.00%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3.05%</w:t>
            </w:r>
          </w:p>
          <w:p w:rsidR="00000000" w:rsidRDefault="00E54EC0">
            <w:pPr>
              <w:spacing w:after="100"/>
              <w:jc w:val="center"/>
              <w:rPr>
                <w:rFonts w:eastAsia="Times New Roman"/>
              </w:rPr>
            </w:pPr>
            <w:r>
              <w:rPr>
                <w:rFonts w:eastAsia="Times New Roman"/>
                <w:b/>
                <w:bCs/>
                <w:color w:val="000000"/>
                <w:sz w:val="18"/>
                <w:szCs w:val="18"/>
              </w:rPr>
              <w:t>0.99%</w:t>
            </w:r>
          </w:p>
          <w:p w:rsidR="00000000" w:rsidRDefault="00E54EC0">
            <w:pPr>
              <w:spacing w:after="100"/>
              <w:jc w:val="center"/>
              <w:rPr>
                <w:rFonts w:eastAsia="Times New Roman"/>
              </w:rPr>
            </w:pPr>
            <w:r>
              <w:rPr>
                <w:rFonts w:eastAsia="Times New Roman"/>
                <w:b/>
                <w:bCs/>
                <w:color w:val="000000"/>
                <w:sz w:val="18"/>
                <w:szCs w:val="18"/>
              </w:rPr>
              <w:t>5.40%</w:t>
            </w:r>
          </w:p>
          <w:p w:rsidR="00000000" w:rsidRDefault="00E54EC0">
            <w:pPr>
              <w:spacing w:after="100"/>
              <w:jc w:val="center"/>
              <w:rPr>
                <w:rFonts w:eastAsia="Times New Roman"/>
              </w:rPr>
            </w:pPr>
            <w:r>
              <w:rPr>
                <w:rFonts w:eastAsia="Times New Roman"/>
                <w:b/>
                <w:bCs/>
                <w:color w:val="000000"/>
                <w:sz w:val="18"/>
                <w:szCs w:val="18"/>
              </w:rPr>
              <w:t>70 bps</w:t>
            </w:r>
          </w:p>
          <w:p w:rsidR="00000000" w:rsidRDefault="00E54EC0">
            <w:pPr>
              <w:spacing w:after="100"/>
              <w:jc w:val="center"/>
              <w:rPr>
                <w:rFonts w:eastAsia="Times New Roman"/>
              </w:rPr>
            </w:pPr>
            <w:r>
              <w:rPr>
                <w:rFonts w:eastAsia="Times New Roman"/>
                <w:b/>
                <w:bCs/>
                <w:color w:val="000000"/>
                <w:sz w:val="18"/>
                <w:szCs w:val="18"/>
              </w:rPr>
              <w:t>24%</w:t>
            </w:r>
          </w:p>
          <w:p w:rsidR="00000000" w:rsidRDefault="00E54EC0">
            <w:pPr>
              <w:spacing w:after="100"/>
              <w:jc w:val="center"/>
              <w:rPr>
                <w:rFonts w:eastAsia="Times New Roman"/>
              </w:rPr>
            </w:pPr>
            <w:r>
              <w:rPr>
                <w:rFonts w:eastAsia="Times New Roman"/>
                <w:b/>
                <w:bCs/>
                <w:color w:val="000000"/>
                <w:sz w:val="18"/>
                <w:szCs w:val="18"/>
              </w:rPr>
              <w:t>3.09%</w:t>
            </w:r>
          </w:p>
          <w:p w:rsidR="00000000" w:rsidRDefault="00E54EC0">
            <w:pPr>
              <w:spacing w:after="100"/>
              <w:jc w:val="center"/>
              <w:rPr>
                <w:rFonts w:eastAsia="Times New Roman"/>
              </w:rPr>
            </w:pPr>
            <w:r>
              <w:rPr>
                <w:rFonts w:eastAsia="Times New Roman"/>
                <w:b/>
                <w:bCs/>
                <w:color w:val="000000"/>
                <w:sz w:val="18"/>
                <w:szCs w:val="18"/>
              </w:rPr>
              <w:t>(same for all ages)</w:t>
            </w:r>
          </w:p>
          <w:p w:rsidR="00000000" w:rsidRDefault="00E54EC0">
            <w:pPr>
              <w:spacing w:after="100"/>
              <w:jc w:val="center"/>
              <w:rPr>
                <w:rFonts w:eastAsia="Times New Roman"/>
              </w:rPr>
            </w:pPr>
            <w:r>
              <w:rPr>
                <w:rFonts w:eastAsia="Times New Roman"/>
                <w:b/>
                <w:bCs/>
                <w:color w:val="000000"/>
                <w:sz w:val="18"/>
                <w:szCs w:val="18"/>
              </w:rPr>
              <w:t>(same for all ages)</w:t>
            </w:r>
          </w:p>
        </w:tc>
      </w:tr>
      <w:tr w:rsidR="00000000">
        <w:trPr>
          <w:divId w:val="384649627"/>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4,114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GMIB Utilization Rates</w:t>
            </w:r>
          </w:p>
          <w:p w:rsidR="00000000" w:rsidRDefault="00E54EC0">
            <w:pPr>
              <w:spacing w:after="100"/>
              <w:jc w:val="right"/>
              <w:rPr>
                <w:rFonts w:eastAsia="Times New Roman"/>
              </w:rPr>
            </w:pPr>
            <w:r>
              <w:rPr>
                <w:rFonts w:eastAsia="Times New Roman"/>
                <w:color w:val="000000"/>
                <w:sz w:val="18"/>
                <w:szCs w:val="18"/>
              </w:rPr>
              <w:t>Non-performance risk (bps)</w:t>
            </w: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Mortality: Ages 0-40</w:t>
            </w:r>
          </w:p>
          <w:p w:rsidR="00000000" w:rsidRDefault="00E54EC0">
            <w:pPr>
              <w:spacing w:after="100"/>
              <w:jc w:val="right"/>
              <w:rPr>
                <w:rFonts w:eastAsia="Times New Roman"/>
              </w:rPr>
            </w:pPr>
            <w:r>
              <w:rPr>
                <w:rFonts w:eastAsia="Times New Roman"/>
                <w:color w:val="000000"/>
                <w:sz w:val="18"/>
                <w:szCs w:val="18"/>
              </w:rPr>
              <w:t>Ages 41-60</w:t>
            </w:r>
          </w:p>
          <w:p w:rsidR="00000000" w:rsidRDefault="00E54EC0">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0.26%-26.23%</w:t>
            </w:r>
          </w:p>
          <w:p w:rsidR="00000000" w:rsidRDefault="00E54EC0">
            <w:pPr>
              <w:spacing w:after="100"/>
              <w:jc w:val="center"/>
              <w:rPr>
                <w:rFonts w:eastAsia="Times New Roman"/>
              </w:rPr>
            </w:pPr>
            <w:r>
              <w:rPr>
                <w:rFonts w:eastAsia="Times New Roman"/>
                <w:b/>
                <w:bCs/>
                <w:color w:val="000000"/>
                <w:sz w:val="18"/>
                <w:szCs w:val="18"/>
              </w:rPr>
              <w:t>0.06%-10.93%</w:t>
            </w:r>
          </w:p>
          <w:p w:rsidR="00000000" w:rsidRDefault="00E54EC0">
            <w:pPr>
              <w:spacing w:after="100"/>
              <w:jc w:val="center"/>
              <w:rPr>
                <w:rFonts w:eastAsia="Times New Roman"/>
              </w:rPr>
            </w:pPr>
            <w:r>
              <w:rPr>
                <w:rFonts w:eastAsia="Times New Roman"/>
                <w:b/>
                <w:bCs/>
                <w:color w:val="000000"/>
                <w:sz w:val="18"/>
                <w:szCs w:val="18"/>
              </w:rPr>
              <w:t>0.04%-62.30%</w:t>
            </w:r>
          </w:p>
          <w:p w:rsidR="00000000" w:rsidRDefault="00E54EC0">
            <w:pPr>
              <w:spacing w:after="100"/>
              <w:jc w:val="center"/>
              <w:rPr>
                <w:rFonts w:eastAsia="Times New Roman"/>
              </w:rPr>
            </w:pPr>
            <w:r>
              <w:rPr>
                <w:rFonts w:eastAsia="Times New Roman"/>
                <w:b/>
                <w:bCs/>
                <w:color w:val="000000"/>
                <w:sz w:val="18"/>
                <w:szCs w:val="18"/>
              </w:rPr>
              <w:t>51 bps</w:t>
            </w:r>
          </w:p>
          <w:p w:rsidR="00000000" w:rsidRDefault="00E54EC0">
            <w:pPr>
              <w:spacing w:after="100"/>
              <w:jc w:val="center"/>
              <w:rPr>
                <w:rFonts w:eastAsia="Times New Roman"/>
              </w:rPr>
            </w:pPr>
            <w:r>
              <w:rPr>
                <w:rFonts w:eastAsia="Times New Roman"/>
                <w:b/>
                <w:bCs/>
                <w:color w:val="000000"/>
                <w:sz w:val="18"/>
                <w:szCs w:val="18"/>
              </w:rPr>
              <w:t>14%-32%</w:t>
            </w:r>
          </w:p>
          <w:p w:rsidR="00000000" w:rsidRDefault="00E54EC0">
            <w:pPr>
              <w:spacing w:after="100"/>
              <w:jc w:val="center"/>
              <w:rPr>
                <w:rFonts w:eastAsia="Times New Roman"/>
              </w:rPr>
            </w:pPr>
            <w:r>
              <w:rPr>
                <w:rFonts w:eastAsia="Times New Roman"/>
                <w:b/>
                <w:bCs/>
                <w:color w:val="000000"/>
                <w:sz w:val="18"/>
                <w:szCs w:val="18"/>
              </w:rPr>
              <w:t>0.01%-0.17%</w:t>
            </w:r>
          </w:p>
          <w:p w:rsidR="00000000" w:rsidRDefault="00E54EC0">
            <w:pPr>
              <w:spacing w:after="100"/>
              <w:jc w:val="center"/>
              <w:rPr>
                <w:rFonts w:eastAsia="Times New Roman"/>
              </w:rPr>
            </w:pPr>
            <w:r>
              <w:rPr>
                <w:rFonts w:eastAsia="Times New Roman"/>
                <w:b/>
                <w:bCs/>
                <w:color w:val="000000"/>
                <w:sz w:val="18"/>
                <w:szCs w:val="18"/>
              </w:rPr>
              <w:t>0.06%-</w:t>
            </w:r>
            <w:r>
              <w:rPr>
                <w:rFonts w:eastAsia="Times New Roman"/>
                <w:b/>
                <w:bCs/>
                <w:color w:val="000000"/>
                <w:sz w:val="18"/>
                <w:szCs w:val="18"/>
              </w:rPr>
              <w:t>0.52%</w:t>
            </w:r>
          </w:p>
          <w:p w:rsidR="00000000" w:rsidRDefault="00E54EC0">
            <w:pPr>
              <w:spacing w:after="100"/>
              <w:jc w:val="center"/>
              <w:rPr>
                <w:rFonts w:eastAsia="Times New Roman"/>
              </w:rPr>
            </w:pPr>
            <w:r>
              <w:rPr>
                <w:rFonts w:eastAsia="Times New Roman"/>
                <w:b/>
                <w:bCs/>
                <w:color w:val="000000"/>
                <w:sz w:val="18"/>
                <w:szCs w:val="18"/>
              </w:rPr>
              <w:t>0.32%-40.00%</w:t>
            </w:r>
          </w:p>
          <w:p w:rsidR="00000000" w:rsidRDefault="00E54EC0">
            <w:pPr>
              <w:spacing w:after="100"/>
              <w:jc w:val="center"/>
              <w:rPr>
                <w:rFonts w:eastAsia="Times New Roman"/>
              </w:rPr>
            </w:pPr>
          </w:p>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2.01%</w:t>
            </w:r>
          </w:p>
          <w:p w:rsidR="00000000" w:rsidRDefault="00E54EC0">
            <w:pPr>
              <w:spacing w:after="100"/>
              <w:jc w:val="center"/>
              <w:rPr>
                <w:rFonts w:eastAsia="Times New Roman"/>
              </w:rPr>
            </w:pPr>
            <w:r>
              <w:rPr>
                <w:rFonts w:eastAsia="Times New Roman"/>
                <w:b/>
                <w:bCs/>
                <w:color w:val="000000"/>
                <w:sz w:val="18"/>
                <w:szCs w:val="18"/>
              </w:rPr>
              <w:t>1.32%</w:t>
            </w:r>
          </w:p>
          <w:p w:rsidR="00000000" w:rsidRDefault="00E54EC0">
            <w:pPr>
              <w:spacing w:after="100"/>
              <w:jc w:val="center"/>
              <w:rPr>
                <w:rFonts w:eastAsia="Times New Roman"/>
              </w:rPr>
            </w:pPr>
            <w:r>
              <w:rPr>
                <w:rFonts w:eastAsia="Times New Roman"/>
                <w:b/>
                <w:bCs/>
                <w:color w:val="000000"/>
                <w:sz w:val="18"/>
                <w:szCs w:val="18"/>
              </w:rPr>
              <w:t>7.95%</w:t>
            </w:r>
          </w:p>
          <w:p w:rsidR="00000000" w:rsidRDefault="00E54EC0">
            <w:pPr>
              <w:spacing w:after="100"/>
              <w:jc w:val="center"/>
              <w:rPr>
                <w:rFonts w:eastAsia="Times New Roman"/>
              </w:rPr>
            </w:pPr>
            <w:r>
              <w:rPr>
                <w:rFonts w:eastAsia="Times New Roman"/>
                <w:b/>
                <w:bCs/>
                <w:color w:val="000000"/>
                <w:sz w:val="18"/>
                <w:szCs w:val="18"/>
              </w:rPr>
              <w:t>51 bps</w:t>
            </w:r>
          </w:p>
          <w:p w:rsidR="00000000" w:rsidRDefault="00E54EC0">
            <w:pPr>
              <w:spacing w:after="100"/>
              <w:jc w:val="center"/>
              <w:rPr>
                <w:rFonts w:eastAsia="Times New Roman"/>
              </w:rPr>
            </w:pPr>
            <w:r>
              <w:rPr>
                <w:rFonts w:eastAsia="Times New Roman"/>
                <w:b/>
                <w:bCs/>
                <w:color w:val="000000"/>
                <w:sz w:val="18"/>
                <w:szCs w:val="18"/>
              </w:rPr>
              <w:t>24%</w:t>
            </w:r>
          </w:p>
          <w:p w:rsidR="00000000" w:rsidRDefault="00E54EC0">
            <w:pPr>
              <w:spacing w:after="100"/>
              <w:jc w:val="center"/>
              <w:rPr>
                <w:rFonts w:eastAsia="Times New Roman"/>
              </w:rPr>
            </w:pPr>
            <w:r>
              <w:rPr>
                <w:rFonts w:eastAsia="Times New Roman"/>
                <w:b/>
                <w:bCs/>
                <w:color w:val="000000"/>
                <w:sz w:val="18"/>
                <w:szCs w:val="18"/>
              </w:rPr>
              <w:t>2.33%</w:t>
            </w:r>
          </w:p>
          <w:p w:rsidR="00000000" w:rsidRDefault="00E54EC0">
            <w:pPr>
              <w:spacing w:after="100"/>
              <w:jc w:val="center"/>
              <w:rPr>
                <w:rFonts w:eastAsia="Times New Roman"/>
              </w:rPr>
            </w:pPr>
            <w:r>
              <w:rPr>
                <w:rFonts w:eastAsia="Times New Roman"/>
                <w:b/>
                <w:bCs/>
                <w:color w:val="000000"/>
                <w:sz w:val="18"/>
                <w:szCs w:val="18"/>
              </w:rPr>
              <w:t>(same for all ages)</w:t>
            </w:r>
          </w:p>
          <w:p w:rsidR="00000000" w:rsidRDefault="00E54EC0">
            <w:pPr>
              <w:spacing w:after="100"/>
              <w:jc w:val="center"/>
              <w:rPr>
                <w:rFonts w:eastAsia="Times New Roman"/>
              </w:rPr>
            </w:pPr>
            <w:r>
              <w:rPr>
                <w:rFonts w:eastAsia="Times New Roman"/>
                <w:b/>
                <w:bCs/>
                <w:color w:val="000000"/>
                <w:sz w:val="18"/>
                <w:szCs w:val="18"/>
              </w:rPr>
              <w:t>(same for all ages)</w:t>
            </w:r>
          </w:p>
        </w:tc>
      </w:tr>
      <w:tr w:rsidR="00000000">
        <w:trPr>
          <w:divId w:val="384649627"/>
          <w:trHeight w:val="360"/>
          <w:jc w:val="center"/>
        </w:trPr>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84649627"/>
          <w:jc w:val="center"/>
        </w:trPr>
        <w:tc>
          <w:tcPr>
            <w:tcW w:w="0" w:type="auto"/>
            <w:gridSpan w:val="3"/>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384649627"/>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AB Contingent Consideration Payable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Expected revenue growth rates</w:t>
            </w:r>
          </w:p>
          <w:p w:rsidR="00000000" w:rsidRDefault="00E54EC0">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2.0% - 83.9%</w:t>
            </w:r>
          </w:p>
          <w:p w:rsidR="00000000" w:rsidRDefault="00E54EC0">
            <w:pPr>
              <w:spacing w:after="100"/>
              <w:jc w:val="center"/>
              <w:rPr>
                <w:rFonts w:eastAsia="Times New Roman"/>
              </w:rPr>
            </w:pPr>
            <w:r>
              <w:rPr>
                <w:rFonts w:eastAsia="Times New Roman"/>
                <w:b/>
                <w:bCs/>
                <w:color w:val="000000"/>
                <w:sz w:val="18"/>
                <w:szCs w:val="18"/>
              </w:rPr>
              <w:t>1.9% - 10.4%</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11.5%</w:t>
            </w:r>
          </w:p>
          <w:p w:rsidR="00000000" w:rsidRDefault="00E54EC0">
            <w:pPr>
              <w:spacing w:after="100"/>
              <w:jc w:val="center"/>
              <w:rPr>
                <w:rFonts w:eastAsia="Times New Roman"/>
              </w:rPr>
            </w:pPr>
            <w:r>
              <w:rPr>
                <w:rFonts w:eastAsia="Times New Roman"/>
                <w:b/>
                <w:bCs/>
                <w:color w:val="000000"/>
                <w:sz w:val="18"/>
                <w:szCs w:val="18"/>
              </w:rPr>
              <w:t>4.5%</w:t>
            </w:r>
          </w:p>
        </w:tc>
      </w:tr>
      <w:tr w:rsidR="00000000">
        <w:trPr>
          <w:divId w:val="384649627"/>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5,761</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Annuitization rates</w:t>
            </w:r>
          </w:p>
          <w:p w:rsidR="00000000" w:rsidRDefault="00E54EC0">
            <w:pPr>
              <w:spacing w:after="100"/>
              <w:jc w:val="right"/>
              <w:rPr>
                <w:rFonts w:eastAsia="Times New Roman"/>
              </w:rPr>
            </w:pPr>
            <w:r>
              <w:rPr>
                <w:rFonts w:eastAsia="Times New Roman"/>
                <w:color w:val="000000"/>
                <w:sz w:val="18"/>
                <w:szCs w:val="18"/>
              </w:rPr>
              <w:t>Mortality rates (1):</w:t>
            </w:r>
          </w:p>
          <w:p w:rsidR="00000000" w:rsidRDefault="00E54EC0">
            <w:pPr>
              <w:spacing w:after="100"/>
              <w:jc w:val="right"/>
              <w:rPr>
                <w:rFonts w:eastAsia="Times New Roman"/>
              </w:rPr>
            </w:pPr>
            <w:r>
              <w:rPr>
                <w:rFonts w:eastAsia="Times New Roman"/>
                <w:color w:val="000000"/>
                <w:sz w:val="18"/>
                <w:szCs w:val="18"/>
              </w:rPr>
              <w:t>Ages 0 - 40</w:t>
            </w:r>
          </w:p>
          <w:p w:rsidR="00000000" w:rsidRDefault="00E54EC0">
            <w:pPr>
              <w:spacing w:after="100"/>
              <w:jc w:val="right"/>
              <w:rPr>
                <w:rFonts w:eastAsia="Times New Roman"/>
              </w:rPr>
            </w:pPr>
            <w:r>
              <w:rPr>
                <w:rFonts w:eastAsia="Times New Roman"/>
                <w:color w:val="000000"/>
                <w:sz w:val="18"/>
                <w:szCs w:val="18"/>
              </w:rPr>
              <w:t>Ages 41-60</w:t>
            </w:r>
          </w:p>
          <w:p w:rsidR="00000000" w:rsidRDefault="00E54EC0">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147 bps</w:t>
            </w:r>
          </w:p>
          <w:p w:rsidR="00000000" w:rsidRDefault="00E54EC0">
            <w:pPr>
              <w:spacing w:after="100"/>
              <w:jc w:val="center"/>
              <w:rPr>
                <w:rFonts w:eastAsia="Times New Roman"/>
              </w:rPr>
            </w:pPr>
            <w:r>
              <w:rPr>
                <w:rFonts w:eastAsia="Times New Roman"/>
                <w:b/>
                <w:bCs/>
                <w:color w:val="000000"/>
                <w:sz w:val="18"/>
                <w:szCs w:val="18"/>
              </w:rPr>
              <w:t>0.26%-35.42%</w:t>
            </w:r>
          </w:p>
          <w:p w:rsidR="00000000" w:rsidRDefault="00E54EC0">
            <w:pPr>
              <w:spacing w:after="100"/>
              <w:jc w:val="center"/>
              <w:rPr>
                <w:rFonts w:eastAsia="Times New Roman"/>
              </w:rPr>
            </w:pPr>
            <w:r>
              <w:rPr>
                <w:rFonts w:eastAsia="Times New Roman"/>
                <w:b/>
                <w:bCs/>
                <w:color w:val="000000"/>
                <w:sz w:val="18"/>
                <w:szCs w:val="18"/>
              </w:rPr>
              <w:t>0.06%-10.93%</w:t>
            </w:r>
          </w:p>
          <w:p w:rsidR="00000000" w:rsidRDefault="00E54EC0">
            <w:pPr>
              <w:spacing w:after="100"/>
              <w:jc w:val="center"/>
              <w:rPr>
                <w:rFonts w:eastAsia="Times New Roman"/>
              </w:rPr>
            </w:pPr>
            <w:r>
              <w:rPr>
                <w:rFonts w:eastAsia="Times New Roman"/>
                <w:b/>
                <w:bCs/>
                <w:color w:val="000000"/>
                <w:sz w:val="18"/>
                <w:szCs w:val="18"/>
              </w:rPr>
              <w:t>0.04%-100.00%</w:t>
            </w: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b/>
                <w:bCs/>
                <w:color w:val="000000"/>
                <w:sz w:val="18"/>
                <w:szCs w:val="18"/>
              </w:rPr>
              <w:t>0.01%-0.18%</w:t>
            </w:r>
          </w:p>
          <w:p w:rsidR="00000000" w:rsidRDefault="00E54EC0">
            <w:pPr>
              <w:spacing w:after="100"/>
              <w:jc w:val="center"/>
              <w:rPr>
                <w:rFonts w:eastAsia="Times New Roman"/>
              </w:rPr>
            </w:pPr>
            <w:r>
              <w:rPr>
                <w:rFonts w:eastAsia="Times New Roman"/>
                <w:b/>
                <w:bCs/>
                <w:color w:val="000000"/>
                <w:sz w:val="18"/>
                <w:szCs w:val="18"/>
              </w:rPr>
              <w:t>0.07%-0.54%</w:t>
            </w:r>
          </w:p>
          <w:p w:rsidR="00000000" w:rsidRDefault="00E54EC0">
            <w:pPr>
              <w:spacing w:after="100"/>
              <w:jc w:val="center"/>
              <w:rPr>
                <w:rFonts w:eastAsia="Times New Roman"/>
              </w:rPr>
            </w:pPr>
            <w:r>
              <w:rPr>
                <w:rFonts w:eastAsia="Times New Roman"/>
                <w:b/>
                <w:bCs/>
                <w:color w:val="000000"/>
                <w:sz w:val="18"/>
                <w:szCs w:val="18"/>
              </w:rPr>
              <w:t>0.42%-41.42%</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147 bps</w:t>
            </w:r>
          </w:p>
          <w:p w:rsidR="00000000" w:rsidRDefault="00E54EC0">
            <w:pPr>
              <w:spacing w:after="100"/>
              <w:jc w:val="center"/>
              <w:rPr>
                <w:rFonts w:eastAsia="Times New Roman"/>
              </w:rPr>
            </w:pPr>
            <w:r>
              <w:rPr>
                <w:rFonts w:eastAsia="Times New Roman"/>
                <w:b/>
                <w:bCs/>
                <w:color w:val="000000"/>
                <w:sz w:val="18"/>
                <w:szCs w:val="18"/>
              </w:rPr>
              <w:t>4.26%</w:t>
            </w:r>
          </w:p>
          <w:p w:rsidR="00000000" w:rsidRDefault="00E54EC0">
            <w:pPr>
              <w:spacing w:after="100"/>
              <w:jc w:val="center"/>
              <w:rPr>
                <w:rFonts w:eastAsia="Times New Roman"/>
              </w:rPr>
            </w:pPr>
            <w:r>
              <w:rPr>
                <w:rFonts w:eastAsia="Times New Roman"/>
                <w:b/>
                <w:bCs/>
                <w:color w:val="000000"/>
                <w:sz w:val="18"/>
                <w:szCs w:val="18"/>
              </w:rPr>
              <w:t>1.25%</w:t>
            </w:r>
          </w:p>
          <w:p w:rsidR="00000000" w:rsidRDefault="00E54EC0">
            <w:pPr>
              <w:spacing w:after="100"/>
              <w:jc w:val="center"/>
              <w:rPr>
                <w:rFonts w:eastAsia="Times New Roman"/>
              </w:rPr>
            </w:pPr>
            <w:r>
              <w:rPr>
                <w:rFonts w:eastAsia="Times New Roman"/>
                <w:b/>
                <w:bCs/>
                <w:color w:val="000000"/>
                <w:sz w:val="18"/>
                <w:szCs w:val="18"/>
              </w:rPr>
              <w:t>5.95%</w:t>
            </w: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b/>
                <w:bCs/>
                <w:color w:val="000000"/>
                <w:sz w:val="18"/>
                <w:szCs w:val="18"/>
              </w:rPr>
              <w:t>1.73%</w:t>
            </w:r>
          </w:p>
          <w:p w:rsidR="00000000" w:rsidRDefault="00E54EC0">
            <w:pPr>
              <w:spacing w:after="100"/>
              <w:jc w:val="center"/>
              <w:rPr>
                <w:rFonts w:eastAsia="Times New Roman"/>
              </w:rPr>
            </w:pPr>
            <w:r>
              <w:rPr>
                <w:rFonts w:eastAsia="Times New Roman"/>
                <w:b/>
                <w:bCs/>
                <w:color w:val="000000"/>
                <w:sz w:val="18"/>
                <w:szCs w:val="18"/>
              </w:rPr>
              <w:t>(same for all ages)</w:t>
            </w:r>
          </w:p>
          <w:p w:rsidR="00000000" w:rsidRDefault="00E54EC0">
            <w:pPr>
              <w:spacing w:after="100"/>
              <w:jc w:val="center"/>
              <w:rPr>
                <w:rFonts w:eastAsia="Times New Roman"/>
              </w:rPr>
            </w:pPr>
            <w:r>
              <w:rPr>
                <w:rFonts w:eastAsia="Times New Roman"/>
                <w:b/>
                <w:bCs/>
                <w:color w:val="000000"/>
                <w:sz w:val="18"/>
                <w:szCs w:val="18"/>
              </w:rPr>
              <w:t>(same for all ages)</w:t>
            </w:r>
          </w:p>
        </w:tc>
      </w:tr>
      <w:tr w:rsidR="00000000">
        <w:trPr>
          <w:divId w:val="384649627"/>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Utilization Rates</w:t>
            </w:r>
          </w:p>
          <w:p w:rsidR="00000000" w:rsidRDefault="00E54EC0">
            <w:pPr>
              <w:spacing w:after="100"/>
              <w:jc w:val="right"/>
              <w:rPr>
                <w:rFonts w:eastAsia="Times New Roman"/>
              </w:rPr>
            </w:pP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0.35%-26.23%</w:t>
            </w:r>
          </w:p>
          <w:p w:rsidR="00000000" w:rsidRDefault="00E54EC0">
            <w:pPr>
              <w:spacing w:after="100"/>
              <w:jc w:val="center"/>
              <w:rPr>
                <w:rFonts w:eastAsia="Times New Roman"/>
              </w:rPr>
            </w:pPr>
            <w:r>
              <w:rPr>
                <w:rFonts w:eastAsia="Times New Roman"/>
                <w:b/>
                <w:bCs/>
                <w:color w:val="000000"/>
                <w:sz w:val="18"/>
                <w:szCs w:val="18"/>
              </w:rPr>
              <w:t>0.00%-8.00%</w:t>
            </w:r>
          </w:p>
          <w:p w:rsidR="00000000" w:rsidRDefault="00E54EC0">
            <w:pPr>
              <w:spacing w:after="100"/>
              <w:jc w:val="center"/>
              <w:rPr>
                <w:rFonts w:eastAsia="Times New Roman"/>
              </w:rPr>
            </w:pPr>
            <w:r>
              <w:rPr>
                <w:rFonts w:eastAsia="Times New Roman"/>
                <w:b/>
                <w:bCs/>
                <w:color w:val="000000"/>
                <w:sz w:val="18"/>
                <w:szCs w:val="18"/>
              </w:rPr>
              <w:t>100% once starting</w:t>
            </w:r>
          </w:p>
          <w:p w:rsidR="00000000" w:rsidRDefault="00E54EC0">
            <w:pPr>
              <w:spacing w:after="100"/>
              <w:jc w:val="center"/>
              <w:rPr>
                <w:rFonts w:eastAsia="Times New Roman"/>
              </w:rPr>
            </w:pPr>
            <w:r>
              <w:rPr>
                <w:rFonts w:eastAsia="Times New Roman"/>
                <w:b/>
                <w:bCs/>
                <w:color w:val="000000"/>
                <w:sz w:val="18"/>
                <w:szCs w:val="18"/>
              </w:rPr>
              <w:t>14%-32%</w:t>
            </w:r>
          </w:p>
          <w:p w:rsidR="00000000" w:rsidRDefault="00E54EC0">
            <w:pPr>
              <w:spacing w:after="100"/>
              <w:jc w:val="center"/>
              <w:rPr>
                <w:rFonts w:eastAsia="Times New Roman"/>
              </w:rPr>
            </w:pPr>
            <w:r>
              <w:rPr>
                <w:rFonts w:eastAsia="Times New Roman"/>
                <w:b/>
                <w:bCs/>
                <w:color w:val="000000"/>
                <w:sz w:val="18"/>
                <w:szCs w:val="18"/>
              </w:rPr>
              <w:t>147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3.05%</w:t>
            </w:r>
          </w:p>
          <w:p w:rsidR="00000000" w:rsidRDefault="00E54EC0">
            <w:pPr>
              <w:spacing w:after="100"/>
              <w:jc w:val="center"/>
              <w:rPr>
                <w:rFonts w:eastAsia="Times New Roman"/>
              </w:rPr>
            </w:pPr>
            <w:r>
              <w:rPr>
                <w:rFonts w:eastAsia="Times New Roman"/>
                <w:b/>
                <w:bCs/>
                <w:color w:val="000000"/>
                <w:sz w:val="18"/>
                <w:szCs w:val="18"/>
              </w:rPr>
              <w:t>0.99%</w:t>
            </w:r>
          </w:p>
          <w:p w:rsidR="00000000" w:rsidRDefault="00E54EC0">
            <w:pPr>
              <w:spacing w:after="100"/>
              <w:jc w:val="center"/>
              <w:rPr>
                <w:rFonts w:eastAsia="Times New Roman"/>
              </w:rPr>
            </w:pP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b/>
                <w:bCs/>
                <w:color w:val="000000"/>
                <w:sz w:val="18"/>
                <w:szCs w:val="18"/>
              </w:rPr>
              <w:t>24%</w:t>
            </w:r>
          </w:p>
        </w:tc>
      </w:tr>
      <w:tr w:rsidR="00000000">
        <w:trPr>
          <w:divId w:val="384649627"/>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(65)</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Utilization Rates</w:t>
            </w: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0.35%-26.23%</w:t>
            </w:r>
          </w:p>
          <w:p w:rsidR="00000000" w:rsidRDefault="00E54EC0">
            <w:pPr>
              <w:spacing w:after="100"/>
              <w:jc w:val="center"/>
              <w:rPr>
                <w:rFonts w:eastAsia="Times New Roman"/>
              </w:rPr>
            </w:pPr>
            <w:r>
              <w:rPr>
                <w:rFonts w:eastAsia="Times New Roman"/>
                <w:b/>
                <w:bCs/>
                <w:color w:val="000000"/>
                <w:sz w:val="18"/>
                <w:szCs w:val="18"/>
              </w:rPr>
              <w:t>0.20%-1.24%</w:t>
            </w:r>
          </w:p>
          <w:p w:rsidR="00000000" w:rsidRDefault="00E54EC0">
            <w:pPr>
              <w:spacing w:after="100"/>
              <w:jc w:val="center"/>
              <w:rPr>
                <w:rFonts w:eastAsia="Times New Roman"/>
              </w:rPr>
            </w:pPr>
            <w:r>
              <w:rPr>
                <w:rFonts w:eastAsia="Times New Roman"/>
                <w:b/>
                <w:bCs/>
                <w:color w:val="000000"/>
                <w:sz w:val="18"/>
                <w:szCs w:val="18"/>
              </w:rPr>
              <w:t>0.04%-100.00%</w:t>
            </w:r>
          </w:p>
          <w:p w:rsidR="00000000" w:rsidRDefault="00E54EC0">
            <w:pPr>
              <w:spacing w:after="100"/>
              <w:jc w:val="center"/>
              <w:rPr>
                <w:rFonts w:eastAsia="Times New Roman"/>
              </w:rPr>
            </w:pPr>
            <w:r>
              <w:rPr>
                <w:rFonts w:eastAsia="Times New Roman"/>
                <w:b/>
                <w:bCs/>
                <w:color w:val="000000"/>
                <w:sz w:val="18"/>
                <w:szCs w:val="18"/>
              </w:rPr>
              <w:t>14% - 32%</w:t>
            </w:r>
          </w:p>
          <w:p w:rsidR="00000000" w:rsidRDefault="00E54EC0">
            <w:pPr>
              <w:spacing w:after="100"/>
              <w:jc w:val="center"/>
              <w:rPr>
                <w:rFonts w:eastAsia="Times New Roman"/>
              </w:rPr>
            </w:pPr>
            <w:r>
              <w:rPr>
                <w:rFonts w:eastAsia="Times New Roman"/>
                <w:b/>
                <w:bCs/>
                <w:color w:val="000000"/>
                <w:sz w:val="18"/>
                <w:szCs w:val="18"/>
              </w:rPr>
              <w:t xml:space="preserve">147 bps </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3.05%</w:t>
            </w:r>
          </w:p>
          <w:p w:rsidR="00000000" w:rsidRDefault="00E54EC0">
            <w:pPr>
              <w:spacing w:after="100"/>
              <w:jc w:val="center"/>
              <w:rPr>
                <w:rFonts w:eastAsia="Times New Roman"/>
              </w:rPr>
            </w:pPr>
            <w:r>
              <w:rPr>
                <w:rFonts w:eastAsia="Times New Roman"/>
                <w:b/>
                <w:bCs/>
                <w:color w:val="000000"/>
                <w:sz w:val="18"/>
                <w:szCs w:val="18"/>
              </w:rPr>
              <w:t>0.99%</w:t>
            </w:r>
          </w:p>
          <w:p w:rsidR="00000000" w:rsidRDefault="00E54EC0">
            <w:pPr>
              <w:spacing w:after="100"/>
              <w:jc w:val="center"/>
              <w:rPr>
                <w:rFonts w:eastAsia="Times New Roman"/>
              </w:rPr>
            </w:pPr>
            <w:r>
              <w:rPr>
                <w:rFonts w:eastAsia="Times New Roman"/>
                <w:b/>
                <w:bCs/>
                <w:color w:val="000000"/>
                <w:sz w:val="18"/>
                <w:szCs w:val="18"/>
              </w:rPr>
              <w:t>5.40%</w:t>
            </w:r>
          </w:p>
          <w:p w:rsidR="00000000" w:rsidRDefault="00E54EC0">
            <w:pPr>
              <w:spacing w:after="100"/>
              <w:jc w:val="center"/>
              <w:rPr>
                <w:rFonts w:eastAsia="Times New Roman"/>
              </w:rPr>
            </w:pPr>
            <w:r>
              <w:rPr>
                <w:rFonts w:eastAsia="Times New Roman"/>
                <w:b/>
                <w:bCs/>
                <w:color w:val="000000"/>
                <w:sz w:val="18"/>
                <w:szCs w:val="18"/>
              </w:rPr>
              <w:t>24%</w:t>
            </w:r>
          </w:p>
        </w:tc>
      </w:tr>
      <w:tr w:rsidR="00000000">
        <w:trPr>
          <w:divId w:val="384649627"/>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b/>
                <w:bCs/>
                <w:color w:val="000000"/>
                <w:sz w:val="18"/>
                <w:szCs w:val="18"/>
              </w:rPr>
              <w:t>(2)</w:t>
            </w:r>
          </w:p>
        </w:tc>
        <w:tc>
          <w:tcPr>
            <w:tcW w:w="0" w:type="auto"/>
            <w:tcBorders>
              <w:top w:val="single" w:sz="2" w:space="0" w:color="000000"/>
              <w:bottom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0.35%-26.23%</w:t>
            </w:r>
          </w:p>
          <w:p w:rsidR="00000000" w:rsidRDefault="00E54EC0">
            <w:pPr>
              <w:spacing w:after="100"/>
              <w:jc w:val="center"/>
              <w:rPr>
                <w:rFonts w:eastAsia="Times New Roman"/>
              </w:rPr>
            </w:pPr>
            <w:r>
              <w:rPr>
                <w:rFonts w:eastAsia="Times New Roman"/>
                <w:b/>
                <w:bCs/>
                <w:color w:val="000000"/>
                <w:sz w:val="18"/>
                <w:szCs w:val="18"/>
              </w:rPr>
              <w:t>14%-32%</w:t>
            </w:r>
          </w:p>
          <w:p w:rsidR="00000000" w:rsidRDefault="00E54EC0">
            <w:pPr>
              <w:spacing w:after="100"/>
              <w:jc w:val="center"/>
              <w:rPr>
                <w:rFonts w:eastAsia="Times New Roman"/>
              </w:rPr>
            </w:pPr>
            <w:r>
              <w:rPr>
                <w:rFonts w:eastAsia="Times New Roman"/>
                <w:b/>
                <w:bCs/>
                <w:color w:val="000000"/>
                <w:sz w:val="18"/>
                <w:szCs w:val="18"/>
              </w:rPr>
              <w:t xml:space="preserve">147 bps </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18"/>
                <w:szCs w:val="18"/>
              </w:rPr>
              <w:t>3.05%</w:t>
            </w:r>
          </w:p>
          <w:p w:rsidR="00000000" w:rsidRDefault="00E54EC0">
            <w:pPr>
              <w:spacing w:after="100"/>
              <w:jc w:val="center"/>
              <w:rPr>
                <w:rFonts w:eastAsia="Times New Roman"/>
              </w:rPr>
            </w:pPr>
            <w:r>
              <w:rPr>
                <w:rFonts w:eastAsia="Times New Roman"/>
                <w:b/>
                <w:bCs/>
                <w:color w:val="000000"/>
                <w:sz w:val="18"/>
                <w:szCs w:val="18"/>
              </w:rPr>
              <w:t>24%</w:t>
            </w:r>
          </w:p>
        </w:tc>
      </w:tr>
    </w:tbl>
    <w:p w:rsidR="00000000" w:rsidRDefault="00E54EC0">
      <w:pPr>
        <w:ind w:hanging="360"/>
        <w:divId w:val="1333026123"/>
        <w:rPr>
          <w:rFonts w:eastAsia="Times New Roman"/>
        </w:rPr>
      </w:pPr>
      <w:r>
        <w:rPr>
          <w:rFonts w:eastAsia="Times New Roman"/>
          <w:color w:val="000000"/>
          <w:sz w:val="18"/>
          <w:szCs w:val="18"/>
        </w:rPr>
        <w:t>______________</w:t>
      </w:r>
    </w:p>
    <w:p w:rsidR="00000000" w:rsidRDefault="00E54EC0">
      <w:pPr>
        <w:ind w:hanging="360"/>
        <w:divId w:val="759762693"/>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w:t>
      </w:r>
      <w:r>
        <w:rPr>
          <w:rFonts w:eastAsia="Times New Roman"/>
          <w:color w:val="000000"/>
          <w:sz w:val="18"/>
          <w:szCs w:val="18"/>
        </w:rPr>
        <w:t>ontract, mortality rates vary throughout the period over which cash flows are projected for purposes of valuating the embedded derivatives.</w:t>
      </w:r>
    </w:p>
    <w:p w:rsidR="00000000" w:rsidRDefault="00E54EC0">
      <w:pPr>
        <w:ind w:hanging="360"/>
        <w:divId w:val="742261388"/>
        <w:rPr>
          <w:rFonts w:eastAsia="Times New Roman"/>
        </w:rPr>
      </w:pPr>
      <w:r>
        <w:rPr>
          <w:rFonts w:eastAsia="Times New Roman"/>
          <w:color w:val="000000"/>
          <w:sz w:val="18"/>
          <w:szCs w:val="18"/>
        </w:rPr>
        <w:t>(2)For lapses, withdrawals, and utilizations the rates were weighted by counts; for mortality weighted average rates</w:t>
      </w:r>
      <w:r>
        <w:rPr>
          <w:rFonts w:eastAsia="Times New Roman"/>
          <w:color w:val="000000"/>
          <w:sz w:val="18"/>
          <w:szCs w:val="18"/>
        </w:rPr>
        <w:t xml:space="preserve"> are shown for all ages combined; and for withdrawals the weighted averages were based on an estimated split of partial withdrawal and dollar-for-dollar withdrawals. </w:t>
      </w:r>
    </w:p>
    <w:p w:rsidR="00000000" w:rsidRDefault="00E54EC0">
      <w:pPr>
        <w:jc w:val="center"/>
        <w:rPr>
          <w:rFonts w:eastAsia="Times New Roman"/>
        </w:rPr>
      </w:pPr>
      <w:r>
        <w:rPr>
          <w:rFonts w:eastAsia="Times New Roman"/>
          <w:color w:val="000000"/>
          <w:sz w:val="20"/>
          <w:szCs w:val="20"/>
        </w:rPr>
        <w:t>Quantitative Information about Level 3 Fair Value Measurements as of December 31, 2021</w:t>
      </w:r>
    </w:p>
    <w:p w:rsidR="00000000" w:rsidRDefault="00E54E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03"/>
        <w:gridCol w:w="36"/>
        <w:gridCol w:w="110"/>
        <w:gridCol w:w="402"/>
        <w:gridCol w:w="36"/>
        <w:gridCol w:w="36"/>
        <w:gridCol w:w="36"/>
        <w:gridCol w:w="36"/>
        <w:gridCol w:w="42"/>
        <w:gridCol w:w="1295"/>
        <w:gridCol w:w="36"/>
        <w:gridCol w:w="36"/>
        <w:gridCol w:w="36"/>
        <w:gridCol w:w="36"/>
        <w:gridCol w:w="55"/>
        <w:gridCol w:w="1840"/>
        <w:gridCol w:w="36"/>
        <w:gridCol w:w="36"/>
        <w:gridCol w:w="36"/>
        <w:gridCol w:w="36"/>
        <w:gridCol w:w="37"/>
        <w:gridCol w:w="949"/>
        <w:gridCol w:w="36"/>
        <w:gridCol w:w="36"/>
        <w:gridCol w:w="36"/>
        <w:gridCol w:w="36"/>
        <w:gridCol w:w="44"/>
        <w:gridCol w:w="1126"/>
        <w:gridCol w:w="36"/>
      </w:tblGrid>
      <w:tr w:rsidR="00000000">
        <w:trPr>
          <w:divId w:val="1200387888"/>
          <w:jc w:val="center"/>
        </w:trPr>
        <w:tc>
          <w:tcPr>
            <w:tcW w:w="50" w:type="pct"/>
            <w:vAlign w:val="center"/>
            <w:hideMark/>
          </w:tcPr>
          <w:p w:rsidR="00000000" w:rsidRDefault="00E54EC0">
            <w:pPr>
              <w:jc w:val="center"/>
              <w:rPr>
                <w:rFonts w:eastAsia="Times New Roman"/>
              </w:rPr>
            </w:pPr>
          </w:p>
        </w:tc>
        <w:tc>
          <w:tcPr>
            <w:tcW w:w="10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9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00387888"/>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Weighted Average (2)</w:t>
            </w:r>
          </w:p>
        </w:tc>
      </w:tr>
      <w:tr w:rsidR="00000000">
        <w:trPr>
          <w:divId w:val="1200387888"/>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00387888"/>
          <w:jc w:val="center"/>
        </w:trPr>
        <w:tc>
          <w:tcPr>
            <w:tcW w:w="0" w:type="auto"/>
            <w:gridSpan w:val="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00387888"/>
          <w:jc w:val="center"/>
        </w:trPr>
        <w:tc>
          <w:tcPr>
            <w:tcW w:w="0" w:type="auto"/>
            <w:gridSpan w:val="3"/>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00387888"/>
          <w:jc w:val="center"/>
        </w:trPr>
        <w:tc>
          <w:tcPr>
            <w:tcW w:w="0" w:type="auto"/>
            <w:gridSpan w:val="3"/>
            <w:tcMar>
              <w:top w:w="30" w:type="dxa"/>
              <w:left w:w="155"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00387888"/>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Corporate</w:t>
            </w:r>
          </w:p>
        </w:tc>
        <w:tc>
          <w:tcPr>
            <w:tcW w:w="0" w:type="auto"/>
            <w:tcBorders>
              <w:top w:val="single" w:sz="2" w:space="0" w:color="000000"/>
              <w:bottom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rPr>
                <w:rFonts w:eastAsia="Times New Roman"/>
              </w:rPr>
            </w:pPr>
            <w:r>
              <w:rPr>
                <w:rFonts w:eastAsia="Times New Roman"/>
                <w:color w:val="000000"/>
                <w:sz w:val="18"/>
                <w:szCs w:val="18"/>
              </w:rPr>
              <w:t>$</w:t>
            </w:r>
          </w:p>
        </w:tc>
        <w:tc>
          <w:tcPr>
            <w:tcW w:w="0" w:type="auto"/>
            <w:tcBorders>
              <w:top w:val="single" w:sz="2" w:space="0" w:color="000000"/>
              <w:bottom w:val="single" w:sz="2" w:space="0" w:color="000000"/>
            </w:tcBorders>
            <w:shd w:val="clear" w:color="auto" w:fill="CCEEFF"/>
            <w:tcMar>
              <w:top w:w="30" w:type="dxa"/>
              <w:left w:w="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258 </w:t>
            </w:r>
          </w:p>
        </w:tc>
        <w:tc>
          <w:tcPr>
            <w:tcW w:w="0" w:type="auto"/>
            <w:tcBorders>
              <w:top w:val="single" w:sz="2" w:space="0" w:color="000000"/>
              <w:bottom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8"/>
                <w:szCs w:val="18"/>
              </w:rPr>
              <w:t>20 bps - 270 bps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20"/>
                <w:szCs w:val="20"/>
              </w:rPr>
              <w:t>144 bps</w:t>
            </w:r>
          </w:p>
        </w:tc>
      </w:tr>
    </w:tbl>
    <w:p w:rsidR="00000000" w:rsidRDefault="00E54EC0">
      <w:pPr>
        <w:jc w:val="center"/>
        <w:divId w:val="361632298"/>
        <w:rPr>
          <w:rFonts w:eastAsia="Times New Roman"/>
        </w:rPr>
      </w:pPr>
      <w:r>
        <w:rPr>
          <w:rFonts w:eastAsia="Times New Roman"/>
          <w:color w:val="000000"/>
          <w:sz w:val="20"/>
          <w:szCs w:val="20"/>
        </w:rPr>
        <w:t>189</w:t>
      </w:r>
    </w:p>
    <w:p w:rsidR="00000000" w:rsidRDefault="00E54EC0">
      <w:pPr>
        <w:rPr>
          <w:rFonts w:eastAsia="Times New Roman"/>
        </w:rPr>
      </w:pPr>
      <w:r>
        <w:rPr>
          <w:rFonts w:eastAsia="Times New Roman"/>
        </w:rPr>
        <w:pict>
          <v:rect id="_x0000_i1227" style="width:0;height:1.5pt" o:hralign="center" o:hrstd="t" o:hr="t" fillcolor="#a0a0a0" stroked="f"/>
        </w:pict>
      </w:r>
    </w:p>
    <w:p w:rsidR="00000000" w:rsidRDefault="00E54EC0">
      <w:pPr>
        <w:jc w:val="center"/>
        <w:divId w:val="803474234"/>
        <w:rPr>
          <w:rFonts w:eastAsia="Times New Roman"/>
        </w:rPr>
      </w:pPr>
      <w:r>
        <w:rPr>
          <w:rFonts w:eastAsia="Times New Roman"/>
          <w:b/>
          <w:bCs/>
          <w:color w:val="000000"/>
          <w:sz w:val="20"/>
          <w:szCs w:val="20"/>
        </w:rPr>
        <w:t>EQUITABLE HOLDINGS, INC.</w:t>
      </w:r>
    </w:p>
    <w:p w:rsidR="00000000" w:rsidRDefault="00E54EC0">
      <w:pPr>
        <w:jc w:val="center"/>
        <w:divId w:val="803474234"/>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06"/>
        <w:gridCol w:w="39"/>
        <w:gridCol w:w="77"/>
        <w:gridCol w:w="393"/>
        <w:gridCol w:w="36"/>
        <w:gridCol w:w="36"/>
        <w:gridCol w:w="36"/>
        <w:gridCol w:w="36"/>
        <w:gridCol w:w="52"/>
        <w:gridCol w:w="1287"/>
        <w:gridCol w:w="36"/>
        <w:gridCol w:w="36"/>
        <w:gridCol w:w="36"/>
        <w:gridCol w:w="36"/>
        <w:gridCol w:w="55"/>
        <w:gridCol w:w="1851"/>
        <w:gridCol w:w="36"/>
        <w:gridCol w:w="36"/>
        <w:gridCol w:w="36"/>
        <w:gridCol w:w="36"/>
        <w:gridCol w:w="54"/>
        <w:gridCol w:w="941"/>
        <w:gridCol w:w="38"/>
        <w:gridCol w:w="36"/>
        <w:gridCol w:w="36"/>
        <w:gridCol w:w="36"/>
        <w:gridCol w:w="44"/>
        <w:gridCol w:w="1135"/>
        <w:gridCol w:w="36"/>
      </w:tblGrid>
      <w:tr w:rsidR="00000000">
        <w:trPr>
          <w:divId w:val="468936676"/>
          <w:jc w:val="center"/>
        </w:trPr>
        <w:tc>
          <w:tcPr>
            <w:tcW w:w="50" w:type="pct"/>
            <w:vAlign w:val="center"/>
            <w:hideMark/>
          </w:tcPr>
          <w:p w:rsidR="00000000" w:rsidRDefault="00E54EC0">
            <w:pPr>
              <w:jc w:val="center"/>
              <w:rPr>
                <w:rFonts w:eastAsia="Times New Roman"/>
              </w:rPr>
            </w:pPr>
          </w:p>
        </w:tc>
        <w:tc>
          <w:tcPr>
            <w:tcW w:w="104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9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68936676"/>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Weighted Average (2)</w:t>
            </w:r>
          </w:p>
        </w:tc>
      </w:tr>
      <w:tr w:rsidR="00000000">
        <w:trPr>
          <w:divId w:val="468936676"/>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68936676"/>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888 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EBITDA multiples</w:t>
            </w:r>
          </w:p>
          <w:p w:rsidR="00000000" w:rsidRDefault="00E54EC0">
            <w:pPr>
              <w:spacing w:after="100"/>
              <w:jc w:val="right"/>
              <w:rPr>
                <w:rFonts w:eastAsia="Times New Roman"/>
              </w:rPr>
            </w:pPr>
            <w:r>
              <w:rPr>
                <w:rFonts w:eastAsia="Times New Roman"/>
                <w:color w:val="000000"/>
                <w:sz w:val="18"/>
                <w:szCs w:val="18"/>
              </w:rPr>
              <w:t> Discount rate</w:t>
            </w:r>
          </w:p>
          <w:p w:rsidR="00000000" w:rsidRDefault="00E54EC0">
            <w:pPr>
              <w:spacing w:after="100"/>
              <w:jc w:val="right"/>
              <w:rPr>
                <w:rFonts w:eastAsia="Times New Roman"/>
              </w:rPr>
            </w:pPr>
            <w:r>
              <w:rPr>
                <w:rFonts w:eastAsia="Times New Roman"/>
                <w:color w:val="000000"/>
                <w:sz w:val="18"/>
                <w:szCs w:val="18"/>
              </w:rPr>
              <w:t> Cash flow multiples</w:t>
            </w:r>
          </w:p>
          <w:p w:rsidR="00000000" w:rsidRDefault="00E54EC0">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4.9x - 62.3x</w:t>
            </w:r>
          </w:p>
          <w:p w:rsidR="00000000" w:rsidRDefault="00E54EC0">
            <w:pPr>
              <w:spacing w:after="100"/>
              <w:jc w:val="center"/>
              <w:rPr>
                <w:rFonts w:eastAsia="Times New Roman"/>
              </w:rPr>
            </w:pPr>
            <w:r>
              <w:rPr>
                <w:rFonts w:eastAsia="Times New Roman"/>
                <w:color w:val="000000"/>
                <w:sz w:val="18"/>
                <w:szCs w:val="18"/>
              </w:rPr>
              <w:t xml:space="preserve">6.2% - 21.5% </w:t>
            </w:r>
          </w:p>
          <w:p w:rsidR="00000000" w:rsidRDefault="00E54EC0">
            <w:pPr>
              <w:spacing w:after="100"/>
              <w:jc w:val="center"/>
              <w:rPr>
                <w:rFonts w:eastAsia="Times New Roman"/>
              </w:rPr>
            </w:pPr>
            <w:r>
              <w:rPr>
                <w:rFonts w:eastAsia="Times New Roman"/>
                <w:color w:val="000000"/>
                <w:sz w:val="18"/>
                <w:szCs w:val="18"/>
              </w:rPr>
              <w:t>0.5x-10.0x</w:t>
            </w:r>
          </w:p>
          <w:p w:rsidR="00000000" w:rsidRDefault="00E54EC0">
            <w:pPr>
              <w:spacing w:after="100"/>
              <w:jc w:val="center"/>
              <w:rPr>
                <w:rFonts w:eastAsia="Times New Roman"/>
              </w:rPr>
            </w:pPr>
            <w:r>
              <w:rPr>
                <w:rFonts w:eastAsia="Times New Roman"/>
                <w:color w:val="000000"/>
                <w:sz w:val="18"/>
                <w:szCs w:val="18"/>
              </w:rPr>
              <w:t>3.1%-63.4%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13.0x</w:t>
            </w:r>
          </w:p>
          <w:p w:rsidR="00000000" w:rsidRDefault="00E54EC0">
            <w:pPr>
              <w:spacing w:after="100"/>
              <w:jc w:val="center"/>
              <w:rPr>
                <w:rFonts w:eastAsia="Times New Roman"/>
              </w:rPr>
            </w:pPr>
            <w:r>
              <w:rPr>
                <w:rFonts w:eastAsia="Times New Roman"/>
                <w:color w:val="000000"/>
                <w:sz w:val="18"/>
                <w:szCs w:val="18"/>
              </w:rPr>
              <w:t>9.1%</w:t>
            </w:r>
          </w:p>
          <w:p w:rsidR="00000000" w:rsidRDefault="00E54EC0">
            <w:pPr>
              <w:spacing w:after="100"/>
              <w:jc w:val="center"/>
              <w:rPr>
                <w:rFonts w:eastAsia="Times New Roman"/>
              </w:rPr>
            </w:pPr>
            <w:r>
              <w:rPr>
                <w:rFonts w:eastAsia="Times New Roman"/>
                <w:color w:val="000000"/>
                <w:sz w:val="18"/>
                <w:szCs w:val="18"/>
              </w:rPr>
              <w:t>5.5x</w:t>
            </w:r>
          </w:p>
          <w:p w:rsidR="00000000" w:rsidRDefault="00E54EC0">
            <w:pPr>
              <w:spacing w:after="100"/>
              <w:jc w:val="center"/>
              <w:rPr>
                <w:rFonts w:eastAsia="Times New Roman"/>
              </w:rPr>
            </w:pPr>
            <w:r>
              <w:rPr>
                <w:rFonts w:eastAsia="Times New Roman"/>
                <w:color w:val="000000"/>
                <w:sz w:val="18"/>
                <w:szCs w:val="18"/>
              </w:rPr>
              <w:t>30.8%</w:t>
            </w:r>
          </w:p>
        </w:tc>
      </w:tr>
      <w:tr w:rsidR="00000000">
        <w:trPr>
          <w:divId w:val="46893667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Trading Securities, at Fair Value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65 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jc w:val="right"/>
              <w:rPr>
                <w:rFonts w:eastAsia="Times New Roman"/>
              </w:rPr>
            </w:pPr>
            <w:r>
              <w:rPr>
                <w:rFonts w:eastAsia="Times New Roman"/>
                <w:color w:val="000000"/>
                <w:sz w:val="18"/>
                <w:szCs w:val="18"/>
              </w:rPr>
              <w:t>Earnings multiple</w:t>
            </w:r>
          </w:p>
          <w:p w:rsidR="00000000" w:rsidRDefault="00E54EC0">
            <w:pPr>
              <w:spacing w:after="100"/>
              <w:jc w:val="right"/>
              <w:rPr>
                <w:rFonts w:eastAsia="Times New Roman"/>
              </w:rPr>
            </w:pPr>
            <w:r>
              <w:rPr>
                <w:rFonts w:eastAsia="Times New Roman"/>
                <w:color w:val="000000"/>
                <w:sz w:val="18"/>
                <w:szCs w:val="18"/>
              </w:rPr>
              <w:t>Discounts factor</w:t>
            </w:r>
          </w:p>
          <w:p w:rsidR="00000000" w:rsidRDefault="00E54EC0">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8"/>
                <w:szCs w:val="18"/>
              </w:rPr>
              <w:t>7.3x</w:t>
            </w:r>
          </w:p>
          <w:p w:rsidR="00000000" w:rsidRDefault="00E54EC0">
            <w:pPr>
              <w:spacing w:after="100"/>
              <w:jc w:val="center"/>
              <w:rPr>
                <w:rFonts w:eastAsia="Times New Roman"/>
              </w:rPr>
            </w:pPr>
            <w:r>
              <w:rPr>
                <w:rFonts w:eastAsia="Times New Roman"/>
                <w:color w:val="000000"/>
                <w:sz w:val="18"/>
                <w:szCs w:val="18"/>
              </w:rPr>
              <w:t>10.00%</w:t>
            </w:r>
          </w:p>
          <w:p w:rsidR="00000000" w:rsidRDefault="00E54EC0">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6893667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4 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8"/>
                <w:szCs w:val="18"/>
              </w:rPr>
              <w:t xml:space="preserve">7.8x - 10.3x </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jc w:val="center"/>
              <w:rPr>
                <w:rFonts w:eastAsia="Times New Roman"/>
              </w:rPr>
            </w:pPr>
            <w:r>
              <w:rPr>
                <w:rFonts w:eastAsia="Times New Roman"/>
                <w:color w:val="000000"/>
                <w:sz w:val="18"/>
                <w:szCs w:val="18"/>
              </w:rPr>
              <w:t>9.5x</w:t>
            </w:r>
          </w:p>
        </w:tc>
      </w:tr>
      <w:tr w:rsidR="00000000">
        <w:trPr>
          <w:divId w:val="46893667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1,848 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Utilization rates</w:t>
            </w: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Mortality rates (1):</w:t>
            </w:r>
          </w:p>
          <w:p w:rsidR="00000000" w:rsidRDefault="00E54EC0">
            <w:pPr>
              <w:spacing w:after="100"/>
              <w:jc w:val="right"/>
              <w:rPr>
                <w:rFonts w:eastAsia="Times New Roman"/>
              </w:rPr>
            </w:pPr>
            <w:r>
              <w:rPr>
                <w:rFonts w:eastAsia="Times New Roman"/>
                <w:color w:val="000000"/>
                <w:sz w:val="18"/>
                <w:szCs w:val="18"/>
              </w:rPr>
              <w:t>Ages 0 - 40</w:t>
            </w:r>
          </w:p>
          <w:p w:rsidR="00000000" w:rsidRDefault="00E54EC0">
            <w:pPr>
              <w:spacing w:after="100"/>
              <w:jc w:val="right"/>
              <w:rPr>
                <w:rFonts w:eastAsia="Times New Roman"/>
              </w:rPr>
            </w:pPr>
            <w:r>
              <w:rPr>
                <w:rFonts w:eastAsia="Times New Roman"/>
                <w:color w:val="000000"/>
                <w:sz w:val="18"/>
                <w:szCs w:val="18"/>
              </w:rPr>
              <w:t>Ages 41 - 60</w:t>
            </w:r>
          </w:p>
          <w:p w:rsidR="00000000" w:rsidRDefault="00E54EC0">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57 bps - 93 bps</w:t>
            </w:r>
          </w:p>
          <w:p w:rsidR="00000000" w:rsidRDefault="00E54EC0">
            <w:pPr>
              <w:spacing w:after="100"/>
              <w:jc w:val="center"/>
              <w:rPr>
                <w:rFonts w:eastAsia="Times New Roman"/>
              </w:rPr>
            </w:pPr>
            <w:r>
              <w:rPr>
                <w:rFonts w:eastAsia="Times New Roman"/>
                <w:color w:val="000000"/>
                <w:sz w:val="18"/>
                <w:szCs w:val="18"/>
              </w:rPr>
              <w:t>0.45% - 20.86%</w:t>
            </w:r>
          </w:p>
          <w:p w:rsidR="00000000" w:rsidRDefault="00E54EC0">
            <w:pPr>
              <w:spacing w:after="100"/>
              <w:jc w:val="center"/>
              <w:rPr>
                <w:rFonts w:eastAsia="Times New Roman"/>
              </w:rPr>
            </w:pPr>
            <w:r>
              <w:rPr>
                <w:rFonts w:eastAsia="Times New Roman"/>
                <w:color w:val="000000"/>
                <w:sz w:val="18"/>
                <w:szCs w:val="18"/>
              </w:rPr>
              <w:t>0.27% - 8.66%</w:t>
            </w:r>
          </w:p>
          <w:p w:rsidR="00000000" w:rsidRDefault="00E54EC0">
            <w:pPr>
              <w:spacing w:after="100"/>
              <w:jc w:val="center"/>
              <w:rPr>
                <w:rFonts w:eastAsia="Times New Roman"/>
              </w:rPr>
            </w:pPr>
            <w:r>
              <w:rPr>
                <w:rFonts w:eastAsia="Times New Roman"/>
                <w:color w:val="000000"/>
                <w:sz w:val="18"/>
                <w:szCs w:val="18"/>
              </w:rPr>
              <w:t>0.04% - 60.44%</w:t>
            </w:r>
          </w:p>
          <w:p w:rsidR="00000000" w:rsidRDefault="00E54EC0">
            <w:pPr>
              <w:spacing w:after="100"/>
              <w:jc w:val="center"/>
              <w:rPr>
                <w:rFonts w:eastAsia="Times New Roman"/>
              </w:rPr>
            </w:pPr>
            <w:r>
              <w:rPr>
                <w:rFonts w:eastAsia="Times New Roman"/>
                <w:color w:val="000000"/>
                <w:sz w:val="18"/>
                <w:szCs w:val="18"/>
              </w:rPr>
              <w:t>11% - 31%</w:t>
            </w: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0.01% - 0.17%</w:t>
            </w:r>
          </w:p>
          <w:p w:rsidR="00000000" w:rsidRDefault="00E54EC0">
            <w:pPr>
              <w:spacing w:after="100"/>
              <w:jc w:val="center"/>
              <w:rPr>
                <w:rFonts w:eastAsia="Times New Roman"/>
              </w:rPr>
            </w:pPr>
            <w:r>
              <w:rPr>
                <w:rFonts w:eastAsia="Times New Roman"/>
                <w:color w:val="000000"/>
                <w:sz w:val="18"/>
                <w:szCs w:val="18"/>
              </w:rPr>
              <w:t>0.06% - 0.53%</w:t>
            </w:r>
          </w:p>
          <w:p w:rsidR="00000000" w:rsidRDefault="00E54EC0">
            <w:pPr>
              <w:spacing w:after="100"/>
              <w:jc w:val="center"/>
              <w:rPr>
                <w:rFonts w:eastAsia="Times New Roman"/>
              </w:rPr>
            </w:pPr>
            <w:r>
              <w:rPr>
                <w:rFonts w:eastAsia="Times New Roman"/>
                <w:color w:val="000000"/>
                <w:sz w:val="18"/>
                <w:szCs w:val="18"/>
              </w:rPr>
              <w:t>0.31% - 40.00%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60 bps</w:t>
            </w:r>
          </w:p>
          <w:p w:rsidR="00000000" w:rsidRDefault="00E54EC0">
            <w:pPr>
              <w:spacing w:after="100"/>
              <w:jc w:val="center"/>
              <w:rPr>
                <w:rFonts w:eastAsia="Times New Roman"/>
              </w:rPr>
            </w:pPr>
            <w:r>
              <w:rPr>
                <w:rFonts w:eastAsia="Times New Roman"/>
                <w:color w:val="000000"/>
                <w:sz w:val="18"/>
                <w:szCs w:val="18"/>
              </w:rPr>
              <w:t>2.65%</w:t>
            </w:r>
          </w:p>
          <w:p w:rsidR="00000000" w:rsidRDefault="00E54EC0">
            <w:pPr>
              <w:spacing w:after="100"/>
              <w:jc w:val="center"/>
              <w:rPr>
                <w:rFonts w:eastAsia="Times New Roman"/>
              </w:rPr>
            </w:pPr>
            <w:r>
              <w:rPr>
                <w:rFonts w:eastAsia="Times New Roman"/>
                <w:color w:val="000000"/>
                <w:sz w:val="18"/>
                <w:szCs w:val="18"/>
              </w:rPr>
              <w:t>0.93%</w:t>
            </w:r>
          </w:p>
          <w:p w:rsidR="00000000" w:rsidRDefault="00E54EC0">
            <w:pPr>
              <w:spacing w:after="100"/>
              <w:jc w:val="center"/>
              <w:rPr>
                <w:rFonts w:eastAsia="Times New Roman"/>
              </w:rPr>
            </w:pPr>
            <w:r>
              <w:rPr>
                <w:rFonts w:eastAsia="Times New Roman"/>
                <w:color w:val="000000"/>
                <w:sz w:val="18"/>
                <w:szCs w:val="18"/>
              </w:rPr>
              <w:t>5.27%</w:t>
            </w:r>
          </w:p>
          <w:p w:rsidR="00000000" w:rsidRDefault="00E54EC0">
            <w:pPr>
              <w:spacing w:after="100"/>
              <w:jc w:val="center"/>
              <w:rPr>
                <w:rFonts w:eastAsia="Times New Roman"/>
              </w:rPr>
            </w:pPr>
            <w:r>
              <w:rPr>
                <w:rFonts w:eastAsia="Times New Roman"/>
                <w:color w:val="000000"/>
                <w:sz w:val="18"/>
                <w:szCs w:val="18"/>
              </w:rPr>
              <w:t>24%</w:t>
            </w: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2.79%</w:t>
            </w:r>
          </w:p>
          <w:p w:rsidR="00000000" w:rsidRDefault="00E54EC0">
            <w:pPr>
              <w:spacing w:after="100"/>
              <w:jc w:val="center"/>
              <w:rPr>
                <w:rFonts w:eastAsia="Times New Roman"/>
              </w:rPr>
            </w:pPr>
            <w:r>
              <w:rPr>
                <w:rFonts w:eastAsia="Times New Roman"/>
                <w:color w:val="000000"/>
                <w:sz w:val="18"/>
                <w:szCs w:val="18"/>
              </w:rPr>
              <w:t>(same for all ages)</w:t>
            </w:r>
          </w:p>
          <w:p w:rsidR="00000000" w:rsidRDefault="00E54EC0">
            <w:pPr>
              <w:spacing w:after="100"/>
              <w:jc w:val="center"/>
              <w:rPr>
                <w:rFonts w:eastAsia="Times New Roman"/>
              </w:rPr>
            </w:pPr>
            <w:r>
              <w:rPr>
                <w:rFonts w:eastAsia="Times New Roman"/>
                <w:color w:val="000000"/>
                <w:sz w:val="18"/>
                <w:szCs w:val="18"/>
              </w:rPr>
              <w:t>(same for all ages)</w:t>
            </w:r>
          </w:p>
        </w:tc>
      </w:tr>
      <w:tr w:rsidR="00000000">
        <w:trPr>
          <w:divId w:val="46893667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5,813 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GMIB Utilization Rates</w:t>
            </w:r>
          </w:p>
          <w:p w:rsidR="00000000" w:rsidRDefault="00E54EC0">
            <w:pPr>
              <w:spacing w:after="100"/>
              <w:jc w:val="right"/>
              <w:rPr>
                <w:rFonts w:eastAsia="Times New Roman"/>
              </w:rPr>
            </w:pPr>
            <w:r>
              <w:rPr>
                <w:rFonts w:eastAsia="Times New Roman"/>
                <w:color w:val="000000"/>
                <w:sz w:val="18"/>
                <w:szCs w:val="18"/>
              </w:rPr>
              <w:t>Non-performance risk (bps)</w:t>
            </w:r>
          </w:p>
          <w:p w:rsidR="00000000" w:rsidRDefault="00E54EC0">
            <w:pPr>
              <w:spacing w:after="100"/>
              <w:jc w:val="right"/>
              <w:rPr>
                <w:rFonts w:eastAsia="Times New Roman"/>
              </w:rPr>
            </w:pPr>
            <w:r>
              <w:rPr>
                <w:rFonts w:eastAsia="Times New Roman"/>
                <w:color w:val="000000"/>
                <w:sz w:val="18"/>
                <w:szCs w:val="18"/>
              </w:rPr>
              <w:t>Volatility rates - Equity</w:t>
            </w:r>
          </w:p>
          <w:p w:rsidR="00000000" w:rsidRDefault="00E54EC0">
            <w:pPr>
              <w:spacing w:after="100"/>
              <w:jc w:val="right"/>
              <w:rPr>
                <w:rFonts w:eastAsia="Times New Roman"/>
              </w:rPr>
            </w:pPr>
            <w:r>
              <w:rPr>
                <w:rFonts w:eastAsia="Times New Roman"/>
                <w:color w:val="000000"/>
                <w:sz w:val="18"/>
                <w:szCs w:val="18"/>
              </w:rPr>
              <w:t>Mortality: Ages 0-40</w:t>
            </w:r>
          </w:p>
          <w:p w:rsidR="00000000" w:rsidRDefault="00E54EC0">
            <w:pPr>
              <w:spacing w:after="100"/>
              <w:jc w:val="right"/>
              <w:rPr>
                <w:rFonts w:eastAsia="Times New Roman"/>
              </w:rPr>
            </w:pPr>
            <w:r>
              <w:rPr>
                <w:rFonts w:eastAsia="Times New Roman"/>
                <w:color w:val="000000"/>
                <w:sz w:val="18"/>
                <w:szCs w:val="18"/>
              </w:rPr>
              <w:t>Ages 41-60</w:t>
            </w:r>
          </w:p>
          <w:p w:rsidR="00000000" w:rsidRDefault="00E54EC0">
            <w:pPr>
              <w:spacing w:after="100"/>
              <w:jc w:val="right"/>
              <w:rPr>
                <w:rFonts w:eastAsia="Times New Roman"/>
              </w:rPr>
            </w:pPr>
            <w:r>
              <w:rPr>
                <w:rFonts w:eastAsia="Times New Roman"/>
                <w:color w:val="000000"/>
                <w:sz w:val="18"/>
                <w:szCs w:val="18"/>
              </w:rPr>
              <w:t>Ages 61-115</w:t>
            </w:r>
          </w:p>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0.45%-</w:t>
            </w:r>
            <w:r>
              <w:rPr>
                <w:rFonts w:eastAsia="Times New Roman"/>
                <w:color w:val="000000"/>
                <w:sz w:val="18"/>
                <w:szCs w:val="18"/>
              </w:rPr>
              <w:t>20.86%</w:t>
            </w:r>
          </w:p>
          <w:p w:rsidR="00000000" w:rsidRDefault="00E54EC0">
            <w:pPr>
              <w:spacing w:after="100"/>
              <w:jc w:val="center"/>
              <w:rPr>
                <w:rFonts w:eastAsia="Times New Roman"/>
              </w:rPr>
            </w:pPr>
            <w:r>
              <w:rPr>
                <w:rFonts w:eastAsia="Times New Roman"/>
                <w:color w:val="000000"/>
                <w:sz w:val="18"/>
                <w:szCs w:val="18"/>
              </w:rPr>
              <w:t>0.27%-8.66%</w:t>
            </w:r>
          </w:p>
          <w:p w:rsidR="00000000" w:rsidRDefault="00E54EC0">
            <w:pPr>
              <w:spacing w:after="100"/>
              <w:jc w:val="center"/>
              <w:rPr>
                <w:rFonts w:eastAsia="Times New Roman"/>
              </w:rPr>
            </w:pPr>
            <w:r>
              <w:rPr>
                <w:rFonts w:eastAsia="Times New Roman"/>
                <w:color w:val="000000"/>
                <w:sz w:val="18"/>
                <w:szCs w:val="18"/>
              </w:rPr>
              <w:t>0.04%-60.44%</w:t>
            </w:r>
          </w:p>
          <w:p w:rsidR="00000000" w:rsidRDefault="00E54EC0">
            <w:pPr>
              <w:spacing w:after="100"/>
              <w:jc w:val="center"/>
              <w:rPr>
                <w:rFonts w:eastAsia="Times New Roman"/>
              </w:rPr>
            </w:pPr>
            <w:r>
              <w:rPr>
                <w:rFonts w:eastAsia="Times New Roman"/>
                <w:color w:val="000000"/>
                <w:sz w:val="18"/>
                <w:szCs w:val="18"/>
              </w:rPr>
              <w:t>37 bps</w:t>
            </w:r>
          </w:p>
          <w:p w:rsidR="00000000" w:rsidRDefault="00E54EC0">
            <w:pPr>
              <w:spacing w:after="100"/>
              <w:jc w:val="center"/>
              <w:rPr>
                <w:rFonts w:eastAsia="Times New Roman"/>
              </w:rPr>
            </w:pPr>
            <w:r>
              <w:rPr>
                <w:rFonts w:eastAsia="Times New Roman"/>
                <w:color w:val="000000"/>
                <w:sz w:val="18"/>
                <w:szCs w:val="18"/>
              </w:rPr>
              <w:t>11%-31%</w:t>
            </w:r>
          </w:p>
          <w:p w:rsidR="00000000" w:rsidRDefault="00E54EC0">
            <w:pPr>
              <w:spacing w:after="100"/>
              <w:jc w:val="center"/>
              <w:rPr>
                <w:rFonts w:eastAsia="Times New Roman"/>
              </w:rPr>
            </w:pPr>
            <w:r>
              <w:rPr>
                <w:rFonts w:eastAsia="Times New Roman"/>
                <w:color w:val="000000"/>
                <w:sz w:val="18"/>
                <w:szCs w:val="18"/>
              </w:rPr>
              <w:t>0.01%-0.17%</w:t>
            </w:r>
          </w:p>
          <w:p w:rsidR="00000000" w:rsidRDefault="00E54EC0">
            <w:pPr>
              <w:spacing w:after="100"/>
              <w:jc w:val="center"/>
              <w:rPr>
                <w:rFonts w:eastAsia="Times New Roman"/>
              </w:rPr>
            </w:pPr>
            <w:r>
              <w:rPr>
                <w:rFonts w:eastAsia="Times New Roman"/>
                <w:color w:val="000000"/>
                <w:sz w:val="18"/>
                <w:szCs w:val="18"/>
              </w:rPr>
              <w:t>0.06%-0.53%</w:t>
            </w:r>
          </w:p>
          <w:p w:rsidR="00000000" w:rsidRDefault="00E54EC0">
            <w:pPr>
              <w:spacing w:after="100"/>
              <w:jc w:val="center"/>
              <w:rPr>
                <w:rFonts w:eastAsia="Times New Roman"/>
              </w:rPr>
            </w:pPr>
            <w:r>
              <w:rPr>
                <w:rFonts w:eastAsia="Times New Roman"/>
                <w:color w:val="000000"/>
                <w:sz w:val="18"/>
                <w:szCs w:val="18"/>
              </w:rPr>
              <w:t>0.31%-40.00%</w:t>
            </w:r>
          </w:p>
          <w:p w:rsidR="00000000" w:rsidRDefault="00E54EC0">
            <w:pPr>
              <w:spacing w:after="100"/>
              <w:jc w:val="center"/>
              <w:rPr>
                <w:rFonts w:eastAsia="Times New Roman"/>
              </w:rPr>
            </w:pPr>
          </w:p>
          <w:p w:rsidR="00000000" w:rsidRDefault="00E54EC0">
            <w:pPr>
              <w:spacing w:after="100"/>
              <w:jc w:val="center"/>
              <w:rPr>
                <w:rFonts w:eastAsia="Times New Roman"/>
              </w:rPr>
            </w:pPr>
          </w:p>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1.70%</w:t>
            </w:r>
          </w:p>
          <w:p w:rsidR="00000000" w:rsidRDefault="00E54EC0">
            <w:pPr>
              <w:spacing w:after="100"/>
              <w:jc w:val="center"/>
              <w:rPr>
                <w:rFonts w:eastAsia="Times New Roman"/>
              </w:rPr>
            </w:pPr>
            <w:r>
              <w:rPr>
                <w:rFonts w:eastAsia="Times New Roman"/>
                <w:color w:val="000000"/>
                <w:sz w:val="18"/>
                <w:szCs w:val="18"/>
              </w:rPr>
              <w:t>1.18%</w:t>
            </w:r>
          </w:p>
          <w:p w:rsidR="00000000" w:rsidRDefault="00E54EC0">
            <w:pPr>
              <w:spacing w:after="100"/>
              <w:jc w:val="center"/>
              <w:rPr>
                <w:rFonts w:eastAsia="Times New Roman"/>
              </w:rPr>
            </w:pPr>
            <w:r>
              <w:rPr>
                <w:rFonts w:eastAsia="Times New Roman"/>
                <w:color w:val="000000"/>
                <w:sz w:val="18"/>
                <w:szCs w:val="18"/>
              </w:rPr>
              <w:t>7.20%</w:t>
            </w:r>
          </w:p>
          <w:p w:rsidR="00000000" w:rsidRDefault="00E54EC0">
            <w:pPr>
              <w:spacing w:after="100"/>
              <w:jc w:val="center"/>
              <w:rPr>
                <w:rFonts w:eastAsia="Times New Roman"/>
              </w:rPr>
            </w:pPr>
            <w:r>
              <w:rPr>
                <w:rFonts w:eastAsia="Times New Roman"/>
                <w:color w:val="000000"/>
                <w:sz w:val="18"/>
                <w:szCs w:val="18"/>
              </w:rPr>
              <w:t>37 bps</w:t>
            </w:r>
          </w:p>
          <w:p w:rsidR="00000000" w:rsidRDefault="00E54EC0">
            <w:pPr>
              <w:spacing w:after="100"/>
              <w:jc w:val="center"/>
              <w:rPr>
                <w:rFonts w:eastAsia="Times New Roman"/>
              </w:rPr>
            </w:pPr>
            <w:r>
              <w:rPr>
                <w:rFonts w:eastAsia="Times New Roman"/>
                <w:color w:val="000000"/>
                <w:sz w:val="18"/>
                <w:szCs w:val="18"/>
              </w:rPr>
              <w:t>24%</w:t>
            </w:r>
          </w:p>
          <w:p w:rsidR="00000000" w:rsidRDefault="00E54EC0">
            <w:pPr>
              <w:spacing w:after="100"/>
              <w:jc w:val="center"/>
              <w:rPr>
                <w:rFonts w:eastAsia="Times New Roman"/>
              </w:rPr>
            </w:pPr>
            <w:r>
              <w:rPr>
                <w:rFonts w:eastAsia="Times New Roman"/>
                <w:color w:val="000000"/>
                <w:sz w:val="18"/>
                <w:szCs w:val="18"/>
              </w:rPr>
              <w:t>2.17%</w:t>
            </w:r>
          </w:p>
          <w:p w:rsidR="00000000" w:rsidRDefault="00E54EC0">
            <w:pPr>
              <w:spacing w:after="100"/>
              <w:jc w:val="center"/>
              <w:rPr>
                <w:rFonts w:eastAsia="Times New Roman"/>
              </w:rPr>
            </w:pPr>
            <w:r>
              <w:rPr>
                <w:rFonts w:eastAsia="Times New Roman"/>
                <w:color w:val="000000"/>
                <w:sz w:val="18"/>
                <w:szCs w:val="18"/>
              </w:rPr>
              <w:t>(same for all ages)</w:t>
            </w:r>
          </w:p>
          <w:p w:rsidR="00000000" w:rsidRDefault="00E54EC0">
            <w:pPr>
              <w:spacing w:after="100"/>
              <w:jc w:val="center"/>
              <w:rPr>
                <w:rFonts w:eastAsia="Times New Roman"/>
              </w:rPr>
            </w:pPr>
            <w:r>
              <w:rPr>
                <w:rFonts w:eastAsia="Times New Roman"/>
                <w:color w:val="000000"/>
                <w:sz w:val="18"/>
                <w:szCs w:val="18"/>
              </w:rPr>
              <w:t>(same for all ages)</w:t>
            </w:r>
          </w:p>
        </w:tc>
      </w:tr>
      <w:tr w:rsidR="00000000">
        <w:trPr>
          <w:divId w:val="468936676"/>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6893667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38 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Expected revenue growth rates</w:t>
            </w:r>
          </w:p>
          <w:p w:rsidR="00000000" w:rsidRDefault="00E54EC0">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2.0% - 83.9%</w:t>
            </w:r>
          </w:p>
          <w:p w:rsidR="00000000" w:rsidRDefault="00E54EC0">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11.9%</w:t>
            </w:r>
          </w:p>
          <w:p w:rsidR="00000000" w:rsidRDefault="00E54EC0">
            <w:pPr>
              <w:spacing w:after="100"/>
              <w:jc w:val="center"/>
              <w:rPr>
                <w:rFonts w:eastAsia="Times New Roman"/>
              </w:rPr>
            </w:pPr>
            <w:r>
              <w:rPr>
                <w:rFonts w:eastAsia="Times New Roman"/>
                <w:color w:val="000000"/>
                <w:sz w:val="18"/>
                <w:szCs w:val="18"/>
              </w:rPr>
              <w:t>7.0%</w:t>
            </w:r>
          </w:p>
        </w:tc>
      </w:tr>
      <w:tr w:rsidR="00000000">
        <w:trPr>
          <w:divId w:val="46893667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8,503 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Annuitization rates</w:t>
            </w:r>
          </w:p>
          <w:p w:rsidR="00000000" w:rsidRDefault="00E54EC0">
            <w:pPr>
              <w:spacing w:after="100"/>
              <w:jc w:val="right"/>
              <w:rPr>
                <w:rFonts w:eastAsia="Times New Roman"/>
              </w:rPr>
            </w:pPr>
            <w:r>
              <w:rPr>
                <w:rFonts w:eastAsia="Times New Roman"/>
                <w:color w:val="000000"/>
                <w:sz w:val="18"/>
                <w:szCs w:val="18"/>
              </w:rPr>
              <w:t>Mortality rates (1):</w:t>
            </w:r>
          </w:p>
          <w:p w:rsidR="00000000" w:rsidRDefault="00E54EC0">
            <w:pPr>
              <w:spacing w:after="100"/>
              <w:jc w:val="right"/>
              <w:rPr>
                <w:rFonts w:eastAsia="Times New Roman"/>
              </w:rPr>
            </w:pPr>
            <w:r>
              <w:rPr>
                <w:rFonts w:eastAsia="Times New Roman"/>
                <w:color w:val="000000"/>
                <w:sz w:val="18"/>
                <w:szCs w:val="18"/>
              </w:rPr>
              <w:t>Ages 0 - 40</w:t>
            </w:r>
          </w:p>
          <w:p w:rsidR="00000000" w:rsidRDefault="00E54EC0">
            <w:pPr>
              <w:spacing w:after="100"/>
              <w:jc w:val="right"/>
              <w:rPr>
                <w:rFonts w:eastAsia="Times New Roman"/>
              </w:rPr>
            </w:pPr>
            <w:r>
              <w:rPr>
                <w:rFonts w:eastAsia="Times New Roman"/>
                <w:color w:val="000000"/>
                <w:sz w:val="18"/>
                <w:szCs w:val="18"/>
              </w:rPr>
              <w:t>Ages 41 - 60</w:t>
            </w:r>
          </w:p>
          <w:p w:rsidR="00000000" w:rsidRDefault="00E54EC0">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111 bps</w:t>
            </w:r>
          </w:p>
          <w:p w:rsidR="00000000" w:rsidRDefault="00E54EC0">
            <w:pPr>
              <w:spacing w:after="100"/>
              <w:jc w:val="center"/>
              <w:rPr>
                <w:rFonts w:eastAsia="Times New Roman"/>
              </w:rPr>
            </w:pPr>
            <w:r>
              <w:rPr>
                <w:rFonts w:eastAsia="Times New Roman"/>
                <w:color w:val="000000"/>
                <w:sz w:val="18"/>
                <w:szCs w:val="18"/>
              </w:rPr>
              <w:t>1.04% - 23.57%</w:t>
            </w:r>
          </w:p>
          <w:p w:rsidR="00000000" w:rsidRDefault="00E54EC0">
            <w:pPr>
              <w:spacing w:after="100"/>
              <w:jc w:val="center"/>
              <w:rPr>
                <w:rFonts w:eastAsia="Times New Roman"/>
              </w:rPr>
            </w:pPr>
            <w:r>
              <w:rPr>
                <w:rFonts w:eastAsia="Times New Roman"/>
                <w:color w:val="000000"/>
                <w:sz w:val="18"/>
                <w:szCs w:val="18"/>
              </w:rPr>
              <w:t>0.27% - 8.66%</w:t>
            </w:r>
          </w:p>
          <w:p w:rsidR="00000000" w:rsidRDefault="00E54EC0">
            <w:pPr>
              <w:spacing w:after="100"/>
              <w:jc w:val="center"/>
              <w:rPr>
                <w:rFonts w:eastAsia="Times New Roman"/>
              </w:rPr>
            </w:pPr>
            <w:r>
              <w:rPr>
                <w:rFonts w:eastAsia="Times New Roman"/>
                <w:color w:val="000000"/>
                <w:sz w:val="18"/>
                <w:szCs w:val="18"/>
              </w:rPr>
              <w:t>0.03% -100.00%</w:t>
            </w: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0.01% - 0.19%</w:t>
            </w:r>
          </w:p>
          <w:p w:rsidR="00000000" w:rsidRDefault="00E54EC0">
            <w:pPr>
              <w:spacing w:after="100"/>
              <w:jc w:val="center"/>
              <w:rPr>
                <w:rFonts w:eastAsia="Times New Roman"/>
              </w:rPr>
            </w:pPr>
            <w:r>
              <w:rPr>
                <w:rFonts w:eastAsia="Times New Roman"/>
                <w:color w:val="000000"/>
                <w:sz w:val="18"/>
                <w:szCs w:val="18"/>
              </w:rPr>
              <w:t>0.07% - 0.57%</w:t>
            </w:r>
          </w:p>
          <w:p w:rsidR="00000000" w:rsidRDefault="00E54EC0">
            <w:pPr>
              <w:spacing w:after="100"/>
              <w:jc w:val="center"/>
              <w:rPr>
                <w:rFonts w:eastAsia="Times New Roman"/>
              </w:rPr>
            </w:pPr>
            <w:r>
              <w:rPr>
                <w:rFonts w:eastAsia="Times New Roman"/>
                <w:color w:val="000000"/>
                <w:sz w:val="18"/>
                <w:szCs w:val="18"/>
              </w:rPr>
              <w:t>0.44% - 43.60%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111 bps</w:t>
            </w:r>
          </w:p>
          <w:p w:rsidR="00000000" w:rsidRDefault="00E54EC0">
            <w:pPr>
              <w:spacing w:after="100"/>
              <w:jc w:val="center"/>
              <w:rPr>
                <w:rFonts w:eastAsia="Times New Roman"/>
              </w:rPr>
            </w:pPr>
            <w:r>
              <w:rPr>
                <w:rFonts w:eastAsia="Times New Roman"/>
                <w:color w:val="000000"/>
                <w:sz w:val="18"/>
                <w:szCs w:val="18"/>
              </w:rPr>
              <w:t>3.55%</w:t>
            </w:r>
          </w:p>
          <w:p w:rsidR="00000000" w:rsidRDefault="00E54EC0">
            <w:pPr>
              <w:spacing w:after="100"/>
              <w:jc w:val="center"/>
              <w:rPr>
                <w:rFonts w:eastAsia="Times New Roman"/>
              </w:rPr>
            </w:pPr>
            <w:r>
              <w:rPr>
                <w:rFonts w:eastAsia="Times New Roman"/>
                <w:color w:val="000000"/>
                <w:sz w:val="18"/>
                <w:szCs w:val="18"/>
              </w:rPr>
              <w:t>1.04%</w:t>
            </w:r>
          </w:p>
          <w:p w:rsidR="00000000" w:rsidRDefault="00E54EC0">
            <w:pPr>
              <w:spacing w:after="100"/>
              <w:jc w:val="center"/>
              <w:rPr>
                <w:rFonts w:eastAsia="Times New Roman"/>
              </w:rPr>
            </w:pPr>
            <w:r>
              <w:rPr>
                <w:rFonts w:eastAsia="Times New Roman"/>
                <w:color w:val="000000"/>
                <w:sz w:val="18"/>
                <w:szCs w:val="18"/>
              </w:rPr>
              <w:t>5.24%</w:t>
            </w: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1.62%</w:t>
            </w:r>
          </w:p>
          <w:p w:rsidR="00000000" w:rsidRDefault="00E54EC0">
            <w:pPr>
              <w:spacing w:after="100"/>
              <w:jc w:val="center"/>
              <w:rPr>
                <w:rFonts w:eastAsia="Times New Roman"/>
              </w:rPr>
            </w:pPr>
            <w:r>
              <w:rPr>
                <w:rFonts w:eastAsia="Times New Roman"/>
                <w:color w:val="000000"/>
                <w:sz w:val="18"/>
                <w:szCs w:val="18"/>
              </w:rPr>
              <w:t>(same for all ages)</w:t>
            </w:r>
          </w:p>
          <w:p w:rsidR="00000000" w:rsidRDefault="00E54EC0">
            <w:pPr>
              <w:spacing w:after="100"/>
              <w:jc w:val="center"/>
              <w:rPr>
                <w:rFonts w:eastAsia="Times New Roman"/>
              </w:rPr>
            </w:pPr>
            <w:r>
              <w:rPr>
                <w:rFonts w:eastAsia="Times New Roman"/>
                <w:color w:val="000000"/>
                <w:sz w:val="18"/>
                <w:szCs w:val="18"/>
              </w:rPr>
              <w:t>(same for all ages)</w:t>
            </w:r>
          </w:p>
        </w:tc>
      </w:tr>
      <w:tr w:rsidR="00000000">
        <w:trPr>
          <w:divId w:val="468936676"/>
          <w:jc w:val="center"/>
        </w:trPr>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468936676"/>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99 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Utilization rates</w:t>
            </w:r>
          </w:p>
          <w:p w:rsidR="00000000" w:rsidRDefault="00E54EC0">
            <w:pPr>
              <w:spacing w:after="100"/>
              <w:jc w:val="right"/>
              <w:rPr>
                <w:rFonts w:eastAsia="Times New Roman"/>
              </w:rPr>
            </w:pPr>
          </w:p>
          <w:p w:rsidR="00000000" w:rsidRDefault="00E54EC0">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111 bps</w:t>
            </w:r>
          </w:p>
          <w:p w:rsidR="00000000" w:rsidRDefault="00E54EC0">
            <w:pPr>
              <w:spacing w:after="100"/>
              <w:jc w:val="center"/>
              <w:rPr>
                <w:rFonts w:eastAsia="Times New Roman"/>
              </w:rPr>
            </w:pPr>
            <w:r>
              <w:rPr>
                <w:rFonts w:eastAsia="Times New Roman"/>
                <w:color w:val="000000"/>
                <w:sz w:val="18"/>
                <w:szCs w:val="18"/>
              </w:rPr>
              <w:t>0.60%-20.86%</w:t>
            </w:r>
          </w:p>
          <w:p w:rsidR="00000000" w:rsidRDefault="00E54EC0">
            <w:pPr>
              <w:spacing w:after="100"/>
              <w:jc w:val="center"/>
              <w:rPr>
                <w:rFonts w:eastAsia="Times New Roman"/>
              </w:rPr>
            </w:pPr>
            <w:r>
              <w:rPr>
                <w:rFonts w:eastAsia="Times New Roman"/>
                <w:color w:val="000000"/>
                <w:sz w:val="18"/>
                <w:szCs w:val="18"/>
              </w:rPr>
              <w:t>0.00%-</w:t>
            </w:r>
            <w:r>
              <w:rPr>
                <w:rFonts w:eastAsia="Times New Roman"/>
                <w:color w:val="000000"/>
                <w:sz w:val="18"/>
                <w:szCs w:val="18"/>
              </w:rPr>
              <w:t>8.00%</w:t>
            </w:r>
          </w:p>
          <w:p w:rsidR="00000000" w:rsidRDefault="00E54EC0">
            <w:pPr>
              <w:spacing w:after="100"/>
              <w:jc w:val="center"/>
              <w:rPr>
                <w:rFonts w:eastAsia="Times New Roman"/>
              </w:rPr>
            </w:pPr>
            <w:r>
              <w:rPr>
                <w:rFonts w:eastAsia="Times New Roman"/>
                <w:color w:val="000000"/>
                <w:sz w:val="18"/>
                <w:szCs w:val="18"/>
              </w:rPr>
              <w:t xml:space="preserve">100% once starting </w:t>
            </w:r>
          </w:p>
          <w:p w:rsidR="00000000" w:rsidRDefault="00E54EC0">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2.65%</w:t>
            </w:r>
          </w:p>
          <w:p w:rsidR="00000000" w:rsidRDefault="00E54EC0">
            <w:pPr>
              <w:spacing w:after="100"/>
              <w:jc w:val="center"/>
              <w:rPr>
                <w:rFonts w:eastAsia="Times New Roman"/>
              </w:rPr>
            </w:pPr>
            <w:r>
              <w:rPr>
                <w:rFonts w:eastAsia="Times New Roman"/>
                <w:color w:val="000000"/>
                <w:sz w:val="18"/>
                <w:szCs w:val="18"/>
              </w:rPr>
              <w:t>0.93%</w:t>
            </w:r>
          </w:p>
          <w:p w:rsidR="00000000" w:rsidRDefault="00E54EC0">
            <w:pPr>
              <w:spacing w:after="100"/>
              <w:jc w:val="center"/>
              <w:rPr>
                <w:rFonts w:eastAsia="Times New Roman"/>
              </w:rPr>
            </w:pPr>
          </w:p>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24%</w:t>
            </w:r>
          </w:p>
        </w:tc>
      </w:tr>
      <w:tr w:rsidR="00000000">
        <w:trPr>
          <w:divId w:val="468936676"/>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(75)</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Withdrawal rates</w:t>
            </w:r>
          </w:p>
          <w:p w:rsidR="00000000" w:rsidRDefault="00E54EC0">
            <w:pPr>
              <w:spacing w:after="100"/>
              <w:jc w:val="right"/>
              <w:rPr>
                <w:rFonts w:eastAsia="Times New Roman"/>
              </w:rPr>
            </w:pPr>
            <w:r>
              <w:rPr>
                <w:rFonts w:eastAsia="Times New Roman"/>
                <w:color w:val="000000"/>
                <w:sz w:val="18"/>
                <w:szCs w:val="18"/>
              </w:rPr>
              <w:t>Utilization rates</w:t>
            </w:r>
          </w:p>
          <w:p w:rsidR="00000000" w:rsidRDefault="00E54EC0">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111 bps</w:t>
            </w:r>
          </w:p>
          <w:p w:rsidR="00000000" w:rsidRDefault="00E54EC0">
            <w:pPr>
              <w:spacing w:after="100"/>
              <w:jc w:val="center"/>
              <w:rPr>
                <w:rFonts w:eastAsia="Times New Roman"/>
              </w:rPr>
            </w:pPr>
            <w:r>
              <w:rPr>
                <w:rFonts w:eastAsia="Times New Roman"/>
                <w:color w:val="000000"/>
                <w:sz w:val="18"/>
                <w:szCs w:val="18"/>
              </w:rPr>
              <w:t>0.60%-20.86%</w:t>
            </w:r>
          </w:p>
          <w:p w:rsidR="00000000" w:rsidRDefault="00E54EC0">
            <w:pPr>
              <w:spacing w:after="100"/>
              <w:jc w:val="center"/>
              <w:rPr>
                <w:rFonts w:eastAsia="Times New Roman"/>
              </w:rPr>
            </w:pPr>
            <w:r>
              <w:rPr>
                <w:rFonts w:eastAsia="Times New Roman"/>
                <w:color w:val="000000"/>
                <w:sz w:val="18"/>
                <w:szCs w:val="18"/>
              </w:rPr>
              <w:t>0.13%-8.66%</w:t>
            </w:r>
          </w:p>
          <w:p w:rsidR="00000000" w:rsidRDefault="00E54EC0">
            <w:pPr>
              <w:spacing w:after="100"/>
              <w:jc w:val="center"/>
              <w:rPr>
                <w:rFonts w:eastAsia="Times New Roman"/>
              </w:rPr>
            </w:pPr>
            <w:r>
              <w:rPr>
                <w:rFonts w:eastAsia="Times New Roman"/>
                <w:color w:val="000000"/>
                <w:sz w:val="18"/>
                <w:szCs w:val="18"/>
              </w:rPr>
              <w:t>0.04%-100.00%</w:t>
            </w:r>
          </w:p>
          <w:p w:rsidR="00000000" w:rsidRDefault="00E54EC0">
            <w:pPr>
              <w:spacing w:after="100"/>
              <w:jc w:val="center"/>
              <w:rPr>
                <w:rFonts w:eastAsia="Times New Roman"/>
              </w:rPr>
            </w:pPr>
            <w:r>
              <w:rPr>
                <w:rFonts w:eastAsia="Times New Roman"/>
                <w:color w:val="000000"/>
                <w:sz w:val="18"/>
                <w:szCs w:val="18"/>
              </w:rPr>
              <w:t>11</w:t>
            </w:r>
            <w:r>
              <w:rPr>
                <w:rFonts w:eastAsia="Times New Roman"/>
                <w:color w:val="000000"/>
                <w:sz w:val="18"/>
                <w:szCs w:val="18"/>
              </w:rPr>
              <w:t>%-31%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2.65%</w:t>
            </w:r>
          </w:p>
          <w:p w:rsidR="00000000" w:rsidRDefault="00E54EC0">
            <w:pPr>
              <w:spacing w:after="100"/>
              <w:jc w:val="center"/>
              <w:rPr>
                <w:rFonts w:eastAsia="Times New Roman"/>
              </w:rPr>
            </w:pPr>
            <w:r>
              <w:rPr>
                <w:rFonts w:eastAsia="Times New Roman"/>
                <w:color w:val="000000"/>
                <w:sz w:val="18"/>
                <w:szCs w:val="18"/>
              </w:rPr>
              <w:t>0.93%</w:t>
            </w:r>
          </w:p>
          <w:p w:rsidR="00000000" w:rsidRDefault="00E54EC0">
            <w:pPr>
              <w:spacing w:after="100"/>
              <w:jc w:val="center"/>
              <w:rPr>
                <w:rFonts w:eastAsia="Times New Roman"/>
              </w:rPr>
            </w:pPr>
            <w:r>
              <w:rPr>
                <w:rFonts w:eastAsia="Times New Roman"/>
                <w:color w:val="000000"/>
                <w:sz w:val="18"/>
                <w:szCs w:val="18"/>
              </w:rPr>
              <w:t>5.27%</w:t>
            </w:r>
          </w:p>
          <w:p w:rsidR="00000000" w:rsidRDefault="00E54EC0">
            <w:pPr>
              <w:spacing w:after="100"/>
              <w:jc w:val="center"/>
              <w:rPr>
                <w:rFonts w:eastAsia="Times New Roman"/>
              </w:rPr>
            </w:pPr>
            <w:r>
              <w:rPr>
                <w:rFonts w:eastAsia="Times New Roman"/>
                <w:color w:val="000000"/>
                <w:sz w:val="18"/>
                <w:szCs w:val="18"/>
              </w:rPr>
              <w:t>24%</w:t>
            </w:r>
          </w:p>
        </w:tc>
      </w:tr>
      <w:tr w:rsidR="00000000">
        <w:trPr>
          <w:divId w:val="468936676"/>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E54EC0">
            <w:pPr>
              <w:spacing w:after="100"/>
              <w:jc w:val="right"/>
              <w:rPr>
                <w:rFonts w:eastAsia="Times New Roman"/>
              </w:rPr>
            </w:pPr>
            <w:r>
              <w:rPr>
                <w:rFonts w:eastAsia="Times New Roman"/>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E54EC0">
            <w:pPr>
              <w:spacing w:after="100"/>
              <w:jc w:val="right"/>
              <w:rPr>
                <w:rFonts w:eastAsia="Times New Roman"/>
              </w:rPr>
            </w:pPr>
            <w:r>
              <w:rPr>
                <w:rFonts w:eastAsia="Times New Roman"/>
                <w:color w:val="000000"/>
                <w:sz w:val="18"/>
                <w:szCs w:val="18"/>
              </w:rPr>
              <w:t>Non-performance risk</w:t>
            </w:r>
          </w:p>
          <w:p w:rsidR="00000000" w:rsidRDefault="00E54EC0">
            <w:pPr>
              <w:spacing w:after="100"/>
              <w:jc w:val="right"/>
              <w:rPr>
                <w:rFonts w:eastAsia="Times New Roman"/>
              </w:rPr>
            </w:pPr>
            <w:r>
              <w:rPr>
                <w:rFonts w:eastAsia="Times New Roman"/>
                <w:color w:val="000000"/>
                <w:sz w:val="18"/>
                <w:szCs w:val="18"/>
              </w:rPr>
              <w:t>Lapse rates</w:t>
            </w:r>
          </w:p>
          <w:p w:rsidR="00000000" w:rsidRDefault="00E54EC0">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18"/>
                <w:szCs w:val="18"/>
              </w:rPr>
              <w:t>111 bps</w:t>
            </w:r>
          </w:p>
          <w:p w:rsidR="00000000" w:rsidRDefault="00E54EC0">
            <w:pPr>
              <w:spacing w:after="100"/>
              <w:jc w:val="center"/>
              <w:rPr>
                <w:rFonts w:eastAsia="Times New Roman"/>
              </w:rPr>
            </w:pPr>
            <w:r>
              <w:rPr>
                <w:rFonts w:eastAsia="Times New Roman"/>
                <w:color w:val="000000"/>
                <w:sz w:val="18"/>
                <w:szCs w:val="18"/>
              </w:rPr>
              <w:t>0.60%-20.86%</w:t>
            </w:r>
          </w:p>
          <w:p w:rsidR="00000000" w:rsidRDefault="00E54EC0">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E54EC0">
            <w:pPr>
              <w:spacing w:after="100"/>
              <w:jc w:val="center"/>
              <w:rPr>
                <w:rFonts w:eastAsia="Times New Roman"/>
              </w:rPr>
            </w:pPr>
          </w:p>
          <w:p w:rsidR="00000000" w:rsidRDefault="00E54EC0">
            <w:pPr>
              <w:spacing w:after="100"/>
              <w:jc w:val="center"/>
              <w:rPr>
                <w:rFonts w:eastAsia="Times New Roman"/>
              </w:rPr>
            </w:pPr>
            <w:r>
              <w:rPr>
                <w:rFonts w:eastAsia="Times New Roman"/>
                <w:color w:val="000000"/>
                <w:sz w:val="18"/>
                <w:szCs w:val="18"/>
              </w:rPr>
              <w:t>2.65%</w:t>
            </w:r>
          </w:p>
          <w:p w:rsidR="00000000" w:rsidRDefault="00E54EC0">
            <w:pPr>
              <w:spacing w:after="100"/>
              <w:jc w:val="center"/>
              <w:rPr>
                <w:rFonts w:eastAsia="Times New Roman"/>
              </w:rPr>
            </w:pPr>
            <w:r>
              <w:rPr>
                <w:rFonts w:eastAsia="Times New Roman"/>
                <w:color w:val="000000"/>
                <w:sz w:val="18"/>
                <w:szCs w:val="18"/>
              </w:rPr>
              <w:t>24%</w:t>
            </w:r>
          </w:p>
        </w:tc>
      </w:tr>
    </w:tbl>
    <w:p w:rsidR="00000000" w:rsidRDefault="00E54EC0">
      <w:pPr>
        <w:divId w:val="1312637094"/>
        <w:rPr>
          <w:rFonts w:eastAsia="Times New Roman"/>
        </w:rPr>
      </w:pPr>
      <w:r>
        <w:rPr>
          <w:rFonts w:eastAsia="Times New Roman"/>
          <w:color w:val="000000"/>
          <w:sz w:val="18"/>
          <w:szCs w:val="18"/>
        </w:rPr>
        <w:t>_______</w:t>
      </w:r>
      <w:r>
        <w:rPr>
          <w:rFonts w:eastAsia="Times New Roman"/>
          <w:color w:val="000000"/>
          <w:sz w:val="18"/>
          <w:szCs w:val="18"/>
        </w:rPr>
        <w:t>_______</w:t>
      </w:r>
    </w:p>
    <w:p w:rsidR="00000000" w:rsidRDefault="00E54EC0">
      <w:pPr>
        <w:ind w:hanging="360"/>
        <w:divId w:val="884952353"/>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contract, mort</w:t>
      </w:r>
      <w:r>
        <w:rPr>
          <w:rFonts w:eastAsia="Times New Roman"/>
          <w:color w:val="000000"/>
          <w:sz w:val="18"/>
          <w:szCs w:val="18"/>
        </w:rPr>
        <w:t>ality rates vary throughout the period over which cash flows are projected for purposes of valuating the embedded derivatives.</w:t>
      </w:r>
    </w:p>
    <w:p w:rsidR="00000000" w:rsidRDefault="00E54EC0">
      <w:pPr>
        <w:ind w:hanging="360"/>
        <w:divId w:val="356346140"/>
        <w:rPr>
          <w:rFonts w:eastAsia="Times New Roman"/>
        </w:rPr>
      </w:pPr>
      <w:r>
        <w:rPr>
          <w:rFonts w:eastAsia="Times New Roman"/>
          <w:color w:val="000000"/>
          <w:sz w:val="18"/>
          <w:szCs w:val="18"/>
        </w:rPr>
        <w:t>(2)For lapses, withdrawals, and utilizations the rates were weighted by counts; for mortality weighted average rates are shown fo</w:t>
      </w:r>
      <w:r>
        <w:rPr>
          <w:rFonts w:eastAsia="Times New Roman"/>
          <w:color w:val="000000"/>
          <w:sz w:val="18"/>
          <w:szCs w:val="18"/>
        </w:rPr>
        <w:t>r all ages combined; and for withdrawals the weighted averages were based on an estimated split of partial withdrawal and dollar-for-dollar withdrawals.</w:t>
      </w:r>
    </w:p>
    <w:p w:rsidR="00000000" w:rsidRDefault="00E54EC0">
      <w:pPr>
        <w:jc w:val="center"/>
        <w:divId w:val="164442090"/>
        <w:rPr>
          <w:rFonts w:eastAsia="Times New Roman"/>
        </w:rPr>
      </w:pPr>
      <w:r>
        <w:rPr>
          <w:rFonts w:eastAsia="Times New Roman"/>
          <w:color w:val="000000"/>
          <w:sz w:val="20"/>
          <w:szCs w:val="20"/>
        </w:rPr>
        <w:t>190</w:t>
      </w:r>
    </w:p>
    <w:p w:rsidR="00000000" w:rsidRDefault="00E54EC0">
      <w:pPr>
        <w:rPr>
          <w:rFonts w:eastAsia="Times New Roman"/>
        </w:rPr>
      </w:pPr>
      <w:r>
        <w:rPr>
          <w:rFonts w:eastAsia="Times New Roman"/>
        </w:rPr>
        <w:pict>
          <v:rect id="_x0000_i1228" style="width:0;height:1.5pt" o:hralign="center" o:hrstd="t" o:hr="t" fillcolor="#a0a0a0" stroked="f"/>
        </w:pict>
      </w:r>
    </w:p>
    <w:p w:rsidR="00000000" w:rsidRDefault="00E54EC0">
      <w:pPr>
        <w:jc w:val="center"/>
        <w:divId w:val="1001815431"/>
        <w:rPr>
          <w:rFonts w:eastAsia="Times New Roman"/>
        </w:rPr>
      </w:pPr>
      <w:r>
        <w:rPr>
          <w:rFonts w:eastAsia="Times New Roman"/>
          <w:b/>
          <w:bCs/>
          <w:color w:val="000000"/>
          <w:sz w:val="20"/>
          <w:szCs w:val="20"/>
        </w:rPr>
        <w:t>EQUITABLE HOLDINGS, INC.</w:t>
      </w:r>
    </w:p>
    <w:p w:rsidR="00000000" w:rsidRDefault="00E54EC0">
      <w:pPr>
        <w:jc w:val="center"/>
        <w:divId w:val="1001815431"/>
        <w:rPr>
          <w:rFonts w:eastAsia="Times New Roman"/>
        </w:rPr>
      </w:pPr>
      <w:r>
        <w:rPr>
          <w:rFonts w:eastAsia="Times New Roman"/>
          <w:b/>
          <w:bCs/>
          <w:color w:val="000000"/>
          <w:sz w:val="20"/>
          <w:szCs w:val="20"/>
        </w:rPr>
        <w:t>NOTES TO CONSOLIDATED FINANCIAL STATE</w:t>
      </w:r>
      <w:r>
        <w:rPr>
          <w:rFonts w:eastAsia="Times New Roman"/>
          <w:b/>
          <w:bCs/>
          <w:color w:val="000000"/>
          <w:sz w:val="20"/>
          <w:szCs w:val="20"/>
        </w:rPr>
        <w:t>MENTS, continued</w:t>
      </w:r>
    </w:p>
    <w:p w:rsidR="00000000" w:rsidRDefault="00E54EC0">
      <w:pPr>
        <w:jc w:val="both"/>
        <w:divId w:val="1177233214"/>
        <w:rPr>
          <w:rFonts w:eastAsia="Times New Roman"/>
        </w:rPr>
      </w:pPr>
      <w:r>
        <w:rPr>
          <w:rFonts w:eastAsia="Times New Roman"/>
          <w:b/>
          <w:bCs/>
          <w:i/>
          <w:iCs/>
          <w:color w:val="000000"/>
          <w:sz w:val="20"/>
          <w:szCs w:val="20"/>
        </w:rPr>
        <w:t>Level 3 Financial Instruments for which Quantitative Inputs are Not Available</w:t>
      </w:r>
    </w:p>
    <w:p w:rsidR="00000000" w:rsidRDefault="00E54EC0">
      <w:pPr>
        <w:jc w:val="both"/>
        <w:divId w:val="329795270"/>
        <w:rPr>
          <w:rFonts w:eastAsia="Times New Roman"/>
        </w:rPr>
      </w:pPr>
      <w:r>
        <w:rPr>
          <w:rFonts w:eastAsia="Times New Roman"/>
          <w:color w:val="000000"/>
          <w:sz w:val="20"/>
          <w:szCs w:val="20"/>
          <w:u w:val="single"/>
        </w:rPr>
        <w:t>Certain Privately Placed Debt Securities with Limited Trading Activity</w:t>
      </w:r>
    </w:p>
    <w:p w:rsidR="00000000" w:rsidRDefault="00E54EC0">
      <w:pPr>
        <w:divId w:val="960722813"/>
        <w:rPr>
          <w:rFonts w:eastAsia="Times New Roman"/>
        </w:rPr>
      </w:pPr>
      <w:r>
        <w:rPr>
          <w:rFonts w:eastAsia="Times New Roman"/>
          <w:color w:val="000000"/>
          <w:sz w:val="20"/>
          <w:szCs w:val="20"/>
        </w:rPr>
        <w:t>Excluded from the tables above as of December 31, 2022 and 2021, respectively, are approxi</w:t>
      </w:r>
      <w:r>
        <w:rPr>
          <w:rFonts w:eastAsia="Times New Roman"/>
          <w:color w:val="000000"/>
          <w:sz w:val="20"/>
          <w:szCs w:val="20"/>
        </w:rPr>
        <w:t>mately $1.0 billion and $635 million of Level 3 fair value measurements of investments for which the underlying quantitative inputs are not developed by the Company and are not readily available. These investments primarily consist of certain privately pla</w:t>
      </w:r>
      <w:r>
        <w:rPr>
          <w:rFonts w:eastAsia="Times New Roman"/>
          <w:color w:val="000000"/>
          <w:sz w:val="20"/>
          <w:szCs w:val="20"/>
        </w:rPr>
        <w:t>ced debt securities with limited trading activity, including residential mortgage- and asset-backed instruments, and their fair values generally reflect unadjusted prices obtained from independent valuation service providers and indicative, non-binding quo</w:t>
      </w:r>
      <w:r>
        <w:rPr>
          <w:rFonts w:eastAsia="Times New Roman"/>
          <w:color w:val="000000"/>
          <w:sz w:val="20"/>
          <w:szCs w:val="20"/>
        </w:rPr>
        <w:t xml:space="preserve">tes obtained from third-party broker-dealers recognized as market participants. Significant increases or decreases in the fair value amounts received from these pricing sources may result in the Company’s reporting significantly higher or lower fair value </w:t>
      </w:r>
      <w:r>
        <w:rPr>
          <w:rFonts w:eastAsia="Times New Roman"/>
          <w:color w:val="000000"/>
          <w:sz w:val="20"/>
          <w:szCs w:val="20"/>
        </w:rPr>
        <w:t>measurements for these Level 3 investments.</w:t>
      </w:r>
    </w:p>
    <w:p w:rsidR="00000000" w:rsidRDefault="00E54EC0">
      <w:pPr>
        <w:ind w:hanging="360"/>
        <w:jc w:val="both"/>
        <w:divId w:val="767772119"/>
        <w:rPr>
          <w:rFonts w:eastAsia="Times New Roman"/>
        </w:rPr>
      </w:pPr>
      <w:r>
        <w:rPr>
          <w:rFonts w:eastAsia="Times New Roman"/>
          <w:color w:val="000000"/>
          <w:sz w:val="20"/>
          <w:szCs w:val="20"/>
        </w:rPr>
        <w:t>•The fair value of private placement securities is determined by application of a matrix pricing model or a market comparable company value technique. The significant unobservable input to the matrix pricing mode</w:t>
      </w:r>
      <w:r>
        <w:rPr>
          <w:rFonts w:eastAsia="Times New Roman"/>
          <w:color w:val="000000"/>
          <w:sz w:val="20"/>
          <w:szCs w:val="20"/>
        </w:rPr>
        <w:t>l valuation technique is the spread over the industry-specific benchmark yield curve. Generally, an increase or decrease in spreads would lead to directionally inverse movement in the fair value measurements of these securities. The significant unobservabl</w:t>
      </w:r>
      <w:r>
        <w:rPr>
          <w:rFonts w:eastAsia="Times New Roman"/>
          <w:color w:val="000000"/>
          <w:sz w:val="20"/>
          <w:szCs w:val="20"/>
        </w:rPr>
        <w:t>e input to the market comparable company valuation technique is the discount rate. Generally, a significant increase (decrease) in the discount rate would result in significantly lower (higher) fair value measurements of these securities.</w:t>
      </w:r>
    </w:p>
    <w:p w:rsidR="00000000" w:rsidRDefault="00E54EC0">
      <w:pPr>
        <w:ind w:hanging="360"/>
        <w:jc w:val="both"/>
        <w:divId w:val="2020890878"/>
        <w:rPr>
          <w:rFonts w:eastAsia="Times New Roman"/>
        </w:rPr>
      </w:pPr>
      <w:r>
        <w:rPr>
          <w:rFonts w:eastAsia="Times New Roman"/>
          <w:color w:val="000000"/>
          <w:sz w:val="20"/>
          <w:szCs w:val="20"/>
        </w:rPr>
        <w:t>•Residential mort</w:t>
      </w:r>
      <w:r>
        <w:rPr>
          <w:rFonts w:eastAsia="Times New Roman"/>
          <w:color w:val="000000"/>
          <w:sz w:val="20"/>
          <w:szCs w:val="20"/>
        </w:rPr>
        <w:t>gage-backed securities classified as Level 3 primarily consist of non-agency paper with low trading activity. Included in the tables above as of December 31, 2022 and 2021, there were no Level 3 securities that were determined by application of a matrix pr</w:t>
      </w:r>
      <w:r>
        <w:rPr>
          <w:rFonts w:eastAsia="Times New Roman"/>
          <w:color w:val="000000"/>
          <w:sz w:val="20"/>
          <w:szCs w:val="20"/>
        </w:rPr>
        <w:t>icing model and for which the spread over the U.S. Treasury curve is the most significant unobservable input to the pricing result. Generally, a change in spreads would lead to directionally inverse movement in the fair value measurements of these securiti</w:t>
      </w:r>
      <w:r>
        <w:rPr>
          <w:rFonts w:eastAsia="Times New Roman"/>
          <w:color w:val="000000"/>
          <w:sz w:val="20"/>
          <w:szCs w:val="20"/>
        </w:rPr>
        <w:t>es.</w:t>
      </w:r>
    </w:p>
    <w:p w:rsidR="00000000" w:rsidRDefault="00E54EC0">
      <w:pPr>
        <w:ind w:hanging="360"/>
        <w:divId w:val="538469225"/>
        <w:rPr>
          <w:rFonts w:eastAsia="Times New Roman"/>
        </w:rPr>
      </w:pPr>
      <w:r>
        <w:rPr>
          <w:rFonts w:eastAsia="Times New Roman"/>
          <w:color w:val="000000"/>
          <w:sz w:val="20"/>
          <w:szCs w:val="20"/>
        </w:rPr>
        <w:t xml:space="preserve">•Asset-backed securities classified as Level 3 primarily consist of non-agency mortgage loan trust certificates, including subprime and Alt-A paper, credit risk transfer securities, and equipment financings. Included in the tables above as of December </w:t>
      </w:r>
      <w:r>
        <w:rPr>
          <w:rFonts w:eastAsia="Times New Roman"/>
          <w:color w:val="000000"/>
          <w:sz w:val="20"/>
          <w:szCs w:val="20"/>
        </w:rPr>
        <w:t>31, 2022 and 2021, there were no securities that were determined by the application of matrix-pricing for which the spread over the U.S. Treasury curve is the most significant unobservable input to the pricing result. Significant increases (decreases) in s</w:t>
      </w:r>
      <w:r>
        <w:rPr>
          <w:rFonts w:eastAsia="Times New Roman"/>
          <w:color w:val="000000"/>
          <w:sz w:val="20"/>
          <w:szCs w:val="20"/>
        </w:rPr>
        <w:t>preads would have resulted in significantly lower (higher) fair value measurements.</w:t>
      </w:r>
    </w:p>
    <w:p w:rsidR="00000000" w:rsidRDefault="00E54EC0">
      <w:pPr>
        <w:jc w:val="both"/>
        <w:divId w:val="1670450093"/>
        <w:rPr>
          <w:rFonts w:eastAsia="Times New Roman"/>
        </w:rPr>
      </w:pPr>
      <w:r>
        <w:rPr>
          <w:rFonts w:eastAsia="Times New Roman"/>
          <w:color w:val="000000"/>
          <w:sz w:val="20"/>
          <w:szCs w:val="20"/>
          <w:u w:val="single"/>
        </w:rPr>
        <w:t>Other Equity Investments</w:t>
      </w:r>
    </w:p>
    <w:p w:rsidR="00000000" w:rsidRDefault="00E54EC0">
      <w:pPr>
        <w:divId w:val="25906947"/>
        <w:rPr>
          <w:rFonts w:eastAsia="Times New Roman"/>
        </w:rPr>
      </w:pPr>
      <w:r>
        <w:rPr>
          <w:rFonts w:eastAsia="Times New Roman"/>
          <w:color w:val="000000"/>
          <w:sz w:val="20"/>
          <w:szCs w:val="20"/>
        </w:rPr>
        <w:t>Included in other equity investments classified as Level 3 are venture capital securities in the Technology, Media and Telecommunications industries. The fair value measurements of these securities include significant unobservable inputs including an enter</w:t>
      </w:r>
      <w:r>
        <w:rPr>
          <w:rFonts w:eastAsia="Times New Roman"/>
          <w:color w:val="000000"/>
          <w:sz w:val="20"/>
          <w:szCs w:val="20"/>
        </w:rPr>
        <w:t xml:space="preserve">prise value to revenue multiples and a discount rate to account for liquidity and various risk factors. Significant increases (decreases) in the enterprise value to revenue multiple inputs in isolation would have resulted in a significantly higher (lower) </w:t>
      </w:r>
      <w:r>
        <w:rPr>
          <w:rFonts w:eastAsia="Times New Roman"/>
          <w:color w:val="000000"/>
          <w:sz w:val="20"/>
          <w:szCs w:val="20"/>
        </w:rPr>
        <w:t>fair value measurement. Significant increases (decreases) in the discount rate would have resulted in a significantly lower (higher) fair value measurement.</w:t>
      </w:r>
    </w:p>
    <w:p w:rsidR="00000000" w:rsidRDefault="00E54EC0">
      <w:pPr>
        <w:jc w:val="both"/>
        <w:divId w:val="1473518646"/>
        <w:rPr>
          <w:rFonts w:eastAsia="Times New Roman"/>
        </w:rPr>
      </w:pPr>
      <w:r>
        <w:rPr>
          <w:rFonts w:eastAsia="Times New Roman"/>
          <w:color w:val="000000"/>
          <w:sz w:val="20"/>
          <w:szCs w:val="20"/>
          <w:u w:val="single"/>
        </w:rPr>
        <w:t xml:space="preserve">GMIB Reinsurance Contract Asset, Amounts Due from Reinsurers and GMxB Derivative Features </w:t>
      </w:r>
    </w:p>
    <w:p w:rsidR="00000000" w:rsidRDefault="00E54EC0">
      <w:pPr>
        <w:divId w:val="1643345878"/>
        <w:rPr>
          <w:rFonts w:eastAsia="Times New Roman"/>
        </w:rPr>
      </w:pPr>
      <w:r>
        <w:rPr>
          <w:rFonts w:eastAsia="Times New Roman"/>
          <w:color w:val="000000"/>
          <w:sz w:val="20"/>
          <w:szCs w:val="20"/>
        </w:rPr>
        <w:t>Signific</w:t>
      </w:r>
      <w:r>
        <w:rPr>
          <w:rFonts w:eastAsia="Times New Roman"/>
          <w:color w:val="000000"/>
          <w:sz w:val="20"/>
          <w:szCs w:val="20"/>
        </w:rPr>
        <w:t>ant unobservable inputs with respect to the fair value measurement of the Level 3 GMIB reinsurance contract asset and the Level 3 liabilities identified in the table above are developed using Company data.</w:t>
      </w:r>
    </w:p>
    <w:p w:rsidR="00000000" w:rsidRDefault="00E54EC0">
      <w:pPr>
        <w:divId w:val="1737707068"/>
        <w:rPr>
          <w:rFonts w:eastAsia="Times New Roman"/>
        </w:rPr>
      </w:pPr>
      <w:r>
        <w:rPr>
          <w:rFonts w:eastAsia="Times New Roman"/>
          <w:color w:val="000000"/>
          <w:sz w:val="20"/>
          <w:szCs w:val="20"/>
        </w:rPr>
        <w:t>The significant unobservable inputs used in the fa</w:t>
      </w:r>
      <w:r>
        <w:rPr>
          <w:rFonts w:eastAsia="Times New Roman"/>
          <w:color w:val="000000"/>
          <w:sz w:val="20"/>
          <w:szCs w:val="20"/>
        </w:rPr>
        <w:t>ir value measurement of the Company’s GMIB reinsurance contract asset are lapse rates, withdrawal rates, non-performance risk and GMIB utilization rates. Significant increases in GMIB utilization rates or decreases in lapse or withdrawal rates in isolation</w:t>
      </w:r>
      <w:r>
        <w:rPr>
          <w:rFonts w:eastAsia="Times New Roman"/>
          <w:color w:val="000000"/>
          <w:sz w:val="20"/>
          <w:szCs w:val="20"/>
        </w:rPr>
        <w:t xml:space="preserve"> would tend to increase the GMIB reinsurance contract asset.</w:t>
      </w:r>
    </w:p>
    <w:p w:rsidR="00000000" w:rsidRDefault="00E54EC0">
      <w:pPr>
        <w:divId w:val="1685285645"/>
        <w:rPr>
          <w:rFonts w:eastAsia="Times New Roman"/>
        </w:rPr>
      </w:pPr>
      <w:r>
        <w:rPr>
          <w:rFonts w:eastAsia="Times New Roman"/>
          <w:color w:val="000000"/>
          <w:sz w:val="20"/>
          <w:szCs w:val="20"/>
        </w:rPr>
        <w:t>Fair value measurement of the GMIB reinsurance contract asset, GMIB NLG Reinsurance and liabilities includes dynamic lapse and GMIB utilization assumptions whereby projected contractual lapses an</w:t>
      </w:r>
      <w:r>
        <w:rPr>
          <w:rFonts w:eastAsia="Times New Roman"/>
          <w:color w:val="000000"/>
          <w:sz w:val="20"/>
          <w:szCs w:val="20"/>
        </w:rPr>
        <w:t>d GMIB utilization reflect the projected net amount of risks of the contract. As the net amount of risk of a contract increases, the assumed lapse rate decreases and the GMIB utilization increases. Increases in volatility would increase the asset and liabi</w:t>
      </w:r>
      <w:r>
        <w:rPr>
          <w:rFonts w:eastAsia="Times New Roman"/>
          <w:color w:val="000000"/>
          <w:sz w:val="20"/>
          <w:szCs w:val="20"/>
        </w:rPr>
        <w:t>lities.</w:t>
      </w:r>
    </w:p>
    <w:p w:rsidR="00000000" w:rsidRDefault="00E54EC0">
      <w:pPr>
        <w:divId w:val="2113157910"/>
        <w:rPr>
          <w:rFonts w:eastAsia="Times New Roman"/>
        </w:rPr>
      </w:pPr>
      <w:r>
        <w:rPr>
          <w:rFonts w:eastAsia="Times New Roman"/>
          <w:color w:val="000000"/>
          <w:sz w:val="20"/>
          <w:szCs w:val="20"/>
        </w:rPr>
        <w:t>The significant unobservable inputs used in the fair value measurement of the Company’s GMIB NLG liability and GMIB NLG Reinsurance are lapse rates, withdrawal rates, GMIB utilization rates, adjustment for non-performance risk and NLG forfeiture ra</w:t>
      </w:r>
      <w:r>
        <w:rPr>
          <w:rFonts w:eastAsia="Times New Roman"/>
          <w:color w:val="000000"/>
          <w:sz w:val="20"/>
          <w:szCs w:val="20"/>
        </w:rPr>
        <w:t>tes. NLG forfeiture rates are caused by excess withdrawals above the annual GMIB accrual rate that cause the NLG to expire. Significant decreases in lapse rates, NLG forfeiture rates, adjustment for non-</w:t>
      </w:r>
    </w:p>
    <w:p w:rsidR="00000000" w:rsidRDefault="00E54EC0">
      <w:pPr>
        <w:jc w:val="center"/>
        <w:divId w:val="1336108341"/>
        <w:rPr>
          <w:rFonts w:eastAsia="Times New Roman"/>
        </w:rPr>
      </w:pPr>
      <w:r>
        <w:rPr>
          <w:rFonts w:eastAsia="Times New Roman"/>
          <w:color w:val="000000"/>
          <w:sz w:val="20"/>
          <w:szCs w:val="20"/>
        </w:rPr>
        <w:t>191</w:t>
      </w:r>
    </w:p>
    <w:p w:rsidR="00000000" w:rsidRDefault="00E54EC0">
      <w:pPr>
        <w:rPr>
          <w:rFonts w:eastAsia="Times New Roman"/>
        </w:rPr>
      </w:pPr>
      <w:r>
        <w:rPr>
          <w:rFonts w:eastAsia="Times New Roman"/>
        </w:rPr>
        <w:pict>
          <v:rect id="_x0000_i1229" style="width:0;height:1.5pt" o:hralign="center" o:hrstd="t" o:hr="t" fillcolor="#a0a0a0" stroked="f"/>
        </w:pict>
      </w:r>
    </w:p>
    <w:p w:rsidR="00000000" w:rsidRDefault="00E54EC0">
      <w:pPr>
        <w:jc w:val="center"/>
        <w:divId w:val="821195995"/>
        <w:rPr>
          <w:rFonts w:eastAsia="Times New Roman"/>
        </w:rPr>
      </w:pPr>
      <w:r>
        <w:rPr>
          <w:rFonts w:eastAsia="Times New Roman"/>
          <w:b/>
          <w:bCs/>
          <w:color w:val="000000"/>
          <w:sz w:val="20"/>
          <w:szCs w:val="20"/>
        </w:rPr>
        <w:t>EQUITABLE HO</w:t>
      </w:r>
      <w:r>
        <w:rPr>
          <w:rFonts w:eastAsia="Times New Roman"/>
          <w:b/>
          <w:bCs/>
          <w:color w:val="000000"/>
          <w:sz w:val="20"/>
          <w:szCs w:val="20"/>
        </w:rPr>
        <w:t>LDINGS, INC.</w:t>
      </w:r>
    </w:p>
    <w:p w:rsidR="00000000" w:rsidRDefault="00E54EC0">
      <w:pPr>
        <w:jc w:val="center"/>
        <w:divId w:val="821195995"/>
        <w:rPr>
          <w:rFonts w:eastAsia="Times New Roman"/>
        </w:rPr>
      </w:pPr>
      <w:r>
        <w:rPr>
          <w:rFonts w:eastAsia="Times New Roman"/>
          <w:b/>
          <w:bCs/>
          <w:color w:val="000000"/>
          <w:sz w:val="20"/>
          <w:szCs w:val="20"/>
        </w:rPr>
        <w:t>NOTES TO CONSOLIDATED FINANCIAL STATEMENTS, continued</w:t>
      </w:r>
    </w:p>
    <w:p w:rsidR="00000000" w:rsidRDefault="00E54EC0">
      <w:pPr>
        <w:divId w:val="734935518"/>
        <w:rPr>
          <w:rFonts w:eastAsia="Times New Roman"/>
        </w:rPr>
      </w:pPr>
      <w:r>
        <w:rPr>
          <w:rFonts w:eastAsia="Times New Roman"/>
          <w:color w:val="000000"/>
          <w:sz w:val="20"/>
          <w:szCs w:val="20"/>
        </w:rPr>
        <w:t>performance risk and GMIB utilization rates would tend to increase the GMIB NLG liability and GMIB NLG Reinsurance, while decreases in withdrawal rates and volatility rates would tend to de</w:t>
      </w:r>
      <w:r>
        <w:rPr>
          <w:rFonts w:eastAsia="Times New Roman"/>
          <w:color w:val="000000"/>
          <w:sz w:val="20"/>
          <w:szCs w:val="20"/>
        </w:rPr>
        <w:t>crease the GMIB NLG liability and GMIB NLG Reinsurance.</w:t>
      </w:r>
    </w:p>
    <w:p w:rsidR="00000000" w:rsidRDefault="00E54EC0">
      <w:pPr>
        <w:divId w:val="25521157"/>
        <w:rPr>
          <w:rFonts w:eastAsia="Times New Roman"/>
        </w:rPr>
      </w:pPr>
      <w:r>
        <w:rPr>
          <w:rFonts w:eastAsia="Times New Roman"/>
          <w:color w:val="000000"/>
          <w:sz w:val="20"/>
          <w:szCs w:val="20"/>
        </w:rPr>
        <w:t>The significant unobservable inputs used in the fair value measurement of the Company’s GMWB and GWBL liability are lapse rates and withdrawal rates. Significant increases in withdrawal rates or decre</w:t>
      </w:r>
      <w:r>
        <w:rPr>
          <w:rFonts w:eastAsia="Times New Roman"/>
          <w:color w:val="000000"/>
          <w:sz w:val="20"/>
          <w:szCs w:val="20"/>
        </w:rPr>
        <w:t>ases in lapse rates in isolation would tend to increase these liabilities. Increases in volatility would increase these liabilities.</w:t>
      </w:r>
    </w:p>
    <w:p w:rsidR="00000000" w:rsidRDefault="00E54EC0">
      <w:pPr>
        <w:jc w:val="both"/>
        <w:divId w:val="300380744"/>
        <w:rPr>
          <w:rFonts w:eastAsia="Times New Roman"/>
        </w:rPr>
      </w:pPr>
      <w:r>
        <w:rPr>
          <w:rFonts w:eastAsia="Times New Roman"/>
          <w:color w:val="000000"/>
          <w:sz w:val="20"/>
          <w:szCs w:val="20"/>
          <w:u w:val="single"/>
        </w:rPr>
        <w:t>Carrying Value of Financial Instruments Not Otherwise Disclosed in Note 3 and Note 4 of the Notes to these Consolidated Fin</w:t>
      </w:r>
      <w:r>
        <w:rPr>
          <w:rFonts w:eastAsia="Times New Roman"/>
          <w:color w:val="000000"/>
          <w:sz w:val="20"/>
          <w:szCs w:val="20"/>
          <w:u w:val="single"/>
        </w:rPr>
        <w:t>ancial Statements</w:t>
      </w:r>
    </w:p>
    <w:p w:rsidR="00000000" w:rsidRDefault="00E54EC0">
      <w:pPr>
        <w:divId w:val="1630698311"/>
        <w:rPr>
          <w:rFonts w:eastAsia="Times New Roman"/>
        </w:rPr>
      </w:pPr>
      <w:r>
        <w:rPr>
          <w:rFonts w:eastAsia="Times New Roman"/>
          <w:color w:val="000000"/>
          <w:sz w:val="20"/>
          <w:szCs w:val="20"/>
        </w:rPr>
        <w:t>The carrying values and fair values as of December 31, 2022 and 2021 for financial instruments not otherwise disclosed in Note 3 and Note 4 of the Notes to these Consolidated Financial Statements are presented in the table below.</w:t>
      </w:r>
    </w:p>
    <w:p w:rsidR="00000000" w:rsidRDefault="00E54EC0">
      <w:pPr>
        <w:jc w:val="center"/>
        <w:rPr>
          <w:rFonts w:eastAsia="Times New Roman"/>
        </w:rPr>
      </w:pPr>
      <w:r>
        <w:rPr>
          <w:rFonts w:eastAsia="Times New Roman"/>
          <w:b/>
          <w:bCs/>
          <w:color w:val="000000"/>
          <w:sz w:val="20"/>
          <w:szCs w:val="20"/>
        </w:rPr>
        <w:t>Carrying</w:t>
      </w:r>
      <w:r>
        <w:rPr>
          <w:rFonts w:eastAsia="Times New Roman"/>
          <w:b/>
          <w:bCs/>
          <w:color w:val="000000"/>
          <w:sz w:val="20"/>
          <w:szCs w:val="20"/>
        </w:rPr>
        <w:t xml:space="preserve"> Values and Fair Values for Financial Instruments Not Otherwise Disclosed</w:t>
      </w:r>
    </w:p>
    <w:p w:rsidR="00000000" w:rsidRDefault="00E54E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86"/>
        <w:gridCol w:w="37"/>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4"/>
        <w:gridCol w:w="36"/>
      </w:tblGrid>
      <w:tr w:rsidR="00000000">
        <w:trPr>
          <w:divId w:val="1046875355"/>
          <w:jc w:val="center"/>
        </w:trPr>
        <w:tc>
          <w:tcPr>
            <w:tcW w:w="50" w:type="pct"/>
            <w:vAlign w:val="center"/>
            <w:hideMark/>
          </w:tcPr>
          <w:p w:rsidR="00000000" w:rsidRDefault="00E54EC0">
            <w:pPr>
              <w:jc w:val="center"/>
              <w:rPr>
                <w:rFonts w:eastAsia="Times New Roman"/>
              </w:rPr>
            </w:pPr>
          </w:p>
        </w:tc>
        <w:tc>
          <w:tcPr>
            <w:tcW w:w="207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46875355"/>
          <w:trHeight w:val="24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r>
      <w:tr w:rsidR="00000000">
        <w:trPr>
          <w:divId w:val="1046875355"/>
          <w:trHeight w:val="24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vMerge/>
            <w:vAlign w:val="center"/>
            <w:hideMark/>
          </w:tcPr>
          <w:p w:rsidR="00000000" w:rsidRDefault="00E54EC0">
            <w:pPr>
              <w:spacing w:after="100"/>
              <w:rPr>
                <w:rFonts w:eastAsia="Times New Roman"/>
              </w:rPr>
            </w:pPr>
          </w:p>
        </w:tc>
        <w:tc>
          <w:tcPr>
            <w:tcW w:w="0" w:type="auto"/>
            <w:gridSpan w:val="3"/>
            <w:vMerge/>
            <w:vAlign w:val="center"/>
            <w:hideMark/>
          </w:tcPr>
          <w:p w:rsidR="00000000" w:rsidRDefault="00E54EC0">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1046875355"/>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46875355"/>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14,690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14,690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liabilities: Investment contracts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debt (1)</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debt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04687535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6875355"/>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December 31, 2021 (1):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Mortgage loans on real estate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14,308 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4,024 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Policyholders’ liabilities: Investment contracts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6,647 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6,689 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6,626 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6,626 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Long-term debt </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46875355"/>
          <w:jc w:val="center"/>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837647515"/>
        <w:rPr>
          <w:rFonts w:eastAsia="Times New Roman"/>
        </w:rPr>
      </w:pPr>
      <w:r>
        <w:rPr>
          <w:rFonts w:eastAsia="Times New Roman"/>
          <w:color w:val="000000"/>
          <w:sz w:val="18"/>
          <w:szCs w:val="18"/>
        </w:rPr>
        <w:t>_____________</w:t>
      </w:r>
    </w:p>
    <w:p w:rsidR="00000000" w:rsidRDefault="00E54EC0">
      <w:pPr>
        <w:ind w:hanging="360"/>
        <w:divId w:val="2020958260"/>
        <w:rPr>
          <w:rFonts w:eastAsia="Times New Roman"/>
        </w:rPr>
      </w:pPr>
      <w:r>
        <w:rPr>
          <w:rFonts w:eastAsia="Times New Roman"/>
          <w:color w:val="000000"/>
          <w:sz w:val="18"/>
          <w:szCs w:val="18"/>
        </w:rPr>
        <w:t>(1)</w:t>
      </w:r>
      <w:r>
        <w:rPr>
          <w:rFonts w:eastAsia="Times New Roman"/>
          <w:color w:val="000000"/>
          <w:sz w:val="18"/>
          <w:szCs w:val="18"/>
        </w:rPr>
        <w:t>As of December 31, 2022 and 2021, excludes CLO short-term debt of $239 million and $92 million, which is inclusive as fair valued within Notes issued by consolidated VIE’s, at fair value using the fair value option.</w:t>
      </w:r>
    </w:p>
    <w:p w:rsidR="00000000" w:rsidRDefault="00E54EC0">
      <w:pPr>
        <w:jc w:val="both"/>
        <w:divId w:val="1031345222"/>
        <w:rPr>
          <w:rFonts w:eastAsia="Times New Roman"/>
        </w:rPr>
      </w:pPr>
      <w:r>
        <w:rPr>
          <w:rFonts w:eastAsia="Times New Roman"/>
          <w:b/>
          <w:bCs/>
          <w:i/>
          <w:iCs/>
          <w:color w:val="000000"/>
          <w:sz w:val="20"/>
          <w:szCs w:val="20"/>
        </w:rPr>
        <w:t>Mortgage Loans on Real Estate</w:t>
      </w:r>
    </w:p>
    <w:p w:rsidR="00000000" w:rsidRDefault="00E54EC0">
      <w:pPr>
        <w:divId w:val="1222793227"/>
        <w:rPr>
          <w:rFonts w:eastAsia="Times New Roman"/>
        </w:rPr>
      </w:pPr>
      <w:r>
        <w:rPr>
          <w:rFonts w:eastAsia="Times New Roman"/>
          <w:color w:val="000000"/>
          <w:sz w:val="20"/>
          <w:szCs w:val="20"/>
        </w:rPr>
        <w:t>Fair value</w:t>
      </w:r>
      <w:r>
        <w:rPr>
          <w:rFonts w:eastAsia="Times New Roman"/>
          <w:color w:val="000000"/>
          <w:sz w:val="20"/>
          <w:szCs w:val="20"/>
        </w:rPr>
        <w:t>s for commercial and agricultural mortgage loans on real estate are measured by discounting future contractual cash flows to be received on the mortgage loan using interest rates at which loans with similar characteristics and credit quality would be made.</w:t>
      </w:r>
      <w:r>
        <w:rPr>
          <w:rFonts w:eastAsia="Times New Roman"/>
          <w:color w:val="000000"/>
          <w:sz w:val="20"/>
          <w:szCs w:val="20"/>
        </w:rPr>
        <w:t xml:space="preserve"> The discount rate is derived based on the appropriate U.S. Treasury rate with a like term to the remaining term of the loan to which a spread reflective of the risk premium associated with the specific loan is added. Fair values for mortgage loans anticip</w:t>
      </w:r>
      <w:r>
        <w:rPr>
          <w:rFonts w:eastAsia="Times New Roman"/>
          <w:color w:val="000000"/>
          <w:sz w:val="20"/>
          <w:szCs w:val="20"/>
        </w:rPr>
        <w:t>ated to be foreclosed and problem mortgage loans are limited to the fair value of the underlying collateral, if lower.</w:t>
      </w:r>
    </w:p>
    <w:p w:rsidR="00000000" w:rsidRDefault="00E54EC0">
      <w:pPr>
        <w:jc w:val="center"/>
        <w:divId w:val="1093356950"/>
        <w:rPr>
          <w:rFonts w:eastAsia="Times New Roman"/>
        </w:rPr>
      </w:pPr>
      <w:r>
        <w:rPr>
          <w:rFonts w:eastAsia="Times New Roman"/>
          <w:color w:val="000000"/>
          <w:sz w:val="20"/>
          <w:szCs w:val="20"/>
        </w:rPr>
        <w:t>192</w:t>
      </w:r>
    </w:p>
    <w:p w:rsidR="00000000" w:rsidRDefault="00E54EC0">
      <w:pPr>
        <w:rPr>
          <w:rFonts w:eastAsia="Times New Roman"/>
        </w:rPr>
      </w:pPr>
      <w:r>
        <w:rPr>
          <w:rFonts w:eastAsia="Times New Roman"/>
        </w:rPr>
        <w:pict>
          <v:rect id="_x0000_i1230" style="width:0;height:1.5pt" o:hralign="center" o:hrstd="t" o:hr="t" fillcolor="#a0a0a0" stroked="f"/>
        </w:pict>
      </w:r>
    </w:p>
    <w:p w:rsidR="00000000" w:rsidRDefault="00E54EC0">
      <w:pPr>
        <w:jc w:val="center"/>
        <w:divId w:val="997459832"/>
        <w:rPr>
          <w:rFonts w:eastAsia="Times New Roman"/>
        </w:rPr>
      </w:pPr>
      <w:r>
        <w:rPr>
          <w:rFonts w:eastAsia="Times New Roman"/>
          <w:b/>
          <w:bCs/>
          <w:color w:val="000000"/>
          <w:sz w:val="20"/>
          <w:szCs w:val="20"/>
        </w:rPr>
        <w:t>EQUITABLE HOLDINGS, INC.</w:t>
      </w:r>
    </w:p>
    <w:p w:rsidR="00000000" w:rsidRDefault="00E54EC0">
      <w:pPr>
        <w:jc w:val="center"/>
        <w:divId w:val="997459832"/>
        <w:rPr>
          <w:rFonts w:eastAsia="Times New Roman"/>
        </w:rPr>
      </w:pPr>
      <w:r>
        <w:rPr>
          <w:rFonts w:eastAsia="Times New Roman"/>
          <w:b/>
          <w:bCs/>
          <w:color w:val="000000"/>
          <w:sz w:val="20"/>
          <w:szCs w:val="20"/>
        </w:rPr>
        <w:t>NOTES TO CONSOLIDATED FINANCIAL STATEMENTS, continued</w:t>
      </w:r>
    </w:p>
    <w:p w:rsidR="00000000" w:rsidRDefault="00E54EC0">
      <w:pPr>
        <w:jc w:val="both"/>
        <w:divId w:val="92214760"/>
        <w:rPr>
          <w:rFonts w:eastAsia="Times New Roman"/>
        </w:rPr>
      </w:pPr>
      <w:r>
        <w:rPr>
          <w:rFonts w:eastAsia="Times New Roman"/>
          <w:b/>
          <w:bCs/>
          <w:i/>
          <w:iCs/>
          <w:color w:val="000000"/>
          <w:sz w:val="20"/>
          <w:szCs w:val="20"/>
        </w:rPr>
        <w:t>Policy Loans</w:t>
      </w:r>
    </w:p>
    <w:p w:rsidR="00000000" w:rsidRDefault="00E54EC0">
      <w:pPr>
        <w:divId w:val="1746339526"/>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E54EC0">
      <w:pPr>
        <w:jc w:val="both"/>
        <w:divId w:val="1588466204"/>
        <w:rPr>
          <w:rFonts w:eastAsia="Times New Roman"/>
        </w:rPr>
      </w:pPr>
      <w:r>
        <w:rPr>
          <w:rFonts w:eastAsia="Times New Roman"/>
          <w:b/>
          <w:bCs/>
          <w:i/>
          <w:iCs/>
          <w:color w:val="000000"/>
          <w:sz w:val="20"/>
          <w:szCs w:val="20"/>
        </w:rPr>
        <w:t>Short-term Debt</w:t>
      </w:r>
    </w:p>
    <w:p w:rsidR="00000000" w:rsidRDefault="00E54EC0">
      <w:pPr>
        <w:divId w:val="1326591360"/>
        <w:rPr>
          <w:rFonts w:eastAsia="Times New Roman"/>
        </w:rPr>
      </w:pPr>
      <w:r>
        <w:rPr>
          <w:rFonts w:eastAsia="Times New Roman"/>
          <w:color w:val="000000"/>
          <w:sz w:val="20"/>
          <w:szCs w:val="20"/>
        </w:rPr>
        <w:t>The Company’s short-term debt primarily includes long-term debt th</w:t>
      </w:r>
      <w:r>
        <w:rPr>
          <w:rFonts w:eastAsia="Times New Roman"/>
          <w:color w:val="000000"/>
          <w:sz w:val="20"/>
          <w:szCs w:val="20"/>
        </w:rPr>
        <w:t>at has been reclassified to short-term due to an upcoming maturity date within one year. The fair values for the Company’s short-term debt are determined by Bloomberg’s evaluated pricing service, which uses direct observations or observed comparables.</w:t>
      </w:r>
    </w:p>
    <w:p w:rsidR="00000000" w:rsidRDefault="00E54EC0">
      <w:pPr>
        <w:jc w:val="both"/>
        <w:divId w:val="415251387"/>
        <w:rPr>
          <w:rFonts w:eastAsia="Times New Roman"/>
        </w:rPr>
      </w:pPr>
      <w:r>
        <w:rPr>
          <w:rFonts w:eastAsia="Times New Roman"/>
          <w:b/>
          <w:bCs/>
          <w:i/>
          <w:iCs/>
          <w:color w:val="000000"/>
          <w:sz w:val="20"/>
          <w:szCs w:val="20"/>
        </w:rPr>
        <w:t>Long</w:t>
      </w:r>
      <w:r>
        <w:rPr>
          <w:rFonts w:eastAsia="Times New Roman"/>
          <w:b/>
          <w:bCs/>
          <w:i/>
          <w:iCs/>
          <w:color w:val="000000"/>
          <w:sz w:val="20"/>
          <w:szCs w:val="20"/>
        </w:rPr>
        <w:t>-term Debt</w:t>
      </w:r>
    </w:p>
    <w:p w:rsidR="00000000" w:rsidRDefault="00E54EC0">
      <w:pPr>
        <w:divId w:val="469979399"/>
        <w:rPr>
          <w:rFonts w:eastAsia="Times New Roman"/>
        </w:rPr>
      </w:pPr>
      <w:r>
        <w:rPr>
          <w:rFonts w:eastAsia="Times New Roman"/>
          <w:color w:val="000000"/>
          <w:sz w:val="20"/>
          <w:szCs w:val="20"/>
        </w:rPr>
        <w:t xml:space="preserve">The fair values for the Company’s long-term debt are determined by Bloomberg’s evaluated pricing service, which uses direct observations or observed comparables. </w:t>
      </w:r>
    </w:p>
    <w:p w:rsidR="00000000" w:rsidRDefault="00E54EC0">
      <w:pPr>
        <w:jc w:val="both"/>
        <w:divId w:val="180512138"/>
        <w:rPr>
          <w:rFonts w:eastAsia="Times New Roman"/>
        </w:rPr>
      </w:pPr>
      <w:r>
        <w:rPr>
          <w:rFonts w:eastAsia="Times New Roman"/>
          <w:b/>
          <w:bCs/>
          <w:i/>
          <w:iCs/>
          <w:color w:val="000000"/>
          <w:sz w:val="20"/>
          <w:szCs w:val="20"/>
        </w:rPr>
        <w:t>FHLB Funding Agreements</w:t>
      </w:r>
    </w:p>
    <w:p w:rsidR="00000000" w:rsidRDefault="00E54EC0">
      <w:pPr>
        <w:divId w:val="2003970532"/>
        <w:rPr>
          <w:rFonts w:eastAsia="Times New Roman"/>
        </w:rPr>
      </w:pPr>
      <w:r>
        <w:rPr>
          <w:rFonts w:eastAsia="Times New Roman"/>
          <w:color w:val="000000"/>
          <w:sz w:val="20"/>
          <w:szCs w:val="20"/>
        </w:rPr>
        <w:t>The fair values of Equitable Financial’s FHLB long term fu</w:t>
      </w:r>
      <w:r>
        <w:rPr>
          <w:rFonts w:eastAsia="Times New Roman"/>
          <w:color w:val="000000"/>
          <w:sz w:val="20"/>
          <w:szCs w:val="20"/>
        </w:rPr>
        <w:t>nding agreements’ fair values are determined based on indicative market rates published by FHLB, provided to AB and modeled for each note’s FMV. FHLB Short-term funding agreements’ fair values are reflective of notional/par value plus accrued interest.</w:t>
      </w:r>
    </w:p>
    <w:p w:rsidR="00000000" w:rsidRDefault="00E54EC0">
      <w:pPr>
        <w:divId w:val="543713029"/>
        <w:rPr>
          <w:rFonts w:eastAsia="Times New Roman"/>
        </w:rPr>
      </w:pPr>
    </w:p>
    <w:p w:rsidR="00000000" w:rsidRDefault="00E54EC0">
      <w:pPr>
        <w:jc w:val="both"/>
        <w:divId w:val="1499077396"/>
        <w:rPr>
          <w:rFonts w:eastAsia="Times New Roman"/>
        </w:rPr>
      </w:pPr>
      <w:r>
        <w:rPr>
          <w:rFonts w:eastAsia="Times New Roman"/>
          <w:b/>
          <w:bCs/>
          <w:i/>
          <w:iCs/>
          <w:color w:val="000000"/>
          <w:sz w:val="20"/>
          <w:szCs w:val="20"/>
        </w:rPr>
        <w:t>F</w:t>
      </w:r>
      <w:r>
        <w:rPr>
          <w:rFonts w:eastAsia="Times New Roman"/>
          <w:b/>
          <w:bCs/>
          <w:i/>
          <w:iCs/>
          <w:color w:val="000000"/>
          <w:sz w:val="20"/>
          <w:szCs w:val="20"/>
        </w:rPr>
        <w:t>ABN Funding Agreements</w:t>
      </w:r>
    </w:p>
    <w:p w:rsidR="00000000" w:rsidRDefault="00E54EC0">
      <w:pPr>
        <w:divId w:val="1453940271"/>
        <w:rPr>
          <w:rFonts w:eastAsia="Times New Roman"/>
        </w:rPr>
      </w:pPr>
      <w:r>
        <w:rPr>
          <w:rFonts w:eastAsia="Times New Roman"/>
          <w:color w:val="000000"/>
          <w:sz w:val="20"/>
          <w:szCs w:val="20"/>
        </w:rPr>
        <w:t>The fair values of Equitable Financial’s FABN funding agreements are determined by Bloomberg’s evaluated pricing service, which uses direct observations or observed comparables.</w:t>
      </w:r>
    </w:p>
    <w:p w:rsidR="00000000" w:rsidRDefault="00E54EC0">
      <w:pPr>
        <w:jc w:val="both"/>
        <w:divId w:val="1746099657"/>
        <w:rPr>
          <w:rFonts w:eastAsia="Times New Roman"/>
        </w:rPr>
      </w:pPr>
      <w:r>
        <w:rPr>
          <w:rFonts w:eastAsia="Times New Roman"/>
          <w:b/>
          <w:bCs/>
          <w:i/>
          <w:iCs/>
          <w:color w:val="000000"/>
          <w:sz w:val="20"/>
          <w:szCs w:val="20"/>
        </w:rPr>
        <w:t>Policyholder Liabilities - Investment Contracts and Sep</w:t>
      </w:r>
      <w:r>
        <w:rPr>
          <w:rFonts w:eastAsia="Times New Roman"/>
          <w:b/>
          <w:bCs/>
          <w:i/>
          <w:iCs/>
          <w:color w:val="000000"/>
          <w:sz w:val="20"/>
          <w:szCs w:val="20"/>
        </w:rPr>
        <w:t>arate Accounts Liabilities</w:t>
      </w:r>
    </w:p>
    <w:p w:rsidR="00000000" w:rsidRDefault="00E54EC0">
      <w:pPr>
        <w:divId w:val="273055108"/>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with fund investments in Separate Accounts, are estimated using project</w:t>
      </w:r>
      <w:r>
        <w:rPr>
          <w:rFonts w:eastAsia="Times New Roman"/>
          <w:color w:val="000000"/>
          <w:sz w:val="20"/>
          <w:szCs w:val="20"/>
        </w:rPr>
        <w:t xml:space="preserve">ed cash flows discounted at rates reflecting current market rates. Significant unobservable inputs reflected in the cash flows include lapse rates and withdrawal rates. Incremental adjustments may be made to the fair value to reflect non-performance risk. </w:t>
      </w:r>
      <w:r>
        <w:rPr>
          <w:rFonts w:eastAsia="Times New Roman"/>
          <w:color w:val="000000"/>
          <w:sz w:val="20"/>
          <w:szCs w:val="20"/>
        </w:rPr>
        <w:t>Certain other products such as the Company’s association plans contracts, supplementary contracts not involving life contingencies, Access Accounts and Escrow Shield Plus product reserves are held at book value.</w:t>
      </w:r>
    </w:p>
    <w:p w:rsidR="00000000" w:rsidRDefault="00E54EC0">
      <w:pPr>
        <w:divId w:val="1469661105"/>
        <w:rPr>
          <w:rFonts w:eastAsia="Times New Roman"/>
        </w:rPr>
      </w:pPr>
      <w:r>
        <w:rPr>
          <w:rFonts w:eastAsia="Times New Roman"/>
          <w:color w:val="000000"/>
          <w:sz w:val="20"/>
          <w:szCs w:val="20"/>
          <w:u w:val="single"/>
        </w:rPr>
        <w:t>Financial Instruments Exempt from Fair Value</w:t>
      </w:r>
      <w:r>
        <w:rPr>
          <w:rFonts w:eastAsia="Times New Roman"/>
          <w:color w:val="000000"/>
          <w:sz w:val="20"/>
          <w:szCs w:val="20"/>
          <w:u w:val="single"/>
        </w:rPr>
        <w:t xml:space="preserve"> Disclosure or Otherwise Not Required to be Disclosed</w:t>
      </w:r>
    </w:p>
    <w:p w:rsidR="00000000" w:rsidRDefault="00E54EC0">
      <w:pPr>
        <w:jc w:val="both"/>
        <w:divId w:val="2121759603"/>
        <w:rPr>
          <w:rFonts w:eastAsia="Times New Roman"/>
        </w:rPr>
      </w:pPr>
      <w:r>
        <w:rPr>
          <w:rFonts w:eastAsia="Times New Roman"/>
          <w:b/>
          <w:bCs/>
          <w:i/>
          <w:iCs/>
          <w:color w:val="000000"/>
          <w:sz w:val="20"/>
          <w:szCs w:val="20"/>
        </w:rPr>
        <w:t>Exempt from Fair Value Disclosure Requirements</w:t>
      </w:r>
    </w:p>
    <w:p w:rsidR="00000000" w:rsidRDefault="00E54EC0">
      <w:pPr>
        <w:divId w:val="709652864"/>
        <w:rPr>
          <w:rFonts w:eastAsia="Times New Roman"/>
        </w:rPr>
      </w:pPr>
      <w:r>
        <w:rPr>
          <w:rFonts w:eastAsia="Times New Roman"/>
          <w:color w:val="000000"/>
          <w:sz w:val="20"/>
          <w:szCs w:val="20"/>
        </w:rPr>
        <w:t>Certain financial instruments are exempt from the requirements for fair value disclosure, such as insurance liabilities other than financial guarantees and</w:t>
      </w:r>
      <w:r>
        <w:rPr>
          <w:rFonts w:eastAsia="Times New Roman"/>
          <w:color w:val="000000"/>
          <w:sz w:val="20"/>
          <w:szCs w:val="20"/>
        </w:rPr>
        <w:t xml:space="preserve"> investment contracts, limited partnerships accounted for under the equity method and pension and other postretirement obligations. </w:t>
      </w:r>
    </w:p>
    <w:p w:rsidR="00000000" w:rsidRDefault="00E54EC0">
      <w:pPr>
        <w:jc w:val="both"/>
        <w:divId w:val="1788962650"/>
        <w:rPr>
          <w:rFonts w:eastAsia="Times New Roman"/>
        </w:rPr>
      </w:pPr>
      <w:r>
        <w:rPr>
          <w:rFonts w:eastAsia="Times New Roman"/>
          <w:b/>
          <w:bCs/>
          <w:i/>
          <w:iCs/>
          <w:color w:val="000000"/>
          <w:sz w:val="20"/>
          <w:szCs w:val="20"/>
        </w:rPr>
        <w:t>Otherwise Not Required to be Included in the Table Above</w:t>
      </w:r>
    </w:p>
    <w:p w:rsidR="00000000" w:rsidRDefault="00E54EC0">
      <w:pPr>
        <w:divId w:val="201401058"/>
        <w:rPr>
          <w:rFonts w:eastAsia="Times New Roman"/>
        </w:rPr>
      </w:pPr>
      <w:r>
        <w:rPr>
          <w:rFonts w:eastAsia="Times New Roman"/>
          <w:color w:val="000000"/>
          <w:sz w:val="20"/>
          <w:szCs w:val="20"/>
        </w:rPr>
        <w:t>The Company’s investment in COLI policies are recorded at their ca</w:t>
      </w:r>
      <w:r>
        <w:rPr>
          <w:rFonts w:eastAsia="Times New Roman"/>
          <w:color w:val="000000"/>
          <w:sz w:val="20"/>
          <w:szCs w:val="20"/>
        </w:rPr>
        <w:t>sh surrender value and are therefore not required to be included in the table above. See Note 2 of the Notes to these Consolidated Financial Statements for further description of the Company’s accounting policy related to its investment in COLI policies.</w:t>
      </w:r>
    </w:p>
    <w:p w:rsidR="00000000" w:rsidRDefault="00E54EC0">
      <w:pPr>
        <w:divId w:val="997924970"/>
        <w:rPr>
          <w:rFonts w:eastAsia="Times New Roman"/>
        </w:rPr>
      </w:pPr>
      <w:r>
        <w:rPr>
          <w:rFonts w:eastAsia="Times New Roman"/>
          <w:b/>
          <w:bCs/>
          <w:color w:val="000000"/>
          <w:sz w:val="20"/>
          <w:szCs w:val="20"/>
        </w:rPr>
        <w:t>9</w:t>
      </w:r>
      <w:r>
        <w:rPr>
          <w:rFonts w:eastAsia="Times New Roman"/>
          <w:b/>
          <w:bCs/>
          <w:color w:val="000000"/>
          <w:sz w:val="20"/>
          <w:szCs w:val="20"/>
        </w:rPr>
        <w:t>)    </w:t>
      </w:r>
      <w:r>
        <w:rPr>
          <w:rFonts w:eastAsia="Times New Roman"/>
          <w:b/>
          <w:bCs/>
          <w:color w:val="000000"/>
          <w:sz w:val="20"/>
          <w:szCs w:val="20"/>
          <w:shd w:val="clear" w:color="auto" w:fill="FFFFFF"/>
        </w:rPr>
        <w:t>INSURANCE LIABILITIES</w:t>
      </w:r>
      <w:r>
        <w:rPr>
          <w:rFonts w:eastAsia="Times New Roman"/>
          <w:b/>
          <w:bCs/>
          <w:color w:val="000000"/>
          <w:sz w:val="20"/>
          <w:szCs w:val="20"/>
        </w:rPr>
        <w:t xml:space="preserve"> </w:t>
      </w:r>
    </w:p>
    <w:p w:rsidR="00000000" w:rsidRDefault="00E54EC0">
      <w:pPr>
        <w:divId w:val="324867273"/>
        <w:rPr>
          <w:rFonts w:eastAsia="Times New Roman"/>
        </w:rPr>
      </w:pPr>
      <w:r>
        <w:rPr>
          <w:rFonts w:eastAsia="Times New Roman"/>
          <w:color w:val="000000"/>
          <w:sz w:val="20"/>
          <w:szCs w:val="20"/>
          <w:u w:val="single"/>
        </w:rPr>
        <w:t>Variable Annuity Contracts – GMDB, GMIB, GIB and GWBL and Other Features</w:t>
      </w:r>
    </w:p>
    <w:p w:rsidR="00000000" w:rsidRDefault="00E54EC0">
      <w:pPr>
        <w:divId w:val="2123570336"/>
        <w:rPr>
          <w:rFonts w:eastAsia="Times New Roman"/>
        </w:rPr>
      </w:pPr>
      <w:r>
        <w:rPr>
          <w:rFonts w:eastAsia="Times New Roman"/>
          <w:color w:val="000000"/>
          <w:sz w:val="20"/>
          <w:szCs w:val="20"/>
        </w:rPr>
        <w:t>The Company has certain variable annuity contracts with GMDB, GMIB, GIB and GWBL and other features in-force that guarantee one of the following:</w:t>
      </w:r>
    </w:p>
    <w:p w:rsidR="00000000" w:rsidRDefault="00E54EC0">
      <w:pPr>
        <w:ind w:hanging="360"/>
        <w:jc w:val="both"/>
        <w:divId w:val="763458378"/>
        <w:rPr>
          <w:rFonts w:eastAsia="Times New Roman"/>
        </w:rPr>
      </w:pPr>
      <w:r>
        <w:rPr>
          <w:rFonts w:eastAsia="Times New Roman"/>
          <w:color w:val="000000"/>
          <w:sz w:val="20"/>
          <w:szCs w:val="20"/>
        </w:rPr>
        <w:t>•Return of Premium: the benefit is the greater of current account value or premiums paid (adjusted for withdra</w:t>
      </w:r>
      <w:r>
        <w:rPr>
          <w:rFonts w:eastAsia="Times New Roman"/>
          <w:color w:val="000000"/>
          <w:sz w:val="20"/>
          <w:szCs w:val="20"/>
        </w:rPr>
        <w:t>wals);</w:t>
      </w:r>
    </w:p>
    <w:p w:rsidR="00000000" w:rsidRDefault="00E54EC0">
      <w:pPr>
        <w:ind w:hanging="360"/>
        <w:jc w:val="both"/>
        <w:divId w:val="86583194"/>
        <w:rPr>
          <w:rFonts w:eastAsia="Times New Roman"/>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p w:rsidR="00000000" w:rsidRDefault="00E54EC0">
      <w:pPr>
        <w:jc w:val="center"/>
        <w:divId w:val="1174228767"/>
        <w:rPr>
          <w:rFonts w:eastAsia="Times New Roman"/>
        </w:rPr>
      </w:pPr>
      <w:r>
        <w:rPr>
          <w:rFonts w:eastAsia="Times New Roman"/>
          <w:color w:val="000000"/>
          <w:sz w:val="20"/>
          <w:szCs w:val="20"/>
        </w:rPr>
        <w:t>193</w:t>
      </w:r>
    </w:p>
    <w:p w:rsidR="00000000" w:rsidRDefault="00E54EC0">
      <w:pPr>
        <w:rPr>
          <w:rFonts w:eastAsia="Times New Roman"/>
        </w:rPr>
      </w:pPr>
      <w:r>
        <w:rPr>
          <w:rFonts w:eastAsia="Times New Roman"/>
        </w:rPr>
        <w:pict>
          <v:rect id="_x0000_i1231" style="width:0;height:1.5pt" o:hralign="center" o:hrstd="t" o:hr="t" fillcolor="#a0a0a0" stroked="f"/>
        </w:pict>
      </w:r>
    </w:p>
    <w:p w:rsidR="00000000" w:rsidRDefault="00E54EC0">
      <w:pPr>
        <w:jc w:val="center"/>
        <w:divId w:val="1757900106"/>
        <w:rPr>
          <w:rFonts w:eastAsia="Times New Roman"/>
        </w:rPr>
      </w:pPr>
      <w:r>
        <w:rPr>
          <w:rFonts w:eastAsia="Times New Roman"/>
          <w:b/>
          <w:bCs/>
          <w:color w:val="000000"/>
          <w:sz w:val="20"/>
          <w:szCs w:val="20"/>
        </w:rPr>
        <w:t>EQUITABLE HOLDINGS, INC.</w:t>
      </w:r>
    </w:p>
    <w:p w:rsidR="00000000" w:rsidRDefault="00E54EC0">
      <w:pPr>
        <w:jc w:val="center"/>
        <w:divId w:val="1757900106"/>
        <w:rPr>
          <w:rFonts w:eastAsia="Times New Roman"/>
        </w:rPr>
      </w:pPr>
      <w:r>
        <w:rPr>
          <w:rFonts w:eastAsia="Times New Roman"/>
          <w:b/>
          <w:bCs/>
          <w:color w:val="000000"/>
          <w:sz w:val="20"/>
          <w:szCs w:val="20"/>
        </w:rPr>
        <w:t>NOTES TO CONSOLIDATED FINANCIAL STATEMENTS, continued</w:t>
      </w:r>
    </w:p>
    <w:p w:rsidR="00000000" w:rsidRDefault="00E54EC0">
      <w:pPr>
        <w:ind w:hanging="360"/>
        <w:jc w:val="both"/>
        <w:divId w:val="1717043529"/>
        <w:rPr>
          <w:rFonts w:eastAsia="Times New Roman"/>
        </w:rPr>
      </w:pPr>
      <w:r>
        <w:rPr>
          <w:rFonts w:eastAsia="Times New Roman"/>
          <w:color w:val="000000"/>
          <w:sz w:val="20"/>
          <w:szCs w:val="20"/>
        </w:rPr>
        <w:t>•Roll-Up: the benefit is the greater of current account value or premiums paid (adjusted for withdrawals) accumulated at contractually specified interest rates up to spe</w:t>
      </w:r>
      <w:r>
        <w:rPr>
          <w:rFonts w:eastAsia="Times New Roman"/>
          <w:color w:val="000000"/>
          <w:sz w:val="20"/>
          <w:szCs w:val="20"/>
        </w:rPr>
        <w:t>cified ages;</w:t>
      </w:r>
    </w:p>
    <w:p w:rsidR="00000000" w:rsidRDefault="00E54EC0">
      <w:pPr>
        <w:ind w:hanging="360"/>
        <w:jc w:val="both"/>
        <w:divId w:val="1749495743"/>
        <w:rPr>
          <w:rFonts w:eastAsia="Times New Roman"/>
        </w:rPr>
      </w:pPr>
      <w:r>
        <w:rPr>
          <w:rFonts w:eastAsia="Times New Roman"/>
          <w:color w:val="000000"/>
          <w:sz w:val="20"/>
          <w:szCs w:val="20"/>
        </w:rPr>
        <w:t>•Combo: the benefit is the greater of the ratchet benefit or the roll-up benefit, which may include either a five year or an annual reset; or</w:t>
      </w:r>
    </w:p>
    <w:p w:rsidR="00000000" w:rsidRDefault="00E54EC0">
      <w:pPr>
        <w:ind w:hanging="360"/>
        <w:divId w:val="1200894341"/>
        <w:rPr>
          <w:rFonts w:eastAsia="Times New Roman"/>
        </w:rPr>
      </w:pPr>
      <w:r>
        <w:rPr>
          <w:rFonts w:eastAsia="Times New Roman"/>
          <w:color w:val="000000"/>
          <w:sz w:val="20"/>
          <w:szCs w:val="20"/>
        </w:rPr>
        <w:t xml:space="preserve">•Withdrawal: the withdrawal is guaranteed up to a maximum amount per year for life. </w:t>
      </w:r>
    </w:p>
    <w:p w:rsidR="00000000" w:rsidRDefault="00E54EC0">
      <w:pPr>
        <w:jc w:val="both"/>
        <w:divId w:val="1139762031"/>
        <w:rPr>
          <w:rFonts w:eastAsia="Times New Roman"/>
        </w:rPr>
      </w:pPr>
      <w:r>
        <w:rPr>
          <w:rFonts w:eastAsia="Times New Roman"/>
          <w:b/>
          <w:bCs/>
          <w:i/>
          <w:iCs/>
          <w:color w:val="000000"/>
          <w:sz w:val="20"/>
          <w:szCs w:val="20"/>
        </w:rPr>
        <w:t xml:space="preserve">Liabilities for </w:t>
      </w:r>
      <w:r>
        <w:rPr>
          <w:rFonts w:eastAsia="Times New Roman"/>
          <w:b/>
          <w:bCs/>
          <w:i/>
          <w:iCs/>
          <w:color w:val="000000"/>
          <w:sz w:val="20"/>
          <w:szCs w:val="20"/>
        </w:rPr>
        <w:t>Variable Annuity Contracts with GMDB and GMIB Features without NLG Rider Feature</w:t>
      </w:r>
    </w:p>
    <w:p w:rsidR="00000000" w:rsidRDefault="00E54EC0">
      <w:pPr>
        <w:divId w:val="955868287"/>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 for the dire</w:t>
      </w:r>
      <w:r>
        <w:rPr>
          <w:rFonts w:eastAsia="Times New Roman"/>
          <w:color w:val="000000"/>
          <w:sz w:val="20"/>
          <w:szCs w:val="20"/>
        </w:rPr>
        <w:t>ct contracts (before reinsurance ceded) and assumed contracts are reflected in the consolidated balance sheets in future policy benefits and other policyholders’ liabilities. The amounts for the ceded contracts are reflected in the consolidated balance she</w:t>
      </w:r>
      <w:r>
        <w:rPr>
          <w:rFonts w:eastAsia="Times New Roman"/>
          <w:color w:val="000000"/>
          <w:sz w:val="20"/>
          <w:szCs w:val="20"/>
        </w:rPr>
        <w:t>ets in amounts due from reinsurers. The amounts for the ceded GMIB that are reflected in the consolidated balance sheets in GMIB reinsurance contract asset are at fair value.</w:t>
      </w:r>
    </w:p>
    <w:p w:rsidR="00000000" w:rsidRDefault="00E54EC0">
      <w:pPr>
        <w:divId w:val="98139214"/>
        <w:rPr>
          <w:rFonts w:eastAsia="Times New Roman"/>
        </w:rPr>
      </w:pPr>
    </w:p>
    <w:p w:rsidR="00000000" w:rsidRDefault="00E54EC0">
      <w:pPr>
        <w:jc w:val="center"/>
        <w:rPr>
          <w:rFonts w:eastAsia="Times New Roman"/>
        </w:rPr>
      </w:pPr>
      <w:r>
        <w:rPr>
          <w:rFonts w:eastAsia="Times New Roman"/>
          <w:b/>
          <w:bCs/>
          <w:color w:val="000000"/>
          <w:sz w:val="20"/>
          <w:szCs w:val="20"/>
        </w:rPr>
        <w:t xml:space="preserve">Change in Liability for Variable Annuity Contracts with GMDB and GMIB Features </w:t>
      </w:r>
      <w:r>
        <w:rPr>
          <w:rFonts w:eastAsia="Times New Roman"/>
          <w:b/>
          <w:bCs/>
          <w:color w:val="000000"/>
          <w:sz w:val="20"/>
          <w:szCs w:val="20"/>
        </w:rPr>
        <w:t>and No NLG Feature</w:t>
      </w:r>
    </w:p>
    <w:p w:rsidR="00000000" w:rsidRDefault="00E54EC0">
      <w:pPr>
        <w:jc w:val="center"/>
        <w:rPr>
          <w:rFonts w:eastAsia="Times New Roman"/>
        </w:rPr>
      </w:pPr>
      <w:r>
        <w:rPr>
          <w:rFonts w:eastAsia="Times New Roman"/>
          <w:b/>
          <w:bCs/>
          <w:color w:val="000000"/>
          <w:sz w:val="20"/>
          <w:szCs w:val="20"/>
        </w:rPr>
        <w:t>Years Ended December 31, 2022, 2021 and 2020</w:t>
      </w:r>
    </w:p>
    <w:p w:rsidR="00000000" w:rsidRDefault="00E54E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E54EC0">
            <w:pPr>
              <w:jc w:val="center"/>
              <w:rPr>
                <w:rFonts w:eastAsia="Times New Roman"/>
              </w:rPr>
            </w:pPr>
          </w:p>
        </w:tc>
        <w:tc>
          <w:tcPr>
            <w:tcW w:w="213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4,780 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4,673 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December 31, 2020</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5,097 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6,026 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(2,488)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Impact of the Venerable Transaction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(2,176)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December 31,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2,216)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5,892 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(3,968)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December 31, 2022</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(2,326)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center"/>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1051072623"/>
        <w:rPr>
          <w:rFonts w:eastAsia="Times New Roman"/>
        </w:rPr>
      </w:pPr>
      <w:r>
        <w:rPr>
          <w:rFonts w:eastAsia="Times New Roman"/>
          <w:b/>
          <w:bCs/>
          <w:color w:val="000000"/>
          <w:sz w:val="16"/>
          <w:szCs w:val="16"/>
        </w:rPr>
        <w:t>______________</w:t>
      </w:r>
    </w:p>
    <w:p w:rsidR="00000000" w:rsidRDefault="00E54EC0">
      <w:pPr>
        <w:ind w:hanging="360"/>
        <w:divId w:val="1467309163"/>
        <w:rPr>
          <w:rFonts w:eastAsia="Times New Roman"/>
        </w:rPr>
      </w:pPr>
      <w:r>
        <w:rPr>
          <w:rFonts w:eastAsia="Times New Roman"/>
          <w:color w:val="000000"/>
          <w:sz w:val="18"/>
          <w:szCs w:val="18"/>
        </w:rPr>
        <w:t xml:space="preserve">(1)Change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E54EC0">
      <w:pPr>
        <w:ind w:hanging="360"/>
        <w:divId w:val="455295157"/>
        <w:rPr>
          <w:rFonts w:eastAsia="Times New Roman"/>
        </w:rPr>
      </w:pPr>
      <w:r>
        <w:rPr>
          <w:rFonts w:eastAsia="Times New Roman"/>
          <w:color w:val="000000"/>
          <w:sz w:val="18"/>
          <w:szCs w:val="18"/>
        </w:rPr>
        <w:t>(2)</w:t>
      </w:r>
      <w:r>
        <w:rPr>
          <w:rFonts w:eastAsia="Times New Roman"/>
          <w:color w:val="000000"/>
          <w:sz w:val="18"/>
          <w:szCs w:val="18"/>
        </w:rPr>
        <w:t>Includes the impact as of June 1, 2021 on the ceded reserves to Venerable. See Note 1 of the Notes to these Consolidated Financial Statements for details of the Venerable Transaction.</w:t>
      </w:r>
    </w:p>
    <w:p w:rsidR="00000000" w:rsidRDefault="00E54EC0">
      <w:pPr>
        <w:jc w:val="both"/>
        <w:divId w:val="1788813170"/>
        <w:rPr>
          <w:rFonts w:eastAsia="Times New Roman"/>
        </w:rPr>
      </w:pPr>
      <w:r>
        <w:rPr>
          <w:rFonts w:eastAsia="Times New Roman"/>
          <w:b/>
          <w:bCs/>
          <w:i/>
          <w:iCs/>
          <w:color w:val="000000"/>
          <w:sz w:val="20"/>
          <w:szCs w:val="20"/>
        </w:rPr>
        <w:t>Liabilities for Embedded and Freestanding Insurance Related Derivatives</w:t>
      </w:r>
    </w:p>
    <w:p w:rsidR="00000000" w:rsidRDefault="00E54EC0">
      <w:pPr>
        <w:divId w:val="1575773263"/>
        <w:rPr>
          <w:rFonts w:eastAsia="Times New Roman"/>
        </w:rPr>
      </w:pPr>
      <w:r>
        <w:rPr>
          <w:rFonts w:eastAsia="Times New Roman"/>
          <w:color w:val="000000"/>
          <w:sz w:val="20"/>
          <w:szCs w:val="20"/>
        </w:rPr>
        <w:t>The liability for the GMxB derivative features, the liability for SCS, SIO, MSO and IUL indexed features and the asset and liability for the GMIB reinsurance contracts and amounts due from reinsurers related to GMIB NLG product features (GMIB NLG Reinsuran</w:t>
      </w:r>
      <w:r>
        <w:rPr>
          <w:rFonts w:eastAsia="Times New Roman"/>
          <w:color w:val="000000"/>
          <w:sz w:val="20"/>
          <w:szCs w:val="20"/>
        </w:rPr>
        <w:t>ce) are considered embedded or freestanding insurance derivatives and are reported at fair value. For the fair value of the assets and liabilities associated with these embedded or freestanding insurance derivatives, see Note 8 of the Notes to these Consol</w:t>
      </w:r>
      <w:r>
        <w:rPr>
          <w:rFonts w:eastAsia="Times New Roman"/>
          <w:color w:val="000000"/>
          <w:sz w:val="20"/>
          <w:szCs w:val="20"/>
        </w:rPr>
        <w:t>idated Financial Statements.</w:t>
      </w:r>
    </w:p>
    <w:p w:rsidR="00000000" w:rsidRDefault="00E54EC0">
      <w:pPr>
        <w:jc w:val="both"/>
        <w:divId w:val="1040739197"/>
        <w:rPr>
          <w:rFonts w:eastAsia="Times New Roman"/>
        </w:rPr>
      </w:pPr>
      <w:r>
        <w:rPr>
          <w:rFonts w:eastAsia="Times New Roman"/>
          <w:b/>
          <w:bCs/>
          <w:i/>
          <w:iCs/>
          <w:color w:val="000000"/>
          <w:sz w:val="20"/>
          <w:szCs w:val="20"/>
        </w:rPr>
        <w:t>Account Values and Net Amount at Risk</w:t>
      </w:r>
    </w:p>
    <w:p w:rsidR="00000000" w:rsidRDefault="00E54EC0">
      <w:pPr>
        <w:divId w:val="1376924076"/>
        <w:rPr>
          <w:rFonts w:eastAsia="Times New Roman"/>
        </w:rPr>
      </w:pPr>
      <w:r>
        <w:rPr>
          <w:rFonts w:eastAsia="Times New Roman"/>
          <w:color w:val="000000"/>
          <w:sz w:val="20"/>
          <w:szCs w:val="20"/>
        </w:rPr>
        <w:t>Account Values and NAR for direct variable annuity contracts in force with GMDB and GMIB features as of December 31, 2022 are presented in the following tables by guarantee type. For contra</w:t>
      </w:r>
      <w:r>
        <w:rPr>
          <w:rFonts w:eastAsia="Times New Roman"/>
          <w:color w:val="000000"/>
          <w:sz w:val="20"/>
          <w:szCs w:val="20"/>
        </w:rPr>
        <w:t xml:space="preserve">cts with the GMDB feature, the NAR in the event of death is the amount by which the GMDB feature exceeds the related Account Values. For contracts with the GMIB feature, the NAR in the event of annuitization is the amount by which the present value of the </w:t>
      </w:r>
      <w:r>
        <w:rPr>
          <w:rFonts w:eastAsia="Times New Roman"/>
          <w:color w:val="000000"/>
          <w:sz w:val="20"/>
          <w:szCs w:val="20"/>
        </w:rPr>
        <w:t xml:space="preserve">GMIB benefits exceed the related Account Values, taking into account the relationship between current annuity purchase rates and the GMIB guaranteed annuity purchase rates. Since variable annuity contracts with GMDB features may also offer GMIB guarantees </w:t>
      </w:r>
      <w:r>
        <w:rPr>
          <w:rFonts w:eastAsia="Times New Roman"/>
          <w:color w:val="000000"/>
          <w:sz w:val="20"/>
          <w:szCs w:val="20"/>
        </w:rPr>
        <w:t>in the same contract, the GMDB and GMIB amounts listed are not mutually exclusive.</w:t>
      </w:r>
    </w:p>
    <w:p w:rsidR="00000000" w:rsidRDefault="00E54EC0">
      <w:pPr>
        <w:jc w:val="center"/>
        <w:divId w:val="539241279"/>
        <w:rPr>
          <w:rFonts w:eastAsia="Times New Roman"/>
        </w:rPr>
      </w:pPr>
      <w:r>
        <w:rPr>
          <w:rFonts w:eastAsia="Times New Roman"/>
          <w:color w:val="000000"/>
          <w:sz w:val="20"/>
          <w:szCs w:val="20"/>
        </w:rPr>
        <w:t>194</w:t>
      </w:r>
    </w:p>
    <w:p w:rsidR="00000000" w:rsidRDefault="00E54EC0">
      <w:pPr>
        <w:rPr>
          <w:rFonts w:eastAsia="Times New Roman"/>
        </w:rPr>
      </w:pPr>
      <w:r>
        <w:rPr>
          <w:rFonts w:eastAsia="Times New Roman"/>
        </w:rPr>
        <w:pict>
          <v:rect id="_x0000_i1232" style="width:0;height:1.5pt" o:hralign="center" o:hrstd="t" o:hr="t" fillcolor="#a0a0a0" stroked="f"/>
        </w:pict>
      </w:r>
    </w:p>
    <w:p w:rsidR="00000000" w:rsidRDefault="00E54EC0">
      <w:pPr>
        <w:jc w:val="center"/>
        <w:divId w:val="1269507545"/>
        <w:rPr>
          <w:rFonts w:eastAsia="Times New Roman"/>
        </w:rPr>
      </w:pPr>
      <w:r>
        <w:rPr>
          <w:rFonts w:eastAsia="Times New Roman"/>
          <w:b/>
          <w:bCs/>
          <w:color w:val="000000"/>
          <w:sz w:val="20"/>
          <w:szCs w:val="20"/>
        </w:rPr>
        <w:t>EQUITABLE HOLDINGS, INC.</w:t>
      </w:r>
    </w:p>
    <w:p w:rsidR="00000000" w:rsidRDefault="00E54EC0">
      <w:pPr>
        <w:jc w:val="center"/>
        <w:divId w:val="1269507545"/>
        <w:rPr>
          <w:rFonts w:eastAsia="Times New Roman"/>
        </w:rPr>
      </w:pPr>
      <w:r>
        <w:rPr>
          <w:rFonts w:eastAsia="Times New Roman"/>
          <w:b/>
          <w:bCs/>
          <w:color w:val="000000"/>
          <w:sz w:val="20"/>
          <w:szCs w:val="20"/>
        </w:rPr>
        <w:t>NOTES TO CONSOLIDATED FINANCIAL STATEMENTS, continued</w:t>
      </w:r>
    </w:p>
    <w:p w:rsidR="00000000" w:rsidRDefault="00E54EC0">
      <w:pPr>
        <w:jc w:val="center"/>
        <w:rPr>
          <w:rFonts w:eastAsia="Times New Roman"/>
        </w:rPr>
      </w:pPr>
      <w:r>
        <w:rPr>
          <w:rFonts w:eastAsia="Times New Roman"/>
          <w:b/>
          <w:bCs/>
          <w:color w:val="000000"/>
          <w:sz w:val="20"/>
          <w:szCs w:val="20"/>
        </w:rPr>
        <w:t xml:space="preserve">Direct Variable Annuity Contracts with GMDB and GMIB </w:t>
      </w:r>
      <w:r>
        <w:rPr>
          <w:rFonts w:eastAsia="Times New Roman"/>
          <w:b/>
          <w:bCs/>
          <w:color w:val="000000"/>
          <w:sz w:val="20"/>
          <w:szCs w:val="20"/>
        </w:rPr>
        <w:t>Features</w:t>
      </w:r>
    </w:p>
    <w:p w:rsidR="00000000" w:rsidRDefault="00E54EC0">
      <w:pPr>
        <w:jc w:val="center"/>
        <w:rPr>
          <w:rFonts w:eastAsia="Times New Roman"/>
        </w:rPr>
      </w:pPr>
      <w:r>
        <w:rPr>
          <w:rFonts w:eastAsia="Times New Roman"/>
          <w:b/>
          <w:bCs/>
          <w:color w:val="000000"/>
          <w:sz w:val="20"/>
          <w:szCs w:val="20"/>
        </w:rPr>
        <w:t>as of December 31,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155"/>
        <w:gridCol w:w="37"/>
        <w:gridCol w:w="120"/>
        <w:gridCol w:w="683"/>
        <w:gridCol w:w="221"/>
        <w:gridCol w:w="36"/>
        <w:gridCol w:w="36"/>
        <w:gridCol w:w="36"/>
        <w:gridCol w:w="120"/>
        <w:gridCol w:w="500"/>
        <w:gridCol w:w="220"/>
        <w:gridCol w:w="36"/>
        <w:gridCol w:w="36"/>
        <w:gridCol w:w="36"/>
        <w:gridCol w:w="120"/>
        <w:gridCol w:w="583"/>
        <w:gridCol w:w="222"/>
        <w:gridCol w:w="36"/>
        <w:gridCol w:w="36"/>
        <w:gridCol w:w="36"/>
        <w:gridCol w:w="121"/>
        <w:gridCol w:w="479"/>
        <w:gridCol w:w="220"/>
        <w:gridCol w:w="36"/>
        <w:gridCol w:w="36"/>
        <w:gridCol w:w="36"/>
        <w:gridCol w:w="121"/>
        <w:gridCol w:w="683"/>
        <w:gridCol w:w="220"/>
      </w:tblGrid>
      <w:tr w:rsidR="00000000">
        <w:trPr>
          <w:divId w:val="1137455745"/>
          <w:jc w:val="center"/>
        </w:trPr>
        <w:tc>
          <w:tcPr>
            <w:tcW w:w="50" w:type="pct"/>
            <w:vAlign w:val="center"/>
            <w:hideMark/>
          </w:tcPr>
          <w:p w:rsidR="00000000" w:rsidRDefault="00E54EC0">
            <w:pPr>
              <w:jc w:val="center"/>
              <w:rPr>
                <w:rFonts w:eastAsia="Times New Roman"/>
              </w:rPr>
            </w:pPr>
          </w:p>
        </w:tc>
        <w:tc>
          <w:tcPr>
            <w:tcW w:w="23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Guarantee Type</w:t>
            </w:r>
          </w:p>
        </w:tc>
      </w:tr>
      <w:tr w:rsidR="00000000">
        <w:trPr>
          <w:divId w:val="1137455745"/>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1137455745"/>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age and interest rate)</w:t>
            </w:r>
          </w:p>
        </w:tc>
      </w:tr>
      <w:tr w:rsidR="00000000">
        <w:trPr>
          <w:divId w:val="113745574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Account Values invested in:</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16,891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97</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17,178</w:t>
            </w:r>
          </w:p>
        </w:tc>
      </w:tr>
      <w:tr w:rsidR="00000000">
        <w:trPr>
          <w:divId w:val="1137455745"/>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w:t>
            </w:r>
          </w:p>
        </w:tc>
        <w:tc>
          <w:tcPr>
            <w:tcW w:w="0" w:type="auto"/>
            <w:gridSpan w:val="3"/>
            <w:shd w:val="clear" w:color="auto" w:fill="FFFF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47,608</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7,445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2,452</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25,211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82,716</w:t>
            </w:r>
          </w:p>
        </w:tc>
      </w:tr>
      <w:tr w:rsidR="00000000">
        <w:trPr>
          <w:divId w:val="1137455745"/>
          <w:jc w:val="center"/>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64,499</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7,542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2,498</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25,355</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99,894</w:t>
            </w:r>
          </w:p>
        </w:tc>
      </w:tr>
      <w:tr w:rsidR="00000000">
        <w:trPr>
          <w:divId w:val="113745574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1,843</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23,101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27,105</w:t>
            </w: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1,291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1,341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12,469</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15,827</w:t>
            </w:r>
          </w:p>
        </w:tc>
      </w:tr>
      <w:tr w:rsidR="00000000">
        <w:trPr>
          <w:divId w:val="113745574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51.6</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69.8</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76.1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71.8</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55.3</w:t>
            </w:r>
          </w:p>
        </w:tc>
      </w:tr>
      <w:tr w:rsidR="00000000">
        <w:trPr>
          <w:divId w:val="1137455745"/>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divId w:val="2101371876"/>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divId w:val="1391031340"/>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divId w:val="1690641805"/>
              <w:rPr>
                <w:rFonts w:eastAsia="Times New Roman"/>
              </w:rPr>
            </w:pPr>
            <w:r>
              <w:rPr>
                <w:rFonts w:eastAsia="Times New Roman"/>
                <w:b/>
                <w:bCs/>
                <w:color w:val="000000"/>
                <w:sz w:val="20"/>
                <w:szCs w:val="20"/>
              </w:rPr>
              <w:t>3% - 6.5%</w:t>
            </w:r>
          </w:p>
        </w:tc>
      </w:tr>
      <w:tr w:rsidR="00000000">
        <w:trPr>
          <w:divId w:val="113745574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188</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w:t>
            </w:r>
          </w:p>
        </w:tc>
      </w:tr>
      <w:tr w:rsidR="00000000">
        <w:trPr>
          <w:divId w:val="1137455745"/>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21,001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26,529</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47,530</w:t>
            </w:r>
          </w:p>
        </w:tc>
      </w:tr>
      <w:tr w:rsidR="00000000">
        <w:trPr>
          <w:divId w:val="1137455745"/>
          <w:jc w:val="center"/>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21,015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26,717</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47,732</w:t>
            </w:r>
          </w:p>
        </w:tc>
      </w:tr>
      <w:tr w:rsidR="00000000">
        <w:trPr>
          <w:divId w:val="1137455745"/>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489</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7,540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8,029</w:t>
            </w:r>
          </w:p>
        </w:tc>
      </w:tr>
      <w:tr w:rsidR="00000000">
        <w:trPr>
          <w:divId w:val="1137455745"/>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3,071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3,228</w:t>
            </w:r>
          </w:p>
        </w:tc>
      </w:tr>
      <w:tr w:rsidR="00000000">
        <w:trPr>
          <w:divId w:val="1137455745"/>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37455745"/>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65.8</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71.4</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69.2</w:t>
            </w:r>
          </w:p>
        </w:tc>
      </w:tr>
      <w:tr w:rsidR="00000000">
        <w:trPr>
          <w:divId w:val="1137455745"/>
          <w:jc w:val="center"/>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5.4</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0.5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p>
        </w:tc>
      </w:tr>
      <w:tr w:rsidR="00000000">
        <w:trPr>
          <w:divId w:val="1137455745"/>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divId w:val="477696578"/>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divId w:val="240144198"/>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divId w:val="1571504232"/>
              <w:rPr>
                <w:rFonts w:eastAsia="Times New Roman"/>
              </w:rPr>
            </w:pPr>
            <w:r>
              <w:rPr>
                <w:rFonts w:eastAsia="Times New Roman"/>
                <w:b/>
                <w:bCs/>
                <w:color w:val="000000"/>
                <w:sz w:val="20"/>
                <w:szCs w:val="20"/>
              </w:rPr>
              <w:t>3% - 6.5%</w:t>
            </w:r>
          </w:p>
        </w:tc>
      </w:tr>
    </w:tbl>
    <w:p w:rsidR="00000000" w:rsidRDefault="00E54EC0">
      <w:pPr>
        <w:jc w:val="center"/>
        <w:rPr>
          <w:rFonts w:eastAsia="Times New Roman"/>
        </w:rPr>
      </w:pPr>
    </w:p>
    <w:p w:rsidR="00000000" w:rsidRDefault="00E54EC0">
      <w:pPr>
        <w:divId w:val="405956733"/>
        <w:rPr>
          <w:rFonts w:eastAsia="Times New Roman"/>
        </w:rPr>
      </w:pPr>
      <w:r>
        <w:rPr>
          <w:rFonts w:eastAsia="Times New Roman"/>
          <w:color w:val="000000"/>
          <w:sz w:val="20"/>
          <w:szCs w:val="20"/>
        </w:rPr>
        <w:t xml:space="preserve">For more information about the reinsurance programs of the Company’s GMDB and GMIB exposure, see “Reinsurance” </w:t>
      </w:r>
      <w:r>
        <w:rPr>
          <w:rFonts w:eastAsia="Times New Roman"/>
          <w:color w:val="000000"/>
          <w:sz w:val="20"/>
          <w:szCs w:val="20"/>
        </w:rPr>
        <w:t>in Note 11 of the Notes to these Consolidated Financial Statements 2021 Form 10-K.</w:t>
      </w:r>
    </w:p>
    <w:p w:rsidR="00000000" w:rsidRDefault="00E54EC0">
      <w:pPr>
        <w:divId w:val="674304184"/>
        <w:rPr>
          <w:rFonts w:eastAsia="Times New Roman"/>
        </w:rPr>
      </w:pPr>
      <w:r>
        <w:rPr>
          <w:rFonts w:eastAsia="Times New Roman"/>
          <w:color w:val="000000"/>
          <w:sz w:val="20"/>
          <w:szCs w:val="20"/>
          <w:u w:val="single"/>
        </w:rPr>
        <w:t>Separate Accounts Investments by Investment Category Underlying Variable Annuity Contracts with GMDB and GMIB Features</w:t>
      </w:r>
    </w:p>
    <w:p w:rsidR="00000000" w:rsidRDefault="00E54EC0">
      <w:pPr>
        <w:divId w:val="1581021679"/>
        <w:rPr>
          <w:rFonts w:eastAsia="Times New Roman"/>
        </w:rPr>
      </w:pPr>
      <w:r>
        <w:rPr>
          <w:rFonts w:eastAsia="Times New Roman"/>
          <w:color w:val="000000"/>
          <w:sz w:val="20"/>
          <w:szCs w:val="20"/>
        </w:rPr>
        <w:t>The total Account Values of variable annuity contracts with GMDB and GMIB features include amounts allocated to the guaranteed interest o</w:t>
      </w:r>
      <w:r>
        <w:rPr>
          <w:rFonts w:eastAsia="Times New Roman"/>
          <w:color w:val="000000"/>
          <w:sz w:val="20"/>
          <w:szCs w:val="20"/>
        </w:rPr>
        <w:t xml:space="preserve">ption, which is part of the General Account and variable investment options that invest through Separate Accounts in variable insurance trusts. The following table presents the aggregate fair value of assets, by major investment category, held by Separate </w:t>
      </w:r>
      <w:r>
        <w:rPr>
          <w:rFonts w:eastAsia="Times New Roman"/>
          <w:color w:val="000000"/>
          <w:sz w:val="20"/>
          <w:szCs w:val="20"/>
        </w:rPr>
        <w:t>Accounts that support variable annuity contracts with GMDB and GMIB features. The investment performance of the assets impacts the related Account Values and, consequently, the NAR associated with the GMDB and GMIB benefits and guarantees. Because the Comp</w:t>
      </w:r>
      <w:r>
        <w:rPr>
          <w:rFonts w:eastAsia="Times New Roman"/>
          <w:color w:val="000000"/>
          <w:sz w:val="20"/>
          <w:szCs w:val="20"/>
        </w:rPr>
        <w:t>any’s variable annuity contracts offer both GMDB and GMIB features, GMDB and GMIB amounts are not mutually exclusive.</w:t>
      </w:r>
    </w:p>
    <w:p w:rsidR="00000000" w:rsidRDefault="00E54EC0">
      <w:pPr>
        <w:jc w:val="center"/>
        <w:divId w:val="54813725"/>
        <w:rPr>
          <w:rFonts w:eastAsia="Times New Roman"/>
        </w:rPr>
      </w:pPr>
      <w:r>
        <w:rPr>
          <w:rFonts w:eastAsia="Times New Roman"/>
          <w:color w:val="000000"/>
          <w:sz w:val="20"/>
          <w:szCs w:val="20"/>
        </w:rPr>
        <w:t>195</w:t>
      </w:r>
    </w:p>
    <w:p w:rsidR="00000000" w:rsidRDefault="00E54EC0">
      <w:pPr>
        <w:rPr>
          <w:rFonts w:eastAsia="Times New Roman"/>
        </w:rPr>
      </w:pPr>
      <w:r>
        <w:rPr>
          <w:rFonts w:eastAsia="Times New Roman"/>
        </w:rPr>
        <w:pict>
          <v:rect id="_x0000_i1233" style="width:0;height:1.5pt" o:hralign="center" o:hrstd="t" o:hr="t" fillcolor="#a0a0a0" stroked="f"/>
        </w:pict>
      </w:r>
    </w:p>
    <w:p w:rsidR="00000000" w:rsidRDefault="00E54EC0">
      <w:pPr>
        <w:jc w:val="center"/>
        <w:divId w:val="379138453"/>
        <w:rPr>
          <w:rFonts w:eastAsia="Times New Roman"/>
        </w:rPr>
      </w:pPr>
      <w:r>
        <w:rPr>
          <w:rFonts w:eastAsia="Times New Roman"/>
          <w:b/>
          <w:bCs/>
          <w:color w:val="000000"/>
          <w:sz w:val="20"/>
          <w:szCs w:val="20"/>
        </w:rPr>
        <w:t>EQUITABLE HOLDINGS, INC.</w:t>
      </w:r>
    </w:p>
    <w:p w:rsidR="00000000" w:rsidRDefault="00E54EC0">
      <w:pPr>
        <w:jc w:val="center"/>
        <w:divId w:val="379138453"/>
        <w:rPr>
          <w:rFonts w:eastAsia="Times New Roman"/>
        </w:rPr>
      </w:pPr>
      <w:r>
        <w:rPr>
          <w:rFonts w:eastAsia="Times New Roman"/>
          <w:b/>
          <w:bCs/>
          <w:color w:val="000000"/>
          <w:sz w:val="20"/>
          <w:szCs w:val="20"/>
        </w:rPr>
        <w:t>NOTES TO CONSOLIDATED FINANCIAL STATEMENTS, continued</w:t>
      </w:r>
    </w:p>
    <w:p w:rsidR="00000000" w:rsidRDefault="00E54EC0">
      <w:pPr>
        <w:jc w:val="center"/>
        <w:rPr>
          <w:rFonts w:eastAsia="Times New Roman"/>
        </w:rPr>
      </w:pPr>
      <w:r>
        <w:rPr>
          <w:rFonts w:eastAsia="Times New Roman"/>
          <w:b/>
          <w:bCs/>
          <w:color w:val="000000"/>
          <w:sz w:val="20"/>
          <w:szCs w:val="20"/>
        </w:rPr>
        <w:t>Investment in Varia</w:t>
      </w:r>
      <w:r>
        <w:rPr>
          <w:rFonts w:eastAsia="Times New Roman"/>
          <w:b/>
          <w:bCs/>
          <w:color w:val="000000"/>
          <w:sz w:val="20"/>
          <w:szCs w:val="20"/>
        </w:rPr>
        <w:t>ble Insurance Trust Mutual Funds</w:t>
      </w:r>
    </w:p>
    <w:p w:rsidR="00000000" w:rsidRDefault="00E54EC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1290548728"/>
          <w:jc w:val="center"/>
        </w:trPr>
        <w:tc>
          <w:tcPr>
            <w:tcW w:w="50" w:type="pct"/>
            <w:vAlign w:val="center"/>
            <w:hideMark/>
          </w:tcPr>
          <w:p w:rsidR="00000000" w:rsidRDefault="00E54EC0">
            <w:pPr>
              <w:jc w:val="center"/>
              <w:rPr>
                <w:rFonts w:eastAsia="Times New Roman"/>
              </w:rPr>
            </w:pPr>
          </w:p>
        </w:tc>
        <w:tc>
          <w:tcPr>
            <w:tcW w:w="264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90548728"/>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90548728"/>
          <w:jc w:val="center"/>
        </w:trPr>
        <w:tc>
          <w:tcPr>
            <w:tcW w:w="0" w:type="auto"/>
            <w:gridSpan w:val="3"/>
            <w:tcMar>
              <w:top w:w="30" w:type="dxa"/>
              <w:left w:w="20" w:type="dxa"/>
              <w:bottom w:w="30" w:type="dxa"/>
              <w:right w:w="20" w:type="dxa"/>
            </w:tcMar>
            <w:vAlign w:val="bottom"/>
            <w:hideMark/>
          </w:tcPr>
          <w:p w:rsidR="00000000" w:rsidRDefault="00E54EC0">
            <w:pPr>
              <w:spacing w:after="100"/>
              <w:divId w:val="654139714"/>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r>
      <w:tr w:rsidR="00000000">
        <w:trPr>
          <w:divId w:val="1290548728"/>
          <w:jc w:val="center"/>
        </w:trPr>
        <w:tc>
          <w:tcPr>
            <w:tcW w:w="0" w:type="auto"/>
            <w:gridSpan w:val="3"/>
            <w:tcMar>
              <w:top w:w="30" w:type="dxa"/>
              <w:left w:w="20" w:type="dxa"/>
              <w:bottom w:w="30" w:type="dxa"/>
              <w:right w:w="20" w:type="dxa"/>
            </w:tcMar>
            <w:vAlign w:val="bottom"/>
            <w:hideMark/>
          </w:tcPr>
          <w:p w:rsidR="00000000" w:rsidRDefault="00E54EC0">
            <w:pPr>
              <w:spacing w:after="100"/>
              <w:divId w:val="1485970632"/>
              <w:rPr>
                <w:rFonts w:eastAsia="Times New Roman"/>
              </w:rPr>
            </w:pPr>
            <w:r>
              <w:rPr>
                <w:rFonts w:eastAsia="Times New Roman"/>
                <w:b/>
                <w:bCs/>
                <w:color w:val="000000"/>
                <w:sz w:val="16"/>
                <w:szCs w:val="16"/>
              </w:rPr>
              <w:t>Mutual Fund Type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GMIB</w:t>
            </w:r>
          </w:p>
        </w:tc>
      </w:tr>
      <w:tr w:rsidR="00000000">
        <w:trPr>
          <w:divId w:val="1290548728"/>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90548728"/>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39,779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52,771 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728"/>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5,391 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2,507 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728"/>
          <w:jc w:val="center"/>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31,240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48,390 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40,491 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728"/>
          <w:jc w:val="center"/>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0548728"/>
          <w:jc w:val="center"/>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82,716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47,530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107,577 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63,276 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70284910"/>
        <w:rPr>
          <w:rFonts w:eastAsia="Times New Roman"/>
        </w:rPr>
      </w:pPr>
      <w:r>
        <w:rPr>
          <w:rFonts w:eastAsia="Times New Roman"/>
          <w:color w:val="000000"/>
          <w:sz w:val="20"/>
          <w:szCs w:val="20"/>
          <w:u w:val="single"/>
        </w:rPr>
        <w:t>Hedging Programs for GMDB, GMIB, GIB and Other Features</w:t>
      </w:r>
    </w:p>
    <w:p w:rsidR="00000000" w:rsidRDefault="00E54EC0">
      <w:pPr>
        <w:divId w:val="2103597903"/>
        <w:rPr>
          <w:rFonts w:eastAsia="Times New Roman"/>
        </w:rPr>
      </w:pPr>
      <w:r>
        <w:rPr>
          <w:rFonts w:eastAsia="Times New Roman"/>
          <w:color w:val="000000"/>
          <w:sz w:val="20"/>
          <w:szCs w:val="20"/>
        </w:rPr>
        <w:t>The Company ha</w:t>
      </w:r>
      <w:r>
        <w:rPr>
          <w:rFonts w:eastAsia="Times New Roman"/>
          <w:color w:val="000000"/>
          <w:sz w:val="20"/>
          <w:szCs w:val="20"/>
        </w:rPr>
        <w:t>s a program intended to hedge certain risks associated first with the GMDB feature and with the GMIB feature of the Accumulator series of variable annuity products. The program has also been extended to cover other guaranteed benefits as they have been mad</w:t>
      </w:r>
      <w:r>
        <w:rPr>
          <w:rFonts w:eastAsia="Times New Roman"/>
          <w:color w:val="000000"/>
          <w:sz w:val="20"/>
          <w:szCs w:val="20"/>
        </w:rPr>
        <w:t>e available. This program utilizes derivative contracts, such as exchange-traded equity, currency and interest rate futures contracts, total return and/or equity swaps, interest rate swap and floor contracts, swaptions, variance swaps as well as equity opt</w:t>
      </w:r>
      <w:r>
        <w:rPr>
          <w:rFonts w:eastAsia="Times New Roman"/>
          <w:color w:val="000000"/>
          <w:sz w:val="20"/>
          <w:szCs w:val="20"/>
        </w:rPr>
        <w:t>ions, that collectively are managed in an effort to reduce the economic impact of unfavorable changes in guaranteed benefits’ exposures attributable to movements in the capital markets. At the present time, this program hedges certain economic risks on pro</w:t>
      </w:r>
      <w:r>
        <w:rPr>
          <w:rFonts w:eastAsia="Times New Roman"/>
          <w:color w:val="000000"/>
          <w:sz w:val="20"/>
          <w:szCs w:val="20"/>
        </w:rPr>
        <w:t xml:space="preserve">ducts sold from 2001 forward, to the extent such risks are not externally reinsured. </w:t>
      </w:r>
    </w:p>
    <w:p w:rsidR="00000000" w:rsidRDefault="00E54EC0">
      <w:pPr>
        <w:divId w:val="425656998"/>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w:t>
      </w:r>
      <w:r>
        <w:rPr>
          <w:rFonts w:eastAsia="Times New Roman"/>
          <w:color w:val="000000"/>
          <w:sz w:val="20"/>
          <w:szCs w:val="20"/>
        </w:rPr>
        <w:t>ges in fair value, are recognized in net derivative gains (losses) in the period in which they occur, and may contribute to income (loss) volatility.</w:t>
      </w:r>
    </w:p>
    <w:p w:rsidR="00000000" w:rsidRDefault="00E54EC0">
      <w:pPr>
        <w:divId w:val="361514477"/>
        <w:rPr>
          <w:rFonts w:eastAsia="Times New Roman"/>
        </w:rPr>
      </w:pPr>
      <w:r>
        <w:rPr>
          <w:rFonts w:eastAsia="Times New Roman"/>
          <w:color w:val="000000"/>
          <w:sz w:val="20"/>
          <w:szCs w:val="20"/>
          <w:u w:val="single"/>
        </w:rPr>
        <w:t>Variable and Interest-Sensitive Life Insurance Policies – NLG</w:t>
      </w:r>
    </w:p>
    <w:p w:rsidR="00000000" w:rsidRDefault="00E54EC0">
      <w:pPr>
        <w:divId w:val="786659421"/>
        <w:rPr>
          <w:rFonts w:eastAsia="Times New Roman"/>
        </w:rPr>
      </w:pPr>
      <w:r>
        <w:rPr>
          <w:rFonts w:eastAsia="Times New Roman"/>
          <w:color w:val="000000"/>
          <w:sz w:val="20"/>
          <w:szCs w:val="20"/>
        </w:rPr>
        <w:t>The NLG feature contained in variable and in</w:t>
      </w:r>
      <w:r>
        <w:rPr>
          <w:rFonts w:eastAsia="Times New Roman"/>
          <w:color w:val="000000"/>
          <w:sz w:val="20"/>
          <w:szCs w:val="20"/>
        </w:rPr>
        <w:t xml:space="preserve">terest-sensitive life insurance policies keeps them in force in situations where the policy value is not sufficient to cover monthly charges then due. The NLG remains in effect so long as the policy meets a contractually specified premium funding test and </w:t>
      </w:r>
      <w:r>
        <w:rPr>
          <w:rFonts w:eastAsia="Times New Roman"/>
          <w:color w:val="000000"/>
          <w:sz w:val="20"/>
          <w:szCs w:val="20"/>
        </w:rPr>
        <w:t>certain other requirements.</w:t>
      </w:r>
    </w:p>
    <w:p w:rsidR="00000000" w:rsidRDefault="00E54EC0">
      <w:pPr>
        <w:divId w:val="691608790"/>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4758" w:type="pct"/>
        <w:tblCellMar>
          <w:top w:w="15" w:type="dxa"/>
          <w:left w:w="15" w:type="dxa"/>
          <w:bottom w:w="15" w:type="dxa"/>
          <w:right w:w="15" w:type="dxa"/>
        </w:tblCellMar>
        <w:tblLook w:val="04A0" w:firstRow="1" w:lastRow="0" w:firstColumn="1" w:lastColumn="0" w:noHBand="0" w:noVBand="1"/>
      </w:tblPr>
      <w:tblGrid>
        <w:gridCol w:w="38"/>
        <w:gridCol w:w="5129"/>
        <w:gridCol w:w="37"/>
        <w:gridCol w:w="36"/>
        <w:gridCol w:w="36"/>
        <w:gridCol w:w="36"/>
        <w:gridCol w:w="36"/>
        <w:gridCol w:w="120"/>
        <w:gridCol w:w="604"/>
        <w:gridCol w:w="36"/>
        <w:gridCol w:w="36"/>
        <w:gridCol w:w="36"/>
        <w:gridCol w:w="36"/>
        <w:gridCol w:w="120"/>
        <w:gridCol w:w="554"/>
        <w:gridCol w:w="36"/>
        <w:gridCol w:w="36"/>
        <w:gridCol w:w="36"/>
        <w:gridCol w:w="36"/>
        <w:gridCol w:w="120"/>
        <w:gridCol w:w="714"/>
        <w:gridCol w:w="36"/>
      </w:tblGrid>
      <w:tr w:rsidR="00000000">
        <w:trPr>
          <w:divId w:val="413740916"/>
        </w:trPr>
        <w:tc>
          <w:tcPr>
            <w:tcW w:w="50" w:type="pct"/>
            <w:vAlign w:val="center"/>
            <w:hideMark/>
          </w:tcPr>
          <w:p w:rsidR="00000000" w:rsidRDefault="00E54EC0">
            <w:pPr>
              <w:rPr>
                <w:rFonts w:eastAsia="Times New Roman"/>
              </w:rPr>
            </w:pPr>
          </w:p>
        </w:tc>
        <w:tc>
          <w:tcPr>
            <w:tcW w:w="335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1374091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Direct Liability (1)</w:t>
            </w:r>
          </w:p>
        </w:tc>
      </w:tr>
      <w:tr w:rsidR="00000000">
        <w:trPr>
          <w:divId w:val="41374091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41374091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41374091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41374091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Beginning balance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1,022 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13740916"/>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Paid guarantee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13740916"/>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changes in reserves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13740916"/>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41374091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Ending balance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20195389"/>
        <w:rPr>
          <w:rFonts w:eastAsia="Times New Roman"/>
        </w:rPr>
      </w:pPr>
      <w:r>
        <w:rPr>
          <w:rFonts w:eastAsia="Times New Roman"/>
          <w:color w:val="000000"/>
          <w:sz w:val="18"/>
          <w:szCs w:val="18"/>
        </w:rPr>
        <w:t>_____________</w:t>
      </w:r>
    </w:p>
    <w:p w:rsidR="00000000" w:rsidRDefault="00E54EC0">
      <w:pPr>
        <w:ind w:hanging="360"/>
        <w:divId w:val="2016298510"/>
        <w:rPr>
          <w:rFonts w:eastAsia="Times New Roman"/>
        </w:rPr>
      </w:pPr>
      <w:r>
        <w:rPr>
          <w:rFonts w:eastAsia="Times New Roman"/>
          <w:color w:val="000000"/>
          <w:sz w:val="18"/>
          <w:szCs w:val="18"/>
        </w:rPr>
        <w:t>(1)There were no amounts of reinsurance ceded in any period prese</w:t>
      </w:r>
      <w:r>
        <w:rPr>
          <w:rFonts w:eastAsia="Times New Roman"/>
          <w:color w:val="000000"/>
          <w:sz w:val="18"/>
          <w:szCs w:val="18"/>
        </w:rPr>
        <w:t>nted.</w:t>
      </w:r>
    </w:p>
    <w:p w:rsidR="00000000" w:rsidRDefault="00E54EC0">
      <w:pPr>
        <w:divId w:val="392969045"/>
        <w:rPr>
          <w:rFonts w:eastAsia="Times New Roman"/>
        </w:rPr>
      </w:pPr>
      <w:r>
        <w:rPr>
          <w:rFonts w:eastAsia="Times New Roman"/>
          <w:b/>
          <w:bCs/>
          <w:color w:val="000000"/>
          <w:sz w:val="20"/>
          <w:szCs w:val="20"/>
        </w:rPr>
        <w:t>10)    LEASES</w:t>
      </w:r>
    </w:p>
    <w:p w:rsidR="00000000" w:rsidRDefault="00E54EC0">
      <w:pPr>
        <w:divId w:val="1045908357"/>
        <w:rPr>
          <w:rFonts w:eastAsia="Times New Roman"/>
        </w:rPr>
      </w:pPr>
      <w:r>
        <w:rPr>
          <w:rFonts w:eastAsia="Times New Roman"/>
          <w:color w:val="000000"/>
          <w:sz w:val="20"/>
          <w:szCs w:val="20"/>
        </w:rPr>
        <w:t>The Company's operating leases primarily consist of real estate leases for office space. The Company also has operating leases for various types of office furniture and equipment. For certain equipment leases, the Company applies a port</w:t>
      </w:r>
      <w:r>
        <w:rPr>
          <w:rFonts w:eastAsia="Times New Roman"/>
          <w:color w:val="000000"/>
          <w:sz w:val="20"/>
          <w:szCs w:val="20"/>
        </w:rPr>
        <w:t>folio approach to effectively account for the RoU operating lease assets and liabilities. For lease agreements for which the lease term or classification was reassessed after the occurrence of a change in the lease terms or a modification of the lease that</w:t>
      </w:r>
      <w:r>
        <w:rPr>
          <w:rFonts w:eastAsia="Times New Roman"/>
          <w:color w:val="000000"/>
          <w:sz w:val="20"/>
          <w:szCs w:val="20"/>
        </w:rPr>
        <w:t xml:space="preserve"> did not result in a separate contract, the Company elected to combine the lease and related non-lease components for its operating leases; however, the non-lease components associated with the Company’s operating leases are primarily variable in nature an</w:t>
      </w:r>
      <w:r>
        <w:rPr>
          <w:rFonts w:eastAsia="Times New Roman"/>
          <w:color w:val="000000"/>
          <w:sz w:val="20"/>
          <w:szCs w:val="20"/>
        </w:rPr>
        <w:t>d as such are not included in the determination of the RoU operating lease asset and lease liability, but are recognized in the period in which the obligation for those payments is incurred.</w:t>
      </w:r>
    </w:p>
    <w:p w:rsidR="00000000" w:rsidRDefault="00E54EC0">
      <w:pPr>
        <w:jc w:val="center"/>
        <w:divId w:val="1277173816"/>
        <w:rPr>
          <w:rFonts w:eastAsia="Times New Roman"/>
        </w:rPr>
      </w:pPr>
      <w:r>
        <w:rPr>
          <w:rFonts w:eastAsia="Times New Roman"/>
          <w:color w:val="000000"/>
          <w:sz w:val="20"/>
          <w:szCs w:val="20"/>
        </w:rPr>
        <w:t>196</w:t>
      </w:r>
    </w:p>
    <w:p w:rsidR="00000000" w:rsidRDefault="00E54EC0">
      <w:pPr>
        <w:rPr>
          <w:rFonts w:eastAsia="Times New Roman"/>
        </w:rPr>
      </w:pPr>
      <w:r>
        <w:rPr>
          <w:rFonts w:eastAsia="Times New Roman"/>
        </w:rPr>
        <w:pict>
          <v:rect id="_x0000_i1234" style="width:0;height:1.5pt" o:hralign="center" o:hrstd="t" o:hr="t" fillcolor="#a0a0a0" stroked="f"/>
        </w:pict>
      </w:r>
    </w:p>
    <w:p w:rsidR="00000000" w:rsidRDefault="00E54EC0">
      <w:pPr>
        <w:jc w:val="center"/>
        <w:divId w:val="1195386260"/>
        <w:rPr>
          <w:rFonts w:eastAsia="Times New Roman"/>
        </w:rPr>
      </w:pPr>
      <w:r>
        <w:rPr>
          <w:rFonts w:eastAsia="Times New Roman"/>
          <w:b/>
          <w:bCs/>
          <w:color w:val="000000"/>
          <w:sz w:val="20"/>
          <w:szCs w:val="20"/>
        </w:rPr>
        <w:t>EQUITABLE HOLDINGS, INC.</w:t>
      </w:r>
    </w:p>
    <w:p w:rsidR="00000000" w:rsidRDefault="00E54EC0">
      <w:pPr>
        <w:jc w:val="center"/>
        <w:divId w:val="1195386260"/>
        <w:rPr>
          <w:rFonts w:eastAsia="Times New Roman"/>
        </w:rPr>
      </w:pPr>
      <w:r>
        <w:rPr>
          <w:rFonts w:eastAsia="Times New Roman"/>
          <w:b/>
          <w:bCs/>
          <w:color w:val="000000"/>
          <w:sz w:val="20"/>
          <w:szCs w:val="20"/>
        </w:rPr>
        <w:t>NOTES TO CONSOLIDATED FINANCIAL STATEMENTS, continued</w:t>
      </w:r>
    </w:p>
    <w:p w:rsidR="00000000" w:rsidRDefault="00E54EC0">
      <w:pPr>
        <w:divId w:val="521164102"/>
        <w:rPr>
          <w:rFonts w:eastAsia="Times New Roman"/>
        </w:rPr>
      </w:pPr>
      <w:r>
        <w:rPr>
          <w:rFonts w:eastAsia="Times New Roman"/>
          <w:color w:val="000000"/>
          <w:sz w:val="20"/>
          <w:szCs w:val="20"/>
        </w:rPr>
        <w:t>The Company’</w:t>
      </w:r>
      <w:r>
        <w:rPr>
          <w:rFonts w:eastAsia="Times New Roman"/>
          <w:color w:val="000000"/>
          <w:sz w:val="20"/>
          <w:szCs w:val="20"/>
        </w:rPr>
        <w:t>s operating leases may include options to extend or terminate the lease, which are not included in the determination of the RoU operating asset or lease liability unless they are reasonably certain to be exercised. The Company's operating leases have remai</w:t>
      </w:r>
      <w:r>
        <w:rPr>
          <w:rFonts w:eastAsia="Times New Roman"/>
          <w:color w:val="000000"/>
          <w:sz w:val="20"/>
          <w:szCs w:val="20"/>
        </w:rPr>
        <w:t>ning lease terms of 1 year to 15 years, some of which include options to extend the leases. The Company typically does not include its renewal options in its lease terms for calculating its RoU operating lease asset and lease liability as the renewal optio</w:t>
      </w:r>
      <w:r>
        <w:rPr>
          <w:rFonts w:eastAsia="Times New Roman"/>
          <w:color w:val="000000"/>
          <w:sz w:val="20"/>
          <w:szCs w:val="20"/>
        </w:rPr>
        <w:t xml:space="preserve">ns allow the Company to maintain operational flexibility and the Company is not reasonably certain it will exercise these renewal options until close to the initial end date of the lease. The Company’s lease agreements do not contain any material residual </w:t>
      </w:r>
      <w:r>
        <w:rPr>
          <w:rFonts w:eastAsia="Times New Roman"/>
          <w:color w:val="000000"/>
          <w:sz w:val="20"/>
          <w:szCs w:val="20"/>
        </w:rPr>
        <w:t>value guarantees or material restrictive covenants.</w:t>
      </w:r>
    </w:p>
    <w:p w:rsidR="00000000" w:rsidRDefault="00E54EC0">
      <w:pPr>
        <w:divId w:val="1826628517"/>
        <w:rPr>
          <w:rFonts w:eastAsia="Times New Roman"/>
        </w:rPr>
      </w:pPr>
      <w:r>
        <w:rPr>
          <w:rFonts w:eastAsia="Times New Roman"/>
          <w:color w:val="000000"/>
          <w:sz w:val="20"/>
          <w:szCs w:val="20"/>
        </w:rPr>
        <w:t>As the Company's operating leases do not provide an implicit rate, the Company’s incremental borrowing rate, based on the information available at the lease commencement date, is used in determining the p</w:t>
      </w:r>
      <w:r>
        <w:rPr>
          <w:rFonts w:eastAsia="Times New Roman"/>
          <w:color w:val="000000"/>
          <w:sz w:val="20"/>
          <w:szCs w:val="20"/>
        </w:rPr>
        <w:t>resent value of lease payments.</w:t>
      </w:r>
    </w:p>
    <w:p w:rsidR="00000000" w:rsidRDefault="00E54EC0">
      <w:pPr>
        <w:divId w:val="191843492"/>
        <w:rPr>
          <w:rFonts w:eastAsia="Times New Roman"/>
        </w:rPr>
      </w:pPr>
      <w:r>
        <w:rPr>
          <w:rFonts w:eastAsia="Times New Roman"/>
          <w:color w:val="000000"/>
          <w:sz w:val="20"/>
          <w:szCs w:val="20"/>
        </w:rPr>
        <w:t>The Company primarily subleases floor space within its New Jersey and New York lease properties to various third parties. The lease term for these subleases typically corresponds to the original lease term.</w:t>
      </w:r>
    </w:p>
    <w:p w:rsidR="00000000" w:rsidRDefault="00E54EC0">
      <w:pPr>
        <w:jc w:val="center"/>
        <w:rPr>
          <w:rFonts w:eastAsia="Times New Roman"/>
        </w:rPr>
      </w:pPr>
      <w:r>
        <w:rPr>
          <w:rFonts w:eastAsia="Times New Roman"/>
          <w:b/>
          <w:bCs/>
          <w:color w:val="000000"/>
          <w:sz w:val="20"/>
          <w:szCs w:val="20"/>
        </w:rPr>
        <w:t>Balance Sheet Cla</w:t>
      </w:r>
      <w:r>
        <w:rPr>
          <w:rFonts w:eastAsia="Times New Roman"/>
          <w:b/>
          <w:bCs/>
          <w:color w:val="000000"/>
          <w:sz w:val="20"/>
          <w:szCs w:val="20"/>
        </w:rPr>
        <w:t>ssification of Operating Lease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092"/>
        <w:gridCol w:w="36"/>
        <w:gridCol w:w="40"/>
        <w:gridCol w:w="1992"/>
        <w:gridCol w:w="37"/>
        <w:gridCol w:w="36"/>
        <w:gridCol w:w="36"/>
        <w:gridCol w:w="36"/>
        <w:gridCol w:w="120"/>
        <w:gridCol w:w="752"/>
        <w:gridCol w:w="36"/>
        <w:gridCol w:w="36"/>
        <w:gridCol w:w="36"/>
        <w:gridCol w:w="36"/>
        <w:gridCol w:w="120"/>
        <w:gridCol w:w="789"/>
        <w:gridCol w:w="36"/>
      </w:tblGrid>
      <w:tr w:rsidR="00000000">
        <w:trPr>
          <w:divId w:val="1628732314"/>
        </w:trPr>
        <w:tc>
          <w:tcPr>
            <w:tcW w:w="50" w:type="pct"/>
            <w:vAlign w:val="center"/>
            <w:hideMark/>
          </w:tcPr>
          <w:p w:rsidR="00000000" w:rsidRDefault="00E54EC0">
            <w:pPr>
              <w:jc w:val="center"/>
              <w:rPr>
                <w:rFonts w:eastAsia="Times New Roman"/>
              </w:rPr>
            </w:pPr>
          </w:p>
        </w:tc>
        <w:tc>
          <w:tcPr>
            <w:tcW w:w="248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2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2873231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62873231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Balance Sheet Line Item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162873231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62873231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Assets:</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28732314"/>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Operating lease assets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873231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628732314"/>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71228408"/>
        <w:rPr>
          <w:rFonts w:eastAsia="Times New Roman"/>
        </w:rPr>
      </w:pPr>
    </w:p>
    <w:p w:rsidR="00000000" w:rsidRDefault="00E54EC0">
      <w:pPr>
        <w:divId w:val="860583965"/>
        <w:rPr>
          <w:rFonts w:eastAsia="Times New Roman"/>
        </w:rPr>
      </w:pPr>
      <w:r>
        <w:rPr>
          <w:rFonts w:eastAsia="Times New Roman"/>
          <w:color w:val="000000"/>
          <w:sz w:val="20"/>
          <w:szCs w:val="20"/>
        </w:rPr>
        <w:t>The tabl</w:t>
      </w:r>
      <w:r>
        <w:rPr>
          <w:rFonts w:eastAsia="Times New Roman"/>
          <w:color w:val="000000"/>
          <w:sz w:val="20"/>
          <w:szCs w:val="20"/>
        </w:rPr>
        <w:t>e below summarizes the components of lease costs for the years ended December 31, 2022, 2021 and 2020.</w:t>
      </w:r>
    </w:p>
    <w:p w:rsidR="00000000" w:rsidRDefault="00E54EC0">
      <w:pPr>
        <w:jc w:val="center"/>
        <w:rPr>
          <w:rFonts w:eastAsia="Times New Roman"/>
        </w:rPr>
      </w:pPr>
      <w:r>
        <w:rPr>
          <w:rFonts w:eastAsia="Times New Roman"/>
          <w:b/>
          <w:bCs/>
          <w:color w:val="000000"/>
          <w:sz w:val="20"/>
          <w:szCs w:val="20"/>
        </w:rPr>
        <w:t>Lease Costs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73"/>
        <w:gridCol w:w="36"/>
        <w:gridCol w:w="120"/>
        <w:gridCol w:w="775"/>
        <w:gridCol w:w="36"/>
        <w:gridCol w:w="36"/>
        <w:gridCol w:w="36"/>
        <w:gridCol w:w="36"/>
        <w:gridCol w:w="120"/>
        <w:gridCol w:w="726"/>
        <w:gridCol w:w="36"/>
        <w:gridCol w:w="36"/>
        <w:gridCol w:w="36"/>
        <w:gridCol w:w="36"/>
        <w:gridCol w:w="120"/>
        <w:gridCol w:w="775"/>
        <w:gridCol w:w="36"/>
      </w:tblGrid>
      <w:tr w:rsidR="00000000">
        <w:trPr>
          <w:divId w:val="1781946959"/>
        </w:trPr>
        <w:tc>
          <w:tcPr>
            <w:tcW w:w="50" w:type="pct"/>
            <w:vAlign w:val="center"/>
            <w:hideMark/>
          </w:tcPr>
          <w:p w:rsidR="00000000" w:rsidRDefault="00E54EC0">
            <w:pPr>
              <w:jc w:val="center"/>
              <w:rPr>
                <w:rFonts w:eastAsia="Times New Roman"/>
              </w:rPr>
            </w:pPr>
          </w:p>
        </w:tc>
        <w:tc>
          <w:tcPr>
            <w:tcW w:w="32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78194695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78194695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2020</w:t>
            </w:r>
          </w:p>
        </w:tc>
      </w:tr>
      <w:tr w:rsidR="00000000">
        <w:trPr>
          <w:divId w:val="178194695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78194695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Operating lease cost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8194695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operating lease cost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8194695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Sublease income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8194695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lease expense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8194695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lease cost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81946959"/>
          <w:trHeight w:val="120"/>
        </w:trPr>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ind w:hanging="360"/>
        <w:divId w:val="893739878"/>
        <w:rPr>
          <w:rFonts w:eastAsia="Times New Roman"/>
        </w:rPr>
      </w:pPr>
    </w:p>
    <w:p w:rsidR="00000000" w:rsidRDefault="00E54EC0">
      <w:pPr>
        <w:divId w:val="1915622857"/>
        <w:rPr>
          <w:rFonts w:eastAsia="Times New Roman"/>
        </w:rPr>
      </w:pPr>
      <w:r>
        <w:rPr>
          <w:rFonts w:eastAsia="Times New Roman"/>
          <w:color w:val="000000"/>
          <w:sz w:val="20"/>
          <w:szCs w:val="20"/>
        </w:rPr>
        <w:t>Maturities of lease liabilities as of December 31, 2022 are as follows:</w:t>
      </w:r>
    </w:p>
    <w:p w:rsidR="00000000" w:rsidRDefault="00E54EC0">
      <w:pPr>
        <w:jc w:val="center"/>
        <w:rPr>
          <w:rFonts w:eastAsia="Times New Roman"/>
        </w:rPr>
      </w:pPr>
      <w:r>
        <w:rPr>
          <w:rFonts w:eastAsia="Times New Roman"/>
          <w:b/>
          <w:bCs/>
          <w:color w:val="000000"/>
          <w:sz w:val="20"/>
          <w:szCs w:val="20"/>
        </w:rPr>
        <w:t>Maturities of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52"/>
        <w:gridCol w:w="6873"/>
        <w:gridCol w:w="36"/>
        <w:gridCol w:w="121"/>
        <w:gridCol w:w="1188"/>
        <w:gridCol w:w="36"/>
      </w:tblGrid>
      <w:tr w:rsidR="00000000">
        <w:trPr>
          <w:divId w:val="1301038548"/>
        </w:trPr>
        <w:tc>
          <w:tcPr>
            <w:tcW w:w="50" w:type="pct"/>
            <w:vAlign w:val="center"/>
            <w:hideMark/>
          </w:tcPr>
          <w:p w:rsidR="00000000" w:rsidRDefault="00E54EC0">
            <w:pPr>
              <w:jc w:val="center"/>
              <w:rPr>
                <w:rFonts w:eastAsia="Times New Roman"/>
              </w:rPr>
            </w:pPr>
          </w:p>
        </w:tc>
        <w:tc>
          <w:tcPr>
            <w:tcW w:w="415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0103854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r>
      <w:tr w:rsidR="00000000">
        <w:trPr>
          <w:divId w:val="130103854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30103854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r>
      <w:tr w:rsidR="00000000">
        <w:trPr>
          <w:divId w:val="130103854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lease payments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Interest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0103854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Present value of lease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902018468"/>
        <w:rPr>
          <w:rFonts w:eastAsia="Times New Roman"/>
        </w:rPr>
      </w:pPr>
    </w:p>
    <w:p w:rsidR="00000000" w:rsidRDefault="00E54EC0">
      <w:pPr>
        <w:divId w:val="1863009922"/>
        <w:rPr>
          <w:rFonts w:eastAsia="Times New Roman"/>
        </w:rPr>
      </w:pPr>
      <w:r>
        <w:rPr>
          <w:rFonts w:eastAsia="Times New Roman"/>
          <w:color w:val="000000"/>
          <w:sz w:val="20"/>
          <w:szCs w:val="20"/>
        </w:rPr>
        <w:t xml:space="preserve">During April 2019, AB signed a lease, which commences in 2024, relating to approximately 190,000 square feet of space in New York City. The estimated total base rent obligation (excluding taxes, operating expenses and utilities) </w:t>
      </w:r>
    </w:p>
    <w:p w:rsidR="00000000" w:rsidRDefault="00E54EC0">
      <w:pPr>
        <w:jc w:val="center"/>
        <w:divId w:val="134883952"/>
        <w:rPr>
          <w:rFonts w:eastAsia="Times New Roman"/>
        </w:rPr>
      </w:pPr>
      <w:r>
        <w:rPr>
          <w:rFonts w:eastAsia="Times New Roman"/>
          <w:color w:val="000000"/>
          <w:sz w:val="20"/>
          <w:szCs w:val="20"/>
        </w:rPr>
        <w:t>197</w:t>
      </w:r>
    </w:p>
    <w:p w:rsidR="00000000" w:rsidRDefault="00E54EC0">
      <w:pPr>
        <w:rPr>
          <w:rFonts w:eastAsia="Times New Roman"/>
        </w:rPr>
      </w:pPr>
      <w:r>
        <w:rPr>
          <w:rFonts w:eastAsia="Times New Roman"/>
        </w:rPr>
        <w:pict>
          <v:rect id="_x0000_i1235" style="width:0;height:1.5pt" o:hralign="center" o:hrstd="t" o:hr="t" fillcolor="#a0a0a0" stroked="f"/>
        </w:pict>
      </w:r>
    </w:p>
    <w:p w:rsidR="00000000" w:rsidRDefault="00E54EC0">
      <w:pPr>
        <w:jc w:val="center"/>
        <w:divId w:val="1903175767"/>
        <w:rPr>
          <w:rFonts w:eastAsia="Times New Roman"/>
        </w:rPr>
      </w:pPr>
      <w:r>
        <w:rPr>
          <w:rFonts w:eastAsia="Times New Roman"/>
          <w:b/>
          <w:bCs/>
          <w:color w:val="000000"/>
          <w:sz w:val="20"/>
          <w:szCs w:val="20"/>
        </w:rPr>
        <w:t>EQUITABLE HOLDINGS, INC.</w:t>
      </w:r>
    </w:p>
    <w:p w:rsidR="00000000" w:rsidRDefault="00E54EC0">
      <w:pPr>
        <w:jc w:val="center"/>
        <w:divId w:val="1903175767"/>
        <w:rPr>
          <w:rFonts w:eastAsia="Times New Roman"/>
        </w:rPr>
      </w:pPr>
      <w:r>
        <w:rPr>
          <w:rFonts w:eastAsia="Times New Roman"/>
          <w:b/>
          <w:bCs/>
          <w:color w:val="000000"/>
          <w:sz w:val="20"/>
          <w:szCs w:val="20"/>
        </w:rPr>
        <w:t>NOTES TO CONSOLIDATED FINANCIAL STATEMENTS, continued</w:t>
      </w:r>
    </w:p>
    <w:p w:rsidR="00000000" w:rsidRDefault="00E54EC0">
      <w:pPr>
        <w:divId w:val="695734605"/>
        <w:rPr>
          <w:rFonts w:eastAsia="Times New Roman"/>
        </w:rPr>
      </w:pPr>
      <w:r>
        <w:rPr>
          <w:rFonts w:eastAsia="Times New Roman"/>
          <w:color w:val="000000"/>
          <w:sz w:val="20"/>
          <w:szCs w:val="20"/>
        </w:rPr>
        <w:t>over the 20 year lease term is approximately $448 million. During the fourth quarter of 2020, AB exercised an option to return a half floor of this space, which re</w:t>
      </w:r>
      <w:r>
        <w:rPr>
          <w:rFonts w:eastAsia="Times New Roman"/>
          <w:color w:val="000000"/>
          <w:sz w:val="20"/>
          <w:szCs w:val="20"/>
        </w:rPr>
        <w:t>duced the square footage from approximately 190,000 to 166,000 square feet and the base rent obligation from $448 million to $393 million.</w:t>
      </w:r>
    </w:p>
    <w:p w:rsidR="00000000" w:rsidRDefault="00E54EC0">
      <w:pPr>
        <w:divId w:val="1086994244"/>
        <w:rPr>
          <w:rFonts w:eastAsia="Times New Roman"/>
        </w:rPr>
      </w:pPr>
      <w:r>
        <w:rPr>
          <w:rFonts w:eastAsia="Times New Roman"/>
          <w:color w:val="000000"/>
          <w:sz w:val="20"/>
          <w:szCs w:val="20"/>
        </w:rPr>
        <w:t>Equitable Financial signed a 15-year lease which is expected to commence in 2023 once certain conditions of the lease</w:t>
      </w:r>
      <w:r>
        <w:rPr>
          <w:rFonts w:eastAsia="Times New Roman"/>
          <w:color w:val="000000"/>
          <w:sz w:val="20"/>
          <w:szCs w:val="20"/>
        </w:rPr>
        <w:t xml:space="preserve"> are met, relating to approximately 89,000 square feet of space in New York City. Additionally, during December 2021, Equitable Financial amended its Syracuse office lease. The amendment included extending for an additional 5-year period, commencing Januar</w:t>
      </w:r>
      <w:r>
        <w:rPr>
          <w:rFonts w:eastAsia="Times New Roman"/>
          <w:color w:val="000000"/>
          <w:sz w:val="20"/>
          <w:szCs w:val="20"/>
        </w:rPr>
        <w:t>y 1, 2024, approximately 143,000 square feet of space in Syracuse, NY.</w:t>
      </w:r>
    </w:p>
    <w:p w:rsidR="00000000" w:rsidRDefault="00E54EC0">
      <w:pPr>
        <w:divId w:val="1140001091"/>
        <w:rPr>
          <w:rFonts w:eastAsia="Times New Roman"/>
        </w:rPr>
      </w:pPr>
      <w:r>
        <w:rPr>
          <w:rFonts w:eastAsia="Times New Roman"/>
          <w:color w:val="000000"/>
          <w:sz w:val="20"/>
          <w:szCs w:val="20"/>
        </w:rPr>
        <w:t xml:space="preserve">The below table presents the Company’s weighted-average remaining operating lease term and weighted-average discount rate. </w:t>
      </w:r>
    </w:p>
    <w:p w:rsidR="00000000" w:rsidRDefault="00E54EC0">
      <w:pPr>
        <w:jc w:val="center"/>
        <w:rPr>
          <w:rFonts w:eastAsia="Times New Roman"/>
        </w:rPr>
      </w:pPr>
      <w:r>
        <w:rPr>
          <w:rFonts w:eastAsia="Times New Roman"/>
          <w:b/>
          <w:bCs/>
          <w:color w:val="000000"/>
          <w:sz w:val="20"/>
          <w:szCs w:val="20"/>
        </w:rPr>
        <w:t>Weighted Averages - Remaining Operating Lease Term and Discou</w:t>
      </w:r>
      <w:r>
        <w:rPr>
          <w:rFonts w:eastAsia="Times New Roman"/>
          <w:b/>
          <w:bCs/>
          <w:color w:val="000000"/>
          <w:sz w:val="20"/>
          <w:szCs w:val="20"/>
        </w:rPr>
        <w:t>nt Rate</w:t>
      </w:r>
    </w:p>
    <w:tbl>
      <w:tblPr>
        <w:tblW w:w="5000" w:type="pct"/>
        <w:tblCellMar>
          <w:top w:w="15" w:type="dxa"/>
          <w:left w:w="15" w:type="dxa"/>
          <w:bottom w:w="15" w:type="dxa"/>
          <w:right w:w="15" w:type="dxa"/>
        </w:tblCellMar>
        <w:tblLook w:val="04A0" w:firstRow="1" w:lastRow="0" w:firstColumn="1" w:lastColumn="0" w:noHBand="0" w:noVBand="1"/>
      </w:tblPr>
      <w:tblGrid>
        <w:gridCol w:w="37"/>
        <w:gridCol w:w="6123"/>
        <w:gridCol w:w="36"/>
        <w:gridCol w:w="38"/>
        <w:gridCol w:w="789"/>
        <w:gridCol w:w="220"/>
        <w:gridCol w:w="36"/>
        <w:gridCol w:w="36"/>
        <w:gridCol w:w="36"/>
        <w:gridCol w:w="37"/>
        <w:gridCol w:w="731"/>
        <w:gridCol w:w="187"/>
      </w:tblGrid>
      <w:tr w:rsidR="00000000">
        <w:trPr>
          <w:divId w:val="982854220"/>
        </w:trPr>
        <w:tc>
          <w:tcPr>
            <w:tcW w:w="50" w:type="pct"/>
            <w:vAlign w:val="center"/>
            <w:hideMark/>
          </w:tcPr>
          <w:p w:rsidR="00000000" w:rsidRDefault="00E54EC0">
            <w:pPr>
              <w:jc w:val="center"/>
              <w:rPr>
                <w:rFonts w:eastAsia="Times New Roman"/>
              </w:rPr>
            </w:pPr>
          </w:p>
        </w:tc>
        <w:tc>
          <w:tcPr>
            <w:tcW w:w="373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9828542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98285422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98285422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Weighted-average remaining operating lease term</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7 years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7 years</w:t>
            </w:r>
          </w:p>
        </w:tc>
      </w:tr>
      <w:tr w:rsidR="00000000">
        <w:trPr>
          <w:divId w:val="98285422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Weighted-average discount rate for operating leases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bl>
    <w:p w:rsidR="00000000" w:rsidRDefault="00E54EC0">
      <w:pPr>
        <w:ind w:hanging="360"/>
        <w:divId w:val="777026956"/>
        <w:rPr>
          <w:rFonts w:eastAsia="Times New Roman"/>
        </w:rPr>
      </w:pPr>
    </w:p>
    <w:p w:rsidR="00000000" w:rsidRDefault="00E54EC0">
      <w:pPr>
        <w:divId w:val="128941962"/>
        <w:rPr>
          <w:rFonts w:eastAsia="Times New Roman"/>
        </w:rPr>
      </w:pPr>
      <w:r>
        <w:rPr>
          <w:rFonts w:eastAsia="Times New Roman"/>
          <w:color w:val="000000"/>
          <w:sz w:val="20"/>
          <w:szCs w:val="20"/>
        </w:rPr>
        <w:t>Supplemental cash flow information related to leases was as follows:</w:t>
      </w:r>
    </w:p>
    <w:p w:rsidR="00000000" w:rsidRDefault="00E54EC0">
      <w:pPr>
        <w:jc w:val="center"/>
        <w:rPr>
          <w:rFonts w:eastAsia="Times New Roman"/>
        </w:rPr>
      </w:pPr>
      <w:r>
        <w:rPr>
          <w:rFonts w:eastAsia="Times New Roman"/>
          <w:b/>
          <w:bCs/>
          <w:color w:val="000000"/>
          <w:sz w:val="20"/>
          <w:szCs w:val="20"/>
        </w:rPr>
        <w:t>Lease Liabilities Information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273"/>
        <w:gridCol w:w="36"/>
        <w:gridCol w:w="120"/>
        <w:gridCol w:w="775"/>
        <w:gridCol w:w="36"/>
        <w:gridCol w:w="36"/>
        <w:gridCol w:w="36"/>
        <w:gridCol w:w="36"/>
        <w:gridCol w:w="120"/>
        <w:gridCol w:w="726"/>
        <w:gridCol w:w="36"/>
        <w:gridCol w:w="36"/>
        <w:gridCol w:w="36"/>
        <w:gridCol w:w="36"/>
        <w:gridCol w:w="120"/>
        <w:gridCol w:w="775"/>
        <w:gridCol w:w="36"/>
      </w:tblGrid>
      <w:tr w:rsidR="00000000">
        <w:trPr>
          <w:divId w:val="586495771"/>
        </w:trPr>
        <w:tc>
          <w:tcPr>
            <w:tcW w:w="50" w:type="pct"/>
            <w:vAlign w:val="center"/>
            <w:hideMark/>
          </w:tcPr>
          <w:p w:rsidR="00000000" w:rsidRDefault="00E54EC0">
            <w:pPr>
              <w:jc w:val="center"/>
              <w:rPr>
                <w:rFonts w:eastAsia="Times New Roman"/>
              </w:rPr>
            </w:pPr>
          </w:p>
        </w:tc>
        <w:tc>
          <w:tcPr>
            <w:tcW w:w="32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8649577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58649577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58649577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649577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Cash paid for amounts included in the measurement of lease liabilities: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649577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Operating cash flows from operating leases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8649577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Non-cash transactions: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86495771"/>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Leased assets obtained in exchange for new operating lease liabilities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655110314"/>
        <w:rPr>
          <w:rFonts w:eastAsia="Times New Roman"/>
        </w:rPr>
      </w:pPr>
    </w:p>
    <w:p w:rsidR="00000000" w:rsidRDefault="00E54EC0">
      <w:pPr>
        <w:jc w:val="center"/>
        <w:divId w:val="83845952"/>
        <w:rPr>
          <w:rFonts w:eastAsia="Times New Roman"/>
        </w:rPr>
      </w:pPr>
      <w:r>
        <w:rPr>
          <w:rFonts w:eastAsia="Times New Roman"/>
          <w:color w:val="000000"/>
          <w:sz w:val="20"/>
          <w:szCs w:val="20"/>
        </w:rPr>
        <w:t>198</w:t>
      </w:r>
    </w:p>
    <w:p w:rsidR="00000000" w:rsidRDefault="00E54EC0">
      <w:pPr>
        <w:rPr>
          <w:rFonts w:eastAsia="Times New Roman"/>
        </w:rPr>
      </w:pPr>
      <w:r>
        <w:rPr>
          <w:rFonts w:eastAsia="Times New Roman"/>
        </w:rPr>
        <w:pict>
          <v:rect id="_x0000_i1236" style="width:0;height:1.5pt" o:hralign="center" o:hrstd="t" o:hr="t" fillcolor="#a0a0a0" stroked="f"/>
        </w:pict>
      </w:r>
    </w:p>
    <w:p w:rsidR="00000000" w:rsidRDefault="00E54EC0">
      <w:pPr>
        <w:jc w:val="center"/>
        <w:divId w:val="442303756"/>
        <w:rPr>
          <w:rFonts w:eastAsia="Times New Roman"/>
        </w:rPr>
      </w:pPr>
      <w:r>
        <w:rPr>
          <w:rFonts w:eastAsia="Times New Roman"/>
          <w:b/>
          <w:bCs/>
          <w:color w:val="000000"/>
          <w:sz w:val="20"/>
          <w:szCs w:val="20"/>
        </w:rPr>
        <w:t>EQUITABLE HOLDINGS, INC.</w:t>
      </w:r>
    </w:p>
    <w:p w:rsidR="00000000" w:rsidRDefault="00E54EC0">
      <w:pPr>
        <w:jc w:val="center"/>
        <w:divId w:val="442303756"/>
        <w:rPr>
          <w:rFonts w:eastAsia="Times New Roman"/>
        </w:rPr>
      </w:pPr>
      <w:r>
        <w:rPr>
          <w:rFonts w:eastAsia="Times New Roman"/>
          <w:b/>
          <w:bCs/>
          <w:color w:val="000000"/>
          <w:sz w:val="20"/>
          <w:szCs w:val="20"/>
        </w:rPr>
        <w:t>NOTES TO CONSOLIDATED FINANCIAL STATEMENTS, continued</w:t>
      </w:r>
    </w:p>
    <w:p w:rsidR="00000000" w:rsidRDefault="00E54EC0">
      <w:pPr>
        <w:divId w:val="847791742"/>
        <w:rPr>
          <w:rFonts w:eastAsia="Times New Roman"/>
        </w:rPr>
      </w:pPr>
      <w:r>
        <w:rPr>
          <w:rFonts w:eastAsia="Times New Roman"/>
          <w:b/>
          <w:bCs/>
          <w:color w:val="000000"/>
          <w:sz w:val="20"/>
          <w:szCs w:val="20"/>
        </w:rPr>
        <w:t>11)    REINSURANCE</w:t>
      </w:r>
    </w:p>
    <w:p w:rsidR="00000000" w:rsidRDefault="00E54EC0">
      <w:pPr>
        <w:divId w:val="2062097122"/>
        <w:rPr>
          <w:rFonts w:eastAsia="Times New Roman"/>
        </w:rPr>
      </w:pPr>
      <w:r>
        <w:rPr>
          <w:rFonts w:eastAsia="Times New Roman"/>
          <w:color w:val="000000"/>
          <w:sz w:val="20"/>
          <w:szCs w:val="20"/>
        </w:rPr>
        <w:t>The Company assumes and cedes reinsurance with other insurance companies. The Comp</w:t>
      </w:r>
      <w:r>
        <w:rPr>
          <w:rFonts w:eastAsia="Times New Roman"/>
          <w:color w:val="000000"/>
          <w:sz w:val="20"/>
          <w:szCs w:val="20"/>
        </w:rPr>
        <w:t>any evaluates the financial condition of its reinsurers to minimize its exposure to significant losses from reinsurer insolvencies. Ceded reinsurance does not relieve the originating insurer of liability.</w:t>
      </w:r>
    </w:p>
    <w:p w:rsidR="00000000" w:rsidRDefault="00E54EC0">
      <w:pPr>
        <w:divId w:val="1357732907"/>
        <w:rPr>
          <w:rFonts w:eastAsia="Times New Roman"/>
        </w:rPr>
      </w:pPr>
      <w:r>
        <w:rPr>
          <w:rFonts w:eastAsia="Times New Roman"/>
          <w:color w:val="000000"/>
          <w:sz w:val="20"/>
          <w:szCs w:val="20"/>
        </w:rPr>
        <w:t>The following table summarizes the effect of reinsu</w:t>
      </w:r>
      <w:r>
        <w:rPr>
          <w:rFonts w:eastAsia="Times New Roman"/>
          <w:color w:val="000000"/>
          <w:sz w:val="20"/>
          <w:szCs w:val="20"/>
        </w:rPr>
        <w:t>rance. The impact of the transactions described above results in a decrease to reinsurance assumed and an increase in reinsurance ceded.</w:t>
      </w:r>
    </w:p>
    <w:tbl>
      <w:tblPr>
        <w:tblW w:w="4949" w:type="pct"/>
        <w:tblCellMar>
          <w:top w:w="15" w:type="dxa"/>
          <w:left w:w="15" w:type="dxa"/>
          <w:bottom w:w="15" w:type="dxa"/>
          <w:right w:w="15" w:type="dxa"/>
        </w:tblCellMar>
        <w:tblLook w:val="04A0" w:firstRow="1" w:lastRow="0" w:firstColumn="1" w:lastColumn="0" w:noHBand="0" w:noVBand="1"/>
      </w:tblPr>
      <w:tblGrid>
        <w:gridCol w:w="40"/>
        <w:gridCol w:w="4971"/>
        <w:gridCol w:w="39"/>
        <w:gridCol w:w="36"/>
        <w:gridCol w:w="36"/>
        <w:gridCol w:w="36"/>
        <w:gridCol w:w="36"/>
        <w:gridCol w:w="120"/>
        <w:gridCol w:w="779"/>
        <w:gridCol w:w="36"/>
        <w:gridCol w:w="36"/>
        <w:gridCol w:w="36"/>
        <w:gridCol w:w="36"/>
        <w:gridCol w:w="120"/>
        <w:gridCol w:w="779"/>
        <w:gridCol w:w="36"/>
        <w:gridCol w:w="36"/>
        <w:gridCol w:w="36"/>
        <w:gridCol w:w="36"/>
        <w:gridCol w:w="120"/>
        <w:gridCol w:w="785"/>
        <w:gridCol w:w="36"/>
      </w:tblGrid>
      <w:tr w:rsidR="00000000">
        <w:trPr>
          <w:divId w:val="1703090899"/>
        </w:trPr>
        <w:tc>
          <w:tcPr>
            <w:tcW w:w="50" w:type="pct"/>
            <w:vAlign w:val="center"/>
            <w:hideMark/>
          </w:tcPr>
          <w:p w:rsidR="00000000" w:rsidRDefault="00E54EC0">
            <w:pPr>
              <w:rPr>
                <w:rFonts w:eastAsia="Times New Roman"/>
              </w:rPr>
            </w:pPr>
          </w:p>
        </w:tc>
        <w:tc>
          <w:tcPr>
            <w:tcW w:w="31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1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1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70309089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70309089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Direct 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assumed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Premiums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Direct charges and fee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w:t>
            </w:r>
            <w:r>
              <w:rPr>
                <w:rFonts w:eastAsia="Times New Roman"/>
                <w:color w:val="000000"/>
                <w:sz w:val="20"/>
                <w:szCs w:val="20"/>
              </w:rPr>
              <w:t>414)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 charges and fee income</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Direct 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3,843 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assumed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(1,195)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Direct 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703090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03090899"/>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438068055"/>
        <w:rPr>
          <w:rFonts w:eastAsia="Times New Roman"/>
        </w:rPr>
      </w:pPr>
      <w:r>
        <w:rPr>
          <w:rFonts w:eastAsia="Times New Roman"/>
          <w:color w:val="000000"/>
          <w:sz w:val="20"/>
          <w:szCs w:val="20"/>
          <w:u w:val="single"/>
        </w:rPr>
        <w:t>Ceded Reinsurance</w:t>
      </w:r>
    </w:p>
    <w:p w:rsidR="00000000" w:rsidRDefault="00E54EC0">
      <w:pPr>
        <w:divId w:val="541748687"/>
        <w:rPr>
          <w:rFonts w:eastAsia="Times New Roman"/>
        </w:rPr>
      </w:pPr>
      <w:r>
        <w:rPr>
          <w:rFonts w:eastAsia="Times New Roman"/>
          <w:color w:val="000000"/>
          <w:sz w:val="20"/>
          <w:szCs w:val="20"/>
        </w:rPr>
        <w:t>The Company reinsures most of its new variable life, UL and term life policies on an excess of retention basis. The Company general</w:t>
      </w:r>
      <w:r>
        <w:rPr>
          <w:rFonts w:eastAsia="Times New Roman"/>
          <w:color w:val="000000"/>
          <w:sz w:val="20"/>
          <w:szCs w:val="20"/>
        </w:rPr>
        <w:t>ly retains on a per life basis up to $25 million for single lives and $30 million for joint lives with the excess 100% reinsured. The Company also reinsures risk on certain substandard underwriting risks and in certain other cases.</w:t>
      </w:r>
    </w:p>
    <w:p w:rsidR="00000000" w:rsidRDefault="00E54EC0">
      <w:pPr>
        <w:divId w:val="1171720530"/>
        <w:rPr>
          <w:rFonts w:eastAsia="Times New Roman"/>
        </w:rPr>
      </w:pPr>
      <w:r>
        <w:rPr>
          <w:rFonts w:eastAsia="Times New Roman"/>
          <w:color w:val="000000"/>
          <w:sz w:val="20"/>
          <w:szCs w:val="20"/>
        </w:rPr>
        <w:t>On June 1, 2021, Holding</w:t>
      </w:r>
      <w:r>
        <w:rPr>
          <w:rFonts w:eastAsia="Times New Roman"/>
          <w:color w:val="000000"/>
          <w:sz w:val="20"/>
          <w:szCs w:val="20"/>
        </w:rPr>
        <w:t xml:space="preserve">s completed the sale of CSLRC to VIAC. Immediately following the closing of the Transaction, CSLRC and Equitable Financial entered into the Reinsurance Agreement, pursuant to which Equitable Financial ceded to CSLRC, on a combined coinsurance and modified </w:t>
      </w:r>
      <w:r>
        <w:rPr>
          <w:rFonts w:eastAsia="Times New Roman"/>
          <w:color w:val="000000"/>
          <w:sz w:val="20"/>
          <w:szCs w:val="20"/>
        </w:rPr>
        <w:t>coinsurance basis, legacy variable annuity policies sold by Equitable Financial between 2006-2008. See Note 1 of the Notes to these Consolidated Financial Statements for details of the Venerable Transaction.</w:t>
      </w:r>
    </w:p>
    <w:p w:rsidR="00000000" w:rsidRDefault="00E54EC0">
      <w:pPr>
        <w:divId w:val="578489588"/>
        <w:rPr>
          <w:rFonts w:eastAsia="Times New Roman"/>
        </w:rPr>
      </w:pPr>
      <w:r>
        <w:rPr>
          <w:rFonts w:eastAsia="Times New Roman"/>
          <w:color w:val="000000"/>
          <w:sz w:val="20"/>
          <w:szCs w:val="20"/>
        </w:rPr>
        <w:t>On October 3, 2022, as part of the Global Atlant</w:t>
      </w:r>
      <w:r>
        <w:rPr>
          <w:rFonts w:eastAsia="Times New Roman"/>
          <w:color w:val="000000"/>
          <w:sz w:val="20"/>
          <w:szCs w:val="20"/>
        </w:rPr>
        <w:t>ic Transaction, Equitable Financial ceded to First Allmerica Financial Life Insurance Company on a combined coinsurance and modified coinsurance basis, a 50% quota share of approximately 360,000 legacy Group EQUI-VEST deferred variable annuity contracts is</w:t>
      </w:r>
      <w:r>
        <w:rPr>
          <w:rFonts w:eastAsia="Times New Roman"/>
          <w:color w:val="000000"/>
          <w:sz w:val="20"/>
          <w:szCs w:val="20"/>
        </w:rPr>
        <w:t xml:space="preserve">sued by Equitable Financial between 1980 and 2008. </w:t>
      </w:r>
    </w:p>
    <w:p w:rsidR="00000000" w:rsidRDefault="00E54EC0">
      <w:pPr>
        <w:divId w:val="1895920160"/>
        <w:rPr>
          <w:rFonts w:eastAsia="Times New Roman"/>
        </w:rPr>
      </w:pPr>
      <w:r>
        <w:rPr>
          <w:rFonts w:eastAsia="Times New Roman"/>
          <w:color w:val="000000"/>
          <w:sz w:val="20"/>
          <w:szCs w:val="20"/>
        </w:rPr>
        <w:t>As of December 31, 2022 and 2021, the Company had reinsured with non-affiliates in the aggregate approximately 41.6% and 47.6%, respectively, of its current exposure to the GMDB obligation on annuity cont</w:t>
      </w:r>
      <w:r>
        <w:rPr>
          <w:rFonts w:eastAsia="Times New Roman"/>
          <w:color w:val="000000"/>
          <w:sz w:val="20"/>
          <w:szCs w:val="20"/>
        </w:rPr>
        <w:t>racts in-force and, subject to certain maximum amounts or caps in any one period, approximately 59.8% and 59.8% of its current liability exposure, respectively, resulting from the GMIB feature. For additional information, see Note 9 of the Notes to these C</w:t>
      </w:r>
      <w:r>
        <w:rPr>
          <w:rFonts w:eastAsia="Times New Roman"/>
          <w:color w:val="000000"/>
          <w:sz w:val="20"/>
          <w:szCs w:val="20"/>
        </w:rPr>
        <w:t>onsolidated Financial Statements.</w:t>
      </w:r>
    </w:p>
    <w:p w:rsidR="00000000" w:rsidRDefault="00E54EC0">
      <w:pPr>
        <w:divId w:val="1489901123"/>
        <w:rPr>
          <w:rFonts w:eastAsia="Times New Roman"/>
        </w:rPr>
      </w:pPr>
      <w:r>
        <w:rPr>
          <w:rFonts w:eastAsia="Times New Roman"/>
          <w:color w:val="000000"/>
          <w:sz w:val="20"/>
          <w:szCs w:val="20"/>
        </w:rPr>
        <w:t>In addition to the above, the Company cedes a portion of its group health, extended term insurance, and paid-up life insurance and substantially all of its individual disability income business through various coinsurance agreements.</w:t>
      </w:r>
    </w:p>
    <w:p w:rsidR="00000000" w:rsidRDefault="00E54EC0">
      <w:pPr>
        <w:jc w:val="center"/>
        <w:divId w:val="227156953"/>
        <w:rPr>
          <w:rFonts w:eastAsia="Times New Roman"/>
        </w:rPr>
      </w:pPr>
      <w:r>
        <w:rPr>
          <w:rFonts w:eastAsia="Times New Roman"/>
          <w:color w:val="000000"/>
          <w:sz w:val="20"/>
          <w:szCs w:val="20"/>
        </w:rPr>
        <w:t>199</w:t>
      </w:r>
    </w:p>
    <w:p w:rsidR="00000000" w:rsidRDefault="00E54EC0">
      <w:pPr>
        <w:rPr>
          <w:rFonts w:eastAsia="Times New Roman"/>
        </w:rPr>
      </w:pPr>
      <w:r>
        <w:rPr>
          <w:rFonts w:eastAsia="Times New Roman"/>
        </w:rPr>
        <w:pict>
          <v:rect id="_x0000_i1237" style="width:0;height:1.5pt" o:hralign="center" o:hrstd="t" o:hr="t" fillcolor="#a0a0a0" stroked="f"/>
        </w:pict>
      </w:r>
    </w:p>
    <w:p w:rsidR="00000000" w:rsidRDefault="00E54EC0">
      <w:pPr>
        <w:jc w:val="center"/>
        <w:divId w:val="1473131290"/>
        <w:rPr>
          <w:rFonts w:eastAsia="Times New Roman"/>
        </w:rPr>
      </w:pPr>
      <w:r>
        <w:rPr>
          <w:rFonts w:eastAsia="Times New Roman"/>
          <w:b/>
          <w:bCs/>
          <w:color w:val="000000"/>
          <w:sz w:val="20"/>
          <w:szCs w:val="20"/>
        </w:rPr>
        <w:t>EQUITABLE HOLDINGS, INC.</w:t>
      </w:r>
    </w:p>
    <w:p w:rsidR="00000000" w:rsidRDefault="00E54EC0">
      <w:pPr>
        <w:jc w:val="center"/>
        <w:divId w:val="1473131290"/>
        <w:rPr>
          <w:rFonts w:eastAsia="Times New Roman"/>
        </w:rPr>
      </w:pPr>
      <w:r>
        <w:rPr>
          <w:rFonts w:eastAsia="Times New Roman"/>
          <w:b/>
          <w:bCs/>
          <w:color w:val="000000"/>
          <w:sz w:val="20"/>
          <w:szCs w:val="20"/>
        </w:rPr>
        <w:t>NOTES TO CONSOLIDATED FINANCIAL STATEMENTS, continued</w:t>
      </w:r>
    </w:p>
    <w:p w:rsidR="00000000" w:rsidRDefault="00E54EC0">
      <w:pPr>
        <w:divId w:val="366681264"/>
        <w:rPr>
          <w:rFonts w:eastAsia="Times New Roman"/>
        </w:rPr>
      </w:pPr>
      <w:r>
        <w:rPr>
          <w:rFonts w:eastAsia="Times New Roman"/>
          <w:color w:val="000000"/>
          <w:sz w:val="20"/>
          <w:szCs w:val="20"/>
          <w:u w:val="single"/>
        </w:rPr>
        <w:t>Assumed Reinsurance</w:t>
      </w:r>
    </w:p>
    <w:p w:rsidR="00000000" w:rsidRDefault="00E54EC0">
      <w:pPr>
        <w:divId w:val="525868036"/>
        <w:rPr>
          <w:rFonts w:eastAsia="Times New Roman"/>
        </w:rPr>
      </w:pPr>
      <w:r>
        <w:rPr>
          <w:rFonts w:eastAsia="Times New Roman"/>
          <w:color w:val="000000"/>
          <w:sz w:val="20"/>
          <w:szCs w:val="20"/>
        </w:rPr>
        <w:t>In addition to the sale of insurance products, the Company currently assumes risk from professional reinsurers. The Company also had a run-</w:t>
      </w:r>
      <w:r>
        <w:rPr>
          <w:rFonts w:eastAsia="Times New Roman"/>
          <w:color w:val="000000"/>
          <w:sz w:val="20"/>
          <w:szCs w:val="20"/>
        </w:rPr>
        <w:t>off portfolio of assumed reinsurance liabilities at CSLRC which was sold to Venerable in June 2021. The Company assumes accident, life, health, annuity (including products covering GMDB and GMIB benefits), aviation, special risk and space risks by particip</w:t>
      </w:r>
      <w:r>
        <w:rPr>
          <w:rFonts w:eastAsia="Times New Roman"/>
          <w:color w:val="000000"/>
          <w:sz w:val="20"/>
          <w:szCs w:val="20"/>
        </w:rPr>
        <w:t xml:space="preserve">ating in or reinsuring various reinsurance pools and arrangements. </w:t>
      </w:r>
    </w:p>
    <w:p w:rsidR="00000000" w:rsidRDefault="00E54EC0">
      <w:pPr>
        <w:divId w:val="1703288796"/>
        <w:rPr>
          <w:rFonts w:eastAsia="Times New Roman"/>
        </w:rPr>
      </w:pPr>
      <w:r>
        <w:rPr>
          <w:rFonts w:eastAsia="Times New Roman"/>
          <w:color w:val="000000"/>
          <w:sz w:val="20"/>
          <w:szCs w:val="20"/>
        </w:rPr>
        <w:t>The following table summarizes the ceded reinsurance GMIB reinsurance contracts, third-party recoverables, amount due to reinsurance and assumed reserves.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89"/>
        <w:gridCol w:w="37"/>
        <w:gridCol w:w="120"/>
        <w:gridCol w:w="927"/>
        <w:gridCol w:w="36"/>
        <w:gridCol w:w="36"/>
        <w:gridCol w:w="36"/>
        <w:gridCol w:w="36"/>
        <w:gridCol w:w="121"/>
        <w:gridCol w:w="892"/>
        <w:gridCol w:w="36"/>
      </w:tblGrid>
      <w:tr w:rsidR="00000000">
        <w:trPr>
          <w:divId w:val="1228223408"/>
        </w:trPr>
        <w:tc>
          <w:tcPr>
            <w:tcW w:w="50" w:type="pct"/>
            <w:vAlign w:val="center"/>
            <w:hideMark/>
          </w:tcPr>
          <w:p w:rsidR="00000000" w:rsidRDefault="00E54EC0">
            <w:pPr>
              <w:rPr>
                <w:rFonts w:eastAsia="Times New Roman"/>
              </w:rPr>
            </w:pPr>
          </w:p>
        </w:tc>
        <w:tc>
          <w:tcPr>
            <w:tcW w:w="363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22822340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122822340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2822340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Ceded Reinsurance:</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Estimated net fair values of ceded GMIB reinsurance contracts, considered derivatives (1)</w:t>
            </w: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1,229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1,848 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Estimated net fair values of ceded GMIB NLG ceded reserves to Venerable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Third-party reinsurance recoverables related to insurance contracts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14,679 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u w:val="single"/>
              </w:rPr>
              <w:t>Top reinsurers: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438254188"/>
              <w:rPr>
                <w:rFonts w:eastAsia="Times New Roman"/>
              </w:rPr>
            </w:pPr>
            <w:r>
              <w:rPr>
                <w:rFonts w:eastAsia="Times New Roman"/>
                <w:color w:val="000000"/>
                <w:sz w:val="20"/>
                <w:szCs w:val="20"/>
              </w:rPr>
              <w:t>Venerable Insurance and Annuity Company (A- KBRA (IFRS) rating)</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8,966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color w:val="000000"/>
                <w:sz w:val="20"/>
                <w:szCs w:val="20"/>
              </w:rPr>
              <w:t>10,291</w:t>
            </w:r>
          </w:p>
        </w:tc>
      </w:tr>
      <w:tr w:rsidR="00000000">
        <w:trPr>
          <w:divId w:val="122822340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First Allmerica-GAF</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RGA Reinsurance Company (AA- S&amp;P rating))</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1,138 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Zurich Life Insurance Company, Ltd. (AA- S&amp;P rating)</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Ceded group health reserves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Amount due to reinsurers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652369889"/>
              <w:rPr>
                <w:rFonts w:eastAsia="Times New Roman"/>
              </w:rPr>
            </w:pPr>
            <w:r>
              <w:rPr>
                <w:rFonts w:eastAsia="Times New Roman"/>
                <w:color w:val="000000"/>
                <w:sz w:val="20"/>
                <w:szCs w:val="20"/>
                <w:u w:val="single"/>
              </w:rPr>
              <w:t>Top reinsurers: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RGA Reinsurance Company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54EC0">
            <w:pPr>
              <w:spacing w:after="100"/>
              <w:jc w:val="right"/>
              <w:rPr>
                <w:rFonts w:eastAsia="Times New Roman"/>
              </w:rPr>
            </w:pPr>
            <w:r>
              <w:rPr>
                <w:rFonts w:eastAsia="Times New Roman"/>
                <w:color w:val="000000"/>
                <w:sz w:val="20"/>
                <w:szCs w:val="20"/>
              </w:rPr>
              <w:t>1,212</w:t>
            </w:r>
          </w:p>
        </w:tc>
      </w:tr>
      <w:tr w:rsidR="00000000">
        <w:trPr>
          <w:divId w:val="1228223408"/>
        </w:trPr>
        <w:tc>
          <w:tcPr>
            <w:tcW w:w="0" w:type="auto"/>
            <w:gridSpan w:val="3"/>
            <w:shd w:val="clear" w:color="auto" w:fill="FFFF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First Allmerica-GAF</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Protective Life Insurance Company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Assumed Reinsurance: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2822340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Reinsurance assumed reserves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2822340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1908803834"/>
        <w:rPr>
          <w:rFonts w:eastAsia="Times New Roman"/>
        </w:rPr>
      </w:pPr>
      <w:r>
        <w:rPr>
          <w:rFonts w:eastAsia="Times New Roman"/>
          <w:color w:val="000000"/>
          <w:sz w:val="20"/>
          <w:szCs w:val="20"/>
        </w:rPr>
        <w:t>______________</w:t>
      </w:r>
    </w:p>
    <w:p w:rsidR="00000000" w:rsidRDefault="00E54EC0">
      <w:pPr>
        <w:ind w:hanging="360"/>
        <w:divId w:val="1858038611"/>
        <w:rPr>
          <w:rFonts w:eastAsia="Times New Roman"/>
        </w:rPr>
      </w:pPr>
      <w:r>
        <w:rPr>
          <w:rFonts w:eastAsia="Times New Roman"/>
          <w:color w:val="000000"/>
          <w:sz w:val="18"/>
          <w:szCs w:val="18"/>
        </w:rPr>
        <w:t>(1)</w:t>
      </w:r>
      <w:r>
        <w:rPr>
          <w:rFonts w:eastAsia="Times New Roman"/>
          <w:color w:val="000000"/>
          <w:sz w:val="18"/>
          <w:szCs w:val="18"/>
        </w:rPr>
        <w:t>The estimated fair values increased/(decreased) ($619) million, ($640) million and $349 million for the years ended December 31, 2022, 2021 and 2020, respectively.</w:t>
      </w:r>
    </w:p>
    <w:p w:rsidR="00000000" w:rsidRDefault="00E54EC0">
      <w:pPr>
        <w:ind w:hanging="360"/>
        <w:divId w:val="1844929899"/>
        <w:rPr>
          <w:rFonts w:eastAsia="Times New Roman"/>
        </w:rPr>
      </w:pPr>
      <w:r>
        <w:rPr>
          <w:rFonts w:eastAsia="Times New Roman"/>
          <w:color w:val="000000"/>
          <w:sz w:val="18"/>
          <w:szCs w:val="18"/>
        </w:rPr>
        <w:t>(2)</w:t>
      </w:r>
      <w:r>
        <w:rPr>
          <w:rFonts w:eastAsia="Times New Roman"/>
          <w:color w:val="000000"/>
          <w:sz w:val="18"/>
          <w:szCs w:val="18"/>
        </w:rPr>
        <w:t>Reported in amounts due from reinsurers. See Note 1 of the Notes to these Consolidated Financial Statements for details of the Venerable transaction.</w:t>
      </w:r>
    </w:p>
    <w:p w:rsidR="00000000" w:rsidRDefault="00E54EC0">
      <w:pPr>
        <w:jc w:val="center"/>
        <w:divId w:val="1699087837"/>
        <w:rPr>
          <w:rFonts w:eastAsia="Times New Roman"/>
        </w:rPr>
      </w:pPr>
      <w:r>
        <w:rPr>
          <w:rFonts w:eastAsia="Times New Roman"/>
          <w:color w:val="000000"/>
          <w:sz w:val="20"/>
          <w:szCs w:val="20"/>
        </w:rPr>
        <w:t>200</w:t>
      </w:r>
    </w:p>
    <w:p w:rsidR="00000000" w:rsidRDefault="00E54EC0">
      <w:pPr>
        <w:rPr>
          <w:rFonts w:eastAsia="Times New Roman"/>
        </w:rPr>
      </w:pPr>
      <w:r>
        <w:rPr>
          <w:rFonts w:eastAsia="Times New Roman"/>
        </w:rPr>
        <w:pict>
          <v:rect id="_x0000_i1238" style="width:0;height:1.5pt" o:hralign="center" o:hrstd="t" o:hr="t" fillcolor="#a0a0a0" stroked="f"/>
        </w:pict>
      </w:r>
    </w:p>
    <w:p w:rsidR="00000000" w:rsidRDefault="00E54EC0">
      <w:pPr>
        <w:jc w:val="center"/>
        <w:divId w:val="1797093448"/>
        <w:rPr>
          <w:rFonts w:eastAsia="Times New Roman"/>
        </w:rPr>
      </w:pPr>
      <w:r>
        <w:rPr>
          <w:rFonts w:eastAsia="Times New Roman"/>
          <w:b/>
          <w:bCs/>
          <w:color w:val="000000"/>
          <w:sz w:val="20"/>
          <w:szCs w:val="20"/>
        </w:rPr>
        <w:t>EQUITABLE HOLDINGS, INC.</w:t>
      </w:r>
    </w:p>
    <w:p w:rsidR="00000000" w:rsidRDefault="00E54EC0">
      <w:pPr>
        <w:jc w:val="center"/>
        <w:divId w:val="179709344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 continued</w:t>
      </w:r>
    </w:p>
    <w:p w:rsidR="00000000" w:rsidRDefault="00E54EC0">
      <w:pPr>
        <w:divId w:val="446002877"/>
        <w:rPr>
          <w:rFonts w:eastAsia="Times New Roman"/>
        </w:rPr>
      </w:pPr>
      <w:r>
        <w:rPr>
          <w:rFonts w:eastAsia="Times New Roman"/>
          <w:b/>
          <w:bCs/>
          <w:color w:val="000000"/>
          <w:sz w:val="20"/>
          <w:szCs w:val="20"/>
        </w:rPr>
        <w:t xml:space="preserve">12)    SHORT-TERM AND LONG-TERM DEBT </w:t>
      </w:r>
    </w:p>
    <w:p w:rsidR="00000000" w:rsidRDefault="00E54EC0">
      <w:pPr>
        <w:divId w:val="1372147755"/>
        <w:rPr>
          <w:rFonts w:eastAsia="Times New Roman"/>
        </w:rPr>
      </w:pPr>
      <w:r>
        <w:rPr>
          <w:rFonts w:eastAsia="Times New Roman"/>
          <w:color w:val="000000"/>
          <w:sz w:val="20"/>
          <w:szCs w:val="20"/>
        </w:rPr>
        <w:t>The following table sets forth the Company’s total consolidated borrowings.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9"/>
        <w:gridCol w:w="120"/>
        <w:gridCol w:w="897"/>
        <w:gridCol w:w="36"/>
        <w:gridCol w:w="36"/>
        <w:gridCol w:w="36"/>
        <w:gridCol w:w="36"/>
        <w:gridCol w:w="120"/>
        <w:gridCol w:w="863"/>
        <w:gridCol w:w="36"/>
      </w:tblGrid>
      <w:tr w:rsidR="00000000">
        <w:trPr>
          <w:divId w:val="483741294"/>
        </w:trPr>
        <w:tc>
          <w:tcPr>
            <w:tcW w:w="50" w:type="pct"/>
            <w:vAlign w:val="center"/>
            <w:hideMark/>
          </w:tcPr>
          <w:p w:rsidR="00000000" w:rsidRDefault="00E54EC0">
            <w:pPr>
              <w:rPr>
                <w:rFonts w:eastAsia="Times New Roman"/>
              </w:rPr>
            </w:pPr>
          </w:p>
        </w:tc>
        <w:tc>
          <w:tcPr>
            <w:tcW w:w="366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8374129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December 31,</w:t>
            </w:r>
          </w:p>
        </w:tc>
      </w:tr>
      <w:tr w:rsidR="00000000">
        <w:trPr>
          <w:divId w:val="48374129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2021</w:t>
            </w:r>
          </w:p>
        </w:tc>
      </w:tr>
      <w:tr w:rsidR="00000000">
        <w:trPr>
          <w:divId w:val="48374129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(in millions)</w:t>
            </w:r>
          </w:p>
        </w:tc>
      </w:tr>
      <w:tr w:rsidR="00000000">
        <w:trPr>
          <w:divId w:val="48374129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83741294"/>
        </w:trPr>
        <w:tc>
          <w:tcPr>
            <w:tcW w:w="0" w:type="auto"/>
            <w:gridSpan w:val="3"/>
            <w:shd w:val="clear" w:color="auto" w:fill="CCEEFF"/>
            <w:tcMar>
              <w:top w:w="30" w:type="dxa"/>
              <w:left w:w="20" w:type="dxa"/>
              <w:bottom w:w="30" w:type="dxa"/>
              <w:right w:w="20" w:type="dxa"/>
            </w:tcMar>
            <w:vAlign w:val="center"/>
            <w:hideMark/>
          </w:tcPr>
          <w:p w:rsidR="00000000" w:rsidRDefault="00E54EC0">
            <w:pPr>
              <w:spacing w:after="100"/>
              <w:divId w:val="459611881"/>
              <w:rPr>
                <w:rFonts w:eastAsia="Times New Roman"/>
              </w:rPr>
            </w:pPr>
            <w:r>
              <w:rPr>
                <w:rFonts w:eastAsia="Times New Roman"/>
                <w:color w:val="000000"/>
                <w:sz w:val="20"/>
                <w:szCs w:val="20"/>
              </w:rPr>
              <w:t>CLO short-term debt (5.74%)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FFFF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Current portion of Long-term debt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short-term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4837412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691563689"/>
              <w:rPr>
                <w:rFonts w:eastAsia="Times New Roman"/>
              </w:rPr>
            </w:pPr>
            <w:r>
              <w:rPr>
                <w:rFonts w:eastAsia="Times New Roman"/>
                <w:color w:val="000000"/>
                <w:sz w:val="20"/>
                <w:szCs w:val="20"/>
              </w:rPr>
              <w:t>Senior Notes (5.00%, due 2048)</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318775063"/>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1,490 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484857218"/>
              <w:rPr>
                <w:rFonts w:eastAsia="Times New Roman"/>
              </w:rPr>
            </w:pPr>
            <w:r>
              <w:rPr>
                <w:rFonts w:eastAsia="Times New Roman"/>
                <w:color w:val="000000"/>
                <w:sz w:val="20"/>
                <w:szCs w:val="20"/>
              </w:rPr>
              <w:t>Senior Notes (3.90%, due 2023)</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496725410"/>
              <w:rPr>
                <w:rFonts w:eastAsia="Times New Roman"/>
              </w:rPr>
            </w:pPr>
            <w:r>
              <w:rPr>
                <w:rFonts w:eastAsia="Times New Roman"/>
                <w:color w:val="000000"/>
                <w:sz w:val="20"/>
                <w:szCs w:val="20"/>
              </w:rPr>
              <w:t>Senior Debentures, (7.00%, due 2028)</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long-term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374129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borrowings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4,081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1872768419"/>
        <w:rPr>
          <w:rFonts w:eastAsia="Times New Roman"/>
        </w:rPr>
      </w:pPr>
      <w:r>
        <w:rPr>
          <w:rFonts w:eastAsia="Times New Roman"/>
          <w:color w:val="000000"/>
          <w:sz w:val="18"/>
          <w:szCs w:val="18"/>
        </w:rPr>
        <w:t>______________</w:t>
      </w:r>
    </w:p>
    <w:p w:rsidR="00000000" w:rsidRDefault="00E54EC0">
      <w:pPr>
        <w:ind w:hanging="360"/>
        <w:divId w:val="1420641950"/>
        <w:rPr>
          <w:rFonts w:eastAsia="Times New Roman"/>
        </w:rPr>
      </w:pPr>
      <w:r>
        <w:rPr>
          <w:rFonts w:eastAsia="Times New Roman"/>
          <w:color w:val="000000"/>
          <w:sz w:val="18"/>
          <w:szCs w:val="18"/>
        </w:rPr>
        <w:t>(1) CLO Warehousing Debt related to VIE consolidation of CLO investment.</w:t>
      </w:r>
    </w:p>
    <w:p w:rsidR="00000000" w:rsidRDefault="00E54EC0">
      <w:pPr>
        <w:ind w:hanging="360"/>
        <w:divId w:val="1141267012"/>
        <w:rPr>
          <w:rFonts w:eastAsia="Times New Roman"/>
        </w:rPr>
      </w:pPr>
      <w:r>
        <w:rPr>
          <w:rFonts w:eastAsia="Times New Roman"/>
          <w:color w:val="000000"/>
          <w:sz w:val="18"/>
          <w:szCs w:val="18"/>
        </w:rPr>
        <w:t xml:space="preserve">(2) Current portion of Long-term debt have been reclassified to short-term debt for the year ended December 31, 2022 as the maturity date is within one year of year ended December 31, 2022. </w:t>
      </w:r>
    </w:p>
    <w:p w:rsidR="00000000" w:rsidRDefault="00E54EC0">
      <w:pPr>
        <w:divId w:val="195853155"/>
        <w:rPr>
          <w:rFonts w:eastAsia="Times New Roman"/>
        </w:rPr>
      </w:pPr>
      <w:r>
        <w:rPr>
          <w:rFonts w:eastAsia="Times New Roman"/>
          <w:color w:val="000000"/>
          <w:sz w:val="20"/>
          <w:szCs w:val="20"/>
        </w:rPr>
        <w:t>As of December 31, 2022, the Company is in compliance with all de</w:t>
      </w:r>
      <w:r>
        <w:rPr>
          <w:rFonts w:eastAsia="Times New Roman"/>
          <w:color w:val="000000"/>
          <w:sz w:val="20"/>
          <w:szCs w:val="20"/>
        </w:rPr>
        <w:t>bt covenants.</w:t>
      </w:r>
    </w:p>
    <w:p w:rsidR="00000000" w:rsidRDefault="00E54EC0">
      <w:pPr>
        <w:divId w:val="976951865"/>
        <w:rPr>
          <w:rFonts w:eastAsia="Times New Roman"/>
        </w:rPr>
      </w:pPr>
      <w:r>
        <w:rPr>
          <w:rFonts w:eastAsia="Times New Roman"/>
          <w:color w:val="000000"/>
          <w:sz w:val="20"/>
          <w:szCs w:val="20"/>
          <w:u w:val="single"/>
        </w:rPr>
        <w:t>Short-term Debt</w:t>
      </w:r>
    </w:p>
    <w:p w:rsidR="00000000" w:rsidRDefault="00E54EC0">
      <w:pPr>
        <w:jc w:val="both"/>
        <w:divId w:val="2050907894"/>
        <w:rPr>
          <w:rFonts w:eastAsia="Times New Roman"/>
        </w:rPr>
      </w:pPr>
      <w:r>
        <w:rPr>
          <w:rFonts w:eastAsia="Times New Roman"/>
          <w:b/>
          <w:bCs/>
          <w:i/>
          <w:iCs/>
          <w:color w:val="000000"/>
          <w:sz w:val="20"/>
          <w:szCs w:val="20"/>
        </w:rPr>
        <w:t>AB Commercial Paper</w:t>
      </w:r>
    </w:p>
    <w:p w:rsidR="00000000" w:rsidRDefault="00E54EC0">
      <w:pPr>
        <w:divId w:val="726803294"/>
        <w:rPr>
          <w:rFonts w:eastAsia="Times New Roman"/>
        </w:rPr>
      </w:pPr>
      <w:r>
        <w:rPr>
          <w:rFonts w:eastAsia="Times New Roman"/>
          <w:color w:val="000000"/>
          <w:sz w:val="20"/>
          <w:szCs w:val="20"/>
        </w:rPr>
        <w:t>As of December 31, 2022 and 2021, AB had no commercial paper outstanding. The commercial paper is short term in nature, and as such, recorded value is estimated to approximate fair value (and considered a L</w:t>
      </w:r>
      <w:r>
        <w:rPr>
          <w:rFonts w:eastAsia="Times New Roman"/>
          <w:color w:val="000000"/>
          <w:sz w:val="20"/>
          <w:szCs w:val="20"/>
        </w:rPr>
        <w:t>evel 2 security in the fair value hierarchy). Average daily borrowings for the commercial paper outstanding in 2022 were $190 million with a weighted average interest rate of 1.5%. Average daily borrowings for the commercial paper in 2021 were $157 million</w:t>
      </w:r>
      <w:r>
        <w:rPr>
          <w:rFonts w:eastAsia="Times New Roman"/>
          <w:color w:val="000000"/>
          <w:sz w:val="20"/>
          <w:szCs w:val="20"/>
        </w:rPr>
        <w:t xml:space="preserve"> with a weighted average interest rate of 0.2%. </w:t>
      </w:r>
    </w:p>
    <w:p w:rsidR="00000000" w:rsidRDefault="00E54EC0">
      <w:pPr>
        <w:jc w:val="both"/>
        <w:divId w:val="1575554975"/>
        <w:rPr>
          <w:rFonts w:eastAsia="Times New Roman"/>
        </w:rPr>
      </w:pPr>
      <w:r>
        <w:rPr>
          <w:rFonts w:eastAsia="Times New Roman"/>
          <w:b/>
          <w:bCs/>
          <w:i/>
          <w:iCs/>
          <w:color w:val="000000"/>
          <w:sz w:val="20"/>
          <w:szCs w:val="20"/>
        </w:rPr>
        <w:t>AB Revolver Credit Facility</w:t>
      </w:r>
    </w:p>
    <w:p w:rsidR="00000000" w:rsidRDefault="00E54EC0">
      <w:pPr>
        <w:divId w:val="1134833394"/>
        <w:rPr>
          <w:rFonts w:eastAsia="Times New Roman"/>
        </w:rPr>
      </w:pPr>
      <w:r>
        <w:rPr>
          <w:rFonts w:eastAsia="Times New Roman"/>
          <w:color w:val="000000"/>
          <w:sz w:val="20"/>
          <w:szCs w:val="20"/>
        </w:rPr>
        <w:t>AB had a $200 million committed, unsecured senior revolving credit facility (the "AB Revolver") with a leading international bank, which matured on November 16, 2021. Average dail</w:t>
      </w:r>
      <w:r>
        <w:rPr>
          <w:rFonts w:eastAsia="Times New Roman"/>
          <w:color w:val="000000"/>
          <w:sz w:val="20"/>
          <w:szCs w:val="20"/>
        </w:rPr>
        <w:t>y borrowings for 2021 were $13 million, with weighted average interest rates of 1.1%.</w:t>
      </w:r>
    </w:p>
    <w:p w:rsidR="00000000" w:rsidRDefault="00E54EC0">
      <w:pPr>
        <w:divId w:val="571698296"/>
        <w:rPr>
          <w:rFonts w:eastAsia="Times New Roman"/>
        </w:rPr>
      </w:pPr>
      <w:r>
        <w:rPr>
          <w:rFonts w:eastAsia="Times New Roman"/>
          <w:color w:val="000000"/>
          <w:sz w:val="20"/>
          <w:szCs w:val="20"/>
          <w:u w:val="single"/>
        </w:rPr>
        <w:t xml:space="preserve">Long-term Debt </w:t>
      </w:r>
    </w:p>
    <w:p w:rsidR="00000000" w:rsidRDefault="00E54EC0">
      <w:pPr>
        <w:jc w:val="both"/>
        <w:divId w:val="1740208960"/>
        <w:rPr>
          <w:rFonts w:eastAsia="Times New Roman"/>
        </w:rPr>
      </w:pPr>
      <w:r>
        <w:rPr>
          <w:rFonts w:eastAsia="Times New Roman"/>
          <w:b/>
          <w:bCs/>
          <w:i/>
          <w:iCs/>
          <w:color w:val="000000"/>
          <w:sz w:val="20"/>
          <w:szCs w:val="20"/>
        </w:rPr>
        <w:t xml:space="preserve">Holdings Senior Notes and Senior Debentures </w:t>
      </w:r>
    </w:p>
    <w:p w:rsidR="00000000" w:rsidRDefault="00E54EC0">
      <w:pPr>
        <w:divId w:val="92014288"/>
        <w:rPr>
          <w:rFonts w:eastAsia="Times New Roman"/>
        </w:rPr>
      </w:pPr>
      <w:r>
        <w:rPr>
          <w:rFonts w:eastAsia="Times New Roman"/>
          <w:color w:val="000000"/>
          <w:sz w:val="20"/>
          <w:szCs w:val="20"/>
        </w:rPr>
        <w:t>On April 20, 2018, Holdings issued</w:t>
      </w:r>
      <w:r>
        <w:rPr>
          <w:rFonts w:eastAsia="Times New Roman"/>
          <w:color w:val="000000"/>
          <w:sz w:val="20"/>
          <w:szCs w:val="20"/>
          <w:shd w:val="clear" w:color="auto" w:fill="FFFFFF"/>
        </w:rPr>
        <w:t xml:space="preserve"> $800 million aggregate principal amount of 3.9% Senior Notes due 2023, </w:t>
      </w:r>
      <w:r>
        <w:rPr>
          <w:rFonts w:eastAsia="Times New Roman"/>
          <w:color w:val="000000"/>
          <w:sz w:val="20"/>
          <w:szCs w:val="20"/>
        </w:rPr>
        <w:t>$1.</w:t>
      </w:r>
      <w:r>
        <w:rPr>
          <w:rFonts w:eastAsia="Times New Roman"/>
          <w:color w:val="000000"/>
          <w:sz w:val="20"/>
          <w:szCs w:val="20"/>
        </w:rPr>
        <w:t>5 billion</w:t>
      </w:r>
      <w:r>
        <w:rPr>
          <w:rFonts w:eastAsia="Times New Roman"/>
          <w:color w:val="000000"/>
          <w:sz w:val="20"/>
          <w:szCs w:val="20"/>
          <w:shd w:val="clear" w:color="auto" w:fill="FFFFFF"/>
        </w:rPr>
        <w:t xml:space="preserve"> aggregate principal amount of 4.35% Senior Notes due 2028 and $1.5 billion aggregate principal amount of 5.0% Senior Notes due 2048 (together the “Notes”). These amounts are recorded net of original issu</w:t>
      </w:r>
      <w:r>
        <w:rPr>
          <w:rFonts w:eastAsia="Times New Roman"/>
          <w:color w:val="000000"/>
          <w:sz w:val="20"/>
          <w:szCs w:val="20"/>
        </w:rPr>
        <w:t xml:space="preserve">e discount and issuance costs. During 2021 </w:t>
      </w:r>
      <w:r>
        <w:rPr>
          <w:rFonts w:eastAsia="Times New Roman"/>
          <w:color w:val="000000"/>
          <w:sz w:val="20"/>
          <w:szCs w:val="20"/>
        </w:rPr>
        <w:t xml:space="preserve">Holdings made a principal prepayment of $280 million on the 3.9% Senior Notes due. As of December 31, 2022, the 3.9% Senior Notes due 2023 are classified as short-term as their maturity date is within one year. </w:t>
      </w:r>
    </w:p>
    <w:p w:rsidR="00000000" w:rsidRDefault="00E54EC0">
      <w:pPr>
        <w:jc w:val="center"/>
        <w:divId w:val="1368682899"/>
        <w:rPr>
          <w:rFonts w:eastAsia="Times New Roman"/>
        </w:rPr>
      </w:pPr>
      <w:r>
        <w:rPr>
          <w:rFonts w:eastAsia="Times New Roman"/>
          <w:color w:val="000000"/>
          <w:sz w:val="20"/>
          <w:szCs w:val="20"/>
        </w:rPr>
        <w:t>201</w:t>
      </w:r>
    </w:p>
    <w:p w:rsidR="00000000" w:rsidRDefault="00E54EC0">
      <w:pPr>
        <w:rPr>
          <w:rFonts w:eastAsia="Times New Roman"/>
        </w:rPr>
      </w:pPr>
      <w:r>
        <w:rPr>
          <w:rFonts w:eastAsia="Times New Roman"/>
        </w:rPr>
        <w:pict>
          <v:rect id="_x0000_i1239" style="width:0;height:1.5pt" o:hralign="center" o:hrstd="t" o:hr="t" fillcolor="#a0a0a0" stroked="f"/>
        </w:pict>
      </w:r>
    </w:p>
    <w:p w:rsidR="00000000" w:rsidRDefault="00E54EC0">
      <w:pPr>
        <w:jc w:val="center"/>
        <w:divId w:val="1697192932"/>
        <w:rPr>
          <w:rFonts w:eastAsia="Times New Roman"/>
        </w:rPr>
      </w:pPr>
      <w:r>
        <w:rPr>
          <w:rFonts w:eastAsia="Times New Roman"/>
          <w:b/>
          <w:bCs/>
          <w:color w:val="000000"/>
          <w:sz w:val="20"/>
          <w:szCs w:val="20"/>
        </w:rPr>
        <w:t>EQUI</w:t>
      </w:r>
      <w:r>
        <w:rPr>
          <w:rFonts w:eastAsia="Times New Roman"/>
          <w:b/>
          <w:bCs/>
          <w:color w:val="000000"/>
          <w:sz w:val="20"/>
          <w:szCs w:val="20"/>
        </w:rPr>
        <w:t>TABLE HOLDINGS, INC.</w:t>
      </w:r>
    </w:p>
    <w:p w:rsidR="00000000" w:rsidRDefault="00E54EC0">
      <w:pPr>
        <w:jc w:val="center"/>
        <w:divId w:val="1697192932"/>
        <w:rPr>
          <w:rFonts w:eastAsia="Times New Roman"/>
        </w:rPr>
      </w:pPr>
      <w:r>
        <w:rPr>
          <w:rFonts w:eastAsia="Times New Roman"/>
          <w:b/>
          <w:bCs/>
          <w:color w:val="000000"/>
          <w:sz w:val="20"/>
          <w:szCs w:val="20"/>
        </w:rPr>
        <w:t>NOTES TO CONSOLIDATED FINANCIAL STATEMENTS, continued</w:t>
      </w:r>
    </w:p>
    <w:p w:rsidR="00000000" w:rsidRDefault="00E54EC0">
      <w:pPr>
        <w:divId w:val="2011785697"/>
        <w:rPr>
          <w:rFonts w:eastAsia="Times New Roman"/>
        </w:rPr>
      </w:pPr>
      <w:r>
        <w:rPr>
          <w:rFonts w:eastAsia="Times New Roman"/>
          <w:color w:val="000000"/>
          <w:sz w:val="20"/>
          <w:szCs w:val="20"/>
        </w:rPr>
        <w:t xml:space="preserve">As of December 31, 2022 and 2021, Holdings had outstanding $350 million and $349 million aggregate principal amount of 7.0% Senior Debentures due 2028 (the “Senior Debentures”). On </w:t>
      </w:r>
      <w:r>
        <w:rPr>
          <w:rFonts w:eastAsia="Times New Roman"/>
          <w:color w:val="000000"/>
          <w:sz w:val="20"/>
          <w:szCs w:val="20"/>
        </w:rPr>
        <w:t>October 1, 2018, AXA Financial merged with and into its direct parent, Holdings, with Holdings continuing as the surviving entity ( the “AXA Financial Merger”). As a result of the AXA Financial merger, Holdings assumed AXA Financial’s obligations under the</w:t>
      </w:r>
      <w:r>
        <w:rPr>
          <w:rFonts w:eastAsia="Times New Roman"/>
          <w:color w:val="000000"/>
          <w:sz w:val="20"/>
          <w:szCs w:val="20"/>
        </w:rPr>
        <w:t xml:space="preserve"> Senior Debentures.</w:t>
      </w:r>
    </w:p>
    <w:p w:rsidR="00000000" w:rsidRDefault="00E54EC0">
      <w:pPr>
        <w:divId w:val="2084451450"/>
        <w:rPr>
          <w:rFonts w:eastAsia="Times New Roman"/>
        </w:rPr>
      </w:pPr>
      <w:r>
        <w:rPr>
          <w:rFonts w:eastAsia="Times New Roman"/>
          <w:color w:val="000000"/>
          <w:sz w:val="20"/>
          <w:szCs w:val="20"/>
        </w:rPr>
        <w:t>The Notes and Senior Debentures contain customary affirmative and negative covenants, including a limitation on certain liens and a limit on the Company’s ability to consolidate, merge or sell or otherwise dispose of all or substantiall</w:t>
      </w:r>
      <w:r>
        <w:rPr>
          <w:rFonts w:eastAsia="Times New Roman"/>
          <w:color w:val="000000"/>
          <w:sz w:val="20"/>
          <w:szCs w:val="20"/>
        </w:rPr>
        <w:t>y all of its assets. The Notes and Senior Debentures also include customary events of default (with customary grace periods, as applicable), including provisions under which, upon the occurrence of an event of default, all outstanding Notes and Senior Debe</w:t>
      </w:r>
      <w:r>
        <w:rPr>
          <w:rFonts w:eastAsia="Times New Roman"/>
          <w:color w:val="000000"/>
          <w:sz w:val="20"/>
          <w:szCs w:val="20"/>
        </w:rPr>
        <w:t>ntures may be accelerated. As of December 31, 2022, the Company was not in breach of any of the covenants.</w:t>
      </w:r>
    </w:p>
    <w:p w:rsidR="00000000" w:rsidRDefault="00E54EC0">
      <w:pPr>
        <w:jc w:val="both"/>
        <w:divId w:val="1176922060"/>
        <w:rPr>
          <w:rFonts w:eastAsia="Times New Roman"/>
        </w:rPr>
      </w:pPr>
      <w:r>
        <w:rPr>
          <w:rFonts w:eastAsia="Times New Roman"/>
          <w:b/>
          <w:bCs/>
          <w:i/>
          <w:iCs/>
          <w:color w:val="000000"/>
          <w:sz w:val="20"/>
          <w:szCs w:val="20"/>
        </w:rPr>
        <w:t>Contingent Funding Arrangements</w:t>
      </w:r>
    </w:p>
    <w:p w:rsidR="00000000" w:rsidRDefault="00E54EC0">
      <w:pPr>
        <w:divId w:val="616061129"/>
        <w:rPr>
          <w:rFonts w:eastAsia="Times New Roman"/>
        </w:rPr>
      </w:pPr>
      <w:r>
        <w:rPr>
          <w:rFonts w:eastAsia="Times New Roman"/>
          <w:color w:val="000000"/>
          <w:sz w:val="20"/>
          <w:szCs w:val="20"/>
        </w:rPr>
        <w:t>For information regarding activity pertaining to our contingent funding arrangements, see Note 17 of the Notes to the</w:t>
      </w:r>
      <w:r>
        <w:rPr>
          <w:rFonts w:eastAsia="Times New Roman"/>
          <w:color w:val="000000"/>
          <w:sz w:val="20"/>
          <w:szCs w:val="20"/>
        </w:rPr>
        <w:t>se Consolidated Financial Statements.</w:t>
      </w:r>
    </w:p>
    <w:p w:rsidR="00000000" w:rsidRDefault="00E54EC0">
      <w:pPr>
        <w:divId w:val="684359272"/>
        <w:rPr>
          <w:rFonts w:eastAsia="Times New Roman"/>
        </w:rPr>
      </w:pPr>
      <w:r>
        <w:rPr>
          <w:rFonts w:eastAsia="Times New Roman"/>
          <w:color w:val="000000"/>
          <w:sz w:val="20"/>
          <w:szCs w:val="20"/>
          <w:u w:val="single"/>
        </w:rPr>
        <w:t>Credit Facilities</w:t>
      </w:r>
    </w:p>
    <w:p w:rsidR="00000000" w:rsidRDefault="00E54EC0">
      <w:pPr>
        <w:jc w:val="both"/>
        <w:divId w:val="225338136"/>
        <w:rPr>
          <w:rFonts w:eastAsia="Times New Roman"/>
        </w:rPr>
      </w:pPr>
      <w:r>
        <w:rPr>
          <w:rFonts w:eastAsia="Times New Roman"/>
          <w:b/>
          <w:bCs/>
          <w:i/>
          <w:iCs/>
          <w:color w:val="000000"/>
          <w:sz w:val="20"/>
          <w:szCs w:val="20"/>
        </w:rPr>
        <w:t>Holdings Revolving Credit Facility</w:t>
      </w:r>
    </w:p>
    <w:p w:rsidR="00000000" w:rsidRDefault="00E54EC0">
      <w:pPr>
        <w:divId w:val="1117605393"/>
        <w:rPr>
          <w:rFonts w:eastAsia="Times New Roman"/>
        </w:rPr>
      </w:pPr>
      <w:r>
        <w:rPr>
          <w:rFonts w:eastAsia="Times New Roman"/>
          <w:color w:val="000000"/>
          <w:sz w:val="20"/>
          <w:szCs w:val="20"/>
        </w:rPr>
        <w:t>In February 2018, Holdings entered into a $2.5 billion five-year senior unsecured revolving credit facility with a syndicate of banks. In June 2021, Holdings entered</w:t>
      </w:r>
      <w:r>
        <w:rPr>
          <w:rFonts w:eastAsia="Times New Roman"/>
          <w:color w:val="000000"/>
          <w:sz w:val="20"/>
          <w:szCs w:val="20"/>
        </w:rPr>
        <w:t xml:space="preserve"> into an amended and restated revolving credit agreement, which lowered the facility amount to $1.5 billion and extended the maturity date to June 24, 2026, among other changes. The revolving credit facility has a sub-limit of $1.5 billion for the issuance</w:t>
      </w:r>
      <w:r>
        <w:rPr>
          <w:rFonts w:eastAsia="Times New Roman"/>
          <w:color w:val="000000"/>
          <w:sz w:val="20"/>
          <w:szCs w:val="20"/>
        </w:rPr>
        <w:t xml:space="preserve"> of letters of credit to support the life insurance business reinsured by EQ AZ Life Re. As of December 31, 2022, the Company had $225 million of undrawn letters of credit issued out of the $1.5 billion sub-limit for Equitable Financial as beneficiary. </w:t>
      </w:r>
    </w:p>
    <w:p w:rsidR="00000000" w:rsidRDefault="00E54EC0">
      <w:pPr>
        <w:jc w:val="both"/>
        <w:divId w:val="1948921148"/>
        <w:rPr>
          <w:rFonts w:eastAsia="Times New Roman"/>
        </w:rPr>
      </w:pPr>
      <w:r>
        <w:rPr>
          <w:rFonts w:eastAsia="Times New Roman"/>
          <w:b/>
          <w:bCs/>
          <w:i/>
          <w:iCs/>
          <w:color w:val="000000"/>
          <w:sz w:val="20"/>
          <w:szCs w:val="20"/>
        </w:rPr>
        <w:t>Bi</w:t>
      </w:r>
      <w:r>
        <w:rPr>
          <w:rFonts w:eastAsia="Times New Roman"/>
          <w:b/>
          <w:bCs/>
          <w:i/>
          <w:iCs/>
          <w:color w:val="000000"/>
          <w:sz w:val="20"/>
          <w:szCs w:val="20"/>
        </w:rPr>
        <w:t>lateral Letter of Credit Facilities</w:t>
      </w:r>
    </w:p>
    <w:p w:rsidR="00000000" w:rsidRDefault="00E54EC0">
      <w:pPr>
        <w:divId w:val="1894344407"/>
        <w:rPr>
          <w:rFonts w:eastAsia="Times New Roman"/>
        </w:rPr>
      </w:pPr>
      <w:r>
        <w:rPr>
          <w:rFonts w:eastAsia="Times New Roman"/>
          <w:color w:val="000000"/>
          <w:sz w:val="20"/>
          <w:szCs w:val="20"/>
        </w:rPr>
        <w:t>In February 2018, the Company entered into bilateral letter of credit facilities, each guaranteed by Holdings, with an aggregate principal amount of approximately $1.9 billion, with multiple counterparties. In June 2021,</w:t>
      </w:r>
      <w:r>
        <w:rPr>
          <w:rFonts w:eastAsia="Times New Roman"/>
          <w:color w:val="000000"/>
          <w:sz w:val="20"/>
          <w:szCs w:val="20"/>
        </w:rPr>
        <w:t xml:space="preserve"> Holdings entered into amendments with each of the issuers of its bilateral letter of credit facilities to effect changes similar to those effected in the amended and restated revolving credit agreement. The respective facility limits of the bilateral lett</w:t>
      </w:r>
      <w:r>
        <w:rPr>
          <w:rFonts w:eastAsia="Times New Roman"/>
          <w:color w:val="000000"/>
          <w:sz w:val="20"/>
          <w:szCs w:val="20"/>
        </w:rPr>
        <w:t>er of credit facilities remained unchanged. These facilities support the life insurance business reinsured by EQ AZ Life Re. The HSBC facility matures on February 16, 2024 and the rest of the facilities mature on February 16, 2026 and February 2027. The bi</w:t>
      </w:r>
      <w:r>
        <w:rPr>
          <w:rFonts w:eastAsia="Times New Roman"/>
          <w:color w:val="000000"/>
          <w:sz w:val="20"/>
          <w:szCs w:val="20"/>
        </w:rPr>
        <w:t>lateral letter of credit facilities were not drawn upon during December 31, 2022 and 2021.</w:t>
      </w:r>
    </w:p>
    <w:p w:rsidR="00000000" w:rsidRDefault="00E54EC0">
      <w:pPr>
        <w:jc w:val="both"/>
        <w:divId w:val="1559627795"/>
        <w:rPr>
          <w:rFonts w:eastAsia="Times New Roman"/>
        </w:rPr>
      </w:pPr>
      <w:r>
        <w:rPr>
          <w:rFonts w:eastAsia="Times New Roman"/>
          <w:b/>
          <w:bCs/>
          <w:i/>
          <w:iCs/>
          <w:color w:val="000000"/>
          <w:sz w:val="20"/>
          <w:szCs w:val="20"/>
        </w:rPr>
        <w:t>AB Credit Facility</w:t>
      </w:r>
    </w:p>
    <w:p w:rsidR="00000000" w:rsidRDefault="00E54EC0">
      <w:pPr>
        <w:divId w:val="1367440505"/>
        <w:rPr>
          <w:rFonts w:eastAsia="Times New Roman"/>
        </w:rPr>
      </w:pPr>
      <w:r>
        <w:rPr>
          <w:rFonts w:eastAsia="Times New Roman"/>
          <w:color w:val="000000"/>
          <w:sz w:val="20"/>
          <w:szCs w:val="20"/>
        </w:rPr>
        <w:t xml:space="preserve">AB has a $800 million committed, unsecured senior revolving credit facility (the “AB Credit Facility”) with a group of commercial banks and other </w:t>
      </w:r>
      <w:r>
        <w:rPr>
          <w:rFonts w:eastAsia="Times New Roman"/>
          <w:color w:val="000000"/>
          <w:sz w:val="20"/>
          <w:szCs w:val="20"/>
        </w:rPr>
        <w:t>lenders which matures on October 13, 2026. The credit facility provides for possible increases in the principal amount by up to an aggregate incremental amount of $200 million. Any such increase is subject to the consent of the affected lenders. The AB Cre</w:t>
      </w:r>
      <w:r>
        <w:rPr>
          <w:rFonts w:eastAsia="Times New Roman"/>
          <w:color w:val="000000"/>
          <w:sz w:val="20"/>
          <w:szCs w:val="20"/>
        </w:rPr>
        <w:t>dit Facility is available for AB and SCB LLC for business purposes, including the support of AB’s commercial paper program. Both AB and SCB LLC can draw directly under the AB Credit Facility and AB management may draw on the AB Credit Facility from time to</w:t>
      </w:r>
      <w:r>
        <w:rPr>
          <w:rFonts w:eastAsia="Times New Roman"/>
          <w:color w:val="000000"/>
          <w:sz w:val="20"/>
          <w:szCs w:val="20"/>
        </w:rPr>
        <w:t xml:space="preserve"> time. AB has agreed to guarantee the obligations of SCB LLC under the AB Credit Facility.</w:t>
      </w:r>
    </w:p>
    <w:p w:rsidR="00000000" w:rsidRDefault="00E54EC0">
      <w:pPr>
        <w:divId w:val="1212301846"/>
        <w:rPr>
          <w:rFonts w:eastAsia="Times New Roman"/>
        </w:rPr>
      </w:pPr>
      <w:r>
        <w:rPr>
          <w:rFonts w:eastAsia="Times New Roman"/>
          <w:color w:val="000000"/>
          <w:sz w:val="20"/>
          <w:szCs w:val="20"/>
        </w:rPr>
        <w:t>The AB Credit Facility contains affirmative, negative and financial covenants, which are customary for facilities of this type, including, restrictions on dispositio</w:t>
      </w:r>
      <w:r>
        <w:rPr>
          <w:rFonts w:eastAsia="Times New Roman"/>
          <w:color w:val="000000"/>
          <w:sz w:val="20"/>
          <w:szCs w:val="20"/>
        </w:rPr>
        <w:t xml:space="preserve">ns of assets, restrictions on liens, a minimum interest coverage ratio and a maximum leverage ratio. As of December 31, 2022, AB was in compliance with these covenants. The AB Credit Facility also includes customary events of default (with customary grace </w:t>
      </w:r>
      <w:r>
        <w:rPr>
          <w:rFonts w:eastAsia="Times New Roman"/>
          <w:color w:val="000000"/>
          <w:sz w:val="20"/>
          <w:szCs w:val="20"/>
        </w:rPr>
        <w:t>periods, as applicable), including provisions under which, upon the occurrence of an event of default, all outstanding loans may be accelerated and/or lender’s commitments may be terminated. Also, under such provisions, upon the occurrence of certain insol</w:t>
      </w:r>
      <w:r>
        <w:rPr>
          <w:rFonts w:eastAsia="Times New Roman"/>
          <w:color w:val="000000"/>
          <w:sz w:val="20"/>
          <w:szCs w:val="20"/>
        </w:rPr>
        <w:t>vency- or bankruptcy-related events of default, all amounts payable under the AB Credit Facility would automatically become immediately due and payable, and the lender’s commitments would automatically terminate.</w:t>
      </w:r>
    </w:p>
    <w:p w:rsidR="00000000" w:rsidRDefault="00E54EC0">
      <w:pPr>
        <w:divId w:val="1812670745"/>
        <w:rPr>
          <w:rFonts w:eastAsia="Times New Roman"/>
        </w:rPr>
      </w:pPr>
      <w:r>
        <w:rPr>
          <w:rFonts w:eastAsia="Times New Roman"/>
          <w:color w:val="000000"/>
          <w:sz w:val="20"/>
          <w:szCs w:val="20"/>
        </w:rPr>
        <w:t>Amounts under the Credit Facility may be bo</w:t>
      </w:r>
      <w:r>
        <w:rPr>
          <w:rFonts w:eastAsia="Times New Roman"/>
          <w:color w:val="000000"/>
          <w:sz w:val="20"/>
          <w:szCs w:val="20"/>
        </w:rPr>
        <w:t>rrowed, repaid and re-borrowed by us from time to time until the maturity of the facility. Voluntary prepayments and commitment reductions requested by AB are permitted at any time without a fee (other than customary breakage costs relating to the prepayme</w:t>
      </w:r>
      <w:r>
        <w:rPr>
          <w:rFonts w:eastAsia="Times New Roman"/>
          <w:color w:val="000000"/>
          <w:sz w:val="20"/>
          <w:szCs w:val="20"/>
        </w:rPr>
        <w:t xml:space="preserve">nt of any drawn loans) upon proper notice and </w:t>
      </w:r>
    </w:p>
    <w:p w:rsidR="00000000" w:rsidRDefault="00E54EC0">
      <w:pPr>
        <w:jc w:val="center"/>
        <w:divId w:val="964695121"/>
        <w:rPr>
          <w:rFonts w:eastAsia="Times New Roman"/>
        </w:rPr>
      </w:pPr>
      <w:r>
        <w:rPr>
          <w:rFonts w:eastAsia="Times New Roman"/>
          <w:color w:val="000000"/>
          <w:sz w:val="20"/>
          <w:szCs w:val="20"/>
        </w:rPr>
        <w:t>202</w:t>
      </w:r>
    </w:p>
    <w:p w:rsidR="00000000" w:rsidRDefault="00E54EC0">
      <w:pPr>
        <w:rPr>
          <w:rFonts w:eastAsia="Times New Roman"/>
        </w:rPr>
      </w:pPr>
      <w:r>
        <w:rPr>
          <w:rFonts w:eastAsia="Times New Roman"/>
        </w:rPr>
        <w:pict>
          <v:rect id="_x0000_i1240" style="width:0;height:1.5pt" o:hralign="center" o:hrstd="t" o:hr="t" fillcolor="#a0a0a0" stroked="f"/>
        </w:pict>
      </w:r>
    </w:p>
    <w:p w:rsidR="00000000" w:rsidRDefault="00E54EC0">
      <w:pPr>
        <w:jc w:val="center"/>
        <w:divId w:val="607156676"/>
        <w:rPr>
          <w:rFonts w:eastAsia="Times New Roman"/>
        </w:rPr>
      </w:pPr>
      <w:r>
        <w:rPr>
          <w:rFonts w:eastAsia="Times New Roman"/>
          <w:b/>
          <w:bCs/>
          <w:color w:val="000000"/>
          <w:sz w:val="20"/>
          <w:szCs w:val="20"/>
        </w:rPr>
        <w:t>EQUITABLE HOLDINGS, INC.</w:t>
      </w:r>
    </w:p>
    <w:p w:rsidR="00000000" w:rsidRDefault="00E54EC0">
      <w:pPr>
        <w:jc w:val="center"/>
        <w:divId w:val="607156676"/>
        <w:rPr>
          <w:rFonts w:eastAsia="Times New Roman"/>
        </w:rPr>
      </w:pPr>
      <w:r>
        <w:rPr>
          <w:rFonts w:eastAsia="Times New Roman"/>
          <w:b/>
          <w:bCs/>
          <w:color w:val="000000"/>
          <w:sz w:val="20"/>
          <w:szCs w:val="20"/>
        </w:rPr>
        <w:t>NOTES TO CONSOLIDATED FINANCIAL STATEMENTS, continued</w:t>
      </w:r>
    </w:p>
    <w:p w:rsidR="00000000" w:rsidRDefault="00E54EC0">
      <w:pPr>
        <w:divId w:val="301690675"/>
        <w:rPr>
          <w:rFonts w:eastAsia="Times New Roman"/>
        </w:rPr>
      </w:pPr>
      <w:r>
        <w:rPr>
          <w:rFonts w:eastAsia="Times New Roman"/>
          <w:color w:val="000000"/>
          <w:sz w:val="20"/>
          <w:szCs w:val="20"/>
        </w:rPr>
        <w:t xml:space="preserve">subject to a minimum dollar requirement. Borrowings under the AB Credit Facility bear interest at a rate per annum, which will be, at AB’s option, a rate equal to an applicable margin, which is subject to adjustment based on the credit ratings of AB, plus </w:t>
      </w:r>
      <w:r>
        <w:rPr>
          <w:rFonts w:eastAsia="Times New Roman"/>
          <w:color w:val="000000"/>
          <w:sz w:val="20"/>
          <w:szCs w:val="20"/>
        </w:rPr>
        <w:t>one of the following indices: LIBOR; a floating base rate; or the Federal Funds rate.</w:t>
      </w:r>
    </w:p>
    <w:p w:rsidR="00000000" w:rsidRDefault="00E54EC0">
      <w:pPr>
        <w:divId w:val="515312723"/>
        <w:rPr>
          <w:rFonts w:eastAsia="Times New Roman"/>
        </w:rPr>
      </w:pPr>
      <w:r>
        <w:rPr>
          <w:rFonts w:eastAsia="Times New Roman"/>
          <w:color w:val="000000"/>
          <w:sz w:val="20"/>
          <w:szCs w:val="20"/>
        </w:rPr>
        <w:t>As of December 31, 2022 and 2021, AB had no amounts outstanding under the AB Credit Facility. During the years ended the December 31, 2022 and 2021, AB and SCB LLC did no</w:t>
      </w:r>
      <w:r>
        <w:rPr>
          <w:rFonts w:eastAsia="Times New Roman"/>
          <w:color w:val="000000"/>
          <w:sz w:val="20"/>
          <w:szCs w:val="20"/>
        </w:rPr>
        <w:t>t draw upon the AB Credit Facility.</w:t>
      </w:r>
    </w:p>
    <w:p w:rsidR="00000000" w:rsidRDefault="00E54EC0">
      <w:pPr>
        <w:divId w:val="1689599230"/>
        <w:rPr>
          <w:rFonts w:eastAsia="Times New Roman"/>
        </w:rPr>
      </w:pPr>
      <w:r>
        <w:rPr>
          <w:rFonts w:eastAsia="Times New Roman"/>
          <w:color w:val="000000"/>
          <w:sz w:val="20"/>
          <w:szCs w:val="20"/>
        </w:rPr>
        <w:t>In addition, SCB LLC currently has five uncommitted lines of credit with five financial institutions. Four of these lines of credit permit borrowing up to an aggregate of approximately $315 million, with AB named as an a</w:t>
      </w:r>
      <w:r>
        <w:rPr>
          <w:rFonts w:eastAsia="Times New Roman"/>
          <w:color w:val="000000"/>
          <w:sz w:val="20"/>
          <w:szCs w:val="20"/>
        </w:rPr>
        <w:t>dditional borrower, while the other line has no stated limit. As of December 31, 2022 and 2021, SCB LLC had no outstanding balance on these lines of credit. Average daily borrowings during the years ended 2022 and 2021 were $1 million and $47 thousand with</w:t>
      </w:r>
      <w:r>
        <w:rPr>
          <w:rFonts w:eastAsia="Times New Roman"/>
          <w:color w:val="000000"/>
          <w:sz w:val="20"/>
          <w:szCs w:val="20"/>
        </w:rPr>
        <w:t xml:space="preserve"> weighted average interest rates of approximately 3.7% and 0.9%, respectively.</w:t>
      </w:r>
    </w:p>
    <w:p w:rsidR="00000000" w:rsidRDefault="00E54EC0">
      <w:pPr>
        <w:divId w:val="1725716484"/>
        <w:rPr>
          <w:rFonts w:eastAsia="Times New Roman"/>
        </w:rPr>
      </w:pPr>
      <w:r>
        <w:rPr>
          <w:rFonts w:eastAsia="Times New Roman"/>
          <w:b/>
          <w:bCs/>
          <w:color w:val="000000"/>
          <w:sz w:val="20"/>
          <w:szCs w:val="20"/>
        </w:rPr>
        <w:t xml:space="preserve">13)    RELATED PARTY TRANSACTIONS </w:t>
      </w:r>
    </w:p>
    <w:p w:rsidR="00000000" w:rsidRDefault="00E54EC0">
      <w:pPr>
        <w:divId w:val="799223134"/>
        <w:rPr>
          <w:rFonts w:eastAsia="Times New Roman"/>
        </w:rPr>
      </w:pPr>
      <w:r>
        <w:rPr>
          <w:rFonts w:eastAsia="Times New Roman"/>
          <w:color w:val="000000"/>
          <w:sz w:val="20"/>
          <w:szCs w:val="20"/>
        </w:rPr>
        <w:t xml:space="preserve">Parties are considered to be related if one party has the ability to control or exercise significant influence over the other party in making </w:t>
      </w:r>
      <w:r>
        <w:rPr>
          <w:rFonts w:eastAsia="Times New Roman"/>
          <w:color w:val="000000"/>
          <w:sz w:val="20"/>
          <w:szCs w:val="20"/>
        </w:rPr>
        <w:t xml:space="preserve">financial or operating decisions. </w:t>
      </w:r>
    </w:p>
    <w:p w:rsidR="00000000" w:rsidRDefault="00E54EC0">
      <w:pPr>
        <w:jc w:val="both"/>
        <w:divId w:val="283853067"/>
        <w:rPr>
          <w:rFonts w:eastAsia="Times New Roman"/>
        </w:rPr>
      </w:pPr>
      <w:r>
        <w:rPr>
          <w:rFonts w:eastAsia="Times New Roman"/>
          <w:b/>
          <w:bCs/>
          <w:i/>
          <w:iCs/>
          <w:color w:val="000000"/>
          <w:sz w:val="20"/>
          <w:szCs w:val="20"/>
        </w:rPr>
        <w:t>Investment Management and Related Services Provided by AB to Related Mutual Funds</w:t>
      </w:r>
    </w:p>
    <w:p w:rsidR="00000000" w:rsidRDefault="00E54EC0">
      <w:pPr>
        <w:divId w:val="1512333463"/>
        <w:rPr>
          <w:rFonts w:eastAsia="Times New Roman"/>
        </w:rPr>
      </w:pPr>
      <w:r>
        <w:rPr>
          <w:rFonts w:eastAsia="Times New Roman"/>
          <w:color w:val="000000"/>
          <w:sz w:val="20"/>
          <w:szCs w:val="20"/>
        </w:rPr>
        <w:t>AB provides investment management and related services to mutual funds sponsored by AB. Revenues earned by AB from providing these services</w:t>
      </w:r>
      <w:r>
        <w:rPr>
          <w:rFonts w:eastAsia="Times New Roman"/>
          <w:color w:val="000000"/>
          <w:sz w:val="20"/>
          <w:szCs w:val="20"/>
        </w:rPr>
        <w:t xml:space="preserve"> were as follows:</w:t>
      </w:r>
    </w:p>
    <w:tbl>
      <w:tblPr>
        <w:tblW w:w="4510" w:type="pct"/>
        <w:tblCellMar>
          <w:top w:w="15" w:type="dxa"/>
          <w:left w:w="15" w:type="dxa"/>
          <w:bottom w:w="15" w:type="dxa"/>
          <w:right w:w="15" w:type="dxa"/>
        </w:tblCellMar>
        <w:tblLook w:val="04A0" w:firstRow="1" w:lastRow="0" w:firstColumn="1" w:lastColumn="0" w:noHBand="0" w:noVBand="1"/>
      </w:tblPr>
      <w:tblGrid>
        <w:gridCol w:w="37"/>
        <w:gridCol w:w="4163"/>
        <w:gridCol w:w="36"/>
        <w:gridCol w:w="120"/>
        <w:gridCol w:w="886"/>
        <w:gridCol w:w="36"/>
        <w:gridCol w:w="36"/>
        <w:gridCol w:w="36"/>
        <w:gridCol w:w="36"/>
        <w:gridCol w:w="120"/>
        <w:gridCol w:w="843"/>
        <w:gridCol w:w="36"/>
        <w:gridCol w:w="36"/>
        <w:gridCol w:w="36"/>
        <w:gridCol w:w="36"/>
        <w:gridCol w:w="120"/>
        <w:gridCol w:w="843"/>
        <w:gridCol w:w="36"/>
      </w:tblGrid>
      <w:tr w:rsidR="00000000">
        <w:trPr>
          <w:divId w:val="1408654133"/>
        </w:trPr>
        <w:tc>
          <w:tcPr>
            <w:tcW w:w="50" w:type="pct"/>
            <w:vAlign w:val="center"/>
            <w:hideMark/>
          </w:tcPr>
          <w:p w:rsidR="00000000" w:rsidRDefault="00E54EC0">
            <w:pPr>
              <w:rPr>
                <w:rFonts w:eastAsia="Times New Roman"/>
              </w:rPr>
            </w:pPr>
          </w:p>
        </w:tc>
        <w:tc>
          <w:tcPr>
            <w:tcW w:w="28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3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3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40865413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40865413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40865413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40865413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management and services fees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1,368 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0865413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Distribution revenues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0865413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revenues - shareholder servicing fees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0865413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revenues - 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40865413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2,131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446703159"/>
        <w:rPr>
          <w:rFonts w:eastAsia="Times New Roman"/>
        </w:rPr>
      </w:pPr>
      <w:r>
        <w:rPr>
          <w:rFonts w:eastAsia="Times New Roman"/>
          <w:b/>
          <w:bCs/>
          <w:i/>
          <w:iCs/>
          <w:color w:val="000000"/>
          <w:sz w:val="20"/>
          <w:szCs w:val="20"/>
        </w:rPr>
        <w:t xml:space="preserve">Investment Management and Administrative Services Provided by EIM and EIMG to Related Trusts </w:t>
      </w:r>
    </w:p>
    <w:p w:rsidR="00000000" w:rsidRDefault="00E54EC0">
      <w:pPr>
        <w:divId w:val="278074269"/>
        <w:rPr>
          <w:rFonts w:eastAsia="Times New Roman"/>
        </w:rPr>
      </w:pPr>
      <w:r>
        <w:rPr>
          <w:rFonts w:eastAsia="Times New Roman"/>
          <w:color w:val="000000"/>
          <w:sz w:val="20"/>
          <w:szCs w:val="20"/>
        </w:rPr>
        <w:t>EIMG and EIM provide investment management and administrative services to EQAT, EQ Premier VIP Trust, 1290 Funds and the Other AXA Trusts, all of which are considered related parties. Investment management and service fees earned are calculated as a percen</w:t>
      </w:r>
      <w:r>
        <w:rPr>
          <w:rFonts w:eastAsia="Times New Roman"/>
          <w:color w:val="000000"/>
          <w:sz w:val="20"/>
          <w:szCs w:val="20"/>
        </w:rPr>
        <w:t>tage of assets under management and are recorded as revenue as the related services are performed.</w:t>
      </w:r>
    </w:p>
    <w:p w:rsidR="00000000" w:rsidRDefault="00E54EC0">
      <w:pPr>
        <w:divId w:val="1973631421"/>
        <w:rPr>
          <w:rFonts w:eastAsia="Times New Roman"/>
        </w:rPr>
      </w:pPr>
      <w:r>
        <w:rPr>
          <w:rFonts w:eastAsia="Times New Roman"/>
          <w:color w:val="000000"/>
          <w:sz w:val="20"/>
          <w:szCs w:val="20"/>
        </w:rPr>
        <w:t>The table below summarizes the expenses reimbursed to/from the Company and the fees received/paid by the Company in connection with certain services describe</w:t>
      </w:r>
      <w:r>
        <w:rPr>
          <w:rFonts w:eastAsia="Times New Roman"/>
          <w:color w:val="000000"/>
          <w:sz w:val="20"/>
          <w:szCs w:val="20"/>
        </w:rPr>
        <w:t>d above for the years ended December 31, 2022, 2021 and 2020.</w:t>
      </w:r>
    </w:p>
    <w:tbl>
      <w:tblPr>
        <w:tblW w:w="4641" w:type="pct"/>
        <w:tblCellMar>
          <w:top w:w="15" w:type="dxa"/>
          <w:left w:w="15" w:type="dxa"/>
          <w:bottom w:w="15" w:type="dxa"/>
          <w:right w:w="15" w:type="dxa"/>
        </w:tblCellMar>
        <w:tblLook w:val="04A0" w:firstRow="1" w:lastRow="0" w:firstColumn="1" w:lastColumn="0" w:noHBand="0" w:noVBand="1"/>
      </w:tblPr>
      <w:tblGrid>
        <w:gridCol w:w="38"/>
        <w:gridCol w:w="4383"/>
        <w:gridCol w:w="37"/>
        <w:gridCol w:w="120"/>
        <w:gridCol w:w="883"/>
        <w:gridCol w:w="36"/>
        <w:gridCol w:w="36"/>
        <w:gridCol w:w="36"/>
        <w:gridCol w:w="36"/>
        <w:gridCol w:w="120"/>
        <w:gridCol w:w="842"/>
        <w:gridCol w:w="36"/>
        <w:gridCol w:w="36"/>
        <w:gridCol w:w="36"/>
        <w:gridCol w:w="36"/>
        <w:gridCol w:w="120"/>
        <w:gridCol w:w="843"/>
        <w:gridCol w:w="36"/>
      </w:tblGrid>
      <w:tr w:rsidR="00000000">
        <w:trPr>
          <w:divId w:val="1569921096"/>
        </w:trPr>
        <w:tc>
          <w:tcPr>
            <w:tcW w:w="50" w:type="pct"/>
            <w:vAlign w:val="center"/>
            <w:hideMark/>
          </w:tcPr>
          <w:p w:rsidR="00000000" w:rsidRDefault="00E54EC0">
            <w:pPr>
              <w:rPr>
                <w:rFonts w:eastAsia="Times New Roman"/>
              </w:rPr>
            </w:pPr>
          </w:p>
        </w:tc>
        <w:tc>
          <w:tcPr>
            <w:tcW w:w="288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0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6992109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56992109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2020</w:t>
            </w:r>
          </w:p>
        </w:tc>
      </w:tr>
      <w:tr w:rsidR="00000000">
        <w:trPr>
          <w:divId w:val="156992109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56992109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Revenue received or accrued for:</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6992109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management and administrative services provided to EQAT, EQ Premier VIP Trust, 1290 Funds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6992109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69921096"/>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699210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699210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6992109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firstLine="720"/>
        <w:divId w:val="44649306"/>
        <w:rPr>
          <w:rFonts w:eastAsia="Times New Roman"/>
        </w:rPr>
      </w:pPr>
      <w:r>
        <w:rPr>
          <w:rFonts w:eastAsia="Times New Roman"/>
          <w:color w:val="000000"/>
          <w:sz w:val="18"/>
          <w:szCs w:val="18"/>
        </w:rPr>
        <w:t>_______</w:t>
      </w:r>
    </w:p>
    <w:p w:rsidR="00000000" w:rsidRDefault="00E54EC0">
      <w:pPr>
        <w:ind w:hanging="360"/>
        <w:divId w:val="1234315972"/>
        <w:rPr>
          <w:rFonts w:eastAsia="Times New Roman"/>
        </w:rPr>
      </w:pPr>
      <w:r>
        <w:rPr>
          <w:rFonts w:eastAsia="Times New Roman"/>
          <w:color w:val="000000"/>
          <w:sz w:val="18"/>
          <w:szCs w:val="18"/>
        </w:rPr>
        <w:t>(1)</w:t>
      </w:r>
      <w:r>
        <w:rPr>
          <w:rFonts w:eastAsia="Times New Roman"/>
          <w:color w:val="000000"/>
          <w:sz w:val="18"/>
          <w:szCs w:val="18"/>
        </w:rPr>
        <w:t xml:space="preserve">For years ended 2021 and 2020, amounts included fees received from Other AXA Trusts of $4 million. </w:t>
      </w:r>
    </w:p>
    <w:p w:rsidR="00000000" w:rsidRDefault="00E54EC0">
      <w:pPr>
        <w:divId w:val="1081633521"/>
        <w:rPr>
          <w:rFonts w:eastAsia="Times New Roman"/>
        </w:rPr>
      </w:pPr>
      <w:r>
        <w:rPr>
          <w:rFonts w:eastAsia="Times New Roman"/>
          <w:b/>
          <w:bCs/>
          <w:color w:val="000000"/>
          <w:sz w:val="20"/>
          <w:szCs w:val="20"/>
        </w:rPr>
        <w:t xml:space="preserve">14)    EMPLOYEE BENEFIT PLANS </w:t>
      </w:r>
    </w:p>
    <w:p w:rsidR="00000000" w:rsidRDefault="00E54EC0">
      <w:pPr>
        <w:divId w:val="1450129491"/>
        <w:rPr>
          <w:rFonts w:eastAsia="Times New Roman"/>
        </w:rPr>
      </w:pPr>
      <w:r>
        <w:rPr>
          <w:rFonts w:eastAsia="Times New Roman"/>
          <w:color w:val="000000"/>
          <w:sz w:val="20"/>
          <w:szCs w:val="20"/>
          <w:u w:val="single"/>
        </w:rPr>
        <w:t>Pension Plans</w:t>
      </w:r>
    </w:p>
    <w:p w:rsidR="00000000" w:rsidRDefault="00E54EC0">
      <w:pPr>
        <w:jc w:val="both"/>
        <w:divId w:val="1844276948"/>
        <w:rPr>
          <w:rFonts w:eastAsia="Times New Roman"/>
        </w:rPr>
      </w:pPr>
      <w:r>
        <w:rPr>
          <w:rFonts w:eastAsia="Times New Roman"/>
          <w:b/>
          <w:bCs/>
          <w:i/>
          <w:iCs/>
          <w:color w:val="000000"/>
          <w:sz w:val="20"/>
          <w:szCs w:val="20"/>
        </w:rPr>
        <w:t>Holdings and Equitable Financial Retirement Plans</w:t>
      </w:r>
    </w:p>
    <w:p w:rsidR="00000000" w:rsidRDefault="00E54EC0">
      <w:pPr>
        <w:divId w:val="1392847081"/>
        <w:rPr>
          <w:rFonts w:eastAsia="Times New Roman"/>
        </w:rPr>
      </w:pPr>
      <w:r>
        <w:rPr>
          <w:rFonts w:eastAsia="Times New Roman"/>
          <w:color w:val="000000"/>
          <w:sz w:val="20"/>
          <w:szCs w:val="20"/>
        </w:rPr>
        <w:t>Equitable Financial sponsors the Equitable 401(k) Plan, a qua</w:t>
      </w:r>
      <w:r>
        <w:rPr>
          <w:rFonts w:eastAsia="Times New Roman"/>
          <w:color w:val="000000"/>
          <w:sz w:val="20"/>
          <w:szCs w:val="20"/>
        </w:rPr>
        <w:t xml:space="preserve">lified defined contribution plan for eligible employees and financial professionals. The plan provides for a company contribution, a company matching contribution, and a </w:t>
      </w:r>
    </w:p>
    <w:p w:rsidR="00000000" w:rsidRDefault="00E54EC0">
      <w:pPr>
        <w:jc w:val="center"/>
        <w:divId w:val="1980107163"/>
        <w:rPr>
          <w:rFonts w:eastAsia="Times New Roman"/>
        </w:rPr>
      </w:pPr>
      <w:r>
        <w:rPr>
          <w:rFonts w:eastAsia="Times New Roman"/>
          <w:color w:val="000000"/>
          <w:sz w:val="20"/>
          <w:szCs w:val="20"/>
        </w:rPr>
        <w:t>203</w:t>
      </w:r>
    </w:p>
    <w:p w:rsidR="00000000" w:rsidRDefault="00E54EC0">
      <w:pPr>
        <w:rPr>
          <w:rFonts w:eastAsia="Times New Roman"/>
        </w:rPr>
      </w:pPr>
      <w:r>
        <w:rPr>
          <w:rFonts w:eastAsia="Times New Roman"/>
        </w:rPr>
        <w:pict>
          <v:rect id="_x0000_i1241" style="width:0;height:1.5pt" o:hralign="center" o:hrstd="t" o:hr="t" fillcolor="#a0a0a0" stroked="f"/>
        </w:pict>
      </w:r>
    </w:p>
    <w:p w:rsidR="00000000" w:rsidRDefault="00E54EC0">
      <w:pPr>
        <w:jc w:val="center"/>
        <w:divId w:val="1545487993"/>
        <w:rPr>
          <w:rFonts w:eastAsia="Times New Roman"/>
        </w:rPr>
      </w:pPr>
      <w:r>
        <w:rPr>
          <w:rFonts w:eastAsia="Times New Roman"/>
          <w:b/>
          <w:bCs/>
          <w:color w:val="000000"/>
          <w:sz w:val="20"/>
          <w:szCs w:val="20"/>
        </w:rPr>
        <w:t>EQUITABLE HOLDINGS, INC.</w:t>
      </w:r>
    </w:p>
    <w:p w:rsidR="00000000" w:rsidRDefault="00E54EC0">
      <w:pPr>
        <w:jc w:val="center"/>
        <w:divId w:val="1545487993"/>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 continued</w:t>
      </w:r>
    </w:p>
    <w:p w:rsidR="00000000" w:rsidRDefault="00E54EC0">
      <w:pPr>
        <w:divId w:val="1059671239"/>
        <w:rPr>
          <w:rFonts w:eastAsia="Times New Roman"/>
        </w:rPr>
      </w:pPr>
      <w:r>
        <w:rPr>
          <w:rFonts w:eastAsia="Times New Roman"/>
          <w:color w:val="000000"/>
          <w:sz w:val="20"/>
          <w:szCs w:val="20"/>
        </w:rPr>
        <w:t>discretionary profit-sharing contribution. Expenses associated with this 401(k) Plan were $38 million, $64 million and $49 million for the years ended December 31, 2022, 2021 and 2020, respectively.</w:t>
      </w:r>
    </w:p>
    <w:p w:rsidR="00000000" w:rsidRDefault="00E54EC0">
      <w:pPr>
        <w:divId w:val="41560908"/>
        <w:rPr>
          <w:rFonts w:eastAsia="Times New Roman"/>
        </w:rPr>
      </w:pPr>
      <w:r>
        <w:rPr>
          <w:rFonts w:eastAsia="Times New Roman"/>
          <w:color w:val="000000"/>
          <w:sz w:val="20"/>
          <w:szCs w:val="20"/>
        </w:rPr>
        <w:t xml:space="preserve">Holdings sponsors the </w:t>
      </w:r>
      <w:r>
        <w:rPr>
          <w:rFonts w:eastAsia="Times New Roman"/>
          <w:color w:val="000000"/>
          <w:sz w:val="20"/>
          <w:szCs w:val="20"/>
        </w:rPr>
        <w:t>MONY Life Retirement Income Security Plan for Employees and Equitable Financial sponsors the Equitable Retirement Plan (the “ Equitable Financial QP”), both of which are frozen qualified defined benefit plans covering eligible employees and financial profe</w:t>
      </w:r>
      <w:r>
        <w:rPr>
          <w:rFonts w:eastAsia="Times New Roman"/>
          <w:color w:val="000000"/>
          <w:sz w:val="20"/>
          <w:szCs w:val="20"/>
        </w:rPr>
        <w:t>ssionals. These pension plans are non-contributory, and their benefits are generally based on a cash balance formula and/or, for certain participants, years of service and average earnings over a specified period. Holdings has assumed primary liability for</w:t>
      </w:r>
      <w:r>
        <w:rPr>
          <w:rFonts w:eastAsia="Times New Roman"/>
          <w:color w:val="000000"/>
          <w:sz w:val="20"/>
          <w:szCs w:val="20"/>
        </w:rPr>
        <w:t xml:space="preserve"> both plans. Equitable Financial remains secondarily liable for its obligations under the Equitable Financial QP and would recognize such liability in the event Holdings does not perform. Holdings and Equitable Financial also sponsor certain nonqualified d</w:t>
      </w:r>
      <w:r>
        <w:rPr>
          <w:rFonts w:eastAsia="Times New Roman"/>
          <w:color w:val="000000"/>
          <w:sz w:val="20"/>
          <w:szCs w:val="20"/>
        </w:rPr>
        <w:t>eferred compensation plans, including the Equitable Excess Retirement Plan, that provide retirement benefits in excess of the amount permitted under the tax law for the qualified plans.</w:t>
      </w:r>
    </w:p>
    <w:p w:rsidR="00000000" w:rsidRDefault="00E54EC0">
      <w:pPr>
        <w:divId w:val="199123741"/>
        <w:rPr>
          <w:rFonts w:eastAsia="Times New Roman"/>
        </w:rPr>
      </w:pPr>
      <w:r>
        <w:rPr>
          <w:rFonts w:eastAsia="Times New Roman"/>
          <w:color w:val="000000"/>
          <w:sz w:val="20"/>
          <w:szCs w:val="20"/>
        </w:rPr>
        <w:t>Holdings and Equitable Financial use a December 31 measurement date fo</w:t>
      </w:r>
      <w:r>
        <w:rPr>
          <w:rFonts w:eastAsia="Times New Roman"/>
          <w:color w:val="000000"/>
          <w:sz w:val="20"/>
          <w:szCs w:val="20"/>
        </w:rPr>
        <w:t>r their pension plans.</w:t>
      </w:r>
    </w:p>
    <w:p w:rsidR="00000000" w:rsidRDefault="00E54EC0">
      <w:pPr>
        <w:jc w:val="both"/>
        <w:divId w:val="2053772207"/>
        <w:rPr>
          <w:rFonts w:eastAsia="Times New Roman"/>
        </w:rPr>
      </w:pPr>
      <w:r>
        <w:rPr>
          <w:rFonts w:eastAsia="Times New Roman"/>
          <w:b/>
          <w:bCs/>
          <w:i/>
          <w:iCs/>
          <w:color w:val="000000"/>
          <w:sz w:val="20"/>
          <w:szCs w:val="20"/>
        </w:rPr>
        <w:t>AB Retirement Plans</w:t>
      </w:r>
    </w:p>
    <w:p w:rsidR="00000000" w:rsidRDefault="00E54EC0">
      <w:pPr>
        <w:divId w:val="800730094"/>
        <w:rPr>
          <w:rFonts w:eastAsia="Times New Roman"/>
        </w:rPr>
      </w:pPr>
      <w:r>
        <w:rPr>
          <w:rFonts w:eastAsia="Times New Roman"/>
          <w:color w:val="000000"/>
          <w:sz w:val="20"/>
          <w:szCs w:val="20"/>
        </w:rPr>
        <w:t>AB maintains the Profit Sharing Plan for Employees of AB, a tax-qualified retirement plan for U.S. employees. Employer contributions under this plan are discretionary and generally are limited to the amount deduct</w:t>
      </w:r>
      <w:r>
        <w:rPr>
          <w:rFonts w:eastAsia="Times New Roman"/>
          <w:color w:val="000000"/>
          <w:sz w:val="20"/>
          <w:szCs w:val="20"/>
        </w:rPr>
        <w:t>ible for federal income tax purposes.</w:t>
      </w:r>
    </w:p>
    <w:p w:rsidR="00000000" w:rsidRDefault="00E54EC0">
      <w:pPr>
        <w:divId w:val="1770544011"/>
        <w:rPr>
          <w:rFonts w:eastAsia="Times New Roman"/>
        </w:rPr>
      </w:pPr>
      <w:r>
        <w:rPr>
          <w:rFonts w:eastAsia="Times New Roman"/>
          <w:color w:val="000000"/>
          <w:sz w:val="20"/>
          <w:szCs w:val="20"/>
        </w:rPr>
        <w:t>AB also maintains a qualified, non-contributory, defined benefit retirement plan covering current and former employees who were employed by AB in the United States prior to October 2, 2000 (the “AB Plan”). Benefits und</w:t>
      </w:r>
      <w:r>
        <w:rPr>
          <w:rFonts w:eastAsia="Times New Roman"/>
          <w:color w:val="000000"/>
          <w:sz w:val="20"/>
          <w:szCs w:val="20"/>
        </w:rPr>
        <w:t>er the AB Plan are based on years of credited service, average final base salary, and primary Social Security benefits.</w:t>
      </w:r>
    </w:p>
    <w:p w:rsidR="00000000" w:rsidRDefault="00E54EC0">
      <w:pPr>
        <w:divId w:val="198008732"/>
        <w:rPr>
          <w:rFonts w:eastAsia="Times New Roman"/>
        </w:rPr>
      </w:pPr>
      <w:r>
        <w:rPr>
          <w:rFonts w:eastAsia="Times New Roman"/>
          <w:color w:val="000000"/>
          <w:sz w:val="20"/>
          <w:szCs w:val="20"/>
        </w:rPr>
        <w:t>AB uses a December 31 measurement date for the AB Plan.</w:t>
      </w:r>
    </w:p>
    <w:p w:rsidR="00000000" w:rsidRDefault="00E54EC0">
      <w:pPr>
        <w:jc w:val="both"/>
        <w:divId w:val="443159137"/>
        <w:rPr>
          <w:rFonts w:eastAsia="Times New Roman"/>
        </w:rPr>
      </w:pPr>
      <w:r>
        <w:rPr>
          <w:rFonts w:eastAsia="Times New Roman"/>
          <w:b/>
          <w:bCs/>
          <w:i/>
          <w:iCs/>
          <w:color w:val="000000"/>
          <w:sz w:val="20"/>
          <w:szCs w:val="20"/>
        </w:rPr>
        <w:t>Net Periodic Pension Expense (Benefit)</w:t>
      </w:r>
    </w:p>
    <w:p w:rsidR="00000000" w:rsidRDefault="00E54EC0">
      <w:pPr>
        <w:divId w:val="271714471"/>
        <w:rPr>
          <w:rFonts w:eastAsia="Times New Roman"/>
        </w:rPr>
      </w:pPr>
      <w:r>
        <w:rPr>
          <w:rFonts w:eastAsia="Times New Roman"/>
          <w:color w:val="000000"/>
          <w:sz w:val="20"/>
          <w:szCs w:val="20"/>
        </w:rPr>
        <w:t>Components of net periodic pension expense for the Company’s qualified and non-qualified plans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655"/>
        <w:gridCol w:w="38"/>
        <w:gridCol w:w="120"/>
        <w:gridCol w:w="989"/>
        <w:gridCol w:w="36"/>
        <w:gridCol w:w="36"/>
        <w:gridCol w:w="36"/>
        <w:gridCol w:w="36"/>
        <w:gridCol w:w="122"/>
        <w:gridCol w:w="948"/>
        <w:gridCol w:w="37"/>
        <w:gridCol w:w="36"/>
        <w:gridCol w:w="36"/>
        <w:gridCol w:w="36"/>
        <w:gridCol w:w="121"/>
        <w:gridCol w:w="949"/>
        <w:gridCol w:w="36"/>
      </w:tblGrid>
      <w:tr w:rsidR="00000000">
        <w:trPr>
          <w:divId w:val="1844928125"/>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84492812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84492812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divId w:val="12728887"/>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844928125"/>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(in millions)</w:t>
            </w:r>
          </w:p>
        </w:tc>
      </w:tr>
      <w:tr w:rsidR="00000000">
        <w:trPr>
          <w:divId w:val="184492812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4492812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4492812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4492812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Actuarial (gain)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4492812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4492812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Impact of settlement</w:t>
            </w: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ascii="Calibri" w:eastAsia="Times New Roman" w:hAnsi="Calibri" w:cs="Calibri"/>
                <w:b/>
                <w:bCs/>
                <w:color w:val="000000"/>
                <w:sz w:val="20"/>
                <w:szCs w:val="20"/>
              </w:rPr>
              <w:t>6</w:t>
            </w:r>
            <w:r>
              <w:rPr>
                <w:rFonts w:ascii="Calibri" w:eastAsia="Times New Roman" w:hAnsi="Calibri" w:cs="Calibri"/>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ascii="Calibri" w:eastAsia="Times New Roman" w:hAnsi="Calibri" w:cs="Calibri"/>
                <w:color w:val="000000"/>
                <w:sz w:val="20"/>
                <w:szCs w:val="20"/>
              </w:rPr>
              <w:t>6 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ascii="Calibri" w:eastAsia="Times New Roman" w:hAnsi="Calibri" w:cs="Calibri"/>
                <w:color w:val="000000"/>
                <w:sz w:val="20"/>
                <w:szCs w:val="20"/>
              </w:rPr>
              <w:t>7 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4492812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periodic pension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1922375179"/>
        <w:rPr>
          <w:rFonts w:eastAsia="Times New Roman"/>
        </w:rPr>
      </w:pPr>
      <w:r>
        <w:rPr>
          <w:rFonts w:eastAsia="Times New Roman"/>
          <w:b/>
          <w:bCs/>
          <w:i/>
          <w:iCs/>
          <w:color w:val="000000"/>
          <w:sz w:val="20"/>
          <w:szCs w:val="20"/>
        </w:rPr>
        <w:t>Changes in Projected Benefit Obligation (PBO)</w:t>
      </w:r>
    </w:p>
    <w:p w:rsidR="00000000" w:rsidRDefault="00E54EC0">
      <w:pPr>
        <w:divId w:val="691614660"/>
        <w:rPr>
          <w:rFonts w:eastAsia="Times New Roman"/>
        </w:rPr>
      </w:pPr>
      <w:r>
        <w:rPr>
          <w:rFonts w:eastAsia="Times New Roman"/>
          <w:color w:val="000000"/>
          <w:sz w:val="20"/>
          <w:szCs w:val="20"/>
        </w:rPr>
        <w:t>Changes in the PBO of the Company’</w:t>
      </w:r>
      <w:r>
        <w:rPr>
          <w:rFonts w:eastAsia="Times New Roman"/>
          <w:color w:val="000000"/>
          <w:sz w:val="20"/>
          <w:szCs w:val="20"/>
        </w:rPr>
        <w:t>s qualified and non-qualified plans were comprised of:</w:t>
      </w:r>
    </w:p>
    <w:tbl>
      <w:tblPr>
        <w:tblW w:w="5000" w:type="pct"/>
        <w:tblCellMar>
          <w:top w:w="15" w:type="dxa"/>
          <w:left w:w="15" w:type="dxa"/>
          <w:bottom w:w="15" w:type="dxa"/>
          <w:right w:w="15" w:type="dxa"/>
        </w:tblCellMar>
        <w:tblLook w:val="04A0" w:firstRow="1" w:lastRow="0" w:firstColumn="1" w:lastColumn="0" w:noHBand="0" w:noVBand="1"/>
      </w:tblPr>
      <w:tblGrid>
        <w:gridCol w:w="40"/>
        <w:gridCol w:w="5635"/>
        <w:gridCol w:w="37"/>
        <w:gridCol w:w="120"/>
        <w:gridCol w:w="1068"/>
        <w:gridCol w:w="36"/>
        <w:gridCol w:w="36"/>
        <w:gridCol w:w="36"/>
        <w:gridCol w:w="36"/>
        <w:gridCol w:w="120"/>
        <w:gridCol w:w="1034"/>
        <w:gridCol w:w="36"/>
        <w:gridCol w:w="36"/>
        <w:gridCol w:w="36"/>
      </w:tblGrid>
      <w:tr w:rsidR="00000000">
        <w:trPr>
          <w:divId w:val="1310355797"/>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tcMar>
              <w:top w:w="30" w:type="dxa"/>
              <w:left w:w="20" w:type="dxa"/>
              <w:bottom w:w="30" w:type="dxa"/>
              <w:right w:w="20" w:type="dxa"/>
            </w:tcMar>
            <w:vAlign w:val="bottom"/>
            <w:hideMark/>
          </w:tcPr>
          <w:p w:rsidR="00000000" w:rsidRDefault="00E54EC0">
            <w:pPr>
              <w:spacing w:after="100"/>
              <w:divId w:val="271019062"/>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tcMar>
              <w:top w:w="30" w:type="dxa"/>
              <w:left w:w="20" w:type="dxa"/>
              <w:bottom w:w="30" w:type="dxa"/>
              <w:right w:w="20" w:type="dxa"/>
            </w:tcMar>
            <w:vAlign w:val="bottom"/>
            <w:hideMark/>
          </w:tcPr>
          <w:p w:rsidR="00000000" w:rsidRDefault="00E54EC0">
            <w:pPr>
              <w:spacing w:after="100"/>
              <w:divId w:val="77600952"/>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Projected benefit obligation, beginning of year</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3,180 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Actuarial (gains)/losses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1035579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Projected benefit obligation, end of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bl>
    <w:p w:rsidR="00000000" w:rsidRDefault="00E54EC0">
      <w:pPr>
        <w:ind w:hanging="720"/>
        <w:divId w:val="1807818361"/>
        <w:rPr>
          <w:rFonts w:eastAsia="Times New Roman"/>
        </w:rPr>
      </w:pPr>
      <w:r>
        <w:rPr>
          <w:rFonts w:eastAsia="Times New Roman"/>
          <w:color w:val="000000"/>
          <w:sz w:val="18"/>
          <w:szCs w:val="18"/>
        </w:rPr>
        <w:t>______________</w:t>
      </w:r>
    </w:p>
    <w:p w:rsidR="00000000" w:rsidRDefault="00E54EC0">
      <w:pPr>
        <w:ind w:hanging="360"/>
        <w:divId w:val="677849939"/>
        <w:rPr>
          <w:rFonts w:eastAsia="Times New Roman"/>
        </w:rPr>
      </w:pPr>
      <w:r>
        <w:rPr>
          <w:rFonts w:eastAsia="Times New Roman"/>
          <w:color w:val="000000"/>
          <w:sz w:val="18"/>
          <w:szCs w:val="18"/>
        </w:rPr>
        <w:t>(1)</w:t>
      </w:r>
      <w:r>
        <w:rPr>
          <w:rFonts w:eastAsia="Times New Roman"/>
          <w:color w:val="000000"/>
          <w:sz w:val="18"/>
          <w:szCs w:val="18"/>
        </w:rPr>
        <w:t>Actuarial gains and losses are a product of changes in the discount rate as shown below.</w:t>
      </w:r>
    </w:p>
    <w:p w:rsidR="00000000" w:rsidRDefault="00E54EC0">
      <w:pPr>
        <w:jc w:val="center"/>
        <w:divId w:val="640502358"/>
        <w:rPr>
          <w:rFonts w:eastAsia="Times New Roman"/>
        </w:rPr>
      </w:pPr>
      <w:r>
        <w:rPr>
          <w:rFonts w:eastAsia="Times New Roman"/>
          <w:color w:val="000000"/>
          <w:sz w:val="20"/>
          <w:szCs w:val="20"/>
        </w:rPr>
        <w:t>204</w:t>
      </w:r>
    </w:p>
    <w:p w:rsidR="00000000" w:rsidRDefault="00E54EC0">
      <w:pPr>
        <w:rPr>
          <w:rFonts w:eastAsia="Times New Roman"/>
        </w:rPr>
      </w:pPr>
      <w:r>
        <w:rPr>
          <w:rFonts w:eastAsia="Times New Roman"/>
        </w:rPr>
        <w:pict>
          <v:rect id="_x0000_i1242" style="width:0;height:1.5pt" o:hralign="center" o:hrstd="t" o:hr="t" fillcolor="#a0a0a0" stroked="f"/>
        </w:pict>
      </w:r>
    </w:p>
    <w:p w:rsidR="00000000" w:rsidRDefault="00E54EC0">
      <w:pPr>
        <w:jc w:val="center"/>
        <w:divId w:val="1927571119"/>
        <w:rPr>
          <w:rFonts w:eastAsia="Times New Roman"/>
        </w:rPr>
      </w:pPr>
      <w:r>
        <w:rPr>
          <w:rFonts w:eastAsia="Times New Roman"/>
          <w:b/>
          <w:bCs/>
          <w:color w:val="000000"/>
          <w:sz w:val="20"/>
          <w:szCs w:val="20"/>
        </w:rPr>
        <w:t>EQUITABLE HOLDINGS, INC.</w:t>
      </w:r>
    </w:p>
    <w:p w:rsidR="00000000" w:rsidRDefault="00E54EC0">
      <w:pPr>
        <w:jc w:val="center"/>
        <w:divId w:val="1927571119"/>
        <w:rPr>
          <w:rFonts w:eastAsia="Times New Roman"/>
        </w:rPr>
      </w:pPr>
      <w:r>
        <w:rPr>
          <w:rFonts w:eastAsia="Times New Roman"/>
          <w:b/>
          <w:bCs/>
          <w:color w:val="000000"/>
          <w:sz w:val="20"/>
          <w:szCs w:val="20"/>
        </w:rPr>
        <w:t>NOTES TO CONSOLIDATED FINANCIAL STATEMENTS, continued</w:t>
      </w:r>
    </w:p>
    <w:p w:rsidR="00000000" w:rsidRDefault="00E54EC0">
      <w:pPr>
        <w:divId w:val="2147158374"/>
        <w:rPr>
          <w:rFonts w:eastAsia="Times New Roman"/>
        </w:rPr>
      </w:pPr>
      <w:r>
        <w:rPr>
          <w:rFonts w:eastAsia="Times New Roman"/>
          <w:color w:val="000000"/>
          <w:sz w:val="20"/>
          <w:szCs w:val="20"/>
        </w:rPr>
        <w:t>The following table discloses the change in plan assets and the funded status of the Company’s qualified pension plans and non-qualified pens</w:t>
      </w:r>
      <w:r>
        <w:rPr>
          <w:rFonts w:eastAsia="Times New Roman"/>
          <w:color w:val="000000"/>
          <w:sz w:val="20"/>
          <w:szCs w:val="20"/>
        </w:rPr>
        <w:t>ion plans:</w:t>
      </w:r>
    </w:p>
    <w:tbl>
      <w:tblPr>
        <w:tblW w:w="5000" w:type="pct"/>
        <w:tblCellMar>
          <w:top w:w="15" w:type="dxa"/>
          <w:left w:w="15" w:type="dxa"/>
          <w:bottom w:w="15" w:type="dxa"/>
          <w:right w:w="15" w:type="dxa"/>
        </w:tblCellMar>
        <w:tblLook w:val="04A0" w:firstRow="1" w:lastRow="0" w:firstColumn="1" w:lastColumn="0" w:noHBand="0" w:noVBand="1"/>
      </w:tblPr>
      <w:tblGrid>
        <w:gridCol w:w="37"/>
        <w:gridCol w:w="5534"/>
        <w:gridCol w:w="36"/>
        <w:gridCol w:w="120"/>
        <w:gridCol w:w="1049"/>
        <w:gridCol w:w="36"/>
        <w:gridCol w:w="36"/>
        <w:gridCol w:w="36"/>
        <w:gridCol w:w="36"/>
        <w:gridCol w:w="120"/>
        <w:gridCol w:w="1014"/>
        <w:gridCol w:w="36"/>
        <w:gridCol w:w="36"/>
        <w:gridCol w:w="36"/>
        <w:gridCol w:w="36"/>
        <w:gridCol w:w="36"/>
        <w:gridCol w:w="36"/>
        <w:gridCol w:w="36"/>
      </w:tblGrid>
      <w:tr w:rsidR="00000000">
        <w:trPr>
          <w:divId w:val="1545865176"/>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Pension plan assets at fair value, beginning of year</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Actual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Annuity purchases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Pension plan assets at fair value, end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PBO</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45865176"/>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Excess of PBO over pension plan assets, end of year</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2139030927"/>
        <w:rPr>
          <w:rFonts w:eastAsia="Times New Roman"/>
        </w:rPr>
      </w:pPr>
      <w:r>
        <w:rPr>
          <w:rFonts w:eastAsia="Times New Roman"/>
          <w:color w:val="000000"/>
          <w:sz w:val="20"/>
          <w:szCs w:val="20"/>
        </w:rPr>
        <w:t>Accrued pension costs of $144 million and $93 million as of December </w:t>
      </w:r>
      <w:r>
        <w:rPr>
          <w:rFonts w:eastAsia="Times New Roman"/>
          <w:color w:val="000000"/>
          <w:sz w:val="20"/>
          <w:szCs w:val="20"/>
        </w:rPr>
        <w:t xml:space="preserve">31, 2022 and 2021, respectively, were recognized in the accompanying consolidated balance sheets to reflect the unfunded status of these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trPr>
          <w:divId w:val="1838114713"/>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83811471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83811471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183811471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(in millions)</w:t>
            </w:r>
          </w:p>
        </w:tc>
      </w:tr>
      <w:tr w:rsidR="00000000">
        <w:trPr>
          <w:divId w:val="183811471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Projected benefit obligation</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811471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Accumulated benefit obligation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811471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Fair value of plan assets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161555606"/>
        <w:rPr>
          <w:rFonts w:eastAsia="Times New Roman"/>
        </w:rPr>
      </w:pPr>
      <w:r>
        <w:rPr>
          <w:rFonts w:eastAsia="Times New Roman"/>
          <w:b/>
          <w:bCs/>
          <w:i/>
          <w:iCs/>
          <w:color w:val="000000"/>
          <w:sz w:val="20"/>
          <w:szCs w:val="20"/>
        </w:rPr>
        <w:t>Unrecognized Net Actuarial (Gain) Loss</w:t>
      </w:r>
    </w:p>
    <w:p w:rsidR="00000000" w:rsidRDefault="00E54EC0">
      <w:pPr>
        <w:divId w:val="318265716"/>
        <w:rPr>
          <w:rFonts w:eastAsia="Times New Roman"/>
        </w:rPr>
      </w:pPr>
      <w:r>
        <w:rPr>
          <w:rFonts w:eastAsia="Times New Roman"/>
          <w:color w:val="000000"/>
          <w:sz w:val="20"/>
          <w:szCs w:val="20"/>
        </w:rPr>
        <w:t xml:space="preserve">The following table discloses the amounts included in AOCI as of December 31, 2022 and 2021 that have not yet been recognized as components of net periodic pension cost. </w:t>
      </w:r>
    </w:p>
    <w:tbl>
      <w:tblPr>
        <w:tblW w:w="5000" w:type="pct"/>
        <w:tblCellMar>
          <w:top w:w="15" w:type="dxa"/>
          <w:left w:w="15" w:type="dxa"/>
          <w:bottom w:w="15" w:type="dxa"/>
          <w:right w:w="15" w:type="dxa"/>
        </w:tblCellMar>
        <w:tblLook w:val="04A0" w:firstRow="1" w:lastRow="0" w:firstColumn="1" w:lastColumn="0" w:noHBand="0" w:noVBand="1"/>
      </w:tblPr>
      <w:tblGrid>
        <w:gridCol w:w="41"/>
        <w:gridCol w:w="5684"/>
        <w:gridCol w:w="36"/>
        <w:gridCol w:w="120"/>
        <w:gridCol w:w="1079"/>
        <w:gridCol w:w="36"/>
        <w:gridCol w:w="36"/>
        <w:gridCol w:w="36"/>
        <w:gridCol w:w="36"/>
        <w:gridCol w:w="120"/>
        <w:gridCol w:w="1046"/>
        <w:gridCol w:w="36"/>
      </w:tblGrid>
      <w:tr w:rsidR="00000000">
        <w:trPr>
          <w:divId w:val="451752258"/>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5175225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45175225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45175225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(in millions)</w:t>
            </w:r>
          </w:p>
        </w:tc>
      </w:tr>
      <w:tr w:rsidR="00000000">
        <w:trPr>
          <w:divId w:val="45175225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Unrecognized net actuarial (gain) loss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5175225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Unrecognized prior service cost (credit)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5175225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451752258"/>
        </w:trPr>
        <w:tc>
          <w:tcPr>
            <w:tcW w:w="0" w:type="auto"/>
            <w:gridSpan w:val="3"/>
            <w:shd w:val="clear" w:color="auto" w:fill="CCEE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both"/>
        <w:divId w:val="1251281556"/>
        <w:rPr>
          <w:rFonts w:eastAsia="Times New Roman"/>
        </w:rPr>
      </w:pPr>
      <w:r>
        <w:rPr>
          <w:rFonts w:eastAsia="Times New Roman"/>
          <w:b/>
          <w:bCs/>
          <w:i/>
          <w:iCs/>
          <w:color w:val="000000"/>
          <w:sz w:val="20"/>
          <w:szCs w:val="20"/>
        </w:rPr>
        <w:t>Pension Plan Assets</w:t>
      </w:r>
    </w:p>
    <w:p w:rsidR="00000000" w:rsidRDefault="00E54EC0">
      <w:pPr>
        <w:divId w:val="1646396956"/>
        <w:rPr>
          <w:rFonts w:eastAsia="Times New Roman"/>
        </w:rPr>
      </w:pPr>
      <w:r>
        <w:rPr>
          <w:rFonts w:eastAsia="Times New Roman"/>
          <w:color w:val="000000"/>
          <w:sz w:val="20"/>
          <w:szCs w:val="20"/>
        </w:rPr>
        <w:t>The fair values of qualified pension plan assets are measured and ascribed to levels within the fair value hierarchy in a manner consistent with the fair values of the Company’s invested assets that are measured at fair value on a recurring basis. See Note</w:t>
      </w:r>
      <w:r>
        <w:rPr>
          <w:rFonts w:eastAsia="Times New Roman"/>
          <w:color w:val="000000"/>
          <w:sz w:val="20"/>
          <w:szCs w:val="20"/>
        </w:rPr>
        <w:t xml:space="preserve"> 8 of the Notes to these Consolidated Financial Statements for a description of the fair value hierarchy.</w:t>
      </w:r>
    </w:p>
    <w:p w:rsidR="00000000" w:rsidRDefault="00E54EC0">
      <w:pPr>
        <w:divId w:val="1954095107"/>
        <w:rPr>
          <w:rFonts w:eastAsia="Times New Roman"/>
        </w:rPr>
      </w:pPr>
      <w:r>
        <w:rPr>
          <w:rFonts w:eastAsia="Times New Roman"/>
          <w:color w:val="000000"/>
          <w:sz w:val="20"/>
          <w:szCs w:val="20"/>
        </w:rPr>
        <w:t>The following table discloses the allocation of the fair value of total qualified pension plan assets as of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635"/>
        <w:gridCol w:w="37"/>
        <w:gridCol w:w="39"/>
        <w:gridCol w:w="1029"/>
        <w:gridCol w:w="221"/>
        <w:gridCol w:w="37"/>
        <w:gridCol w:w="36"/>
        <w:gridCol w:w="36"/>
        <w:gridCol w:w="38"/>
        <w:gridCol w:w="973"/>
        <w:gridCol w:w="187"/>
      </w:tblGrid>
      <w:tr w:rsidR="00000000">
        <w:trPr>
          <w:divId w:val="1647661062"/>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4766106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64766106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164766106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164766106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4766106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Equity real estate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4766106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4766106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47661062"/>
        </w:trPr>
        <w:tc>
          <w:tcPr>
            <w:tcW w:w="0" w:type="auto"/>
            <w:gridSpan w:val="3"/>
            <w:shd w:val="clear" w:color="auto" w:fill="FFFFFF"/>
            <w:tcMar>
              <w:top w:w="30" w:type="dxa"/>
              <w:left w:w="38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bl>
    <w:p w:rsidR="00000000" w:rsidRDefault="00E54EC0">
      <w:pPr>
        <w:divId w:val="557789432"/>
        <w:rPr>
          <w:rFonts w:eastAsia="Times New Roman"/>
        </w:rPr>
      </w:pPr>
      <w:r>
        <w:rPr>
          <w:rFonts w:eastAsia="Times New Roman"/>
          <w:color w:val="000000"/>
          <w:sz w:val="20"/>
          <w:szCs w:val="20"/>
        </w:rPr>
        <w:t>Qualified pension plan assets are invested with the primary objective of return, giving consideration to prudent risk. Guidelines regarding the allocation of plan assets are established by the respective Investment Committees for the plans and are designed</w:t>
      </w:r>
      <w:r>
        <w:rPr>
          <w:rFonts w:eastAsia="Times New Roman"/>
          <w:color w:val="000000"/>
          <w:sz w:val="20"/>
          <w:szCs w:val="20"/>
        </w:rPr>
        <w:t xml:space="preserve"> with a long-term investment horizon. As of December 31, 2022, the qualified pension plans </w:t>
      </w:r>
    </w:p>
    <w:p w:rsidR="00000000" w:rsidRDefault="00E54EC0">
      <w:pPr>
        <w:jc w:val="center"/>
        <w:divId w:val="1040279451"/>
        <w:rPr>
          <w:rFonts w:eastAsia="Times New Roman"/>
        </w:rPr>
      </w:pPr>
      <w:r>
        <w:rPr>
          <w:rFonts w:eastAsia="Times New Roman"/>
          <w:color w:val="000000"/>
          <w:sz w:val="20"/>
          <w:szCs w:val="20"/>
        </w:rPr>
        <w:t>205</w:t>
      </w:r>
    </w:p>
    <w:p w:rsidR="00000000" w:rsidRDefault="00E54EC0">
      <w:pPr>
        <w:rPr>
          <w:rFonts w:eastAsia="Times New Roman"/>
        </w:rPr>
      </w:pPr>
      <w:r>
        <w:rPr>
          <w:rFonts w:eastAsia="Times New Roman"/>
        </w:rPr>
        <w:pict>
          <v:rect id="_x0000_i1243" style="width:0;height:1.5pt" o:hralign="center" o:hrstd="t" o:hr="t" fillcolor="#a0a0a0" stroked="f"/>
        </w:pict>
      </w:r>
    </w:p>
    <w:p w:rsidR="00000000" w:rsidRDefault="00E54EC0">
      <w:pPr>
        <w:jc w:val="center"/>
        <w:divId w:val="1251429239"/>
        <w:rPr>
          <w:rFonts w:eastAsia="Times New Roman"/>
        </w:rPr>
      </w:pPr>
      <w:r>
        <w:rPr>
          <w:rFonts w:eastAsia="Times New Roman"/>
          <w:b/>
          <w:bCs/>
          <w:color w:val="000000"/>
          <w:sz w:val="20"/>
          <w:szCs w:val="20"/>
        </w:rPr>
        <w:t>EQUITABLE HOLDINGS, INC.</w:t>
      </w:r>
    </w:p>
    <w:p w:rsidR="00000000" w:rsidRDefault="00E54EC0">
      <w:pPr>
        <w:jc w:val="center"/>
        <w:divId w:val="1251429239"/>
        <w:rPr>
          <w:rFonts w:eastAsia="Times New Roman"/>
        </w:rPr>
      </w:pPr>
      <w:r>
        <w:rPr>
          <w:rFonts w:eastAsia="Times New Roman"/>
          <w:b/>
          <w:bCs/>
          <w:color w:val="000000"/>
          <w:sz w:val="20"/>
          <w:szCs w:val="20"/>
        </w:rPr>
        <w:t>NOTES TO CONSOLIDATED FINANCIAL STATEMENTS, continued</w:t>
      </w:r>
    </w:p>
    <w:p w:rsidR="00000000" w:rsidRDefault="00E54EC0">
      <w:pPr>
        <w:divId w:val="950281390"/>
        <w:rPr>
          <w:rFonts w:eastAsia="Times New Roman"/>
        </w:rPr>
      </w:pPr>
      <w:r>
        <w:rPr>
          <w:rFonts w:eastAsia="Times New Roman"/>
          <w:color w:val="000000"/>
          <w:sz w:val="20"/>
          <w:szCs w:val="20"/>
        </w:rPr>
        <w:t>continued their investment allocation strategy to target a 50% - 50% mix of long-duration bonds and “return-seeking” assets, including public equities, real estate, hedge funds, and private equity.</w:t>
      </w:r>
    </w:p>
    <w:p w:rsidR="00000000" w:rsidRDefault="00E54EC0">
      <w:pPr>
        <w:divId w:val="967584599"/>
        <w:rPr>
          <w:rFonts w:eastAsia="Times New Roman"/>
        </w:rPr>
      </w:pPr>
      <w:r>
        <w:rPr>
          <w:rFonts w:eastAsia="Times New Roman"/>
          <w:color w:val="000000"/>
          <w:sz w:val="20"/>
          <w:szCs w:val="20"/>
        </w:rPr>
        <w:t>The following tables disclose the fair values of qualified</w:t>
      </w:r>
      <w:r>
        <w:rPr>
          <w:rFonts w:eastAsia="Times New Roman"/>
          <w:color w:val="000000"/>
          <w:sz w:val="20"/>
          <w:szCs w:val="20"/>
        </w:rPr>
        <w:t xml:space="preserve"> pension plan assets and their level of observability within the fair value hierarchy as of December 31,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784"/>
        <w:gridCol w:w="39"/>
        <w:gridCol w:w="121"/>
        <w:gridCol w:w="898"/>
        <w:gridCol w:w="36"/>
        <w:gridCol w:w="36"/>
        <w:gridCol w:w="36"/>
        <w:gridCol w:w="36"/>
        <w:gridCol w:w="120"/>
        <w:gridCol w:w="856"/>
        <w:gridCol w:w="36"/>
        <w:gridCol w:w="36"/>
        <w:gridCol w:w="36"/>
        <w:gridCol w:w="36"/>
        <w:gridCol w:w="36"/>
        <w:gridCol w:w="36"/>
        <w:gridCol w:w="36"/>
        <w:gridCol w:w="36"/>
        <w:gridCol w:w="120"/>
        <w:gridCol w:w="860"/>
        <w:gridCol w:w="36"/>
      </w:tblGrid>
      <w:tr w:rsidR="00000000">
        <w:trPr>
          <w:divId w:val="92864867"/>
        </w:trPr>
        <w:tc>
          <w:tcPr>
            <w:tcW w:w="50" w:type="pct"/>
            <w:vAlign w:val="center"/>
            <w:hideMark/>
          </w:tcPr>
          <w:p w:rsidR="00000000" w:rsidRDefault="00E54EC0">
            <w:pPr>
              <w:rPr>
                <w:rFonts w:eastAsia="Times New Roman"/>
              </w:rPr>
            </w:pPr>
          </w:p>
        </w:tc>
        <w:tc>
          <w:tcPr>
            <w:tcW w:w="29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Level 1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Level 2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Total </w:t>
            </w:r>
          </w:p>
        </w:tc>
      </w:tr>
      <w:tr w:rsidR="00000000">
        <w:trPr>
          <w:divId w:val="9286486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Corporate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     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     </w:t>
            </w: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     Foreign governments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Common equity, REITs and preferred equity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Mutual funds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Collective Trust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Assets at Fair Value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Investments measured at NAV</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Investments at Fair Value</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Common equity, REITs and preferred equity</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Mutual funds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Collective Trust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9286486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Assets at Fair Value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Investments measured at NAV</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864867"/>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Investments at Fair Value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1,555 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752825790"/>
        <w:rPr>
          <w:rFonts w:eastAsia="Times New Roman"/>
        </w:rPr>
      </w:pPr>
      <w:r>
        <w:rPr>
          <w:rFonts w:eastAsia="Times New Roman"/>
          <w:color w:val="000000"/>
          <w:sz w:val="20"/>
          <w:szCs w:val="20"/>
        </w:rPr>
        <w:t>The following table lists investments for which NAV is calculated; NAV is used as a practical expedient to determine the fair value of these investments as of Dec</w:t>
      </w:r>
      <w:r>
        <w:rPr>
          <w:rFonts w:eastAsia="Times New Roman"/>
          <w:color w:val="000000"/>
          <w:sz w:val="20"/>
          <w:szCs w:val="20"/>
        </w:rPr>
        <w:t>ember 31, 2022 and 2021.</w:t>
      </w:r>
    </w:p>
    <w:p w:rsidR="00000000" w:rsidRDefault="00E54EC0">
      <w:pPr>
        <w:jc w:val="center"/>
        <w:divId w:val="1496797605"/>
        <w:rPr>
          <w:rFonts w:eastAsia="Times New Roman"/>
        </w:rPr>
      </w:pPr>
      <w:r>
        <w:rPr>
          <w:rFonts w:eastAsia="Times New Roman"/>
          <w:color w:val="000000"/>
          <w:sz w:val="20"/>
          <w:szCs w:val="20"/>
        </w:rPr>
        <w:t>206</w:t>
      </w:r>
    </w:p>
    <w:p w:rsidR="00000000" w:rsidRDefault="00E54EC0">
      <w:pPr>
        <w:rPr>
          <w:rFonts w:eastAsia="Times New Roman"/>
        </w:rPr>
      </w:pPr>
      <w:r>
        <w:rPr>
          <w:rFonts w:eastAsia="Times New Roman"/>
        </w:rPr>
        <w:pict>
          <v:rect id="_x0000_i1244" style="width:0;height:1.5pt" o:hralign="center" o:hrstd="t" o:hr="t" fillcolor="#a0a0a0" stroked="f"/>
        </w:pict>
      </w:r>
    </w:p>
    <w:p w:rsidR="00000000" w:rsidRDefault="00E54EC0">
      <w:pPr>
        <w:jc w:val="center"/>
        <w:divId w:val="2071347667"/>
        <w:rPr>
          <w:rFonts w:eastAsia="Times New Roman"/>
        </w:rPr>
      </w:pPr>
      <w:r>
        <w:rPr>
          <w:rFonts w:eastAsia="Times New Roman"/>
          <w:b/>
          <w:bCs/>
          <w:color w:val="000000"/>
          <w:sz w:val="20"/>
          <w:szCs w:val="20"/>
        </w:rPr>
        <w:t>EQUITABLE HOLDINGS, INC.</w:t>
      </w:r>
    </w:p>
    <w:p w:rsidR="00000000" w:rsidRDefault="00E54EC0">
      <w:pPr>
        <w:jc w:val="center"/>
        <w:divId w:val="2071347667"/>
        <w:rPr>
          <w:rFonts w:eastAsia="Times New Roman"/>
        </w:rPr>
      </w:pPr>
      <w:r>
        <w:rPr>
          <w:rFonts w:eastAsia="Times New Roman"/>
          <w:b/>
          <w:bCs/>
          <w:color w:val="000000"/>
          <w:sz w:val="20"/>
          <w:szCs w:val="20"/>
        </w:rPr>
        <w:t>NOTES TO CONSOLIDATED FINANCIAL STATEMENTS, continued</w:t>
      </w:r>
    </w:p>
    <w:p w:rsidR="00000000" w:rsidRDefault="00E54EC0">
      <w:pPr>
        <w:jc w:val="center"/>
        <w:divId w:val="1532498122"/>
        <w:rPr>
          <w:rFonts w:eastAsia="Times New Roman"/>
        </w:rPr>
      </w:pPr>
      <w:r>
        <w:rPr>
          <w:rFonts w:eastAsia="Times New Roman"/>
          <w:b/>
          <w:bCs/>
          <w:color w:val="000000"/>
          <w:sz w:val="20"/>
          <w:szCs w:val="20"/>
        </w:rPr>
        <w:t>Practical Expedient Disclosure as of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631"/>
        <w:gridCol w:w="36"/>
        <w:gridCol w:w="120"/>
        <w:gridCol w:w="640"/>
        <w:gridCol w:w="36"/>
        <w:gridCol w:w="36"/>
        <w:gridCol w:w="36"/>
        <w:gridCol w:w="36"/>
        <w:gridCol w:w="58"/>
        <w:gridCol w:w="1084"/>
        <w:gridCol w:w="36"/>
        <w:gridCol w:w="36"/>
        <w:gridCol w:w="36"/>
        <w:gridCol w:w="36"/>
        <w:gridCol w:w="56"/>
        <w:gridCol w:w="1136"/>
        <w:gridCol w:w="36"/>
        <w:gridCol w:w="36"/>
        <w:gridCol w:w="36"/>
        <w:gridCol w:w="36"/>
        <w:gridCol w:w="121"/>
        <w:gridCol w:w="917"/>
        <w:gridCol w:w="36"/>
      </w:tblGrid>
      <w:tr w:rsidR="00000000">
        <w:trPr>
          <w:divId w:val="1581329950"/>
        </w:trPr>
        <w:tc>
          <w:tcPr>
            <w:tcW w:w="50" w:type="pct"/>
            <w:vAlign w:val="center"/>
            <w:hideMark/>
          </w:tcPr>
          <w:p w:rsidR="00000000" w:rsidRDefault="00E54EC0">
            <w:pPr>
              <w:jc w:val="center"/>
              <w:rPr>
                <w:rFonts w:eastAsia="Times New Roman"/>
              </w:rPr>
            </w:pPr>
          </w:p>
        </w:tc>
        <w:tc>
          <w:tcPr>
            <w:tcW w:w="221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8132995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Investment</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Redemption Frequency</w:t>
            </w:r>
          </w:p>
          <w:p w:rsidR="00000000" w:rsidRDefault="00E54EC0">
            <w:pPr>
              <w:spacing w:after="100"/>
              <w:jc w:val="center"/>
              <w:rPr>
                <w:rFonts w:eastAsia="Times New Roman"/>
              </w:rPr>
            </w:pPr>
            <w:r>
              <w:rPr>
                <w:rFonts w:eastAsia="Times New Roman"/>
                <w:b/>
                <w:bCs/>
                <w:color w:val="000000"/>
                <w:sz w:val="16"/>
                <w:szCs w:val="16"/>
              </w:rPr>
              <w:t>(If currently eligible)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Redemption Notice Period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Unfunded Commitments </w:t>
            </w:r>
          </w:p>
        </w:tc>
      </w:tr>
      <w:tr w:rsidR="00000000">
        <w:trPr>
          <w:divId w:val="158132995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(in millions)</w:t>
            </w:r>
          </w:p>
        </w:tc>
      </w:tr>
      <w:tr w:rsidR="00000000">
        <w:trPr>
          <w:divId w:val="158132995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813299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Private Equity Fund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N/A (1) (2)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813299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Private Real Estate Investment Trust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One Quarter</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813299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Hedge Fund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Calendar Quarters (3)</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Previous Quarter End</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813299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(4)</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81329950"/>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813299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813299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Private Equity Fund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N/A (1)(2)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813299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Private Real Estate Investment Trust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One Quarter</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813299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Hedge Fund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Calendar Quarters (3)</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Previous Quarter End</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5813299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(4)</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594 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ind w:hanging="360"/>
        <w:divId w:val="1006859947"/>
        <w:rPr>
          <w:rFonts w:eastAsia="Times New Roman"/>
        </w:rPr>
      </w:pPr>
      <w:r>
        <w:rPr>
          <w:rFonts w:eastAsia="Times New Roman"/>
          <w:color w:val="000000"/>
          <w:sz w:val="18"/>
          <w:szCs w:val="18"/>
        </w:rPr>
        <w:t>_______________</w:t>
      </w:r>
    </w:p>
    <w:p w:rsidR="00000000" w:rsidRDefault="00E54EC0">
      <w:pPr>
        <w:ind w:hanging="360"/>
        <w:divId w:val="782310123"/>
        <w:rPr>
          <w:rFonts w:eastAsia="Times New Roman"/>
        </w:rPr>
      </w:pPr>
      <w:r>
        <w:rPr>
          <w:rFonts w:eastAsia="Times New Roman"/>
          <w:color w:val="000000"/>
          <w:sz w:val="18"/>
          <w:szCs w:val="18"/>
        </w:rPr>
        <w:t>(1)</w:t>
      </w:r>
      <w:r>
        <w:rPr>
          <w:rFonts w:eastAsia="Times New Roman"/>
          <w:color w:val="000000"/>
          <w:sz w:val="18"/>
          <w:szCs w:val="18"/>
        </w:rPr>
        <w:t>Cannot sell or transfer ownership interest without prior written consent to transfer, and by meeting several criteria (e.g., does not adversely affect other investors).</w:t>
      </w:r>
    </w:p>
    <w:p w:rsidR="00000000" w:rsidRDefault="00E54EC0">
      <w:pPr>
        <w:ind w:hanging="360"/>
        <w:divId w:val="735519263"/>
        <w:rPr>
          <w:rFonts w:eastAsia="Times New Roman"/>
        </w:rPr>
      </w:pPr>
      <w:r>
        <w:rPr>
          <w:rFonts w:eastAsia="Times New Roman"/>
          <w:color w:val="000000"/>
          <w:sz w:val="18"/>
          <w:szCs w:val="18"/>
        </w:rPr>
        <w:t>(2)Cannot sell interest in the vehicle without prior written consent of the managing me</w:t>
      </w:r>
      <w:r>
        <w:rPr>
          <w:rFonts w:eastAsia="Times New Roman"/>
          <w:color w:val="000000"/>
          <w:sz w:val="18"/>
          <w:szCs w:val="18"/>
        </w:rPr>
        <w:t>mber.</w:t>
      </w:r>
    </w:p>
    <w:p w:rsidR="00000000" w:rsidRDefault="00E54EC0">
      <w:pPr>
        <w:ind w:hanging="360"/>
        <w:divId w:val="292441655"/>
        <w:rPr>
          <w:rFonts w:eastAsia="Times New Roman"/>
        </w:rPr>
      </w:pPr>
      <w:r>
        <w:rPr>
          <w:rFonts w:eastAsia="Times New Roman"/>
          <w:color w:val="000000"/>
          <w:sz w:val="18"/>
          <w:szCs w:val="18"/>
        </w:rPr>
        <w:t>(3)March, June, September and December.</w:t>
      </w:r>
    </w:p>
    <w:p w:rsidR="00000000" w:rsidRDefault="00E54EC0">
      <w:pPr>
        <w:ind w:hanging="360"/>
        <w:divId w:val="1073549375"/>
        <w:rPr>
          <w:rFonts w:eastAsia="Times New Roman"/>
        </w:rPr>
      </w:pPr>
      <w:r>
        <w:rPr>
          <w:rFonts w:eastAsia="Times New Roman"/>
          <w:color w:val="000000"/>
          <w:sz w:val="18"/>
          <w:szCs w:val="18"/>
        </w:rPr>
        <w:t xml:space="preserve">(4)Includes equity method investments of $111 million and $109 million as of December 31, 2022 and 2021, respectively. </w:t>
      </w:r>
    </w:p>
    <w:p w:rsidR="00000000" w:rsidRDefault="00E54EC0">
      <w:pPr>
        <w:divId w:val="1143305988"/>
        <w:rPr>
          <w:rFonts w:eastAsia="Times New Roman"/>
        </w:rPr>
      </w:pPr>
      <w:r>
        <w:rPr>
          <w:rFonts w:eastAsia="Times New Roman"/>
          <w:color w:val="000000"/>
          <w:sz w:val="20"/>
          <w:szCs w:val="20"/>
        </w:rPr>
        <w:t>The table below presents a reconciliation for all Level 3 fair values of qualified pension</w:t>
      </w:r>
      <w:r>
        <w:rPr>
          <w:rFonts w:eastAsia="Times New Roman"/>
          <w:color w:val="000000"/>
          <w:sz w:val="20"/>
          <w:szCs w:val="20"/>
        </w:rPr>
        <w:t xml:space="preserve"> plan assets as of December 31, 2022, 2021 and 2020, respectively:</w:t>
      </w:r>
    </w:p>
    <w:p w:rsidR="00000000" w:rsidRDefault="00E54EC0">
      <w:pPr>
        <w:jc w:val="center"/>
        <w:rPr>
          <w:rFonts w:eastAsia="Times New Roman"/>
        </w:rPr>
      </w:pPr>
      <w:r>
        <w:rPr>
          <w:rFonts w:eastAsia="Times New Roman"/>
          <w:b/>
          <w:bCs/>
          <w:color w:val="000000"/>
          <w:sz w:val="20"/>
          <w:szCs w:val="20"/>
        </w:rPr>
        <w:t>Level 3 Instruments</w:t>
      </w:r>
    </w:p>
    <w:p w:rsidR="00000000" w:rsidRDefault="00E54EC0">
      <w:pPr>
        <w:jc w:val="center"/>
        <w:rPr>
          <w:rFonts w:eastAsia="Times New Roman"/>
        </w:rPr>
      </w:pPr>
      <w:r>
        <w:rPr>
          <w:rFonts w:eastAsia="Times New Roman"/>
          <w:b/>
          <w:bCs/>
          <w:color w:val="000000"/>
          <w:sz w:val="20"/>
          <w:szCs w:val="20"/>
        </w:rPr>
        <w:t>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529"/>
        <w:gridCol w:w="37"/>
        <w:gridCol w:w="121"/>
        <w:gridCol w:w="961"/>
        <w:gridCol w:w="36"/>
        <w:gridCol w:w="36"/>
        <w:gridCol w:w="36"/>
        <w:gridCol w:w="36"/>
        <w:gridCol w:w="121"/>
        <w:gridCol w:w="918"/>
        <w:gridCol w:w="36"/>
        <w:gridCol w:w="36"/>
        <w:gridCol w:w="36"/>
        <w:gridCol w:w="36"/>
        <w:gridCol w:w="121"/>
        <w:gridCol w:w="920"/>
        <w:gridCol w:w="36"/>
        <w:gridCol w:w="36"/>
        <w:gridCol w:w="36"/>
        <w:gridCol w:w="36"/>
        <w:gridCol w:w="36"/>
        <w:gridCol w:w="36"/>
        <w:gridCol w:w="36"/>
      </w:tblGrid>
      <w:tr w:rsidR="00000000">
        <w:trPr>
          <w:divId w:val="1533151899"/>
        </w:trPr>
        <w:tc>
          <w:tcPr>
            <w:tcW w:w="50" w:type="pct"/>
            <w:vAlign w:val="center"/>
            <w:hideMark/>
          </w:tcPr>
          <w:p w:rsidR="00000000" w:rsidRDefault="00E54EC0">
            <w:pPr>
              <w:jc w:val="cente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Private Real Estate Investment Trusts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Fixed Maturities</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January 1, 2022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Actual return on plan assets — </w:t>
            </w:r>
            <w:r>
              <w:rPr>
                <w:rFonts w:eastAsia="Times New Roman"/>
                <w:color w:val="000000"/>
                <w:sz w:val="20"/>
                <w:szCs w:val="20"/>
              </w:rPr>
              <w:t>Sales/Settlements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53315189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1997760169"/>
        <w:rPr>
          <w:rFonts w:eastAsia="Times New Roman"/>
        </w:rPr>
      </w:pPr>
    </w:p>
    <w:p w:rsidR="00000000" w:rsidRDefault="00E54EC0">
      <w:pPr>
        <w:divId w:val="409620443"/>
        <w:rPr>
          <w:rFonts w:eastAsia="Times New Roman"/>
        </w:rPr>
      </w:pPr>
      <w:r>
        <w:rPr>
          <w:rFonts w:eastAsia="Times New Roman"/>
          <w:color w:val="000000"/>
          <w:sz w:val="20"/>
          <w:szCs w:val="20"/>
        </w:rPr>
        <w:t>As of December 31, 2022, assets classified as Level 1, Level 2 and Level 3 comprise approximately 18.2%, 53.5% and 0.0%, respectively, of qualified pension plan assets. As of Decemb</w:t>
      </w:r>
      <w:r>
        <w:rPr>
          <w:rFonts w:eastAsia="Times New Roman"/>
          <w:color w:val="000000"/>
          <w:sz w:val="20"/>
          <w:szCs w:val="20"/>
        </w:rPr>
        <w:t>er 31, 2021, assets classified as Level 1, Level 2 and Level 3 comprised approximately 23.4%, 55.4% and 0.0%, respectively, of qualified pension plan assets. There are no significant concentrations of credit risk arising within or across categories of qual</w:t>
      </w:r>
      <w:r>
        <w:rPr>
          <w:rFonts w:eastAsia="Times New Roman"/>
          <w:color w:val="000000"/>
          <w:sz w:val="20"/>
          <w:szCs w:val="20"/>
        </w:rPr>
        <w:t>ified pension plan assets.</w:t>
      </w:r>
    </w:p>
    <w:p w:rsidR="00000000" w:rsidRDefault="00E54EC0">
      <w:pPr>
        <w:divId w:val="886337412"/>
        <w:rPr>
          <w:rFonts w:eastAsia="Times New Roman"/>
        </w:rPr>
      </w:pPr>
      <w:r>
        <w:rPr>
          <w:rFonts w:eastAsia="Times New Roman"/>
          <w:color w:val="000000"/>
          <w:sz w:val="20"/>
          <w:szCs w:val="20"/>
        </w:rPr>
        <w:t>In addition to the plan assets above, the Company and certain subsidiaries purchased COLI policies on the lives of certain key employees. Under the terms of these polices the Company and these subsidiaries are named as beneficiar</w:t>
      </w:r>
      <w:r>
        <w:rPr>
          <w:rFonts w:eastAsia="Times New Roman"/>
          <w:color w:val="000000"/>
          <w:sz w:val="20"/>
          <w:szCs w:val="20"/>
        </w:rPr>
        <w:t>ies. The purpose of the COLI policies is to provide the Company additional funds with which to satisfy various employee benefit obligations held by the Company, including those associated with its nonqualified defined benefit plans and post-retirement bene</w:t>
      </w:r>
      <w:r>
        <w:rPr>
          <w:rFonts w:eastAsia="Times New Roman"/>
          <w:color w:val="000000"/>
          <w:sz w:val="20"/>
          <w:szCs w:val="20"/>
        </w:rPr>
        <w:t>fit plans. As of December 31, 2021 and 2020, the carrying value of COLI was $886 million and $$1.0 billion, respectively.</w:t>
      </w:r>
    </w:p>
    <w:p w:rsidR="00000000" w:rsidRDefault="00E54EC0">
      <w:pPr>
        <w:jc w:val="center"/>
        <w:divId w:val="939143044"/>
        <w:rPr>
          <w:rFonts w:eastAsia="Times New Roman"/>
        </w:rPr>
      </w:pPr>
      <w:r>
        <w:rPr>
          <w:rFonts w:eastAsia="Times New Roman"/>
          <w:color w:val="000000"/>
          <w:sz w:val="20"/>
          <w:szCs w:val="20"/>
        </w:rPr>
        <w:t>207</w:t>
      </w:r>
    </w:p>
    <w:p w:rsidR="00000000" w:rsidRDefault="00E54EC0">
      <w:pPr>
        <w:rPr>
          <w:rFonts w:eastAsia="Times New Roman"/>
        </w:rPr>
      </w:pPr>
      <w:r>
        <w:rPr>
          <w:rFonts w:eastAsia="Times New Roman"/>
        </w:rPr>
        <w:pict>
          <v:rect id="_x0000_i1245" style="width:0;height:1.5pt" o:hralign="center" o:hrstd="t" o:hr="t" fillcolor="#a0a0a0" stroked="f"/>
        </w:pict>
      </w:r>
    </w:p>
    <w:p w:rsidR="00000000" w:rsidRDefault="00E54EC0">
      <w:pPr>
        <w:jc w:val="center"/>
        <w:divId w:val="561715380"/>
        <w:rPr>
          <w:rFonts w:eastAsia="Times New Roman"/>
        </w:rPr>
      </w:pPr>
      <w:r>
        <w:rPr>
          <w:rFonts w:eastAsia="Times New Roman"/>
          <w:b/>
          <w:bCs/>
          <w:color w:val="000000"/>
          <w:sz w:val="20"/>
          <w:szCs w:val="20"/>
        </w:rPr>
        <w:t>EQUITABLE HOLDINGS, INC.</w:t>
      </w:r>
    </w:p>
    <w:p w:rsidR="00000000" w:rsidRDefault="00E54EC0">
      <w:pPr>
        <w:jc w:val="center"/>
        <w:divId w:val="561715380"/>
        <w:rPr>
          <w:rFonts w:eastAsia="Times New Roman"/>
        </w:rPr>
      </w:pPr>
      <w:r>
        <w:rPr>
          <w:rFonts w:eastAsia="Times New Roman"/>
          <w:b/>
          <w:bCs/>
          <w:color w:val="000000"/>
          <w:sz w:val="20"/>
          <w:szCs w:val="20"/>
        </w:rPr>
        <w:t>NOTES TO CONSOLIDATED FINANCIAL STATEMENTS, continued</w:t>
      </w:r>
    </w:p>
    <w:p w:rsidR="00000000" w:rsidRDefault="00E54EC0">
      <w:pPr>
        <w:divId w:val="840857470"/>
        <w:rPr>
          <w:rFonts w:eastAsia="Times New Roman"/>
        </w:rPr>
      </w:pPr>
      <w:r>
        <w:rPr>
          <w:rFonts w:eastAsia="Times New Roman"/>
          <w:color w:val="000000"/>
          <w:sz w:val="20"/>
          <w:szCs w:val="20"/>
          <w:u w:val="single"/>
        </w:rPr>
        <w:t>Assumptions</w:t>
      </w:r>
    </w:p>
    <w:p w:rsidR="00000000" w:rsidRDefault="00E54EC0">
      <w:pPr>
        <w:jc w:val="both"/>
        <w:divId w:val="953483845"/>
        <w:rPr>
          <w:rFonts w:eastAsia="Times New Roman"/>
        </w:rPr>
      </w:pPr>
      <w:r>
        <w:rPr>
          <w:rFonts w:eastAsia="Times New Roman"/>
          <w:b/>
          <w:bCs/>
          <w:i/>
          <w:iCs/>
          <w:color w:val="000000"/>
          <w:sz w:val="20"/>
          <w:szCs w:val="20"/>
        </w:rPr>
        <w:t>Dis</w:t>
      </w:r>
      <w:r>
        <w:rPr>
          <w:rFonts w:eastAsia="Times New Roman"/>
          <w:b/>
          <w:bCs/>
          <w:i/>
          <w:iCs/>
          <w:color w:val="000000"/>
          <w:sz w:val="20"/>
          <w:szCs w:val="20"/>
        </w:rPr>
        <w:t>count Rate    </w:t>
      </w:r>
    </w:p>
    <w:p w:rsidR="00000000" w:rsidRDefault="00E54EC0">
      <w:pPr>
        <w:divId w:val="543176256"/>
        <w:rPr>
          <w:rFonts w:eastAsia="Times New Roman"/>
        </w:rPr>
      </w:pPr>
      <w:r>
        <w:rPr>
          <w:rFonts w:eastAsia="Times New Roman"/>
          <w:color w:val="000000"/>
          <w:sz w:val="20"/>
          <w:szCs w:val="20"/>
        </w:rPr>
        <w:t>The benefits obligations and related net periodic costs of the Company’s qualified and non-qualified pension plans are measured using discount rate assumptions that reflect the rates at which the plans’ benefits could be effectively settled.</w:t>
      </w:r>
      <w:r>
        <w:rPr>
          <w:rFonts w:eastAsia="Times New Roman"/>
          <w:color w:val="000000"/>
          <w:sz w:val="20"/>
          <w:szCs w:val="20"/>
        </w:rPr>
        <w:t xml:space="preserve"> Projected nominal cash outflows to fund expected annual benefits payments under each of the plans are discounted using a published high-quality bond yield curve as a practical expedient for a matching bond approach. Beginning in 2014, the Company uses the</w:t>
      </w:r>
      <w:r>
        <w:rPr>
          <w:rFonts w:eastAsia="Times New Roman"/>
          <w:color w:val="000000"/>
          <w:sz w:val="20"/>
          <w:szCs w:val="20"/>
        </w:rPr>
        <w:t xml:space="preserve"> Citigroup Pension Above-Median-AA Curve (the “Citigroup Curve”) for this purpose. The Company has concluded that an adjustment to the Citigroup Curve is not required after comparing the projected benefit streams of the plans to the cash flows and duration</w:t>
      </w:r>
      <w:r>
        <w:rPr>
          <w:rFonts w:eastAsia="Times New Roman"/>
          <w:color w:val="000000"/>
          <w:sz w:val="20"/>
          <w:szCs w:val="20"/>
        </w:rPr>
        <w:t xml:space="preserve"> of the reference bonds. </w:t>
      </w:r>
    </w:p>
    <w:p w:rsidR="00000000" w:rsidRDefault="00E54EC0">
      <w:pPr>
        <w:jc w:val="both"/>
        <w:divId w:val="1337806576"/>
        <w:rPr>
          <w:rFonts w:eastAsia="Times New Roman"/>
        </w:rPr>
      </w:pPr>
      <w:r>
        <w:rPr>
          <w:rFonts w:eastAsia="Times New Roman"/>
          <w:b/>
          <w:bCs/>
          <w:i/>
          <w:iCs/>
          <w:color w:val="000000"/>
          <w:sz w:val="20"/>
          <w:szCs w:val="20"/>
        </w:rPr>
        <w:t>Mortality</w:t>
      </w:r>
    </w:p>
    <w:p w:rsidR="00000000" w:rsidRDefault="00E54EC0">
      <w:pPr>
        <w:divId w:val="2119713651"/>
        <w:rPr>
          <w:rFonts w:eastAsia="Times New Roman"/>
        </w:rPr>
      </w:pPr>
      <w:r>
        <w:rPr>
          <w:rFonts w:eastAsia="Times New Roman"/>
          <w:color w:val="000000"/>
          <w:sz w:val="20"/>
          <w:szCs w:val="20"/>
        </w:rPr>
        <w:t>In October 2016, the Society of Actuaries (“SOA”) released MP-2016, its second annual update to the “gold standard” mortality projection scale issued by the SOA in 2014, reflecting three additional years of historical U.</w:t>
      </w:r>
      <w:r>
        <w:rPr>
          <w:rFonts w:eastAsia="Times New Roman"/>
          <w:color w:val="000000"/>
          <w:sz w:val="20"/>
          <w:szCs w:val="20"/>
        </w:rPr>
        <w:t>S. population historical mortality data (2012 through 2014). Similar to its predecessor (MP-2015), MP-2016 indicated that, while mortality data continued to show longer lives, longevity was increasing at a slower rate and lagging behind that previously sug</w:t>
      </w:r>
      <w:r>
        <w:rPr>
          <w:rFonts w:eastAsia="Times New Roman"/>
          <w:color w:val="000000"/>
          <w:sz w:val="20"/>
          <w:szCs w:val="20"/>
        </w:rPr>
        <w:t>gested both by MP-2015 and MP-2014. The Company considered this new data as well as observations made from current practice regarding how to best estimate improved trends in life expectancies and concluded to continue using the RP-2000 base mortality table</w:t>
      </w:r>
      <w:r>
        <w:rPr>
          <w:rFonts w:eastAsia="Times New Roman"/>
          <w:color w:val="000000"/>
          <w:sz w:val="20"/>
          <w:szCs w:val="20"/>
        </w:rPr>
        <w:t xml:space="preserve"> projected on a full generational basis with Scale BB mortality improvements for purposes of measuring and reporting its consolidated defined benefit plan obligations as of December 31, 2022. </w:t>
      </w:r>
    </w:p>
    <w:p w:rsidR="00000000" w:rsidRDefault="00E54EC0">
      <w:pPr>
        <w:divId w:val="888877559"/>
        <w:rPr>
          <w:rFonts w:eastAsia="Times New Roman"/>
        </w:rPr>
      </w:pPr>
      <w:r>
        <w:rPr>
          <w:rFonts w:eastAsia="Times New Roman"/>
          <w:color w:val="000000"/>
          <w:sz w:val="20"/>
          <w:szCs w:val="20"/>
        </w:rPr>
        <w:t>The following table discloses assumptions used to measure the C</w:t>
      </w:r>
      <w:r>
        <w:rPr>
          <w:rFonts w:eastAsia="Times New Roman"/>
          <w:color w:val="000000"/>
          <w:sz w:val="20"/>
          <w:szCs w:val="20"/>
        </w:rPr>
        <w:t xml:space="preserve">ompany’s pension benefit obligations and net periodic pension cost at and for the years ended December 31, 2022 and 2021. </w:t>
      </w:r>
    </w:p>
    <w:tbl>
      <w:tblPr>
        <w:tblW w:w="5000" w:type="pct"/>
        <w:tblCellMar>
          <w:top w:w="15" w:type="dxa"/>
          <w:left w:w="15" w:type="dxa"/>
          <w:bottom w:w="15" w:type="dxa"/>
          <w:right w:w="15" w:type="dxa"/>
        </w:tblCellMar>
        <w:tblLook w:val="04A0" w:firstRow="1" w:lastRow="0" w:firstColumn="1" w:lastColumn="0" w:noHBand="0" w:noVBand="1"/>
      </w:tblPr>
      <w:tblGrid>
        <w:gridCol w:w="62"/>
        <w:gridCol w:w="5706"/>
        <w:gridCol w:w="39"/>
        <w:gridCol w:w="63"/>
        <w:gridCol w:w="1101"/>
        <w:gridCol w:w="37"/>
        <w:gridCol w:w="37"/>
        <w:gridCol w:w="36"/>
        <w:gridCol w:w="36"/>
        <w:gridCol w:w="50"/>
        <w:gridCol w:w="1103"/>
        <w:gridCol w:w="36"/>
      </w:tblGrid>
      <w:tr w:rsidR="00000000">
        <w:trPr>
          <w:divId w:val="998342064"/>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99834206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998342064"/>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99834206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Discount rates: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9834206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Financial QP</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5.13%</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2.55%</w:t>
            </w:r>
          </w:p>
        </w:tc>
      </w:tr>
      <w:tr w:rsidR="00000000">
        <w:trPr>
          <w:divId w:val="99834206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Excess Retirement Plan</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5.09%</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2.47%</w:t>
            </w:r>
          </w:p>
        </w:tc>
      </w:tr>
      <w:tr w:rsidR="00000000">
        <w:trPr>
          <w:divId w:val="99834206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MONY Life Retirement Income Security Plan for Employees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5.22%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2.78%</w:t>
            </w:r>
          </w:p>
        </w:tc>
      </w:tr>
      <w:tr w:rsidR="00000000">
        <w:trPr>
          <w:divId w:val="99834206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AB Qualified Retirement Plan</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5.50%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2.55%</w:t>
            </w:r>
          </w:p>
        </w:tc>
      </w:tr>
      <w:tr w:rsidR="00000000">
        <w:trPr>
          <w:divId w:val="99834206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defined benefit plans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4.93%-5.22%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2.05%-2.78%</w:t>
            </w:r>
          </w:p>
        </w:tc>
      </w:tr>
      <w:tr w:rsidR="00000000">
        <w:trPr>
          <w:divId w:val="99834206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Periodic cost</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4.84% - 5.20%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1.18%-2.78%</w:t>
            </w:r>
          </w:p>
        </w:tc>
      </w:tr>
      <w:tr w:rsidR="00000000">
        <w:trPr>
          <w:divId w:val="99834206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balance interest crediting rate for pre-April 1, 2012 accruals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4.00%</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4.00%</w:t>
            </w:r>
          </w:p>
        </w:tc>
      </w:tr>
      <w:tr w:rsidR="00000000">
        <w:trPr>
          <w:divId w:val="99834206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balance interest crediting rate for post-April 1, 2012 accruals</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0.25%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0.50%</w:t>
            </w:r>
          </w:p>
        </w:tc>
      </w:tr>
      <w:tr w:rsidR="00000000">
        <w:trPr>
          <w:divId w:val="998342064"/>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9834206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Rates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98342064"/>
        </w:trPr>
        <w:tc>
          <w:tcPr>
            <w:tcW w:w="0" w:type="auto"/>
            <w:gridSpan w:val="3"/>
            <w:shd w:val="clear" w:color="auto" w:fill="CCEE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Benefit obligation</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5.96%</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5.97%</w:t>
            </w:r>
          </w:p>
        </w:tc>
      </w:tr>
      <w:tr w:rsidR="00000000">
        <w:trPr>
          <w:divId w:val="998342064"/>
        </w:trPr>
        <w:tc>
          <w:tcPr>
            <w:tcW w:w="0" w:type="auto"/>
            <w:gridSpan w:val="3"/>
            <w:shd w:val="clear" w:color="auto" w:fill="FFFFFF"/>
            <w:tcMar>
              <w:top w:w="30" w:type="dxa"/>
              <w:left w:w="24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Periodic cost</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6.37%</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6.33%</w:t>
            </w:r>
          </w:p>
        </w:tc>
      </w:tr>
      <w:tr w:rsidR="00000000">
        <w:trPr>
          <w:divId w:val="998342064"/>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99834206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Expected long-term rates of return on pension plan assets (periodic cost)</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6.25%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6.25%</w:t>
            </w:r>
          </w:p>
        </w:tc>
      </w:tr>
    </w:tbl>
    <w:p w:rsidR="00000000" w:rsidRDefault="00E54EC0">
      <w:pPr>
        <w:divId w:val="1892035725"/>
        <w:rPr>
          <w:rFonts w:eastAsia="Times New Roman"/>
        </w:rPr>
      </w:pPr>
      <w:r>
        <w:rPr>
          <w:rFonts w:eastAsia="Times New Roman"/>
          <w:color w:val="000000"/>
          <w:sz w:val="20"/>
          <w:szCs w:val="20"/>
        </w:rPr>
        <w:t xml:space="preserve">The expected long-term rate of return assumption on plan assets is based upon the target asset allocation of the plan portfolio and is determined using forward-looking assumptions in the context of historical returns and volatilities for each asset class. </w:t>
      </w:r>
      <w:r>
        <w:rPr>
          <w:rFonts w:eastAsia="Times New Roman"/>
          <w:color w:val="000000"/>
          <w:sz w:val="20"/>
          <w:szCs w:val="20"/>
        </w:rPr>
        <w:t>Prior to 1987, participants’ benefits under the Equitable Financial QP were funded through the purchase of non-participating annuity contracts from Equitable Financial. Benefit payments under these contracts were approximately $3 million and $4 million for</w:t>
      </w:r>
      <w:r>
        <w:rPr>
          <w:rFonts w:eastAsia="Times New Roman"/>
          <w:color w:val="000000"/>
          <w:sz w:val="20"/>
          <w:szCs w:val="20"/>
        </w:rPr>
        <w:t xml:space="preserve"> 2022 and 2021, respectively.</w:t>
      </w:r>
    </w:p>
    <w:p w:rsidR="00000000" w:rsidRDefault="00E54EC0">
      <w:pPr>
        <w:divId w:val="554779934"/>
        <w:rPr>
          <w:rFonts w:eastAsia="Times New Roman"/>
        </w:rPr>
      </w:pPr>
      <w:r>
        <w:rPr>
          <w:rFonts w:eastAsia="Times New Roman"/>
          <w:color w:val="000000"/>
          <w:sz w:val="20"/>
          <w:szCs w:val="20"/>
          <w:u w:val="single"/>
        </w:rPr>
        <w:t>Post-Retirement Benefits</w:t>
      </w:r>
    </w:p>
    <w:p w:rsidR="00000000" w:rsidRDefault="00E54EC0">
      <w:pPr>
        <w:divId w:val="895122139"/>
        <w:rPr>
          <w:rFonts w:eastAsia="Times New Roman"/>
        </w:rPr>
      </w:pPr>
      <w:r>
        <w:rPr>
          <w:rFonts w:eastAsia="Times New Roman"/>
          <w:color w:val="000000"/>
          <w:sz w:val="20"/>
          <w:szCs w:val="20"/>
        </w:rPr>
        <w:t>The Company eliminated any subsidy for post-retirement medical and dental coverage for individuals retiring on or after May 1, 2012. The Company continues to contribute to the cost of post-retirement m</w:t>
      </w:r>
      <w:r>
        <w:rPr>
          <w:rFonts w:eastAsia="Times New Roman"/>
          <w:color w:val="000000"/>
          <w:sz w:val="20"/>
          <w:szCs w:val="20"/>
        </w:rPr>
        <w:t xml:space="preserve">edical and dental coverage for certain individuals who retired prior to May 1, 2012 based on years of service and age, subject to rights reserved in the </w:t>
      </w:r>
    </w:p>
    <w:p w:rsidR="00000000" w:rsidRDefault="00E54EC0">
      <w:pPr>
        <w:jc w:val="center"/>
        <w:divId w:val="1373916890"/>
        <w:rPr>
          <w:rFonts w:eastAsia="Times New Roman"/>
        </w:rPr>
      </w:pPr>
      <w:r>
        <w:rPr>
          <w:rFonts w:eastAsia="Times New Roman"/>
          <w:color w:val="000000"/>
          <w:sz w:val="20"/>
          <w:szCs w:val="20"/>
        </w:rPr>
        <w:t>208</w:t>
      </w:r>
    </w:p>
    <w:p w:rsidR="00000000" w:rsidRDefault="00E54EC0">
      <w:pPr>
        <w:rPr>
          <w:rFonts w:eastAsia="Times New Roman"/>
        </w:rPr>
      </w:pPr>
      <w:r>
        <w:rPr>
          <w:rFonts w:eastAsia="Times New Roman"/>
        </w:rPr>
        <w:pict>
          <v:rect id="_x0000_i1246" style="width:0;height:1.5pt" o:hralign="center" o:hrstd="t" o:hr="t" fillcolor="#a0a0a0" stroked="f"/>
        </w:pict>
      </w:r>
    </w:p>
    <w:p w:rsidR="00000000" w:rsidRDefault="00E54EC0">
      <w:pPr>
        <w:jc w:val="center"/>
        <w:divId w:val="436559416"/>
        <w:rPr>
          <w:rFonts w:eastAsia="Times New Roman"/>
        </w:rPr>
      </w:pPr>
      <w:r>
        <w:rPr>
          <w:rFonts w:eastAsia="Times New Roman"/>
          <w:b/>
          <w:bCs/>
          <w:color w:val="000000"/>
          <w:sz w:val="20"/>
          <w:szCs w:val="20"/>
        </w:rPr>
        <w:t>EQUITABLE HOLDINGS, INC.</w:t>
      </w:r>
    </w:p>
    <w:p w:rsidR="00000000" w:rsidRDefault="00E54EC0">
      <w:pPr>
        <w:jc w:val="center"/>
        <w:divId w:val="436559416"/>
        <w:rPr>
          <w:rFonts w:eastAsia="Times New Roman"/>
        </w:rPr>
      </w:pPr>
      <w:r>
        <w:rPr>
          <w:rFonts w:eastAsia="Times New Roman"/>
          <w:b/>
          <w:bCs/>
          <w:color w:val="000000"/>
          <w:sz w:val="20"/>
          <w:szCs w:val="20"/>
        </w:rPr>
        <w:t>NOTES TO CONSOLIDATED FINANCIAL STATE</w:t>
      </w:r>
      <w:r>
        <w:rPr>
          <w:rFonts w:eastAsia="Times New Roman"/>
          <w:b/>
          <w:bCs/>
          <w:color w:val="000000"/>
          <w:sz w:val="20"/>
          <w:szCs w:val="20"/>
        </w:rPr>
        <w:t>MENTS, continued</w:t>
      </w:r>
    </w:p>
    <w:p w:rsidR="00000000" w:rsidRDefault="00E54EC0">
      <w:pPr>
        <w:divId w:val="668756312"/>
        <w:rPr>
          <w:rFonts w:eastAsia="Times New Roman"/>
        </w:rPr>
      </w:pPr>
      <w:r>
        <w:rPr>
          <w:rFonts w:eastAsia="Times New Roman"/>
          <w:color w:val="000000"/>
          <w:sz w:val="20"/>
          <w:szCs w:val="20"/>
        </w:rPr>
        <w:t>plans to change or eliminate these benefits. The Company funds these post-retirement benefits on a pay-as-you-go basis.</w:t>
      </w:r>
    </w:p>
    <w:p w:rsidR="00000000" w:rsidRDefault="00E54EC0">
      <w:pPr>
        <w:divId w:val="171728786"/>
        <w:rPr>
          <w:rFonts w:eastAsia="Times New Roman"/>
        </w:rPr>
      </w:pPr>
      <w:r>
        <w:rPr>
          <w:rFonts w:eastAsia="Times New Roman"/>
          <w:color w:val="000000"/>
          <w:sz w:val="20"/>
          <w:szCs w:val="20"/>
        </w:rPr>
        <w:t>The Company sponsors the Equitable Executive Survivor Benefits Plan (the “ESB Plan”) which provides post-retirement lif</w:t>
      </w:r>
      <w:r>
        <w:rPr>
          <w:rFonts w:eastAsia="Times New Roman"/>
          <w:color w:val="000000"/>
          <w:sz w:val="20"/>
          <w:szCs w:val="20"/>
        </w:rPr>
        <w:t>e insurance benefits to eligible executives. Eligible executives may choose up to four levels of coverage with each level providing a benefit equal to the executive’s compensation, subject to an overall $25 million cap. Aside from the ESB Plan, the Company</w:t>
      </w:r>
      <w:r>
        <w:rPr>
          <w:rFonts w:eastAsia="Times New Roman"/>
          <w:color w:val="000000"/>
          <w:sz w:val="20"/>
          <w:szCs w:val="20"/>
        </w:rPr>
        <w:t xml:space="preserve"> does not currently offer post-retirement life insurance benefits but continues to provide post-retirement life insurance benefits to certain active and retired employees who were eligible for such benefits under discontinued plans. The ESB Plan was closed</w:t>
      </w:r>
      <w:r>
        <w:rPr>
          <w:rFonts w:eastAsia="Times New Roman"/>
          <w:color w:val="000000"/>
          <w:sz w:val="20"/>
          <w:szCs w:val="20"/>
        </w:rPr>
        <w:t xml:space="preserve"> to new participants on January 1, 2019.</w:t>
      </w:r>
    </w:p>
    <w:p w:rsidR="00000000" w:rsidRDefault="00E54EC0">
      <w:pPr>
        <w:divId w:val="423066539"/>
        <w:rPr>
          <w:rFonts w:eastAsia="Times New Roman"/>
        </w:rPr>
      </w:pPr>
      <w:r>
        <w:rPr>
          <w:rFonts w:eastAsia="Times New Roman"/>
          <w:color w:val="000000"/>
          <w:sz w:val="20"/>
          <w:szCs w:val="20"/>
        </w:rPr>
        <w:t>For 2022 and 2021, post-retirement benefits payments were $20 million and $28 million, respectively, net of employee contributions.</w:t>
      </w:r>
    </w:p>
    <w:p w:rsidR="00000000" w:rsidRDefault="00E54EC0">
      <w:pPr>
        <w:divId w:val="1889105645"/>
        <w:rPr>
          <w:rFonts w:eastAsia="Times New Roman"/>
        </w:rPr>
      </w:pPr>
      <w:r>
        <w:rPr>
          <w:rFonts w:eastAsia="Times New Roman"/>
          <w:color w:val="000000"/>
          <w:sz w:val="20"/>
          <w:szCs w:val="20"/>
        </w:rPr>
        <w:t>The Company uses a December 31 measurement date for its post-retirement plans.</w:t>
      </w:r>
    </w:p>
    <w:p w:rsidR="00000000" w:rsidRDefault="00E54EC0">
      <w:pPr>
        <w:jc w:val="center"/>
        <w:divId w:val="546070292"/>
        <w:rPr>
          <w:rFonts w:eastAsia="Times New Roman"/>
        </w:rPr>
      </w:pPr>
      <w:r>
        <w:rPr>
          <w:rFonts w:eastAsia="Times New Roman"/>
          <w:b/>
          <w:bCs/>
          <w:color w:val="000000"/>
          <w:sz w:val="20"/>
          <w:szCs w:val="20"/>
        </w:rPr>
        <w:t>Comp</w:t>
      </w:r>
      <w:r>
        <w:rPr>
          <w:rFonts w:eastAsia="Times New Roman"/>
          <w:b/>
          <w:bCs/>
          <w:color w:val="000000"/>
          <w:sz w:val="20"/>
          <w:szCs w:val="20"/>
        </w:rPr>
        <w:t>onents of Net Post-Retirement Benefits Costs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6"/>
        <w:gridCol w:w="120"/>
        <w:gridCol w:w="990"/>
        <w:gridCol w:w="36"/>
        <w:gridCol w:w="36"/>
        <w:gridCol w:w="36"/>
        <w:gridCol w:w="36"/>
        <w:gridCol w:w="120"/>
        <w:gridCol w:w="950"/>
        <w:gridCol w:w="36"/>
        <w:gridCol w:w="36"/>
        <w:gridCol w:w="36"/>
        <w:gridCol w:w="36"/>
        <w:gridCol w:w="120"/>
        <w:gridCol w:w="951"/>
        <w:gridCol w:w="36"/>
      </w:tblGrid>
      <w:tr w:rsidR="00000000">
        <w:trPr>
          <w:divId w:val="48653412"/>
        </w:trPr>
        <w:tc>
          <w:tcPr>
            <w:tcW w:w="50" w:type="pct"/>
            <w:vAlign w:val="center"/>
            <w:hideMark/>
          </w:tcPr>
          <w:p w:rsidR="00000000" w:rsidRDefault="00E54EC0">
            <w:pPr>
              <w:jc w:val="cente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865341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4865341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4865341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4865341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65341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65341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865341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periodic post-retirement benefits costs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740247893"/>
        <w:rPr>
          <w:rFonts w:eastAsia="Times New Roman"/>
        </w:rPr>
      </w:pPr>
    </w:p>
    <w:p w:rsidR="00000000" w:rsidRDefault="00E54EC0">
      <w:pPr>
        <w:divId w:val="1105154900"/>
        <w:rPr>
          <w:rFonts w:eastAsia="Times New Roman"/>
        </w:rPr>
      </w:pPr>
      <w:r>
        <w:rPr>
          <w:rFonts w:eastAsia="Times New Roman"/>
          <w:color w:val="000000"/>
          <w:sz w:val="20"/>
          <w:szCs w:val="20"/>
        </w:rPr>
        <w:t>Changes in the accumulated benefits obligation of the Company’</w:t>
      </w:r>
      <w:r>
        <w:rPr>
          <w:rFonts w:eastAsia="Times New Roman"/>
          <w:color w:val="000000"/>
          <w:sz w:val="20"/>
          <w:szCs w:val="20"/>
        </w:rPr>
        <w:t>s post-retirement plans recognized in the accompanying consolidated financial statements are described in the following table:</w:t>
      </w:r>
    </w:p>
    <w:p w:rsidR="00000000" w:rsidRDefault="00E54EC0">
      <w:pPr>
        <w:jc w:val="center"/>
        <w:divId w:val="1657605953"/>
        <w:rPr>
          <w:rFonts w:eastAsia="Times New Roman"/>
        </w:rPr>
      </w:pPr>
      <w:r>
        <w:rPr>
          <w:rFonts w:eastAsia="Times New Roman"/>
          <w:b/>
          <w:bCs/>
          <w:color w:val="000000"/>
          <w:sz w:val="20"/>
          <w:szCs w:val="20"/>
        </w:rPr>
        <w:t>Accumulated Post-Retirement Benefits Obligation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074"/>
        <w:gridCol w:w="36"/>
        <w:gridCol w:w="36"/>
        <w:gridCol w:w="36"/>
        <w:gridCol w:w="36"/>
        <w:gridCol w:w="120"/>
        <w:gridCol w:w="1041"/>
        <w:gridCol w:w="36"/>
        <w:gridCol w:w="36"/>
      </w:tblGrid>
      <w:tr w:rsidR="00000000">
        <w:trPr>
          <w:divId w:val="2124349545"/>
        </w:trPr>
        <w:tc>
          <w:tcPr>
            <w:tcW w:w="50" w:type="pct"/>
            <w:vAlign w:val="center"/>
            <w:hideMark/>
          </w:tcPr>
          <w:p w:rsidR="00000000" w:rsidRDefault="00E54EC0">
            <w:pPr>
              <w:jc w:val="cente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12434954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E54EC0">
            <w:pPr>
              <w:spacing w:after="100"/>
              <w:jc w:val="center"/>
              <w:rPr>
                <w:rFonts w:eastAsia="Times New Roman"/>
              </w:rPr>
            </w:pPr>
          </w:p>
        </w:tc>
      </w:tr>
      <w:tr w:rsidR="00000000">
        <w:trPr>
          <w:divId w:val="212434954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E54EC0">
            <w:pPr>
              <w:spacing w:after="100"/>
              <w:jc w:val="center"/>
              <w:rPr>
                <w:rFonts w:eastAsia="Times New Roman"/>
              </w:rPr>
            </w:pPr>
          </w:p>
        </w:tc>
      </w:tr>
      <w:tr w:rsidR="00000000">
        <w:trPr>
          <w:divId w:val="212434954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jc w:val="center"/>
              <w:rPr>
                <w:rFonts w:eastAsia="Times New Roman"/>
              </w:rPr>
            </w:pPr>
          </w:p>
        </w:tc>
      </w:tr>
      <w:tr w:rsidR="00000000">
        <w:trPr>
          <w:divId w:val="212434954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Accumulated post-retirement benefits obligation, beginning of year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r w:rsidR="00000000">
        <w:trPr>
          <w:divId w:val="212434954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Service cost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r w:rsidR="00000000">
        <w:trPr>
          <w:divId w:val="212434954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Interest cost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r w:rsidR="00000000">
        <w:trPr>
          <w:divId w:val="212434954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Contributions and benefits paid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r w:rsidR="00000000">
        <w:trPr>
          <w:divId w:val="2124349545"/>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12434954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Actuarial (gains) losses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r w:rsidR="00000000">
        <w:trPr>
          <w:divId w:val="212434954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Accumulated post-retirement benefits obligation, end of year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bl>
    <w:p w:rsidR="00000000" w:rsidRDefault="00E54EC0">
      <w:pPr>
        <w:divId w:val="1199125369"/>
        <w:rPr>
          <w:rFonts w:eastAsia="Times New Roman"/>
        </w:rPr>
      </w:pPr>
    </w:p>
    <w:p w:rsidR="00000000" w:rsidRDefault="00E54EC0">
      <w:pPr>
        <w:divId w:val="1326591121"/>
        <w:rPr>
          <w:rFonts w:eastAsia="Times New Roman"/>
        </w:rPr>
      </w:pPr>
      <w:r>
        <w:rPr>
          <w:rFonts w:eastAsia="Times New Roman"/>
          <w:color w:val="000000"/>
          <w:sz w:val="20"/>
          <w:szCs w:val="20"/>
        </w:rPr>
        <w:t xml:space="preserve">The post-retirement medical plan obligations of the Company are offset by an anticipated subsidy from Medicare Part D, which is assumed to increase with the healthcare cost trend. </w:t>
      </w:r>
    </w:p>
    <w:p w:rsidR="00000000" w:rsidRDefault="00E54EC0">
      <w:pPr>
        <w:jc w:val="center"/>
        <w:divId w:val="1284581865"/>
        <w:rPr>
          <w:rFonts w:eastAsia="Times New Roman"/>
        </w:rPr>
      </w:pPr>
      <w:r>
        <w:rPr>
          <w:rFonts w:eastAsia="Times New Roman"/>
          <w:b/>
          <w:bCs/>
          <w:color w:val="000000"/>
          <w:sz w:val="20"/>
          <w:szCs w:val="20"/>
        </w:rPr>
        <w:t>Assumed Healthcare Cost Trend Rates used to Measure the Expected Cost of Be</w:t>
      </w:r>
      <w:r>
        <w:rPr>
          <w:rFonts w:eastAsia="Times New Roman"/>
          <w:b/>
          <w:bCs/>
          <w:color w:val="000000"/>
          <w:sz w:val="20"/>
          <w:szCs w:val="20"/>
        </w:rPr>
        <w:t>nefits</w:t>
      </w:r>
    </w:p>
    <w:tbl>
      <w:tblPr>
        <w:tblW w:w="5000" w:type="pct"/>
        <w:tblCellMar>
          <w:top w:w="15" w:type="dxa"/>
          <w:left w:w="15" w:type="dxa"/>
          <w:bottom w:w="15" w:type="dxa"/>
          <w:right w:w="15" w:type="dxa"/>
        </w:tblCellMar>
        <w:tblLook w:val="04A0" w:firstRow="1" w:lastRow="0" w:firstColumn="1" w:lastColumn="0" w:noHBand="0" w:noVBand="1"/>
      </w:tblPr>
      <w:tblGrid>
        <w:gridCol w:w="63"/>
        <w:gridCol w:w="5706"/>
        <w:gridCol w:w="36"/>
        <w:gridCol w:w="63"/>
        <w:gridCol w:w="1101"/>
        <w:gridCol w:w="37"/>
        <w:gridCol w:w="37"/>
        <w:gridCol w:w="36"/>
        <w:gridCol w:w="36"/>
        <w:gridCol w:w="51"/>
        <w:gridCol w:w="1104"/>
        <w:gridCol w:w="36"/>
      </w:tblGrid>
      <w:tr w:rsidR="00000000">
        <w:trPr>
          <w:divId w:val="1204366382"/>
        </w:trPr>
        <w:tc>
          <w:tcPr>
            <w:tcW w:w="50" w:type="pct"/>
            <w:vAlign w:val="center"/>
            <w:hideMark/>
          </w:tcPr>
          <w:p w:rsidR="00000000" w:rsidRDefault="00E54EC0">
            <w:pPr>
              <w:jc w:val="cente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0436638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20436638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120436638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Following year</w:t>
            </w: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5.4%</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5.1%</w:t>
            </w:r>
          </w:p>
        </w:tc>
      </w:tr>
      <w:tr w:rsidR="00000000">
        <w:trPr>
          <w:divId w:val="120436638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Ultimate rate to which cost increase is assumed to decline</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3.9%</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4.0%</w:t>
            </w:r>
          </w:p>
        </w:tc>
      </w:tr>
      <w:tr w:rsidR="00000000">
        <w:trPr>
          <w:divId w:val="120436638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Year in which the ultimate trend rate is reached</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20"/>
                <w:szCs w:val="20"/>
              </w:rPr>
              <w:t>2096</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2094</w:t>
            </w:r>
          </w:p>
        </w:tc>
      </w:tr>
    </w:tbl>
    <w:p w:rsidR="00000000" w:rsidRDefault="00E54EC0">
      <w:pPr>
        <w:divId w:val="1694376502"/>
        <w:rPr>
          <w:rFonts w:eastAsia="Times New Roman"/>
        </w:rPr>
      </w:pPr>
    </w:p>
    <w:p w:rsidR="00000000" w:rsidRDefault="00E54EC0">
      <w:pPr>
        <w:divId w:val="370155149"/>
        <w:rPr>
          <w:rFonts w:eastAsia="Times New Roman"/>
        </w:rPr>
      </w:pPr>
      <w:r>
        <w:rPr>
          <w:rFonts w:eastAsia="Times New Roman"/>
          <w:color w:val="000000"/>
          <w:sz w:val="20"/>
          <w:szCs w:val="20"/>
        </w:rPr>
        <w:t>The following table discloses the amounts included in AOCI as of December </w:t>
      </w:r>
      <w:r>
        <w:rPr>
          <w:rFonts w:eastAsia="Times New Roman"/>
          <w:color w:val="000000"/>
          <w:sz w:val="20"/>
          <w:szCs w:val="20"/>
        </w:rPr>
        <w:t>31, 2022 and 2021 that have not yet been recognized as components of net periodic post-retirement benefits cost:</w:t>
      </w:r>
    </w:p>
    <w:p w:rsidR="00000000" w:rsidRDefault="00E54EC0">
      <w:pPr>
        <w:jc w:val="center"/>
        <w:divId w:val="120347913"/>
        <w:rPr>
          <w:rFonts w:eastAsia="Times New Roman"/>
        </w:rPr>
      </w:pPr>
      <w:r>
        <w:rPr>
          <w:rFonts w:eastAsia="Times New Roman"/>
          <w:color w:val="000000"/>
          <w:sz w:val="20"/>
          <w:szCs w:val="20"/>
        </w:rPr>
        <w:t>209</w:t>
      </w:r>
    </w:p>
    <w:p w:rsidR="00000000" w:rsidRDefault="00E54EC0">
      <w:pPr>
        <w:rPr>
          <w:rFonts w:eastAsia="Times New Roman"/>
        </w:rPr>
      </w:pPr>
      <w:r>
        <w:rPr>
          <w:rFonts w:eastAsia="Times New Roman"/>
        </w:rPr>
        <w:pict>
          <v:rect id="_x0000_i1247" style="width:0;height:1.5pt" o:hralign="center" o:hrstd="t" o:hr="t" fillcolor="#a0a0a0" stroked="f"/>
        </w:pict>
      </w:r>
    </w:p>
    <w:p w:rsidR="00000000" w:rsidRDefault="00E54EC0">
      <w:pPr>
        <w:jc w:val="center"/>
        <w:divId w:val="616988207"/>
        <w:rPr>
          <w:rFonts w:eastAsia="Times New Roman"/>
        </w:rPr>
      </w:pPr>
      <w:r>
        <w:rPr>
          <w:rFonts w:eastAsia="Times New Roman"/>
          <w:b/>
          <w:bCs/>
          <w:color w:val="000000"/>
          <w:sz w:val="20"/>
          <w:szCs w:val="20"/>
        </w:rPr>
        <w:t>EQUITABLE HOLDINGS, INC.</w:t>
      </w:r>
    </w:p>
    <w:p w:rsidR="00000000" w:rsidRDefault="00E54EC0">
      <w:pPr>
        <w:jc w:val="center"/>
        <w:divId w:val="616988207"/>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1"/>
        <w:gridCol w:w="5684"/>
        <w:gridCol w:w="36"/>
        <w:gridCol w:w="120"/>
        <w:gridCol w:w="1079"/>
        <w:gridCol w:w="36"/>
        <w:gridCol w:w="36"/>
        <w:gridCol w:w="36"/>
        <w:gridCol w:w="36"/>
        <w:gridCol w:w="120"/>
        <w:gridCol w:w="1046"/>
        <w:gridCol w:w="36"/>
      </w:tblGrid>
      <w:tr w:rsidR="00000000">
        <w:trPr>
          <w:divId w:val="470711625"/>
        </w:trPr>
        <w:tc>
          <w:tcPr>
            <w:tcW w:w="50" w:type="pct"/>
            <w:vAlign w:val="center"/>
            <w:hideMark/>
          </w:tcPr>
          <w:p w:rsidR="00000000" w:rsidRDefault="00E54EC0">
            <w:pPr>
              <w:jc w:val="cente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7071162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47071162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47071162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47071162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Unrecognized net actuarial (gains) losses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071162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Unrecognized prior service (credit)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70711625"/>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Total </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088452371"/>
        <w:rPr>
          <w:rFonts w:eastAsia="Times New Roman"/>
        </w:rPr>
      </w:pPr>
    </w:p>
    <w:p w:rsidR="00000000" w:rsidRDefault="00E54EC0">
      <w:pPr>
        <w:divId w:val="540172270"/>
        <w:rPr>
          <w:rFonts w:eastAsia="Times New Roman"/>
        </w:rPr>
      </w:pPr>
      <w:r>
        <w:rPr>
          <w:rFonts w:eastAsia="Times New Roman"/>
          <w:color w:val="000000"/>
          <w:sz w:val="20"/>
          <w:szCs w:val="20"/>
        </w:rPr>
        <w:t>The assumed discount rates for measuring the post-retirement benefit obligations as of December 31, 2022 and 2021 were determined in substantially the same manner as described above for measuring the pension benefit obligations. The following table disclos</w:t>
      </w:r>
      <w:r>
        <w:rPr>
          <w:rFonts w:eastAsia="Times New Roman"/>
          <w:color w:val="000000"/>
          <w:sz w:val="20"/>
          <w:szCs w:val="20"/>
        </w:rPr>
        <w:t>es the range of discrete single equivalent discount rates and related net periodic cost at and for the years ended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63"/>
        <w:gridCol w:w="5706"/>
        <w:gridCol w:w="37"/>
        <w:gridCol w:w="63"/>
        <w:gridCol w:w="1101"/>
        <w:gridCol w:w="37"/>
        <w:gridCol w:w="37"/>
        <w:gridCol w:w="36"/>
        <w:gridCol w:w="36"/>
        <w:gridCol w:w="50"/>
        <w:gridCol w:w="1104"/>
        <w:gridCol w:w="36"/>
      </w:tblGrid>
      <w:tr w:rsidR="00000000">
        <w:trPr>
          <w:divId w:val="878320877"/>
        </w:trPr>
        <w:tc>
          <w:tcPr>
            <w:tcW w:w="50" w:type="pct"/>
            <w:vAlign w:val="center"/>
            <w:hideMark/>
          </w:tcPr>
          <w:p w:rsidR="00000000" w:rsidRDefault="00E54EC0">
            <w:pPr>
              <w:rPr>
                <w:rFonts w:eastAsia="Times New Roman"/>
              </w:rPr>
            </w:pPr>
          </w:p>
        </w:tc>
        <w:tc>
          <w:tcPr>
            <w:tcW w:w="344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7832087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87832087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878320877"/>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Discount rates: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78320877"/>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Benefit obligation </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5.07%-5.20%</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2.43%-2.72%</w:t>
            </w:r>
          </w:p>
        </w:tc>
      </w:tr>
      <w:tr w:rsidR="00000000">
        <w:trPr>
          <w:divId w:val="878320877"/>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Periodic cost </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2.71%-4.58%</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2.34%-2.52%</w:t>
            </w:r>
          </w:p>
        </w:tc>
      </w:tr>
    </w:tbl>
    <w:p w:rsidR="00000000" w:rsidRDefault="00E54EC0">
      <w:pPr>
        <w:divId w:val="795680933"/>
        <w:rPr>
          <w:rFonts w:eastAsia="Times New Roman"/>
        </w:rPr>
      </w:pPr>
    </w:p>
    <w:p w:rsidR="00000000" w:rsidRDefault="00E54EC0">
      <w:pPr>
        <w:divId w:val="1848248004"/>
        <w:rPr>
          <w:rFonts w:eastAsia="Times New Roman"/>
        </w:rPr>
      </w:pPr>
      <w:r>
        <w:rPr>
          <w:rFonts w:eastAsia="Times New Roman"/>
          <w:color w:val="000000"/>
          <w:sz w:val="20"/>
          <w:szCs w:val="20"/>
        </w:rPr>
        <w:t>The Company provides post-employment medical and life insurance coverage for certain disabled former employees. The accrued liabilities for these post-employment benefits were $2 million and $3 million, respectively, as of December 31, 2022 and 2021. Compo</w:t>
      </w:r>
      <w:r>
        <w:rPr>
          <w:rFonts w:eastAsia="Times New Roman"/>
          <w:color w:val="000000"/>
          <w:sz w:val="20"/>
          <w:szCs w:val="20"/>
        </w:rPr>
        <w:t>nents of net post-employment benefits costs follow:</w:t>
      </w:r>
    </w:p>
    <w:tbl>
      <w:tblPr>
        <w:tblW w:w="5000" w:type="pct"/>
        <w:tblCellMar>
          <w:top w:w="15" w:type="dxa"/>
          <w:left w:w="15" w:type="dxa"/>
          <w:bottom w:w="15" w:type="dxa"/>
          <w:right w:w="15" w:type="dxa"/>
        </w:tblCellMar>
        <w:tblLook w:val="04A0" w:firstRow="1" w:lastRow="0" w:firstColumn="1" w:lastColumn="0" w:noHBand="0" w:noVBand="1"/>
      </w:tblPr>
      <w:tblGrid>
        <w:gridCol w:w="38"/>
        <w:gridCol w:w="4876"/>
        <w:gridCol w:w="36"/>
        <w:gridCol w:w="121"/>
        <w:gridCol w:w="915"/>
        <w:gridCol w:w="37"/>
        <w:gridCol w:w="36"/>
        <w:gridCol w:w="36"/>
        <w:gridCol w:w="36"/>
        <w:gridCol w:w="121"/>
        <w:gridCol w:w="875"/>
        <w:gridCol w:w="37"/>
        <w:gridCol w:w="36"/>
        <w:gridCol w:w="36"/>
        <w:gridCol w:w="36"/>
        <w:gridCol w:w="120"/>
        <w:gridCol w:w="878"/>
        <w:gridCol w:w="36"/>
      </w:tblGrid>
      <w:tr w:rsidR="00000000">
        <w:trPr>
          <w:divId w:val="1145006564"/>
        </w:trPr>
        <w:tc>
          <w:tcPr>
            <w:tcW w:w="50" w:type="pct"/>
            <w:vAlign w:val="center"/>
            <w:hideMark/>
          </w:tcPr>
          <w:p w:rsidR="00000000" w:rsidRDefault="00E54EC0">
            <w:pPr>
              <w:rPr>
                <w:rFonts w:eastAsia="Times New Roman"/>
              </w:rPr>
            </w:pPr>
          </w:p>
        </w:tc>
        <w:tc>
          <w:tcPr>
            <w:tcW w:w="29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8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4500656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14500656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14500656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4500656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500656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500656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5006564"/>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(gain)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45006564"/>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periodic post-employment benefits costs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704356223"/>
        <w:rPr>
          <w:rFonts w:eastAsia="Times New Roman"/>
        </w:rPr>
      </w:pPr>
    </w:p>
    <w:p w:rsidR="00000000" w:rsidRDefault="00E54EC0">
      <w:pPr>
        <w:divId w:val="1622225762"/>
        <w:rPr>
          <w:rFonts w:eastAsia="Times New Roman"/>
        </w:rPr>
      </w:pPr>
      <w:r>
        <w:rPr>
          <w:rFonts w:eastAsia="Times New Roman"/>
          <w:color w:val="000000"/>
          <w:sz w:val="20"/>
          <w:szCs w:val="20"/>
        </w:rPr>
        <w:t>The following table provides an estimate of future benefits expected to be paid in each of the next five years, beginning January 1, 2023, and in the aggregate for the five years thereafter. These estimates are based on the same assumptions used to measure</w:t>
      </w:r>
      <w:r>
        <w:rPr>
          <w:rFonts w:eastAsia="Times New Roman"/>
          <w:color w:val="000000"/>
          <w:sz w:val="20"/>
          <w:szCs w:val="20"/>
        </w:rPr>
        <w:t xml:space="preserve"> the respective benefit obligations as of December 31, 2022 and include benefits attributable to estimated future employee service.</w:t>
      </w:r>
    </w:p>
    <w:tbl>
      <w:tblPr>
        <w:tblW w:w="5000" w:type="pct"/>
        <w:tblCellMar>
          <w:top w:w="15" w:type="dxa"/>
          <w:left w:w="15" w:type="dxa"/>
          <w:bottom w:w="15" w:type="dxa"/>
          <w:right w:w="15" w:type="dxa"/>
        </w:tblCellMar>
        <w:tblLook w:val="04A0" w:firstRow="1" w:lastRow="0" w:firstColumn="1" w:lastColumn="0" w:noHBand="0" w:noVBand="1"/>
      </w:tblPr>
      <w:tblGrid>
        <w:gridCol w:w="37"/>
        <w:gridCol w:w="2875"/>
        <w:gridCol w:w="36"/>
        <w:gridCol w:w="120"/>
        <w:gridCol w:w="864"/>
        <w:gridCol w:w="36"/>
        <w:gridCol w:w="36"/>
        <w:gridCol w:w="36"/>
        <w:gridCol w:w="36"/>
        <w:gridCol w:w="121"/>
        <w:gridCol w:w="818"/>
        <w:gridCol w:w="36"/>
        <w:gridCol w:w="36"/>
        <w:gridCol w:w="36"/>
        <w:gridCol w:w="36"/>
        <w:gridCol w:w="121"/>
        <w:gridCol w:w="818"/>
        <w:gridCol w:w="36"/>
        <w:gridCol w:w="36"/>
        <w:gridCol w:w="36"/>
        <w:gridCol w:w="36"/>
        <w:gridCol w:w="121"/>
        <w:gridCol w:w="820"/>
        <w:gridCol w:w="36"/>
        <w:gridCol w:w="36"/>
        <w:gridCol w:w="36"/>
        <w:gridCol w:w="36"/>
        <w:gridCol w:w="121"/>
        <w:gridCol w:w="822"/>
        <w:gridCol w:w="36"/>
      </w:tblGrid>
      <w:tr w:rsidR="00000000">
        <w:trPr>
          <w:divId w:val="888420555"/>
        </w:trPr>
        <w:tc>
          <w:tcPr>
            <w:tcW w:w="50" w:type="pct"/>
            <w:vAlign w:val="center"/>
            <w:hideMark/>
          </w:tcPr>
          <w:p w:rsidR="00000000" w:rsidRDefault="00E54EC0">
            <w:pPr>
              <w:rPr>
                <w:rFonts w:eastAsia="Times New Roman"/>
              </w:rPr>
            </w:pPr>
          </w:p>
        </w:tc>
        <w:tc>
          <w:tcPr>
            <w:tcW w:w="176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8842055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Postretirement Benefits</w:t>
            </w:r>
          </w:p>
        </w:tc>
      </w:tr>
      <w:tr w:rsidR="00000000">
        <w:trPr>
          <w:divId w:val="88842055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Health</w:t>
            </w:r>
          </w:p>
        </w:tc>
      </w:tr>
      <w:tr w:rsidR="00000000">
        <w:trPr>
          <w:divId w:val="888420555"/>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Calendar Year</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Pension Benefits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Life Insurance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Estimate Payment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Estimated Medicare Part D Subsidy</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Estimate Payment</w:t>
            </w:r>
          </w:p>
        </w:tc>
      </w:tr>
      <w:tr w:rsidR="00000000">
        <w:trPr>
          <w:divId w:val="888420555"/>
        </w:trPr>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88842055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210,551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842055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2024</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245,066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842055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2025</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198,657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842055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2026</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188,175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842055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2027</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180,393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8842055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2028 to 2032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2,280,266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672641506"/>
        <w:rPr>
          <w:rFonts w:eastAsia="Times New Roman"/>
        </w:rPr>
      </w:pPr>
      <w:r>
        <w:rPr>
          <w:rFonts w:eastAsia="Times New Roman"/>
          <w:color w:val="000000"/>
          <w:sz w:val="20"/>
          <w:szCs w:val="20"/>
        </w:rPr>
        <w:t>Effective December 31, 2020, the current health plan coverages through the Equitable Retiree Group Health</w:t>
      </w:r>
      <w:r>
        <w:rPr>
          <w:rFonts w:eastAsia="Times New Roman"/>
          <w:color w:val="000000"/>
          <w:sz w:val="20"/>
          <w:szCs w:val="20"/>
        </w:rPr>
        <w:t xml:space="preserve"> Plan were terminated. Medicare-eligible retirees and their Medicare-eligible dependents were given the opportunity to elect a Medicare plan through the Aon Retiree Health Exchange effective January 1, 2021 and certain eligible retirees were offered a reti</w:t>
      </w:r>
      <w:r>
        <w:rPr>
          <w:rFonts w:eastAsia="Times New Roman"/>
          <w:color w:val="000000"/>
          <w:sz w:val="20"/>
          <w:szCs w:val="20"/>
        </w:rPr>
        <w:t xml:space="preserve">ree health reimbursement account contribution to help pay for premiums and out-of-pocket expenses. </w:t>
      </w:r>
    </w:p>
    <w:p w:rsidR="00000000" w:rsidRDefault="00E54EC0">
      <w:pPr>
        <w:jc w:val="center"/>
        <w:divId w:val="1132285921"/>
        <w:rPr>
          <w:rFonts w:eastAsia="Times New Roman"/>
        </w:rPr>
      </w:pPr>
      <w:r>
        <w:rPr>
          <w:rFonts w:eastAsia="Times New Roman"/>
          <w:color w:val="000000"/>
          <w:sz w:val="20"/>
          <w:szCs w:val="20"/>
        </w:rPr>
        <w:t>210</w:t>
      </w:r>
    </w:p>
    <w:p w:rsidR="00000000" w:rsidRDefault="00E54EC0">
      <w:pPr>
        <w:rPr>
          <w:rFonts w:eastAsia="Times New Roman"/>
        </w:rPr>
      </w:pPr>
      <w:r>
        <w:rPr>
          <w:rFonts w:eastAsia="Times New Roman"/>
        </w:rPr>
        <w:pict>
          <v:rect id="_x0000_i1248" style="width:0;height:1.5pt" o:hralign="center" o:hrstd="t" o:hr="t" fillcolor="#a0a0a0" stroked="f"/>
        </w:pict>
      </w:r>
    </w:p>
    <w:p w:rsidR="00000000" w:rsidRDefault="00E54EC0">
      <w:pPr>
        <w:jc w:val="center"/>
        <w:divId w:val="700588463"/>
        <w:rPr>
          <w:rFonts w:eastAsia="Times New Roman"/>
        </w:rPr>
      </w:pPr>
      <w:r>
        <w:rPr>
          <w:rFonts w:eastAsia="Times New Roman"/>
          <w:b/>
          <w:bCs/>
          <w:color w:val="000000"/>
          <w:sz w:val="20"/>
          <w:szCs w:val="20"/>
        </w:rPr>
        <w:t>EQUITABLE HOLDINGS, INC.</w:t>
      </w:r>
    </w:p>
    <w:p w:rsidR="00000000" w:rsidRDefault="00E54EC0">
      <w:pPr>
        <w:jc w:val="center"/>
        <w:divId w:val="700588463"/>
        <w:rPr>
          <w:rFonts w:eastAsia="Times New Roman"/>
        </w:rPr>
      </w:pPr>
      <w:r>
        <w:rPr>
          <w:rFonts w:eastAsia="Times New Roman"/>
          <w:b/>
          <w:bCs/>
          <w:color w:val="000000"/>
          <w:sz w:val="20"/>
          <w:szCs w:val="20"/>
        </w:rPr>
        <w:t>NOTES TO CONSOLIDATED FINANCIAL STATEMENTS, continued</w:t>
      </w:r>
    </w:p>
    <w:p w:rsidR="00000000" w:rsidRDefault="00E54EC0">
      <w:pPr>
        <w:divId w:val="1246068126"/>
        <w:rPr>
          <w:rFonts w:eastAsia="Times New Roman"/>
        </w:rPr>
      </w:pPr>
      <w:r>
        <w:rPr>
          <w:rFonts w:eastAsia="Times New Roman"/>
          <w:color w:val="000000"/>
          <w:sz w:val="20"/>
          <w:szCs w:val="20"/>
        </w:rPr>
        <w:t>Pre-65 retirees and their pre-65 depe</w:t>
      </w:r>
      <w:r>
        <w:rPr>
          <w:rFonts w:eastAsia="Times New Roman"/>
          <w:color w:val="000000"/>
          <w:sz w:val="20"/>
          <w:szCs w:val="20"/>
        </w:rPr>
        <w:t>ndents were given the opportunity to elect health coverage under the Aon Active Health Exchange effective January 1, 2021. Even though the effective date of the change in benefits doesn’t commence until January 1, 2021, the effect of the amendment was reco</w:t>
      </w:r>
      <w:r>
        <w:rPr>
          <w:rFonts w:eastAsia="Times New Roman"/>
          <w:color w:val="000000"/>
          <w:sz w:val="20"/>
          <w:szCs w:val="20"/>
        </w:rPr>
        <w:t>gnized immediately and is reflected in the measurement of the accumulated postretirement benefit obligations as of December 31, 2020.</w:t>
      </w:r>
    </w:p>
    <w:p w:rsidR="00000000" w:rsidRDefault="00E54EC0">
      <w:pPr>
        <w:divId w:val="1099831580"/>
        <w:rPr>
          <w:rFonts w:eastAsia="Times New Roman"/>
        </w:rPr>
      </w:pPr>
      <w:r>
        <w:rPr>
          <w:rFonts w:eastAsia="Times New Roman"/>
          <w:b/>
          <w:bCs/>
          <w:color w:val="000000"/>
          <w:sz w:val="20"/>
          <w:szCs w:val="20"/>
        </w:rPr>
        <w:t xml:space="preserve">15)    SHARE-BASED COMPENSATION PROGRAMS </w:t>
      </w:r>
    </w:p>
    <w:p w:rsidR="00000000" w:rsidRDefault="00E54EC0">
      <w:pPr>
        <w:divId w:val="1366783556"/>
        <w:rPr>
          <w:rFonts w:eastAsia="Times New Roman"/>
        </w:rPr>
      </w:pPr>
      <w:r>
        <w:rPr>
          <w:rFonts w:eastAsia="Times New Roman"/>
          <w:color w:val="000000"/>
          <w:sz w:val="20"/>
          <w:szCs w:val="20"/>
        </w:rPr>
        <w:t xml:space="preserve">Compensation costs for 2022, 2021 and 2020 for share-based payment arrangements </w:t>
      </w:r>
      <w:r>
        <w:rPr>
          <w:rFonts w:eastAsia="Times New Roman"/>
          <w:color w:val="000000"/>
          <w:sz w:val="20"/>
          <w:szCs w:val="20"/>
        </w:rPr>
        <w:t>as further described herein are as follows:</w:t>
      </w:r>
    </w:p>
    <w:tbl>
      <w:tblPr>
        <w:tblW w:w="4649" w:type="pct"/>
        <w:tblCellMar>
          <w:top w:w="15" w:type="dxa"/>
          <w:left w:w="15" w:type="dxa"/>
          <w:bottom w:w="15" w:type="dxa"/>
          <w:right w:w="15" w:type="dxa"/>
        </w:tblCellMar>
        <w:tblLook w:val="04A0" w:firstRow="1" w:lastRow="0" w:firstColumn="1" w:lastColumn="0" w:noHBand="0" w:noVBand="1"/>
      </w:tblPr>
      <w:tblGrid>
        <w:gridCol w:w="38"/>
        <w:gridCol w:w="4048"/>
        <w:gridCol w:w="37"/>
        <w:gridCol w:w="120"/>
        <w:gridCol w:w="972"/>
        <w:gridCol w:w="36"/>
        <w:gridCol w:w="36"/>
        <w:gridCol w:w="36"/>
        <w:gridCol w:w="36"/>
        <w:gridCol w:w="120"/>
        <w:gridCol w:w="972"/>
        <w:gridCol w:w="36"/>
        <w:gridCol w:w="36"/>
        <w:gridCol w:w="36"/>
        <w:gridCol w:w="36"/>
        <w:gridCol w:w="120"/>
        <w:gridCol w:w="972"/>
        <w:gridCol w:w="36"/>
      </w:tblGrid>
      <w:tr w:rsidR="00000000">
        <w:trPr>
          <w:divId w:val="1982807017"/>
        </w:trPr>
        <w:tc>
          <w:tcPr>
            <w:tcW w:w="50" w:type="pct"/>
            <w:vAlign w:val="center"/>
            <w:hideMark/>
          </w:tcPr>
          <w:p w:rsidR="00000000" w:rsidRDefault="00E54EC0">
            <w:pPr>
              <w:rPr>
                <w:rFonts w:eastAsia="Times New Roman"/>
              </w:rPr>
            </w:pPr>
          </w:p>
        </w:tc>
        <w:tc>
          <w:tcPr>
            <w:tcW w:w="268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98280701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9828070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9828070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(in millions)</w:t>
            </w:r>
          </w:p>
        </w:tc>
      </w:tr>
      <w:tr w:rsidR="00000000">
        <w:trPr>
          <w:divId w:val="1982807017"/>
        </w:trPr>
        <w:tc>
          <w:tcPr>
            <w:tcW w:w="0" w:type="auto"/>
            <w:gridSpan w:val="3"/>
            <w:shd w:val="clear" w:color="auto" w:fill="CCEEFF"/>
            <w:tcMar>
              <w:top w:w="30" w:type="dxa"/>
              <w:left w:w="20" w:type="dxa"/>
              <w:bottom w:w="30" w:type="dxa"/>
              <w:right w:w="20" w:type="dxa"/>
            </w:tcMar>
            <w:hideMark/>
          </w:tcPr>
          <w:p w:rsidR="00000000" w:rsidRDefault="00E54EC0">
            <w:pPr>
              <w:spacing w:after="100"/>
              <w:divId w:val="786511238"/>
              <w:rPr>
                <w:rFonts w:eastAsia="Times New Roman"/>
              </w:rPr>
            </w:pPr>
            <w:r>
              <w:rPr>
                <w:rFonts w:eastAsia="Times New Roman"/>
                <w:color w:val="000000"/>
                <w:sz w:val="20"/>
                <w:szCs w:val="20"/>
              </w:rPr>
              <w:t xml:space="preserve">Performance Shares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807017"/>
        </w:trPr>
        <w:tc>
          <w:tcPr>
            <w:tcW w:w="0" w:type="auto"/>
            <w:gridSpan w:val="3"/>
            <w:shd w:val="clear" w:color="auto" w:fill="FFFFFF"/>
            <w:tcMar>
              <w:top w:w="30" w:type="dxa"/>
              <w:left w:w="20" w:type="dxa"/>
              <w:bottom w:w="30" w:type="dxa"/>
              <w:right w:w="20" w:type="dxa"/>
            </w:tcMar>
            <w:hideMark/>
          </w:tcPr>
          <w:p w:rsidR="00000000" w:rsidRDefault="00E54EC0">
            <w:pPr>
              <w:spacing w:after="100"/>
              <w:divId w:val="1871530855"/>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807017"/>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982807017"/>
        </w:trPr>
        <w:tc>
          <w:tcPr>
            <w:tcW w:w="0" w:type="auto"/>
            <w:gridSpan w:val="3"/>
            <w:shd w:val="clear" w:color="auto" w:fill="CCEEFF"/>
            <w:tcMar>
              <w:top w:w="30" w:type="dxa"/>
              <w:left w:w="20" w:type="dxa"/>
              <w:bottom w:w="30" w:type="dxa"/>
              <w:right w:w="20" w:type="dxa"/>
            </w:tcMar>
            <w:hideMark/>
          </w:tcPr>
          <w:p w:rsidR="00000000" w:rsidRDefault="00E54EC0">
            <w:pPr>
              <w:spacing w:after="100"/>
              <w:divId w:val="1093018386"/>
              <w:rPr>
                <w:rFonts w:eastAsia="Times New Roman"/>
              </w:rPr>
            </w:pPr>
            <w:r>
              <w:rPr>
                <w:rFonts w:eastAsia="Times New Roman"/>
                <w:color w:val="000000"/>
                <w:sz w:val="20"/>
                <w:szCs w:val="20"/>
              </w:rPr>
              <w:t>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807017"/>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982807017"/>
        </w:trPr>
        <w:tc>
          <w:tcPr>
            <w:tcW w:w="0" w:type="auto"/>
            <w:gridSpan w:val="3"/>
            <w:shd w:val="clear" w:color="auto" w:fill="FFFFFF"/>
            <w:tcMar>
              <w:top w:w="30" w:type="dxa"/>
              <w:left w:w="20" w:type="dxa"/>
              <w:bottom w:w="30" w:type="dxa"/>
              <w:right w:w="20" w:type="dxa"/>
            </w:tcMar>
            <w:hideMark/>
          </w:tcPr>
          <w:p w:rsidR="00000000" w:rsidRDefault="00E54EC0">
            <w:pPr>
              <w:spacing w:after="100"/>
              <w:divId w:val="2004817099"/>
              <w:rPr>
                <w:rFonts w:eastAsia="Times New Roman"/>
              </w:rPr>
            </w:pPr>
            <w:r>
              <w:rPr>
                <w:rFonts w:eastAsia="Times New Roman"/>
                <w:color w:val="000000"/>
                <w:sz w:val="20"/>
                <w:szCs w:val="20"/>
              </w:rPr>
              <w:t>Total compensation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8280701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 Benefit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732077993"/>
        <w:rPr>
          <w:rFonts w:eastAsia="Times New Roman"/>
        </w:rPr>
      </w:pPr>
    </w:p>
    <w:p w:rsidR="00000000" w:rsidRDefault="00E54EC0">
      <w:pPr>
        <w:divId w:val="527065459"/>
        <w:rPr>
          <w:rFonts w:eastAsia="Times New Roman"/>
        </w:rPr>
      </w:pPr>
      <w:r>
        <w:rPr>
          <w:rFonts w:eastAsia="Times New Roman"/>
          <w:color w:val="000000"/>
          <w:sz w:val="20"/>
          <w:szCs w:val="20"/>
        </w:rPr>
        <w:t>Since 2018, Holdings has granted equity awards under the Equitable Holdings, Inc. 2018 Omnibus Incentive Plan and the Equitable Holdings, Inc. 2019 Omnib</w:t>
      </w:r>
      <w:r>
        <w:rPr>
          <w:rFonts w:eastAsia="Times New Roman"/>
          <w:color w:val="000000"/>
          <w:sz w:val="20"/>
          <w:szCs w:val="20"/>
        </w:rPr>
        <w:t>us Incentive Plan (together the “Omnibus Plans”) which were adopted by Holdings on April 25, 2018 and February 28, 2019 respectively. Awards under the Omnibus Plans are linked to Holdings’ common stock. As of December 31, 2022, the common stock reserved an</w:t>
      </w:r>
      <w:r>
        <w:rPr>
          <w:rFonts w:eastAsia="Times New Roman"/>
          <w:color w:val="000000"/>
          <w:sz w:val="20"/>
          <w:szCs w:val="20"/>
        </w:rPr>
        <w:t>d available for issuance under the Omnibus Plans was 22 million shares. Holdings may issue new shares or use common stock held in treasury for awards linked to Holdings’ common stock.</w:t>
      </w:r>
    </w:p>
    <w:p w:rsidR="00000000" w:rsidRDefault="00E54EC0">
      <w:pPr>
        <w:divId w:val="289825071"/>
        <w:rPr>
          <w:rFonts w:eastAsia="Times New Roman"/>
        </w:rPr>
      </w:pPr>
      <w:r>
        <w:rPr>
          <w:rFonts w:eastAsia="Times New Roman"/>
          <w:color w:val="000000"/>
          <w:sz w:val="20"/>
          <w:szCs w:val="20"/>
          <w:u w:val="single"/>
        </w:rPr>
        <w:t>Retirement and Protection</w:t>
      </w:r>
    </w:p>
    <w:p w:rsidR="00000000" w:rsidRDefault="00E54EC0">
      <w:pPr>
        <w:divId w:val="1770734132"/>
        <w:rPr>
          <w:rFonts w:eastAsia="Times New Roman"/>
        </w:rPr>
      </w:pPr>
      <w:r>
        <w:rPr>
          <w:rFonts w:eastAsia="Times New Roman"/>
          <w:color w:val="000000"/>
          <w:sz w:val="20"/>
          <w:szCs w:val="20"/>
        </w:rPr>
        <w:t>Equity awards for R&amp;</w:t>
      </w:r>
      <w:r>
        <w:rPr>
          <w:rFonts w:eastAsia="Times New Roman"/>
          <w:color w:val="000000"/>
          <w:sz w:val="20"/>
          <w:szCs w:val="20"/>
        </w:rPr>
        <w:t xml:space="preserve">P employees, financial professionals and directors in 2022, 2021 and 2020 were granted under the Omnibus Plans. All grants discussed in this section will be settled in shares of Holdings’ common stock. </w:t>
      </w:r>
    </w:p>
    <w:p w:rsidR="00000000" w:rsidRDefault="00E54EC0">
      <w:pPr>
        <w:divId w:val="1930312740"/>
        <w:rPr>
          <w:rFonts w:eastAsia="Times New Roman"/>
        </w:rPr>
      </w:pPr>
      <w:r>
        <w:rPr>
          <w:rFonts w:eastAsia="Times New Roman"/>
          <w:color w:val="000000"/>
          <w:sz w:val="20"/>
          <w:szCs w:val="20"/>
        </w:rPr>
        <w:t>For awards with graded vesting schedules and service-</w:t>
      </w:r>
      <w:r>
        <w:rPr>
          <w:rFonts w:eastAsia="Times New Roman"/>
          <w:color w:val="000000"/>
          <w:sz w:val="20"/>
          <w:szCs w:val="20"/>
        </w:rPr>
        <w:t xml:space="preserve">only vesting conditions, including Holdings RSUs and other forms of share-based payment awards, the Company applies a straight-line expense attribution policy for the recognition of compensation cost. Actual forfeitures with respect to the 2022, 2021, and </w:t>
      </w:r>
      <w:r>
        <w:rPr>
          <w:rFonts w:eastAsia="Times New Roman"/>
          <w:color w:val="000000"/>
          <w:sz w:val="20"/>
          <w:szCs w:val="20"/>
        </w:rPr>
        <w:t>2020 grants were considered immaterial in the recognition of compensation cost.</w:t>
      </w:r>
    </w:p>
    <w:p w:rsidR="00000000" w:rsidRDefault="00E54EC0">
      <w:pPr>
        <w:jc w:val="both"/>
        <w:divId w:val="1208487502"/>
        <w:rPr>
          <w:rFonts w:eastAsia="Times New Roman"/>
        </w:rPr>
      </w:pPr>
      <w:r>
        <w:rPr>
          <w:rFonts w:eastAsia="Times New Roman"/>
          <w:b/>
          <w:bCs/>
          <w:i/>
          <w:iCs/>
          <w:color w:val="000000"/>
          <w:sz w:val="20"/>
          <w:szCs w:val="20"/>
        </w:rPr>
        <w:t>Annual Awards</w:t>
      </w:r>
    </w:p>
    <w:p w:rsidR="00000000" w:rsidRDefault="00E54EC0">
      <w:pPr>
        <w:divId w:val="1689521475"/>
        <w:rPr>
          <w:rFonts w:eastAsia="Times New Roman"/>
        </w:rPr>
      </w:pPr>
      <w:r>
        <w:rPr>
          <w:rFonts w:eastAsia="Times New Roman"/>
          <w:color w:val="000000"/>
          <w:sz w:val="20"/>
          <w:szCs w:val="20"/>
        </w:rPr>
        <w:t>Each year, the Compensation Committee of the Holdings’ Board of Directors approves an equity-based award program with awards under the program granted at its regu</w:t>
      </w:r>
      <w:r>
        <w:rPr>
          <w:rFonts w:eastAsia="Times New Roman"/>
          <w:color w:val="000000"/>
          <w:sz w:val="20"/>
          <w:szCs w:val="20"/>
        </w:rPr>
        <w:t xml:space="preserve">larly scheduled meeting in February. Annual awards under Holdings’ equity programs for 2022, 2021 and 2020 consisted of a mix of equity vehicles including Holdings RSUs, Holdings stock options and Holdings performance shares. If Holdings pays any ordinary </w:t>
      </w:r>
      <w:r>
        <w:rPr>
          <w:rFonts w:eastAsia="Times New Roman"/>
          <w:color w:val="000000"/>
          <w:sz w:val="20"/>
          <w:szCs w:val="20"/>
        </w:rPr>
        <w:t>dividend in cash, all outstanding Holdings RSUs and performance shares will accrue dividend equivalents in the form of additional Holdings RSUs or performance shares to be settled or forfeited consistent with the terms of the related award.</w:t>
      </w:r>
    </w:p>
    <w:p w:rsidR="00000000" w:rsidRDefault="00E54EC0">
      <w:pPr>
        <w:jc w:val="both"/>
        <w:divId w:val="1156455448"/>
        <w:rPr>
          <w:rFonts w:eastAsia="Times New Roman"/>
        </w:rPr>
      </w:pPr>
      <w:r>
        <w:rPr>
          <w:rFonts w:eastAsia="Times New Roman"/>
          <w:color w:val="000000"/>
          <w:sz w:val="20"/>
          <w:szCs w:val="20"/>
          <w:u w:val="single"/>
        </w:rPr>
        <w:t>Holdings RSUs</w:t>
      </w:r>
    </w:p>
    <w:p w:rsidR="00000000" w:rsidRDefault="00E54EC0">
      <w:pPr>
        <w:divId w:val="1345745087"/>
        <w:rPr>
          <w:rFonts w:eastAsia="Times New Roman"/>
        </w:rPr>
      </w:pPr>
      <w:r>
        <w:rPr>
          <w:rFonts w:eastAsia="Times New Roman"/>
          <w:color w:val="000000"/>
          <w:sz w:val="20"/>
          <w:szCs w:val="20"/>
        </w:rPr>
        <w:t>H</w:t>
      </w:r>
      <w:r>
        <w:rPr>
          <w:rFonts w:eastAsia="Times New Roman"/>
          <w:color w:val="000000"/>
          <w:sz w:val="20"/>
          <w:szCs w:val="20"/>
        </w:rPr>
        <w:t>oldings RSUs granted to R&amp;P employees under an annual program vest ratably in equal annual installments over a three-year period. The fair value of the awards was measured using the closing price of the Holdings share on the grant date, and the resulting c</w:t>
      </w:r>
      <w:r>
        <w:rPr>
          <w:rFonts w:eastAsia="Times New Roman"/>
          <w:color w:val="000000"/>
          <w:sz w:val="20"/>
          <w:szCs w:val="20"/>
        </w:rPr>
        <w:t xml:space="preserve">ompensation expense will be recognized over the shorter of the vesting term or the period up to the date at which the participant becomes retirement eligible, but not less than one year. </w:t>
      </w:r>
    </w:p>
    <w:p w:rsidR="00000000" w:rsidRDefault="00E54EC0">
      <w:pPr>
        <w:jc w:val="both"/>
        <w:divId w:val="2061787397"/>
        <w:rPr>
          <w:rFonts w:eastAsia="Times New Roman"/>
        </w:rPr>
      </w:pPr>
      <w:r>
        <w:rPr>
          <w:rFonts w:eastAsia="Times New Roman"/>
          <w:color w:val="000000"/>
          <w:sz w:val="20"/>
          <w:szCs w:val="20"/>
          <w:u w:val="single"/>
        </w:rPr>
        <w:t>Holdings Stock Options</w:t>
      </w:r>
    </w:p>
    <w:p w:rsidR="00000000" w:rsidRDefault="00E54EC0">
      <w:pPr>
        <w:divId w:val="677271861"/>
        <w:rPr>
          <w:rFonts w:eastAsia="Times New Roman"/>
        </w:rPr>
      </w:pPr>
      <w:r>
        <w:rPr>
          <w:rFonts w:eastAsia="Times New Roman"/>
          <w:color w:val="000000"/>
          <w:sz w:val="20"/>
          <w:szCs w:val="20"/>
        </w:rPr>
        <w:t>Holdings stock options granted to R&amp;P employe</w:t>
      </w:r>
      <w:r>
        <w:rPr>
          <w:rFonts w:eastAsia="Times New Roman"/>
          <w:color w:val="000000"/>
          <w:sz w:val="20"/>
          <w:szCs w:val="20"/>
        </w:rPr>
        <w:t>es have a three-year graded vesting schedule, with one-third vesting on each of the three anniversaries. The total grant date fair value of Holdings stock options will be charged to expense over the shorter of the vesting period or the period up to the dat</w:t>
      </w:r>
      <w:r>
        <w:rPr>
          <w:rFonts w:eastAsia="Times New Roman"/>
          <w:color w:val="000000"/>
          <w:sz w:val="20"/>
          <w:szCs w:val="20"/>
        </w:rPr>
        <w:t xml:space="preserve">e at which the participant becomes retirement eligible, but not less than one year. </w:t>
      </w:r>
    </w:p>
    <w:p w:rsidR="00000000" w:rsidRDefault="00E54EC0">
      <w:pPr>
        <w:jc w:val="both"/>
        <w:divId w:val="1998340067"/>
        <w:rPr>
          <w:rFonts w:eastAsia="Times New Roman"/>
        </w:rPr>
      </w:pPr>
      <w:r>
        <w:rPr>
          <w:rFonts w:eastAsia="Times New Roman"/>
          <w:color w:val="000000"/>
          <w:sz w:val="20"/>
          <w:szCs w:val="20"/>
          <w:u w:val="single"/>
        </w:rPr>
        <w:t>Holdings Performance Shares</w:t>
      </w:r>
    </w:p>
    <w:p w:rsidR="00000000" w:rsidRDefault="00E54EC0">
      <w:pPr>
        <w:jc w:val="center"/>
        <w:divId w:val="269094650"/>
        <w:rPr>
          <w:rFonts w:eastAsia="Times New Roman"/>
        </w:rPr>
      </w:pPr>
      <w:r>
        <w:rPr>
          <w:rFonts w:eastAsia="Times New Roman"/>
          <w:color w:val="000000"/>
          <w:sz w:val="20"/>
          <w:szCs w:val="20"/>
        </w:rPr>
        <w:t>211</w:t>
      </w:r>
    </w:p>
    <w:p w:rsidR="00000000" w:rsidRDefault="00E54EC0">
      <w:pPr>
        <w:rPr>
          <w:rFonts w:eastAsia="Times New Roman"/>
        </w:rPr>
      </w:pPr>
      <w:r>
        <w:rPr>
          <w:rFonts w:eastAsia="Times New Roman"/>
        </w:rPr>
        <w:pict>
          <v:rect id="_x0000_i1249" style="width:0;height:1.5pt" o:hralign="center" o:hrstd="t" o:hr="t" fillcolor="#a0a0a0" stroked="f"/>
        </w:pict>
      </w:r>
    </w:p>
    <w:p w:rsidR="00000000" w:rsidRDefault="00E54EC0">
      <w:pPr>
        <w:jc w:val="center"/>
        <w:divId w:val="1940719936"/>
        <w:rPr>
          <w:rFonts w:eastAsia="Times New Roman"/>
        </w:rPr>
      </w:pPr>
      <w:r>
        <w:rPr>
          <w:rFonts w:eastAsia="Times New Roman"/>
          <w:b/>
          <w:bCs/>
          <w:color w:val="000000"/>
          <w:sz w:val="20"/>
          <w:szCs w:val="20"/>
        </w:rPr>
        <w:t>EQUITABLE HOLDINGS, INC.</w:t>
      </w:r>
    </w:p>
    <w:p w:rsidR="00000000" w:rsidRDefault="00E54EC0">
      <w:pPr>
        <w:jc w:val="center"/>
        <w:divId w:val="1940719936"/>
        <w:rPr>
          <w:rFonts w:eastAsia="Times New Roman"/>
        </w:rPr>
      </w:pPr>
      <w:r>
        <w:rPr>
          <w:rFonts w:eastAsia="Times New Roman"/>
          <w:b/>
          <w:bCs/>
          <w:color w:val="000000"/>
          <w:sz w:val="20"/>
          <w:szCs w:val="20"/>
        </w:rPr>
        <w:t>NOTES TO CONSOLIDATED FINANCIAL STATEMENTS, continued</w:t>
      </w:r>
    </w:p>
    <w:p w:rsidR="00000000" w:rsidRDefault="00E54EC0">
      <w:pPr>
        <w:divId w:val="1817146206"/>
        <w:rPr>
          <w:rFonts w:eastAsia="Times New Roman"/>
        </w:rPr>
      </w:pPr>
      <w:r>
        <w:rPr>
          <w:rFonts w:eastAsia="Times New Roman"/>
          <w:color w:val="000000"/>
          <w:sz w:val="20"/>
          <w:szCs w:val="20"/>
        </w:rPr>
        <w:t>Holdings performance sh</w:t>
      </w:r>
      <w:r>
        <w:rPr>
          <w:rFonts w:eastAsia="Times New Roman"/>
          <w:color w:val="000000"/>
          <w:sz w:val="20"/>
          <w:szCs w:val="20"/>
        </w:rPr>
        <w:t>ares granted to R&amp;P employees are subject to performance conditions and a three-year cliff-vesting. The performance shares consist of two distinct tranches; one based on the Company’s return-on-equity targets (the “ROE Performance Shares”) and the other ba</w:t>
      </w:r>
      <w:r>
        <w:rPr>
          <w:rFonts w:eastAsia="Times New Roman"/>
          <w:color w:val="000000"/>
          <w:sz w:val="20"/>
          <w:szCs w:val="20"/>
        </w:rPr>
        <w:t>sed on the Holdings’ relative total shareholder return targets (the “TSR Performance Shares”), each comprising approximately one-half of the award. Participants may receive from 0% to 200% of the unearned performance shares granted. The grant-date fair val</w:t>
      </w:r>
      <w:r>
        <w:rPr>
          <w:rFonts w:eastAsia="Times New Roman"/>
          <w:color w:val="000000"/>
          <w:sz w:val="20"/>
          <w:szCs w:val="20"/>
        </w:rPr>
        <w:t>ue of the ROE Performance Shares is established once all applicable Non-GAAP ROE targets are determined and approved. The fair value of the awards was measured using the closing price of the Holdings share on the grant date.</w:t>
      </w:r>
    </w:p>
    <w:p w:rsidR="00000000" w:rsidRDefault="00E54EC0">
      <w:pPr>
        <w:divId w:val="1972513254"/>
        <w:rPr>
          <w:rFonts w:eastAsia="Times New Roman"/>
        </w:rPr>
      </w:pPr>
      <w:r>
        <w:rPr>
          <w:rFonts w:eastAsia="Times New Roman"/>
          <w:color w:val="000000"/>
          <w:sz w:val="20"/>
          <w:szCs w:val="20"/>
        </w:rPr>
        <w:t>The grant-date fair value of th</w:t>
      </w:r>
      <w:r>
        <w:rPr>
          <w:rFonts w:eastAsia="Times New Roman"/>
          <w:color w:val="000000"/>
          <w:sz w:val="20"/>
          <w:szCs w:val="20"/>
        </w:rPr>
        <w:t>e TSR Performance Shares was measured using a Monte Carlo approach. Under the Monte Carlo approach, stock returns were simulated for Holdings and the selected peer companies to estimate the payout percentages established by the conditions of the award. The</w:t>
      </w:r>
      <w:r>
        <w:rPr>
          <w:rFonts w:eastAsia="Times New Roman"/>
          <w:color w:val="000000"/>
          <w:sz w:val="20"/>
          <w:szCs w:val="20"/>
        </w:rPr>
        <w:t xml:space="preserve"> aggregate grant-date fair value of the unearned TSR Performance Shares will be recognized as compensation expense over the shorter of the cliff-vesting period or the period up to the date at which the participant becomes retirement eligible, but not less </w:t>
      </w:r>
      <w:r>
        <w:rPr>
          <w:rFonts w:eastAsia="Times New Roman"/>
          <w:color w:val="000000"/>
          <w:sz w:val="20"/>
          <w:szCs w:val="20"/>
        </w:rPr>
        <w:t xml:space="preserve">than one year. </w:t>
      </w:r>
    </w:p>
    <w:p w:rsidR="00000000" w:rsidRDefault="00E54EC0">
      <w:pPr>
        <w:jc w:val="both"/>
        <w:divId w:val="2130128197"/>
        <w:rPr>
          <w:rFonts w:eastAsia="Times New Roman"/>
        </w:rPr>
      </w:pPr>
      <w:r>
        <w:rPr>
          <w:rFonts w:eastAsia="Times New Roman"/>
          <w:b/>
          <w:bCs/>
          <w:i/>
          <w:iCs/>
          <w:color w:val="000000"/>
          <w:sz w:val="20"/>
          <w:szCs w:val="20"/>
        </w:rPr>
        <w:t>Director Awards</w:t>
      </w:r>
    </w:p>
    <w:p w:rsidR="00000000" w:rsidRDefault="00E54EC0">
      <w:pPr>
        <w:divId w:val="987630482"/>
        <w:rPr>
          <w:rFonts w:eastAsia="Times New Roman"/>
        </w:rPr>
      </w:pPr>
      <w:r>
        <w:rPr>
          <w:rFonts w:eastAsia="Times New Roman"/>
          <w:color w:val="000000"/>
          <w:sz w:val="20"/>
          <w:szCs w:val="20"/>
        </w:rPr>
        <w:t>Holdings makes annual grants of unrestricted Holdings shares to non-employee directors of Holdings, Equitable Financial and Equitable America. The fair value of these awards was measured using the closing price of Holdings shares on the grant date. These a</w:t>
      </w:r>
      <w:r>
        <w:rPr>
          <w:rFonts w:eastAsia="Times New Roman"/>
          <w:color w:val="000000"/>
          <w:sz w:val="20"/>
          <w:szCs w:val="20"/>
        </w:rPr>
        <w:t>wards immediately vest and all compensation expense is recognized at the grant date.</w:t>
      </w:r>
    </w:p>
    <w:p w:rsidR="00000000" w:rsidRDefault="00E54EC0">
      <w:pPr>
        <w:jc w:val="both"/>
        <w:divId w:val="2122603395"/>
        <w:rPr>
          <w:rFonts w:eastAsia="Times New Roman"/>
        </w:rPr>
      </w:pPr>
      <w:r>
        <w:rPr>
          <w:rFonts w:eastAsia="Times New Roman"/>
          <w:b/>
          <w:bCs/>
          <w:i/>
          <w:iCs/>
          <w:color w:val="000000"/>
          <w:sz w:val="20"/>
          <w:szCs w:val="20"/>
        </w:rPr>
        <w:t xml:space="preserve">Prior Equity Award Grants </w:t>
      </w:r>
    </w:p>
    <w:p w:rsidR="00000000" w:rsidRDefault="00E54EC0">
      <w:pPr>
        <w:divId w:val="1199860124"/>
        <w:rPr>
          <w:rFonts w:eastAsia="Times New Roman"/>
        </w:rPr>
      </w:pPr>
      <w:r>
        <w:rPr>
          <w:rFonts w:eastAsia="Times New Roman"/>
          <w:color w:val="000000"/>
          <w:sz w:val="20"/>
          <w:szCs w:val="20"/>
        </w:rPr>
        <w:t>In 2017 and prior years, equity awards for employees, financial professional and directors in our businesses were available under the umbrella o</w:t>
      </w:r>
      <w:r>
        <w:rPr>
          <w:rFonts w:eastAsia="Times New Roman"/>
          <w:color w:val="000000"/>
          <w:sz w:val="20"/>
          <w:szCs w:val="20"/>
        </w:rPr>
        <w:t>f AXA’s global equity program. Accordingly, equity awards granted in 2017 and prior years were linked to AXA’s stock.</w:t>
      </w:r>
    </w:p>
    <w:p w:rsidR="00000000" w:rsidRDefault="00E54EC0">
      <w:pPr>
        <w:divId w:val="923613572"/>
        <w:rPr>
          <w:rFonts w:eastAsia="Times New Roman"/>
        </w:rPr>
      </w:pPr>
      <w:r>
        <w:rPr>
          <w:rFonts w:eastAsia="Times New Roman"/>
          <w:color w:val="000000"/>
          <w:sz w:val="20"/>
          <w:szCs w:val="20"/>
        </w:rPr>
        <w:t xml:space="preserve">The fair values of these prior awards are measured at the grant date by reference to the closing price of the AXA ordinary share, and the </w:t>
      </w:r>
      <w:r>
        <w:rPr>
          <w:rFonts w:eastAsia="Times New Roman"/>
          <w:color w:val="000000"/>
          <w:sz w:val="20"/>
          <w:szCs w:val="20"/>
        </w:rPr>
        <w:t>result, as adjusted for achievement of performance targets and pre-vesting forfeitures, generally is attributed over the shorter of the requisite service period, the performance period, if any, or to the date at which retirement eligibility is achieved and</w:t>
      </w:r>
      <w:r>
        <w:rPr>
          <w:rFonts w:eastAsia="Times New Roman"/>
          <w:color w:val="000000"/>
          <w:sz w:val="20"/>
          <w:szCs w:val="20"/>
        </w:rPr>
        <w:t xml:space="preserve"> subsequent service no longer is required for continued vesting of the award. </w:t>
      </w:r>
    </w:p>
    <w:p w:rsidR="00000000" w:rsidRDefault="00E54EC0">
      <w:pPr>
        <w:divId w:val="647704889"/>
        <w:rPr>
          <w:rFonts w:eastAsia="Times New Roman"/>
        </w:rPr>
      </w:pPr>
      <w:r>
        <w:rPr>
          <w:rFonts w:eastAsia="Times New Roman"/>
          <w:color w:val="000000"/>
          <w:sz w:val="20"/>
          <w:szCs w:val="20"/>
          <w:u w:val="single"/>
        </w:rPr>
        <w:t>Investment Management and Research</w:t>
      </w:r>
    </w:p>
    <w:p w:rsidR="00000000" w:rsidRDefault="00E54EC0">
      <w:pPr>
        <w:divId w:val="1744184149"/>
        <w:rPr>
          <w:rFonts w:eastAsia="Times New Roman"/>
        </w:rPr>
      </w:pPr>
      <w:r>
        <w:rPr>
          <w:rFonts w:eastAsia="Times New Roman"/>
          <w:color w:val="000000"/>
          <w:sz w:val="20"/>
          <w:szCs w:val="20"/>
        </w:rPr>
        <w:t>Employees and directors in our Investment Management and Research business participate in several unfunded long-term incentive compensation pl</w:t>
      </w:r>
      <w:r>
        <w:rPr>
          <w:rFonts w:eastAsia="Times New Roman"/>
          <w:color w:val="000000"/>
          <w:sz w:val="20"/>
          <w:szCs w:val="20"/>
        </w:rPr>
        <w:t>ans maintained by AB. Awards under these plans are linked to AB Holding Units.</w:t>
      </w:r>
    </w:p>
    <w:p w:rsidR="00000000" w:rsidRDefault="00E54EC0">
      <w:pPr>
        <w:divId w:val="17778162"/>
        <w:rPr>
          <w:rFonts w:eastAsia="Times New Roman"/>
        </w:rPr>
      </w:pPr>
      <w:r>
        <w:rPr>
          <w:rFonts w:eastAsia="Times New Roman"/>
          <w:color w:val="000000"/>
          <w:sz w:val="20"/>
          <w:szCs w:val="20"/>
        </w:rPr>
        <w:t>Under the AB 2017 Long Term Incentive Plan (“2017 Plan”), which was adopted at a special meeting of AB Holding Unit holders held on September 29, 2017, the following forms of aw</w:t>
      </w:r>
      <w:r>
        <w:rPr>
          <w:rFonts w:eastAsia="Times New Roman"/>
          <w:color w:val="000000"/>
          <w:sz w:val="20"/>
          <w:szCs w:val="20"/>
        </w:rPr>
        <w:t xml:space="preserve">ards may be granted to AB employees and Directors: (i) restricted AB Holding Units or phantom restricted AB Holding Units (a “phantom” award is a contractual right to receive AB Holding Units at a later date or upon a specified event); (ii) options to buy </w:t>
      </w:r>
      <w:r>
        <w:rPr>
          <w:rFonts w:eastAsia="Times New Roman"/>
          <w:color w:val="000000"/>
          <w:sz w:val="20"/>
          <w:szCs w:val="20"/>
        </w:rPr>
        <w:t>AB Holding Units; and (iii) other AB Holding Unit-based awards (including, without limitation, AB Holding Unit appreciation rights and performance awards). The 2017 Plan will expire on September 30, 2027, and no awards under the 2017 Plan will be made afte</w:t>
      </w:r>
      <w:r>
        <w:rPr>
          <w:rFonts w:eastAsia="Times New Roman"/>
          <w:color w:val="000000"/>
          <w:sz w:val="20"/>
          <w:szCs w:val="20"/>
        </w:rPr>
        <w:t>r that date. Under the 2017 Plan, the aggregate number of AB Holding Units with respect to which awards may be granted is 60 million, including no more than 30 million newly-issued AB Holding Units.</w:t>
      </w:r>
    </w:p>
    <w:p w:rsidR="00000000" w:rsidRDefault="00E54EC0">
      <w:pPr>
        <w:divId w:val="1860584514"/>
        <w:rPr>
          <w:rFonts w:eastAsia="Times New Roman"/>
        </w:rPr>
      </w:pPr>
      <w:r>
        <w:rPr>
          <w:rFonts w:eastAsia="Times New Roman"/>
          <w:color w:val="000000"/>
          <w:sz w:val="20"/>
          <w:szCs w:val="20"/>
        </w:rPr>
        <w:t>AB engages in open-market purchases of AB Holding Units t</w:t>
      </w:r>
      <w:r>
        <w:rPr>
          <w:rFonts w:eastAsia="Times New Roman"/>
          <w:color w:val="000000"/>
          <w:sz w:val="20"/>
          <w:szCs w:val="20"/>
        </w:rPr>
        <w:t>o help fund anticipated obligations under its long-term incentive compensation plans and for other corporate purposes. During 2022, 2021, and 2020 AB purchased 5.2 million, 5.6 million and 5.4 million AB Holding Units for $212 million, $262 million and $14</w:t>
      </w:r>
      <w:r>
        <w:rPr>
          <w:rFonts w:eastAsia="Times New Roman"/>
          <w:color w:val="000000"/>
          <w:sz w:val="20"/>
          <w:szCs w:val="20"/>
        </w:rPr>
        <w:t>9 million, respectively. These amounts reflect open-market purchases of 2.3 million, 2.6 million and 3.1 million AB Holding Units for $92.7 million, $117.9 million and $74.0 million, respectively, with the remainder relating to purchases of AB Holding Unit</w:t>
      </w:r>
      <w:r>
        <w:rPr>
          <w:rFonts w:eastAsia="Times New Roman"/>
          <w:color w:val="000000"/>
          <w:sz w:val="20"/>
          <w:szCs w:val="20"/>
        </w:rPr>
        <w:t>s from AB employees to allow them to fulfill statutory tax withholding requirements at the time of distribution of long-term incentive compensation awards, offset by AB Holding Units purchased by AB employees as part of a distribution reinvestment election</w:t>
      </w:r>
      <w:r>
        <w:rPr>
          <w:rFonts w:eastAsia="Times New Roman"/>
          <w:color w:val="000000"/>
          <w:sz w:val="20"/>
          <w:szCs w:val="20"/>
        </w:rPr>
        <w:t>.</w:t>
      </w:r>
    </w:p>
    <w:p w:rsidR="00000000" w:rsidRDefault="00E54EC0">
      <w:pPr>
        <w:divId w:val="804935611"/>
        <w:rPr>
          <w:rFonts w:eastAsia="Times New Roman"/>
        </w:rPr>
      </w:pPr>
      <w:r>
        <w:rPr>
          <w:rFonts w:eastAsia="Times New Roman"/>
          <w:color w:val="000000"/>
          <w:sz w:val="20"/>
          <w:szCs w:val="20"/>
        </w:rPr>
        <w:t xml:space="preserve">During 2022, 2021, and 2020 AB granted 4.7 million, 7 million and 5.7 million restricted AB Holding units to AB employees and directors, respectively. </w:t>
      </w:r>
    </w:p>
    <w:p w:rsidR="00000000" w:rsidRDefault="00E54EC0">
      <w:pPr>
        <w:divId w:val="1055860590"/>
        <w:rPr>
          <w:rFonts w:eastAsia="Times New Roman"/>
        </w:rPr>
      </w:pPr>
      <w:r>
        <w:rPr>
          <w:rFonts w:eastAsia="Times New Roman"/>
          <w:color w:val="000000"/>
          <w:sz w:val="20"/>
          <w:szCs w:val="20"/>
        </w:rPr>
        <w:t>During 2022, 2021, and 2020 AB Holding issued 6 thousand, 100 thousand and 5 thousand AB Holding Units</w:t>
      </w:r>
      <w:r>
        <w:rPr>
          <w:rFonts w:eastAsia="Times New Roman"/>
          <w:color w:val="000000"/>
          <w:sz w:val="20"/>
          <w:szCs w:val="20"/>
        </w:rPr>
        <w:t xml:space="preserve">, respectively, upon exercise of options to buy AB Holding Units. AB Holding used the proceeds of $100 thousand, $3 million and $147 thousand respectively, received from employees as payment in cash for the exercise price to purchase the equivalent number </w:t>
      </w:r>
      <w:r>
        <w:rPr>
          <w:rFonts w:eastAsia="Times New Roman"/>
          <w:color w:val="000000"/>
          <w:sz w:val="20"/>
          <w:szCs w:val="20"/>
        </w:rPr>
        <w:t>of newly-issued AB Holding Units.</w:t>
      </w:r>
    </w:p>
    <w:p w:rsidR="00000000" w:rsidRDefault="00E54EC0">
      <w:pPr>
        <w:jc w:val="center"/>
        <w:divId w:val="835193303"/>
        <w:rPr>
          <w:rFonts w:eastAsia="Times New Roman"/>
        </w:rPr>
      </w:pPr>
      <w:r>
        <w:rPr>
          <w:rFonts w:eastAsia="Times New Roman"/>
          <w:color w:val="000000"/>
          <w:sz w:val="20"/>
          <w:szCs w:val="20"/>
        </w:rPr>
        <w:t>212</w:t>
      </w:r>
    </w:p>
    <w:p w:rsidR="00000000" w:rsidRDefault="00E54EC0">
      <w:pPr>
        <w:rPr>
          <w:rFonts w:eastAsia="Times New Roman"/>
        </w:rPr>
      </w:pPr>
      <w:r>
        <w:rPr>
          <w:rFonts w:eastAsia="Times New Roman"/>
        </w:rPr>
        <w:pict>
          <v:rect id="_x0000_i1250" style="width:0;height:1.5pt" o:hralign="center" o:hrstd="t" o:hr="t" fillcolor="#a0a0a0" stroked="f"/>
        </w:pict>
      </w:r>
    </w:p>
    <w:p w:rsidR="00000000" w:rsidRDefault="00E54EC0">
      <w:pPr>
        <w:jc w:val="center"/>
        <w:divId w:val="2052341357"/>
        <w:rPr>
          <w:rFonts w:eastAsia="Times New Roman"/>
        </w:rPr>
      </w:pPr>
      <w:r>
        <w:rPr>
          <w:rFonts w:eastAsia="Times New Roman"/>
          <w:b/>
          <w:bCs/>
          <w:color w:val="000000"/>
          <w:sz w:val="20"/>
          <w:szCs w:val="20"/>
        </w:rPr>
        <w:t>EQUITABLE HOLDINGS, INC.</w:t>
      </w:r>
    </w:p>
    <w:p w:rsidR="00000000" w:rsidRDefault="00E54EC0">
      <w:pPr>
        <w:jc w:val="center"/>
        <w:divId w:val="2052341357"/>
        <w:rPr>
          <w:rFonts w:eastAsia="Times New Roman"/>
        </w:rPr>
      </w:pPr>
      <w:r>
        <w:rPr>
          <w:rFonts w:eastAsia="Times New Roman"/>
          <w:b/>
          <w:bCs/>
          <w:color w:val="000000"/>
          <w:sz w:val="20"/>
          <w:szCs w:val="20"/>
        </w:rPr>
        <w:t>NOTES TO CONSOLIDATED FINANCIAL STATEMENTS, continued</w:t>
      </w:r>
    </w:p>
    <w:p w:rsidR="00000000" w:rsidRDefault="00E54EC0">
      <w:pPr>
        <w:divId w:val="138771596"/>
        <w:rPr>
          <w:rFonts w:eastAsia="Times New Roman"/>
        </w:rPr>
      </w:pPr>
      <w:r>
        <w:rPr>
          <w:rFonts w:eastAsia="Times New Roman"/>
          <w:color w:val="000000"/>
          <w:sz w:val="20"/>
          <w:szCs w:val="20"/>
        </w:rPr>
        <w:t>As of December 31, 2022, no options to buy AB Holding Units had been granted and 29.8 million AB Holdin</w:t>
      </w:r>
      <w:r>
        <w:rPr>
          <w:rFonts w:eastAsia="Times New Roman"/>
          <w:color w:val="000000"/>
          <w:sz w:val="20"/>
          <w:szCs w:val="20"/>
        </w:rPr>
        <w:t xml:space="preserve">g Units, net of withholding tax requirements, were subject to other AB Holding Unit awards made under the 2017 Plan or an equity compensation plan with similar terms that was canceled in 2017. AB Holding Unit-based awards (including options) in respect of </w:t>
      </w:r>
      <w:r>
        <w:rPr>
          <w:rFonts w:eastAsia="Times New Roman"/>
          <w:color w:val="000000"/>
          <w:sz w:val="20"/>
          <w:szCs w:val="20"/>
        </w:rPr>
        <w:t>30.2 million AB Holding Units were available for grant as of December 31, 2022.</w:t>
      </w:r>
    </w:p>
    <w:p w:rsidR="00000000" w:rsidRDefault="00E54EC0">
      <w:pPr>
        <w:divId w:val="954363682"/>
        <w:rPr>
          <w:rFonts w:eastAsia="Times New Roman"/>
        </w:rPr>
      </w:pPr>
      <w:r>
        <w:rPr>
          <w:rFonts w:eastAsia="Times New Roman"/>
          <w:color w:val="000000"/>
          <w:sz w:val="20"/>
          <w:szCs w:val="20"/>
          <w:u w:val="single"/>
        </w:rPr>
        <w:t>Summary of Stock Option Activity</w:t>
      </w:r>
    </w:p>
    <w:p w:rsidR="00000000" w:rsidRDefault="00E54EC0">
      <w:pPr>
        <w:divId w:val="66150714"/>
        <w:rPr>
          <w:rFonts w:eastAsia="Times New Roman"/>
        </w:rPr>
      </w:pPr>
      <w:r>
        <w:rPr>
          <w:rFonts w:eastAsia="Times New Roman"/>
          <w:color w:val="000000"/>
          <w:sz w:val="20"/>
          <w:szCs w:val="20"/>
        </w:rPr>
        <w:t>A summary of activity in the Holdings, AB and AXA option plans during 2022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236"/>
        <w:gridCol w:w="36"/>
        <w:gridCol w:w="88"/>
        <w:gridCol w:w="878"/>
        <w:gridCol w:w="36"/>
        <w:gridCol w:w="36"/>
        <w:gridCol w:w="36"/>
        <w:gridCol w:w="36"/>
        <w:gridCol w:w="111"/>
        <w:gridCol w:w="713"/>
        <w:gridCol w:w="36"/>
        <w:gridCol w:w="36"/>
        <w:gridCol w:w="36"/>
        <w:gridCol w:w="36"/>
        <w:gridCol w:w="81"/>
        <w:gridCol w:w="805"/>
        <w:gridCol w:w="36"/>
        <w:gridCol w:w="36"/>
        <w:gridCol w:w="36"/>
        <w:gridCol w:w="36"/>
        <w:gridCol w:w="111"/>
        <w:gridCol w:w="629"/>
        <w:gridCol w:w="37"/>
        <w:gridCol w:w="36"/>
        <w:gridCol w:w="36"/>
        <w:gridCol w:w="36"/>
        <w:gridCol w:w="88"/>
        <w:gridCol w:w="878"/>
        <w:gridCol w:w="36"/>
        <w:gridCol w:w="36"/>
        <w:gridCol w:w="36"/>
        <w:gridCol w:w="36"/>
        <w:gridCol w:w="111"/>
        <w:gridCol w:w="638"/>
        <w:gridCol w:w="37"/>
        <w:gridCol w:w="36"/>
        <w:gridCol w:w="36"/>
        <w:gridCol w:w="36"/>
      </w:tblGrid>
      <w:tr w:rsidR="00000000">
        <w:trPr>
          <w:divId w:val="1044329479"/>
        </w:trPr>
        <w:tc>
          <w:tcPr>
            <w:tcW w:w="50" w:type="pct"/>
            <w:vAlign w:val="center"/>
            <w:hideMark/>
          </w:tcPr>
          <w:p w:rsidR="00000000" w:rsidRDefault="00E54EC0">
            <w:pPr>
              <w:rPr>
                <w:rFonts w:eastAsia="Times New Roman"/>
              </w:rPr>
            </w:pPr>
          </w:p>
        </w:tc>
        <w:tc>
          <w:tcPr>
            <w:tcW w:w="13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4432947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6"/>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Options Outstanding</w:t>
            </w:r>
          </w:p>
        </w:tc>
      </w:tr>
      <w:tr w:rsidR="00000000">
        <w:trPr>
          <w:divId w:val="104432947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EQH 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AB Holding Units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AXA Ordinary 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r>
      <w:tr w:rsidR="00000000">
        <w:trPr>
          <w:divId w:val="104432947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Number</w:t>
            </w:r>
          </w:p>
          <w:p w:rsidR="00000000" w:rsidRDefault="00E54EC0">
            <w:pPr>
              <w:spacing w:after="100"/>
              <w:jc w:val="center"/>
              <w:rPr>
                <w:rFonts w:eastAsia="Times New Roman"/>
              </w:rPr>
            </w:pPr>
            <w:r>
              <w:rPr>
                <w:rFonts w:eastAsia="Times New Roman"/>
                <w:b/>
                <w:bCs/>
                <w:color w:val="000000"/>
                <w:sz w:val="16"/>
                <w:szCs w:val="16"/>
              </w:rPr>
              <w:t>Outstanding  </w:t>
            </w:r>
          </w:p>
          <w:p w:rsidR="00000000" w:rsidRDefault="00E54EC0">
            <w:pPr>
              <w:spacing w:after="100"/>
              <w:jc w:val="center"/>
              <w:rPr>
                <w:rFonts w:eastAsia="Times New Roman"/>
              </w:rPr>
            </w:pPr>
            <w:r>
              <w:rPr>
                <w:rFonts w:eastAsia="Times New Roman"/>
                <w:b/>
                <w:bCs/>
                <w:color w:val="000000"/>
                <w:sz w:val="16"/>
                <w:szCs w:val="16"/>
              </w:rPr>
              <w:t>(in 000’s)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w:t>
            </w:r>
          </w:p>
          <w:p w:rsidR="00000000" w:rsidRDefault="00E54EC0">
            <w:pPr>
              <w:spacing w:after="100"/>
              <w:jc w:val="center"/>
              <w:rPr>
                <w:rFonts w:eastAsia="Times New Roman"/>
              </w:rPr>
            </w:pPr>
            <w:r>
              <w:rPr>
                <w:rFonts w:eastAsia="Times New Roman"/>
                <w:b/>
                <w:bCs/>
                <w:color w:val="000000"/>
                <w:sz w:val="16"/>
                <w:szCs w:val="16"/>
              </w:rPr>
              <w:t>Average</w:t>
            </w:r>
          </w:p>
          <w:p w:rsidR="00000000" w:rsidRDefault="00E54EC0">
            <w:pPr>
              <w:spacing w:after="100"/>
              <w:jc w:val="center"/>
              <w:rPr>
                <w:rFonts w:eastAsia="Times New Roman"/>
              </w:rPr>
            </w:pPr>
            <w:r>
              <w:rPr>
                <w:rFonts w:eastAsia="Times New Roman"/>
                <w:b/>
                <w:bCs/>
                <w:color w:val="000000"/>
                <w:sz w:val="16"/>
                <w:szCs w:val="16"/>
              </w:rPr>
              <w:t>Exercise</w:t>
            </w:r>
          </w:p>
          <w:p w:rsidR="00000000" w:rsidRDefault="00E54EC0">
            <w:pPr>
              <w:spacing w:after="100"/>
              <w:jc w:val="center"/>
              <w:rPr>
                <w:rFonts w:eastAsia="Times New Roman"/>
              </w:rPr>
            </w:pPr>
            <w:r>
              <w:rPr>
                <w:rFonts w:eastAsia="Times New Roman"/>
                <w:b/>
                <w:bCs/>
                <w:color w:val="000000"/>
                <w:sz w:val="16"/>
                <w:szCs w:val="16"/>
              </w:rPr>
              <w:t>Price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Number</w:t>
            </w:r>
          </w:p>
          <w:p w:rsidR="00000000" w:rsidRDefault="00E54EC0">
            <w:pPr>
              <w:spacing w:after="100"/>
              <w:jc w:val="center"/>
              <w:rPr>
                <w:rFonts w:eastAsia="Times New Roman"/>
              </w:rPr>
            </w:pPr>
            <w:r>
              <w:rPr>
                <w:rFonts w:eastAsia="Times New Roman"/>
                <w:b/>
                <w:bCs/>
                <w:color w:val="000000"/>
                <w:sz w:val="16"/>
                <w:szCs w:val="16"/>
              </w:rPr>
              <w:t>Outstanding</w:t>
            </w:r>
          </w:p>
          <w:p w:rsidR="00000000" w:rsidRDefault="00E54EC0">
            <w:pPr>
              <w:spacing w:after="100"/>
              <w:jc w:val="center"/>
              <w:rPr>
                <w:rFonts w:eastAsia="Times New Roman"/>
              </w:rPr>
            </w:pPr>
            <w:r>
              <w:rPr>
                <w:rFonts w:eastAsia="Times New Roman"/>
                <w:b/>
                <w:bCs/>
                <w:color w:val="000000"/>
                <w:sz w:val="16"/>
                <w:szCs w:val="16"/>
              </w:rPr>
              <w:t>(In 000’s)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w:t>
            </w:r>
          </w:p>
          <w:p w:rsidR="00000000" w:rsidRDefault="00E54EC0">
            <w:pPr>
              <w:spacing w:after="100"/>
              <w:jc w:val="center"/>
              <w:rPr>
                <w:rFonts w:eastAsia="Times New Roman"/>
              </w:rPr>
            </w:pPr>
            <w:r>
              <w:rPr>
                <w:rFonts w:eastAsia="Times New Roman"/>
                <w:b/>
                <w:bCs/>
                <w:color w:val="000000"/>
                <w:sz w:val="16"/>
                <w:szCs w:val="16"/>
              </w:rPr>
              <w:t>Average</w:t>
            </w:r>
          </w:p>
          <w:p w:rsidR="00000000" w:rsidRDefault="00E54EC0">
            <w:pPr>
              <w:spacing w:after="100"/>
              <w:jc w:val="center"/>
              <w:rPr>
                <w:rFonts w:eastAsia="Times New Roman"/>
              </w:rPr>
            </w:pPr>
            <w:r>
              <w:rPr>
                <w:rFonts w:eastAsia="Times New Roman"/>
                <w:b/>
                <w:bCs/>
                <w:color w:val="000000"/>
                <w:sz w:val="16"/>
                <w:szCs w:val="16"/>
              </w:rPr>
              <w:t>Exercise</w:t>
            </w:r>
          </w:p>
          <w:p w:rsidR="00000000" w:rsidRDefault="00E54EC0">
            <w:pPr>
              <w:spacing w:after="100"/>
              <w:jc w:val="center"/>
              <w:rPr>
                <w:rFonts w:eastAsia="Times New Roman"/>
              </w:rPr>
            </w:pPr>
            <w:r>
              <w:rPr>
                <w:rFonts w:eastAsia="Times New Roman"/>
                <w:b/>
                <w:bCs/>
                <w:color w:val="000000"/>
                <w:sz w:val="16"/>
                <w:szCs w:val="16"/>
              </w:rPr>
              <w:t>Price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Outstanding  </w:t>
            </w:r>
            <w:r>
              <w:rPr>
                <w:rFonts w:eastAsia="Times New Roman"/>
                <w:b/>
                <w:bCs/>
                <w:color w:val="000000"/>
                <w:sz w:val="16"/>
                <w:szCs w:val="16"/>
              </w:rPr>
              <w:br/>
              <w:t>(in 000’s)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r>
      <w:tr w:rsidR="00000000">
        <w:trPr>
          <w:divId w:val="10443294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outstanding at January 1, 2022</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2,040</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21.69</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5,774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20.12</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874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€ 22.39</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0443294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r>
      <w:tr w:rsidR="00000000">
        <w:trPr>
          <w:divId w:val="10443294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(73)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18.05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(5,774)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20.12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(181)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r>
      <w:tr w:rsidR="00000000">
        <w:trPr>
          <w:divId w:val="10443294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forfeited,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r>
      <w:tr w:rsidR="00000000">
        <w:trPr>
          <w:divId w:val="10443294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r>
      <w:tr w:rsidR="00000000">
        <w:trPr>
          <w:divId w:val="10443294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outstanding at December 31, 2022</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1,943</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666</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€ 22.95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044329479"/>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8"/>
                <w:szCs w:val="18"/>
              </w:rPr>
              <w:t>Aggregate intrinsic value (1)</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5,895</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r>
      <w:tr w:rsidR="00000000">
        <w:trPr>
          <w:divId w:val="104432947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Weighted average remaining contractual term (in years)</w:t>
            </w: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6.55</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0.00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4.00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443294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Options exercisable at December 31, 2022</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1,517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21.45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630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€ 23.03</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04432947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8"/>
                <w:szCs w:val="18"/>
              </w:rPr>
              <w:t>Aggregate intrinsic value (1)</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5,058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r>
      <w:tr w:rsidR="00000000">
        <w:trPr>
          <w:divId w:val="104432947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18"/>
                <w:szCs w:val="18"/>
              </w:rPr>
              <w:t>Weighted average remaining contractual term (in years)</w:t>
            </w: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6.41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0.00</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18"/>
                <w:szCs w:val="18"/>
              </w:rPr>
              <w:t>3.91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ind w:hanging="1440"/>
        <w:divId w:val="216818888"/>
        <w:rPr>
          <w:rFonts w:eastAsia="Times New Roman"/>
        </w:rPr>
      </w:pPr>
      <w:r>
        <w:rPr>
          <w:rFonts w:eastAsia="Times New Roman"/>
          <w:color w:val="000000"/>
          <w:sz w:val="18"/>
          <w:szCs w:val="18"/>
        </w:rPr>
        <w:t>_______________</w:t>
      </w:r>
    </w:p>
    <w:p w:rsidR="00000000" w:rsidRDefault="00E54EC0">
      <w:pPr>
        <w:ind w:hanging="360"/>
        <w:divId w:val="1614245309"/>
        <w:rPr>
          <w:rFonts w:eastAsia="Times New Roman"/>
        </w:rPr>
      </w:pPr>
      <w:r>
        <w:rPr>
          <w:rFonts w:eastAsia="Times New Roman"/>
          <w:color w:val="000000"/>
          <w:sz w:val="18"/>
          <w:szCs w:val="18"/>
        </w:rPr>
        <w:t>(1) Aggregate intrinsic value, presented in thousands, is calculated as the excess o</w:t>
      </w:r>
      <w:r>
        <w:rPr>
          <w:rFonts w:eastAsia="Times New Roman"/>
          <w:color w:val="000000"/>
          <w:sz w:val="18"/>
          <w:szCs w:val="18"/>
        </w:rPr>
        <w:t>f the closing market price on December 31, 2022 of the respective underlying shares over the strike prices of the option awards. For awards with strike prices higher than market prices, intrinsic value is shown as zero.</w:t>
      </w:r>
    </w:p>
    <w:p w:rsidR="00000000" w:rsidRDefault="00E54EC0">
      <w:pPr>
        <w:divId w:val="241644818"/>
        <w:rPr>
          <w:rFonts w:eastAsia="Times New Roman"/>
        </w:rPr>
      </w:pPr>
      <w:r>
        <w:rPr>
          <w:rFonts w:eastAsia="Times New Roman"/>
          <w:color w:val="000000"/>
          <w:sz w:val="20"/>
          <w:szCs w:val="20"/>
        </w:rPr>
        <w:t>A summary of stock option grant assu</w:t>
      </w:r>
      <w:r>
        <w:rPr>
          <w:rFonts w:eastAsia="Times New Roman"/>
          <w:color w:val="000000"/>
          <w:sz w:val="20"/>
          <w:szCs w:val="20"/>
        </w:rPr>
        <w:t xml:space="preserve">mptions activity in the Company option plans during the years ended </w:t>
      </w:r>
      <w:r>
        <w:rPr>
          <w:rFonts w:eastAsia="Times New Roman"/>
          <w:color w:val="000000"/>
          <w:sz w:val="18"/>
          <w:szCs w:val="18"/>
        </w:rPr>
        <w:t>December 31, 2022</w:t>
      </w:r>
      <w:r>
        <w:rPr>
          <w:rFonts w:eastAsia="Times New Roman"/>
          <w:color w:val="000000"/>
          <w:sz w:val="20"/>
          <w:szCs w:val="20"/>
        </w:rPr>
        <w:t>, 2021, and 2020 follows:</w:t>
      </w:r>
    </w:p>
    <w:tbl>
      <w:tblPr>
        <w:tblW w:w="4831" w:type="pct"/>
        <w:tblCellMar>
          <w:top w:w="15" w:type="dxa"/>
          <w:left w:w="15" w:type="dxa"/>
          <w:bottom w:w="15" w:type="dxa"/>
          <w:right w:w="15" w:type="dxa"/>
        </w:tblCellMar>
        <w:tblLook w:val="04A0" w:firstRow="1" w:lastRow="0" w:firstColumn="1" w:lastColumn="0" w:noHBand="0" w:noVBand="1"/>
      </w:tblPr>
      <w:tblGrid>
        <w:gridCol w:w="37"/>
        <w:gridCol w:w="4307"/>
        <w:gridCol w:w="36"/>
        <w:gridCol w:w="122"/>
        <w:gridCol w:w="983"/>
        <w:gridCol w:w="36"/>
        <w:gridCol w:w="36"/>
        <w:gridCol w:w="36"/>
        <w:gridCol w:w="36"/>
        <w:gridCol w:w="122"/>
        <w:gridCol w:w="931"/>
        <w:gridCol w:w="36"/>
        <w:gridCol w:w="36"/>
        <w:gridCol w:w="36"/>
        <w:gridCol w:w="36"/>
        <w:gridCol w:w="123"/>
        <w:gridCol w:w="931"/>
        <w:gridCol w:w="37"/>
        <w:gridCol w:w="36"/>
        <w:gridCol w:w="36"/>
        <w:gridCol w:w="36"/>
      </w:tblGrid>
      <w:tr w:rsidR="00000000">
        <w:trPr>
          <w:divId w:val="199897648"/>
        </w:trPr>
        <w:tc>
          <w:tcPr>
            <w:tcW w:w="50" w:type="pct"/>
            <w:vAlign w:val="center"/>
            <w:hideMark/>
          </w:tcPr>
          <w:p w:rsidR="00000000" w:rsidRDefault="00E54EC0">
            <w:pPr>
              <w:rPr>
                <w:rFonts w:eastAsia="Times New Roman"/>
              </w:rPr>
            </w:pPr>
          </w:p>
        </w:tc>
        <w:tc>
          <w:tcPr>
            <w:tcW w:w="272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99897648"/>
        </w:trPr>
        <w:tc>
          <w:tcPr>
            <w:tcW w:w="0" w:type="auto"/>
            <w:gridSpan w:val="3"/>
            <w:tcMar>
              <w:top w:w="30" w:type="dxa"/>
              <w:left w:w="20" w:type="dxa"/>
              <w:bottom w:w="30" w:type="dxa"/>
              <w:right w:w="20" w:type="dxa"/>
            </w:tcMar>
            <w:vAlign w:val="bottom"/>
            <w:hideMark/>
          </w:tcPr>
          <w:p w:rsidR="00000000" w:rsidRDefault="00E54EC0">
            <w:pPr>
              <w:spacing w:after="100"/>
              <w:ind w:hanging="360"/>
              <w:divId w:val="2039234817"/>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EQH Shares (1)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r>
      <w:tr w:rsidR="00000000">
        <w:trPr>
          <w:divId w:val="199897648"/>
        </w:trPr>
        <w:tc>
          <w:tcPr>
            <w:tcW w:w="0" w:type="auto"/>
            <w:gridSpan w:val="3"/>
            <w:tcMar>
              <w:top w:w="30" w:type="dxa"/>
              <w:left w:w="20" w:type="dxa"/>
              <w:bottom w:w="30" w:type="dxa"/>
              <w:right w:w="20" w:type="dxa"/>
            </w:tcMar>
            <w:vAlign w:val="bottom"/>
            <w:hideMark/>
          </w:tcPr>
          <w:p w:rsidR="00000000" w:rsidRDefault="00E54EC0">
            <w:pPr>
              <w:spacing w:after="100"/>
              <w:ind w:hanging="360"/>
              <w:divId w:val="1899826374"/>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r>
      <w:tr w:rsidR="00000000">
        <w:trPr>
          <w:divId w:val="1998976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Dividend yield</w:t>
            </w: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2.59%</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998976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26.00%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998976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Risk-free interest rates</w:t>
            </w:r>
          </w:p>
        </w:tc>
        <w:tc>
          <w:tcPr>
            <w:tcW w:w="0" w:type="auto"/>
            <w:gridSpan w:val="3"/>
            <w:shd w:val="clear" w:color="auto" w:fill="CCEE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1.19%</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998976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Expected life in years</w:t>
            </w:r>
          </w:p>
        </w:tc>
        <w:tc>
          <w:tcPr>
            <w:tcW w:w="0" w:type="auto"/>
            <w:gridSpan w:val="3"/>
            <w:shd w:val="clear" w:color="auto" w:fill="FFFF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E54EC0">
            <w:pPr>
              <w:spacing w:after="100"/>
              <w:jc w:val="right"/>
              <w:rPr>
                <w:rFonts w:eastAsia="Times New Roman"/>
              </w:rPr>
            </w:pPr>
            <w:r>
              <w:rPr>
                <w:rFonts w:eastAsia="Times New Roman"/>
                <w:color w:val="000000"/>
                <w:sz w:val="20"/>
                <w:szCs w:val="20"/>
              </w:rPr>
              <w:t>6.0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r>
      <w:tr w:rsidR="00000000">
        <w:trPr>
          <w:divId w:val="1998976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Weighted average fair value per option at grant date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E54EC0">
            <w:pPr>
              <w:spacing w:after="100"/>
              <w:jc w:val="right"/>
              <w:rPr>
                <w:rFonts w:eastAsia="Times New Roman"/>
              </w:rPr>
            </w:pPr>
            <w:r>
              <w:rPr>
                <w:rFonts w:eastAsia="Times New Roman"/>
                <w:color w:val="000000"/>
                <w:sz w:val="20"/>
                <w:szCs w:val="20"/>
              </w:rPr>
              <w:t>4.37</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r>
    </w:tbl>
    <w:p w:rsidR="00000000" w:rsidRDefault="00E54EC0">
      <w:pPr>
        <w:ind w:hanging="720"/>
        <w:divId w:val="1741440633"/>
        <w:rPr>
          <w:rFonts w:eastAsia="Times New Roman"/>
        </w:rPr>
      </w:pPr>
      <w:r>
        <w:rPr>
          <w:rFonts w:eastAsia="Times New Roman"/>
          <w:color w:val="000000"/>
          <w:sz w:val="18"/>
          <w:szCs w:val="18"/>
        </w:rPr>
        <w:t>__</w:t>
      </w:r>
      <w:r>
        <w:rPr>
          <w:rFonts w:eastAsia="Times New Roman"/>
          <w:color w:val="000000"/>
          <w:sz w:val="18"/>
          <w:szCs w:val="18"/>
        </w:rPr>
        <w:t>_____________</w:t>
      </w:r>
    </w:p>
    <w:p w:rsidR="00000000" w:rsidRDefault="00E54EC0">
      <w:pPr>
        <w:ind w:hanging="360"/>
        <w:divId w:val="719982168"/>
        <w:rPr>
          <w:rFonts w:eastAsia="Times New Roman"/>
        </w:rPr>
      </w:pPr>
      <w:r>
        <w:rPr>
          <w:rFonts w:eastAsia="Times New Roman"/>
          <w:color w:val="000000"/>
          <w:sz w:val="18"/>
          <w:szCs w:val="18"/>
        </w:rPr>
        <w:t>(1) The expected volatility is based on historical selected peer data, the weighted average expected term is determined by using the simplified method due to lack of sufficient historical data, the expected dividend yield based on Holdings’ e</w:t>
      </w:r>
      <w:r>
        <w:rPr>
          <w:rFonts w:eastAsia="Times New Roman"/>
          <w:color w:val="000000"/>
          <w:sz w:val="18"/>
          <w:szCs w:val="18"/>
        </w:rPr>
        <w:t xml:space="preserve">xpected annualized dividend, and the risk-free interest rate is based on the U.S. Treasury bond yield for the appropriate expected term. </w:t>
      </w:r>
    </w:p>
    <w:p w:rsidR="00000000" w:rsidRDefault="00E54EC0">
      <w:pPr>
        <w:ind w:hanging="360"/>
        <w:divId w:val="1199272670"/>
        <w:rPr>
          <w:rFonts w:eastAsia="Times New Roman"/>
        </w:rPr>
      </w:pPr>
      <w:r>
        <w:rPr>
          <w:rFonts w:eastAsia="Times New Roman"/>
          <w:color w:val="000000"/>
          <w:sz w:val="18"/>
          <w:szCs w:val="18"/>
        </w:rPr>
        <w:t xml:space="preserve">(2) No stock options granted during the years December 31, 2022 and 2021 . </w:t>
      </w:r>
    </w:p>
    <w:p w:rsidR="00000000" w:rsidRDefault="00E54EC0">
      <w:pPr>
        <w:divId w:val="1438864936"/>
        <w:rPr>
          <w:rFonts w:eastAsia="Times New Roman"/>
        </w:rPr>
      </w:pPr>
      <w:r>
        <w:rPr>
          <w:rFonts w:eastAsia="Times New Roman"/>
          <w:color w:val="000000"/>
          <w:sz w:val="20"/>
          <w:szCs w:val="20"/>
        </w:rPr>
        <w:t>As of December 31, 2022, approximately $74</w:t>
      </w:r>
      <w:r>
        <w:rPr>
          <w:rFonts w:eastAsia="Times New Roman"/>
          <w:color w:val="000000"/>
          <w:sz w:val="20"/>
          <w:szCs w:val="20"/>
        </w:rPr>
        <w:t> thousand of unrecognized compensation cost related to AXA unvested stock option awards is expected to be recognized by the Company over a weighted-average period of 0.2 years. Approximately $113 thousand of unrecognized compensation cost related to Holdin</w:t>
      </w:r>
      <w:r>
        <w:rPr>
          <w:rFonts w:eastAsia="Times New Roman"/>
          <w:color w:val="000000"/>
          <w:sz w:val="20"/>
          <w:szCs w:val="20"/>
        </w:rPr>
        <w:t>gs unvested stock option awards is expected to be recognized by the Company over a weighted average period of 0.1 years.</w:t>
      </w:r>
    </w:p>
    <w:p w:rsidR="00000000" w:rsidRDefault="00E54EC0">
      <w:pPr>
        <w:jc w:val="center"/>
        <w:divId w:val="1786608734"/>
        <w:rPr>
          <w:rFonts w:eastAsia="Times New Roman"/>
        </w:rPr>
      </w:pPr>
      <w:r>
        <w:rPr>
          <w:rFonts w:eastAsia="Times New Roman"/>
          <w:color w:val="000000"/>
          <w:sz w:val="20"/>
          <w:szCs w:val="20"/>
        </w:rPr>
        <w:t>213</w:t>
      </w:r>
    </w:p>
    <w:p w:rsidR="00000000" w:rsidRDefault="00E54EC0">
      <w:pPr>
        <w:rPr>
          <w:rFonts w:eastAsia="Times New Roman"/>
        </w:rPr>
      </w:pPr>
      <w:r>
        <w:rPr>
          <w:rFonts w:eastAsia="Times New Roman"/>
        </w:rPr>
        <w:pict>
          <v:rect id="_x0000_i1251" style="width:0;height:1.5pt" o:hralign="center" o:hrstd="t" o:hr="t" fillcolor="#a0a0a0" stroked="f"/>
        </w:pict>
      </w:r>
    </w:p>
    <w:p w:rsidR="00000000" w:rsidRDefault="00E54EC0">
      <w:pPr>
        <w:jc w:val="center"/>
        <w:divId w:val="555287838"/>
        <w:rPr>
          <w:rFonts w:eastAsia="Times New Roman"/>
        </w:rPr>
      </w:pPr>
      <w:r>
        <w:rPr>
          <w:rFonts w:eastAsia="Times New Roman"/>
          <w:b/>
          <w:bCs/>
          <w:color w:val="000000"/>
          <w:sz w:val="20"/>
          <w:szCs w:val="20"/>
        </w:rPr>
        <w:t>EQUITABLE HOLDINGS, INC.</w:t>
      </w:r>
    </w:p>
    <w:p w:rsidR="00000000" w:rsidRDefault="00E54EC0">
      <w:pPr>
        <w:jc w:val="center"/>
        <w:divId w:val="555287838"/>
        <w:rPr>
          <w:rFonts w:eastAsia="Times New Roman"/>
        </w:rPr>
      </w:pPr>
      <w:r>
        <w:rPr>
          <w:rFonts w:eastAsia="Times New Roman"/>
          <w:b/>
          <w:bCs/>
          <w:color w:val="000000"/>
          <w:sz w:val="20"/>
          <w:szCs w:val="20"/>
        </w:rPr>
        <w:t>NOTES TO CONSOLIDATED FINANCIAL STATEMENTS, continued</w:t>
      </w:r>
    </w:p>
    <w:p w:rsidR="00000000" w:rsidRDefault="00E54EC0">
      <w:pPr>
        <w:divId w:val="1484077414"/>
        <w:rPr>
          <w:rFonts w:eastAsia="Times New Roman"/>
        </w:rPr>
      </w:pPr>
      <w:r>
        <w:rPr>
          <w:rFonts w:eastAsia="Times New Roman"/>
          <w:color w:val="000000"/>
          <w:sz w:val="20"/>
          <w:szCs w:val="20"/>
          <w:u w:val="single"/>
        </w:rPr>
        <w:t>Summary of Restricted Stock Unit Award Activity</w:t>
      </w:r>
    </w:p>
    <w:p w:rsidR="00000000" w:rsidRDefault="00E54EC0">
      <w:pPr>
        <w:divId w:val="103961856"/>
        <w:rPr>
          <w:rFonts w:eastAsia="Times New Roman"/>
        </w:rPr>
      </w:pPr>
      <w:r>
        <w:rPr>
          <w:rFonts w:eastAsia="Times New Roman"/>
          <w:color w:val="000000"/>
          <w:sz w:val="20"/>
          <w:szCs w:val="20"/>
        </w:rPr>
        <w:t>The market price of a Holdings share is used as the basis for the fair value measure of a Hol</w:t>
      </w:r>
      <w:r>
        <w:rPr>
          <w:rFonts w:eastAsia="Times New Roman"/>
          <w:color w:val="000000"/>
          <w:sz w:val="20"/>
          <w:szCs w:val="20"/>
        </w:rPr>
        <w:t>dings RSU. For purposes of determining compensation cost for stock-settled Holdings RSUs, fair value is fixed at the grant date until settlement, absent modification to the terms of the award. For liability-classified cash-settled Holdings and AXA RSUs, fa</w:t>
      </w:r>
      <w:r>
        <w:rPr>
          <w:rFonts w:eastAsia="Times New Roman"/>
          <w:color w:val="000000"/>
          <w:sz w:val="20"/>
          <w:szCs w:val="20"/>
        </w:rPr>
        <w:t xml:space="preserve">ir value is remeasured at the end of each reporting period. </w:t>
      </w:r>
    </w:p>
    <w:p w:rsidR="00000000" w:rsidRDefault="00E54EC0">
      <w:pPr>
        <w:divId w:val="359089597"/>
        <w:rPr>
          <w:rFonts w:eastAsia="Times New Roman"/>
        </w:rPr>
      </w:pPr>
      <w:r>
        <w:rPr>
          <w:rFonts w:eastAsia="Times New Roman"/>
          <w:color w:val="000000"/>
          <w:sz w:val="20"/>
          <w:szCs w:val="20"/>
        </w:rPr>
        <w:t>As of December 31, 2022, approximately 3 million Holdings RSUs remain unvested. Unrecognized compensation cost related to these awards totaled approximately $33 million and is expected to be reco</w:t>
      </w:r>
      <w:r>
        <w:rPr>
          <w:rFonts w:eastAsia="Times New Roman"/>
          <w:color w:val="000000"/>
          <w:sz w:val="20"/>
          <w:szCs w:val="20"/>
        </w:rPr>
        <w:t xml:space="preserve">gnized over a weighted-average period of 1.64. </w:t>
      </w:r>
    </w:p>
    <w:p w:rsidR="00000000" w:rsidRDefault="00E54EC0">
      <w:pPr>
        <w:divId w:val="1866089762"/>
        <w:rPr>
          <w:rFonts w:eastAsia="Times New Roman"/>
        </w:rPr>
      </w:pPr>
      <w:r>
        <w:rPr>
          <w:rFonts w:eastAsia="Times New Roman"/>
          <w:color w:val="000000"/>
          <w:sz w:val="20"/>
          <w:szCs w:val="20"/>
        </w:rPr>
        <w:t>As of December 31, 2022, approximately 15 million AB Holding Unit awards remain unvested. Unrecognized compensation cost related to these awards totaled approximately $114 million is expected to be recognized</w:t>
      </w:r>
      <w:r>
        <w:rPr>
          <w:rFonts w:eastAsia="Times New Roman"/>
          <w:color w:val="000000"/>
          <w:sz w:val="20"/>
          <w:szCs w:val="20"/>
        </w:rPr>
        <w:t xml:space="preserve"> over a weighted-average period of 6.1 years.</w:t>
      </w:r>
    </w:p>
    <w:p w:rsidR="00000000" w:rsidRDefault="00E54EC0">
      <w:pPr>
        <w:divId w:val="1387680714"/>
        <w:rPr>
          <w:rFonts w:eastAsia="Times New Roman"/>
        </w:rPr>
      </w:pPr>
      <w:r>
        <w:rPr>
          <w:rFonts w:eastAsia="Times New Roman"/>
          <w:color w:val="000000"/>
          <w:sz w:val="20"/>
          <w:szCs w:val="20"/>
        </w:rPr>
        <w:t xml:space="preserve">The following table summarizes Holdings restricted share units activity for 2022. </w:t>
      </w:r>
    </w:p>
    <w:tbl>
      <w:tblPr>
        <w:tblW w:w="4685" w:type="pct"/>
        <w:tblCellMar>
          <w:top w:w="15" w:type="dxa"/>
          <w:left w:w="15" w:type="dxa"/>
          <w:bottom w:w="15" w:type="dxa"/>
          <w:right w:w="15" w:type="dxa"/>
        </w:tblCellMar>
        <w:tblLook w:val="04A0" w:firstRow="1" w:lastRow="0" w:firstColumn="1" w:lastColumn="0" w:noHBand="0" w:noVBand="1"/>
      </w:tblPr>
      <w:tblGrid>
        <w:gridCol w:w="38"/>
        <w:gridCol w:w="5009"/>
        <w:gridCol w:w="37"/>
        <w:gridCol w:w="61"/>
        <w:gridCol w:w="1063"/>
        <w:gridCol w:w="36"/>
        <w:gridCol w:w="36"/>
        <w:gridCol w:w="36"/>
        <w:gridCol w:w="36"/>
        <w:gridCol w:w="121"/>
        <w:gridCol w:w="1058"/>
        <w:gridCol w:w="36"/>
        <w:gridCol w:w="36"/>
        <w:gridCol w:w="36"/>
        <w:gridCol w:w="36"/>
        <w:gridCol w:w="36"/>
        <w:gridCol w:w="36"/>
        <w:gridCol w:w="36"/>
      </w:tblGrid>
      <w:tr w:rsidR="00000000">
        <w:trPr>
          <w:divId w:val="260339677"/>
        </w:trPr>
        <w:tc>
          <w:tcPr>
            <w:tcW w:w="50" w:type="pct"/>
            <w:vAlign w:val="center"/>
            <w:hideMark/>
          </w:tcPr>
          <w:p w:rsidR="00000000" w:rsidRDefault="00E54EC0">
            <w:pPr>
              <w:rPr>
                <w:rFonts w:eastAsia="Times New Roman"/>
              </w:rPr>
            </w:pPr>
          </w:p>
        </w:tc>
        <w:tc>
          <w:tcPr>
            <w:tcW w:w="32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033967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Shares of Holdings Restricted Stock Units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Weighted-Average Grant Date</w:t>
            </w:r>
          </w:p>
          <w:p w:rsidR="00000000" w:rsidRDefault="00E54EC0">
            <w:pPr>
              <w:spacing w:after="100"/>
              <w:jc w:val="center"/>
              <w:rPr>
                <w:rFonts w:eastAsia="Times New Roman"/>
              </w:rPr>
            </w:pPr>
            <w:r>
              <w:rPr>
                <w:rFonts w:eastAsia="Times New Roman"/>
                <w:b/>
                <w:bCs/>
                <w:color w:val="000000"/>
                <w:sz w:val="16"/>
                <w:szCs w:val="16"/>
              </w:rPr>
              <w:t> 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033967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Unvested as of January 1, 2022</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3,228,733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033967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1,340,926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033967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(172,349)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0339677"/>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(1,608,145)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60339677"/>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Unvested as of December 31, 2022</w:t>
            </w: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2,789,165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29.46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bl>
    <w:p w:rsidR="00000000" w:rsidRDefault="00E54EC0">
      <w:pPr>
        <w:divId w:val="7176106"/>
        <w:rPr>
          <w:rFonts w:eastAsia="Times New Roman"/>
        </w:rPr>
      </w:pPr>
      <w:r>
        <w:rPr>
          <w:rFonts w:eastAsia="Times New Roman"/>
          <w:color w:val="000000"/>
          <w:sz w:val="20"/>
          <w:szCs w:val="20"/>
          <w:u w:val="single"/>
        </w:rPr>
        <w:t>Summary of Performance Award Activity</w:t>
      </w:r>
    </w:p>
    <w:p w:rsidR="00000000" w:rsidRDefault="00E54EC0">
      <w:pPr>
        <w:divId w:val="1487628594"/>
        <w:rPr>
          <w:rFonts w:eastAsia="Times New Roman"/>
        </w:rPr>
      </w:pPr>
      <w:r>
        <w:rPr>
          <w:rFonts w:eastAsia="Times New Roman"/>
          <w:color w:val="000000"/>
          <w:sz w:val="20"/>
          <w:szCs w:val="20"/>
        </w:rPr>
        <w:t xml:space="preserve">As of December 31, 2022, approximately 1.3 </w:t>
      </w:r>
      <w:r>
        <w:rPr>
          <w:rFonts w:eastAsia="Times New Roman"/>
          <w:color w:val="000000"/>
          <w:sz w:val="20"/>
          <w:szCs w:val="20"/>
        </w:rPr>
        <w:t xml:space="preserve">million Holdings awards remain unvested. Unrecognized compensation cost related to these awards totaled approximately $10 million and is expected to be recognized over a weighted-average period of 1.53 years. </w:t>
      </w:r>
    </w:p>
    <w:p w:rsidR="00000000" w:rsidRDefault="00E54EC0">
      <w:pPr>
        <w:divId w:val="1545559127"/>
        <w:rPr>
          <w:rFonts w:eastAsia="Times New Roman"/>
        </w:rPr>
      </w:pPr>
      <w:r>
        <w:rPr>
          <w:rFonts w:eastAsia="Times New Roman"/>
          <w:color w:val="000000"/>
          <w:sz w:val="20"/>
          <w:szCs w:val="20"/>
        </w:rPr>
        <w:t>The following table summarizes Holdings and AXA performance awards activity for 2022.</w:t>
      </w:r>
    </w:p>
    <w:tbl>
      <w:tblPr>
        <w:tblW w:w="4671" w:type="pct"/>
        <w:tblCellMar>
          <w:top w:w="15" w:type="dxa"/>
          <w:left w:w="15" w:type="dxa"/>
          <w:bottom w:w="15" w:type="dxa"/>
          <w:right w:w="15" w:type="dxa"/>
        </w:tblCellMar>
        <w:tblLook w:val="04A0" w:firstRow="1" w:lastRow="0" w:firstColumn="1" w:lastColumn="0" w:noHBand="0" w:noVBand="1"/>
      </w:tblPr>
      <w:tblGrid>
        <w:gridCol w:w="41"/>
        <w:gridCol w:w="2550"/>
        <w:gridCol w:w="37"/>
        <w:gridCol w:w="59"/>
        <w:gridCol w:w="1086"/>
        <w:gridCol w:w="36"/>
        <w:gridCol w:w="36"/>
        <w:gridCol w:w="36"/>
        <w:gridCol w:w="36"/>
        <w:gridCol w:w="121"/>
        <w:gridCol w:w="1078"/>
        <w:gridCol w:w="36"/>
        <w:gridCol w:w="36"/>
        <w:gridCol w:w="36"/>
        <w:gridCol w:w="36"/>
        <w:gridCol w:w="59"/>
        <w:gridCol w:w="1061"/>
        <w:gridCol w:w="36"/>
        <w:gridCol w:w="36"/>
        <w:gridCol w:w="36"/>
        <w:gridCol w:w="36"/>
        <w:gridCol w:w="121"/>
        <w:gridCol w:w="1078"/>
        <w:gridCol w:w="36"/>
      </w:tblGrid>
      <w:tr w:rsidR="00000000">
        <w:trPr>
          <w:divId w:val="453908218"/>
        </w:trPr>
        <w:tc>
          <w:tcPr>
            <w:tcW w:w="50" w:type="pct"/>
            <w:vAlign w:val="center"/>
            <w:hideMark/>
          </w:tcPr>
          <w:p w:rsidR="00000000" w:rsidRDefault="00E54EC0">
            <w:pPr>
              <w:rPr>
                <w:rFonts w:eastAsia="Times New Roman"/>
              </w:rPr>
            </w:pPr>
          </w:p>
        </w:tc>
        <w:tc>
          <w:tcPr>
            <w:tcW w:w="16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3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45390821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Shares of Holdings Performance Awards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Weighted-Average Grant Date</w:t>
            </w:r>
            <w:r>
              <w:rPr>
                <w:rFonts w:eastAsia="Times New Roman"/>
                <w:b/>
                <w:bCs/>
                <w:color w:val="000000"/>
                <w:sz w:val="16"/>
                <w:szCs w:val="16"/>
              </w:rPr>
              <w:br/>
              <w:t> 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Shares of AXA Performance Awards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Weighted-Average Grant Date</w:t>
            </w:r>
            <w:r>
              <w:rPr>
                <w:rFonts w:eastAsia="Times New Roman"/>
                <w:b/>
                <w:bCs/>
                <w:color w:val="000000"/>
                <w:sz w:val="16"/>
                <w:szCs w:val="16"/>
              </w:rPr>
              <w:br/>
              <w:t>Fair Value</w:t>
            </w:r>
          </w:p>
        </w:tc>
      </w:tr>
      <w:tr w:rsidR="00000000">
        <w:trPr>
          <w:divId w:val="4539082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Unvested as of January 1, 2022</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1,217,222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28.93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62,747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539082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704,769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5390821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(107,921)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539082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(486,475)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(62,747)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45390821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4539082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Unvested as of December 31, 2022</w:t>
            </w: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1,327,595</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32.98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952080614"/>
        <w:rPr>
          <w:rFonts w:eastAsia="Times New Roman"/>
        </w:rPr>
      </w:pPr>
    </w:p>
    <w:p w:rsidR="00000000" w:rsidRDefault="00E54EC0">
      <w:pPr>
        <w:divId w:val="1143041355"/>
        <w:rPr>
          <w:rFonts w:eastAsia="Times New Roman"/>
        </w:rPr>
      </w:pPr>
      <w:r>
        <w:rPr>
          <w:rFonts w:eastAsia="Times New Roman"/>
          <w:b/>
          <w:bCs/>
          <w:color w:val="000000"/>
          <w:sz w:val="20"/>
          <w:szCs w:val="20"/>
        </w:rPr>
        <w:t xml:space="preserve">16)    INCOME TAXES </w:t>
      </w:r>
    </w:p>
    <w:p w:rsidR="00000000" w:rsidRDefault="00E54EC0">
      <w:pPr>
        <w:divId w:val="28800442"/>
        <w:rPr>
          <w:rFonts w:eastAsia="Times New Roman"/>
        </w:rPr>
      </w:pPr>
      <w:r>
        <w:rPr>
          <w:rFonts w:eastAsia="Times New Roman"/>
          <w:color w:val="000000"/>
          <w:sz w:val="20"/>
          <w:szCs w:val="20"/>
        </w:rPr>
        <w:t xml:space="preserve">Income from operations before income taxes included income (loss) from domestic operations of $2.4 billion, ($392) million and </w:t>
      </w:r>
      <w:r>
        <w:rPr>
          <w:rFonts w:eastAsia="Times New Roman"/>
          <w:color w:val="000000"/>
          <w:sz w:val="20"/>
          <w:szCs w:val="20"/>
        </w:rPr>
        <w:t>($1.3) billion for the years ended December 31, 2022, 2021 and 2020, and income from foreign operations of $135 million, $223 million and $169 million for the years ended December 31, 2022, 2021 and 2020. Approximately $35 million, $59 million and $45 mill</w:t>
      </w:r>
      <w:r>
        <w:rPr>
          <w:rFonts w:eastAsia="Times New Roman"/>
          <w:color w:val="000000"/>
          <w:sz w:val="20"/>
          <w:szCs w:val="20"/>
        </w:rPr>
        <w:t>ion of the Company’s income tax expense is attributed to foreign jurisdictions for the years ended December 31, 2022, 2021 and 2020.</w:t>
      </w:r>
    </w:p>
    <w:p w:rsidR="00000000" w:rsidRDefault="00E54EC0">
      <w:pPr>
        <w:divId w:val="2061829077"/>
        <w:rPr>
          <w:rFonts w:eastAsia="Times New Roman"/>
        </w:rPr>
      </w:pPr>
      <w:r>
        <w:rPr>
          <w:rFonts w:eastAsia="Times New Roman"/>
          <w:color w:val="000000"/>
          <w:sz w:val="20"/>
          <w:szCs w:val="20"/>
        </w:rPr>
        <w:t>A summary of the income tax (expense) benefit in the consolidated statements of income (loss) follows:</w:t>
      </w:r>
    </w:p>
    <w:p w:rsidR="00000000" w:rsidRDefault="00E54EC0">
      <w:pPr>
        <w:jc w:val="center"/>
        <w:divId w:val="2147119498"/>
        <w:rPr>
          <w:rFonts w:eastAsia="Times New Roman"/>
        </w:rPr>
      </w:pPr>
      <w:r>
        <w:rPr>
          <w:rFonts w:eastAsia="Times New Roman"/>
          <w:color w:val="000000"/>
          <w:sz w:val="20"/>
          <w:szCs w:val="20"/>
        </w:rPr>
        <w:t>214</w:t>
      </w:r>
    </w:p>
    <w:p w:rsidR="00000000" w:rsidRDefault="00E54EC0">
      <w:pPr>
        <w:rPr>
          <w:rFonts w:eastAsia="Times New Roman"/>
        </w:rPr>
      </w:pPr>
      <w:r>
        <w:rPr>
          <w:rFonts w:eastAsia="Times New Roman"/>
        </w:rPr>
        <w:pict>
          <v:rect id="_x0000_i1252" style="width:0;height:1.5pt" o:hralign="center" o:hrstd="t" o:hr="t" fillcolor="#a0a0a0" stroked="f"/>
        </w:pict>
      </w:r>
    </w:p>
    <w:p w:rsidR="00000000" w:rsidRDefault="00E54EC0">
      <w:pPr>
        <w:jc w:val="center"/>
        <w:divId w:val="999429276"/>
        <w:rPr>
          <w:rFonts w:eastAsia="Times New Roman"/>
        </w:rPr>
      </w:pPr>
      <w:r>
        <w:rPr>
          <w:rFonts w:eastAsia="Times New Roman"/>
          <w:b/>
          <w:bCs/>
          <w:color w:val="000000"/>
          <w:sz w:val="20"/>
          <w:szCs w:val="20"/>
        </w:rPr>
        <w:t>EQUITABLE HOLDINGS, INC.</w:t>
      </w:r>
    </w:p>
    <w:p w:rsidR="00000000" w:rsidRDefault="00E54EC0">
      <w:pPr>
        <w:jc w:val="center"/>
        <w:divId w:val="999429276"/>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865604555"/>
        </w:trPr>
        <w:tc>
          <w:tcPr>
            <w:tcW w:w="50" w:type="pct"/>
            <w:vAlign w:val="center"/>
            <w:hideMark/>
          </w:tcPr>
          <w:p w:rsidR="00000000" w:rsidRDefault="00E54EC0">
            <w:pPr>
              <w:jc w:val="cente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86560455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865604555"/>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86560455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865604555"/>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 (expense) benefit:</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865604555"/>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Current (expense) benefit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5604555"/>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(expense) benefit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86560455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(499)</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319115113"/>
        <w:rPr>
          <w:rFonts w:eastAsia="Times New Roman"/>
        </w:rPr>
      </w:pPr>
      <w:r>
        <w:rPr>
          <w:rFonts w:eastAsia="Times New Roman"/>
          <w:color w:val="000000"/>
          <w:sz w:val="20"/>
          <w:szCs w:val="20"/>
        </w:rPr>
        <w:t>The Federal income taxes attributable to consolidated operations are different from the amounts determined by multiplying the earnings before income taxes and noncontrolling interest by the expected Federal income tax rate of 21%. The sources of the differ</w:t>
      </w:r>
      <w:r>
        <w:rPr>
          <w:rFonts w:eastAsia="Times New Roman"/>
          <w:color w:val="000000"/>
          <w:sz w:val="20"/>
          <w:szCs w:val="20"/>
        </w:rPr>
        <w:t>ence and their tax effects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0"/>
        <w:gridCol w:w="989"/>
        <w:gridCol w:w="36"/>
        <w:gridCol w:w="36"/>
        <w:gridCol w:w="36"/>
        <w:gridCol w:w="36"/>
        <w:gridCol w:w="120"/>
        <w:gridCol w:w="949"/>
        <w:gridCol w:w="36"/>
        <w:gridCol w:w="36"/>
        <w:gridCol w:w="36"/>
        <w:gridCol w:w="36"/>
        <w:gridCol w:w="120"/>
        <w:gridCol w:w="951"/>
        <w:gridCol w:w="36"/>
      </w:tblGrid>
      <w:tr w:rsidR="00000000">
        <w:trPr>
          <w:divId w:val="1837959518"/>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83795951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83795951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83795951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8379595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Expected income tax (expense) benefit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Non-taxable investment income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Tax audit interest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 income taxes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Tax settlements/uncertain tax position release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Tax credits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37959518"/>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83795951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83795951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 (expense) benefit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(499)</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636639051"/>
        <w:rPr>
          <w:rFonts w:eastAsia="Times New Roman"/>
        </w:rPr>
      </w:pPr>
      <w:r>
        <w:rPr>
          <w:rFonts w:eastAsia="Times New Roman"/>
          <w:color w:val="000000"/>
          <w:sz w:val="20"/>
          <w:szCs w:val="20"/>
        </w:rPr>
        <w:t>During the fourth quarter of 2020, the Company agreed to the Internal Revenue Service’s Revenue Agent’</w:t>
      </w:r>
      <w:r>
        <w:rPr>
          <w:rFonts w:eastAsia="Times New Roman"/>
          <w:color w:val="000000"/>
          <w:sz w:val="20"/>
          <w:szCs w:val="20"/>
        </w:rPr>
        <w:t>s Report for its consolidated 2010 through 2013 Federal corporate income tax returns. The impact on the Company’s financial statements and unrecognized tax benefits was a tax benefit of $398 million.</w:t>
      </w:r>
    </w:p>
    <w:p w:rsidR="00000000" w:rsidRDefault="00E54EC0">
      <w:pPr>
        <w:divId w:val="1381858567"/>
        <w:rPr>
          <w:rFonts w:eastAsia="Times New Roman"/>
        </w:rPr>
      </w:pPr>
      <w:r>
        <w:rPr>
          <w:rFonts w:eastAsia="Times New Roman"/>
          <w:color w:val="000000"/>
          <w:sz w:val="20"/>
          <w:szCs w:val="20"/>
        </w:rPr>
        <w:t>The components of the net deferred income taxes are as f</w:t>
      </w:r>
      <w:r>
        <w:rPr>
          <w:rFonts w:eastAsia="Times New Roman"/>
          <w:color w:val="000000"/>
          <w:sz w:val="20"/>
          <w:szCs w:val="20"/>
        </w:rPr>
        <w:t>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898"/>
        <w:gridCol w:w="36"/>
        <w:gridCol w:w="120"/>
        <w:gridCol w:w="878"/>
        <w:gridCol w:w="36"/>
        <w:gridCol w:w="36"/>
        <w:gridCol w:w="36"/>
        <w:gridCol w:w="36"/>
        <w:gridCol w:w="121"/>
        <w:gridCol w:w="835"/>
        <w:gridCol w:w="36"/>
        <w:gridCol w:w="36"/>
        <w:gridCol w:w="36"/>
        <w:gridCol w:w="36"/>
        <w:gridCol w:w="120"/>
        <w:gridCol w:w="836"/>
        <w:gridCol w:w="36"/>
        <w:gridCol w:w="36"/>
        <w:gridCol w:w="36"/>
        <w:gridCol w:w="36"/>
        <w:gridCol w:w="121"/>
        <w:gridCol w:w="836"/>
        <w:gridCol w:w="36"/>
      </w:tblGrid>
      <w:tr w:rsidR="00000000">
        <w:trPr>
          <w:divId w:val="20977948"/>
        </w:trPr>
        <w:tc>
          <w:tcPr>
            <w:tcW w:w="50" w:type="pct"/>
            <w:vAlign w:val="center"/>
            <w:hideMark/>
          </w:tcPr>
          <w:p w:rsidR="00000000" w:rsidRDefault="00E54EC0">
            <w:pPr>
              <w:rPr>
                <w:rFonts w:eastAsia="Times New Roman"/>
              </w:rPr>
            </w:pPr>
          </w:p>
        </w:tc>
        <w:tc>
          <w:tcPr>
            <w:tcW w:w="237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97794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2097794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2097794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Assets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xml:space="preserve">Liabilities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 xml:space="preserve">Assets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 xml:space="preserve">Liabilities </w:t>
            </w:r>
          </w:p>
        </w:tc>
      </w:tr>
      <w:tr w:rsidR="00000000">
        <w:trPr>
          <w:divId w:val="2097794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09779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Compensation and related benefits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operating loss and credits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Reserves and reinsurance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DAC</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Unrealized investment gains/losses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209779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Valuation allowance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(1,570)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97794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170875143"/>
        <w:rPr>
          <w:rFonts w:eastAsia="Times New Roman"/>
        </w:rPr>
      </w:pPr>
      <w:r>
        <w:rPr>
          <w:rFonts w:eastAsia="Times New Roman"/>
          <w:color w:val="000000"/>
          <w:sz w:val="20"/>
          <w:szCs w:val="20"/>
        </w:rPr>
        <w:t>During the fourth quarter of 2022, the Company established a valuation allowance of $1.6</w:t>
      </w:r>
      <w:r>
        <w:rPr>
          <w:rFonts w:eastAsia="Times New Roman"/>
          <w:color w:val="000000"/>
          <w:sz w:val="20"/>
          <w:szCs w:val="20"/>
        </w:rPr>
        <w:t xml:space="preserve"> billion against its deferred tax assets related to unrealized capital losses in the available-for-sale securities portfolio. When assessing recoverability, the Company considers its ability and intent to hold the underlying securities to recovery. The rec</w:t>
      </w:r>
      <w:r>
        <w:rPr>
          <w:rFonts w:eastAsia="Times New Roman"/>
          <w:color w:val="000000"/>
          <w:sz w:val="20"/>
          <w:szCs w:val="20"/>
        </w:rPr>
        <w:t>ent increase in interest rates caused the portfolio to swing to an unrealized loss position. Due to the potential need for liquidity in a macro stress environment, the Company does not currently have the intent to hold the underlying securities to recovery</w:t>
      </w:r>
      <w:r>
        <w:rPr>
          <w:rFonts w:eastAsia="Times New Roman"/>
          <w:color w:val="000000"/>
          <w:sz w:val="20"/>
          <w:szCs w:val="20"/>
        </w:rPr>
        <w:t>. Based on all available evidence, as of December 31, 2022, the Company concluded that a valuation allowance should be established on the deferred tax assets related to unrealized tax capital losses, net of realized capital gains, that are not more-likely-</w:t>
      </w:r>
      <w:r>
        <w:rPr>
          <w:rFonts w:eastAsia="Times New Roman"/>
          <w:color w:val="000000"/>
          <w:sz w:val="20"/>
          <w:szCs w:val="20"/>
        </w:rPr>
        <w:t>than-not to be realized.</w:t>
      </w:r>
    </w:p>
    <w:p w:rsidR="00000000" w:rsidRDefault="00E54EC0">
      <w:pPr>
        <w:jc w:val="center"/>
        <w:divId w:val="1230767865"/>
        <w:rPr>
          <w:rFonts w:eastAsia="Times New Roman"/>
        </w:rPr>
      </w:pPr>
      <w:r>
        <w:rPr>
          <w:rFonts w:eastAsia="Times New Roman"/>
          <w:color w:val="000000"/>
          <w:sz w:val="20"/>
          <w:szCs w:val="20"/>
        </w:rPr>
        <w:t>215</w:t>
      </w:r>
    </w:p>
    <w:p w:rsidR="00000000" w:rsidRDefault="00E54EC0">
      <w:pPr>
        <w:rPr>
          <w:rFonts w:eastAsia="Times New Roman"/>
        </w:rPr>
      </w:pPr>
      <w:r>
        <w:rPr>
          <w:rFonts w:eastAsia="Times New Roman"/>
        </w:rPr>
        <w:pict>
          <v:rect id="_x0000_i1253" style="width:0;height:1.5pt" o:hralign="center" o:hrstd="t" o:hr="t" fillcolor="#a0a0a0" stroked="f"/>
        </w:pict>
      </w:r>
    </w:p>
    <w:p w:rsidR="00000000" w:rsidRDefault="00E54EC0">
      <w:pPr>
        <w:jc w:val="center"/>
        <w:divId w:val="1938445026"/>
        <w:rPr>
          <w:rFonts w:eastAsia="Times New Roman"/>
        </w:rPr>
      </w:pPr>
      <w:r>
        <w:rPr>
          <w:rFonts w:eastAsia="Times New Roman"/>
          <w:b/>
          <w:bCs/>
          <w:color w:val="000000"/>
          <w:sz w:val="20"/>
          <w:szCs w:val="20"/>
        </w:rPr>
        <w:t>EQUITABLE HOLDINGS, INC.</w:t>
      </w:r>
    </w:p>
    <w:p w:rsidR="00000000" w:rsidRDefault="00E54EC0">
      <w:pPr>
        <w:jc w:val="center"/>
        <w:divId w:val="1938445026"/>
        <w:rPr>
          <w:rFonts w:eastAsia="Times New Roman"/>
        </w:rPr>
      </w:pPr>
      <w:r>
        <w:rPr>
          <w:rFonts w:eastAsia="Times New Roman"/>
          <w:b/>
          <w:bCs/>
          <w:color w:val="000000"/>
          <w:sz w:val="20"/>
          <w:szCs w:val="20"/>
        </w:rPr>
        <w:t>NOTES TO CONSOLIDATED FINANCIAL STATEMENTS, continued</w:t>
      </w:r>
    </w:p>
    <w:p w:rsidR="00000000" w:rsidRDefault="00E54EC0">
      <w:pPr>
        <w:divId w:val="1079058400"/>
        <w:rPr>
          <w:rFonts w:eastAsia="Times New Roman"/>
        </w:rPr>
      </w:pPr>
      <w:r>
        <w:rPr>
          <w:rFonts w:eastAsia="Times New Roman"/>
          <w:color w:val="000000"/>
          <w:sz w:val="20"/>
          <w:szCs w:val="20"/>
        </w:rPr>
        <w:t>The Company has Federal net operating loss carryforwards of $810 million and $2.7 billion, for the years ending</w:t>
      </w:r>
      <w:r>
        <w:rPr>
          <w:rFonts w:eastAsia="Times New Roman"/>
          <w:color w:val="000000"/>
          <w:sz w:val="20"/>
          <w:szCs w:val="20"/>
        </w:rPr>
        <w:t xml:space="preserve"> December 31, 2022 and 2021, respectively, which do not expire. </w:t>
      </w:r>
    </w:p>
    <w:p w:rsidR="00000000" w:rsidRDefault="00E54EC0">
      <w:pPr>
        <w:divId w:val="1987009318"/>
        <w:rPr>
          <w:rFonts w:eastAsia="Times New Roman"/>
        </w:rPr>
      </w:pPr>
    </w:p>
    <w:p w:rsidR="00000000" w:rsidRDefault="00E54EC0">
      <w:pPr>
        <w:divId w:val="1578398139"/>
        <w:rPr>
          <w:rFonts w:eastAsia="Times New Roman"/>
        </w:rPr>
      </w:pPr>
      <w:r>
        <w:rPr>
          <w:rFonts w:eastAsia="Times New Roman"/>
          <w:color w:val="000000"/>
          <w:sz w:val="20"/>
          <w:szCs w:val="20"/>
        </w:rPr>
        <w:t>The Company provides income taxes on the unremitted earnings of non-U.S. corporate subsidiaries except to the extent that such earnings are indefinitely reinvested outside the United States</w:t>
      </w:r>
      <w:r>
        <w:rPr>
          <w:rFonts w:eastAsia="Times New Roman"/>
          <w:color w:val="000000"/>
          <w:sz w:val="20"/>
          <w:szCs w:val="20"/>
        </w:rPr>
        <w:t xml:space="preserve">. As of December 31, 2022, $30 million of undistributed earnings of non-U.S. corporate subsidiaries were permanently invested outside the United States. At existing applicable income tax rates, additional taxes of approximately $8 million would need to be </w:t>
      </w:r>
      <w:r>
        <w:rPr>
          <w:rFonts w:eastAsia="Times New Roman"/>
          <w:color w:val="000000"/>
          <w:sz w:val="20"/>
          <w:szCs w:val="20"/>
        </w:rPr>
        <w:t xml:space="preserve">provided if such earnings are remitted. </w:t>
      </w:r>
    </w:p>
    <w:p w:rsidR="00000000" w:rsidRDefault="00E54EC0">
      <w:pPr>
        <w:divId w:val="1285162313"/>
        <w:rPr>
          <w:rFonts w:eastAsia="Times New Roman"/>
        </w:rPr>
      </w:pPr>
      <w:r>
        <w:rPr>
          <w:rFonts w:eastAsia="Times New Roman"/>
          <w:color w:val="000000"/>
          <w:sz w:val="20"/>
          <w:szCs w:val="20"/>
        </w:rPr>
        <w:t>A reconciliation of unrecognized tax benefits (excluding interest and penalties)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655"/>
        <w:gridCol w:w="39"/>
        <w:gridCol w:w="120"/>
        <w:gridCol w:w="989"/>
        <w:gridCol w:w="36"/>
        <w:gridCol w:w="36"/>
        <w:gridCol w:w="36"/>
        <w:gridCol w:w="36"/>
        <w:gridCol w:w="120"/>
        <w:gridCol w:w="948"/>
        <w:gridCol w:w="36"/>
        <w:gridCol w:w="36"/>
        <w:gridCol w:w="36"/>
        <w:gridCol w:w="36"/>
        <w:gridCol w:w="120"/>
        <w:gridCol w:w="951"/>
        <w:gridCol w:w="36"/>
      </w:tblGrid>
      <w:tr w:rsidR="00000000">
        <w:trPr>
          <w:divId w:val="771438139"/>
        </w:trPr>
        <w:tc>
          <w:tcPr>
            <w:tcW w:w="50" w:type="pct"/>
            <w:vAlign w:val="center"/>
            <w:hideMark/>
          </w:tcPr>
          <w:p w:rsidR="00000000" w:rsidRDefault="00E54EC0">
            <w:pP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7143813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71438139"/>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77143813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Balance at January 1,</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143813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Additions for tax positions of prior years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143813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Reductions for tax positions of prior years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143813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Additions for tax positions of current year</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143813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Settlements with tax authorities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143813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Balance at December 31, </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1438139"/>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143813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Unrecognized tax benefits that, if recognized, would impact the effective rate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526067990"/>
        <w:rPr>
          <w:rFonts w:eastAsia="Times New Roman"/>
        </w:rPr>
      </w:pPr>
      <w:r>
        <w:rPr>
          <w:rFonts w:eastAsia="Times New Roman"/>
          <w:color w:val="000000"/>
          <w:sz w:val="20"/>
          <w:szCs w:val="20"/>
        </w:rPr>
        <w:t>The Company recognizes accrued interest and penalties related to unrecognized tax benefits in tax expense. Interest and penalties included in the amounts of unrecognized tax benefits as of December 31, 2022</w:t>
      </w:r>
      <w:r>
        <w:rPr>
          <w:rFonts w:eastAsia="Times New Roman"/>
          <w:color w:val="000000"/>
          <w:sz w:val="20"/>
          <w:szCs w:val="20"/>
        </w:rPr>
        <w:t xml:space="preserve"> and 2021 were $63 million and $50 million, respectively. For 2022, 2021 and 2020, respectively, there were $13 million, $14 million and ($60) million in interest expense (benefit) related to unrecognized tax benefits.</w:t>
      </w:r>
    </w:p>
    <w:p w:rsidR="00000000" w:rsidRDefault="00E54EC0">
      <w:pPr>
        <w:divId w:val="1002320745"/>
        <w:rPr>
          <w:rFonts w:eastAsia="Times New Roman"/>
        </w:rPr>
      </w:pPr>
      <w:r>
        <w:rPr>
          <w:rFonts w:eastAsia="Times New Roman"/>
          <w:color w:val="000000"/>
          <w:sz w:val="20"/>
          <w:szCs w:val="20"/>
        </w:rPr>
        <w:t>It is reasonably possible that the to</w:t>
      </w:r>
      <w:r>
        <w:rPr>
          <w:rFonts w:eastAsia="Times New Roman"/>
          <w:color w:val="000000"/>
          <w:sz w:val="20"/>
          <w:szCs w:val="20"/>
        </w:rPr>
        <w:t xml:space="preserve">tal amount of unrecognized tax benefits will change within the next 12 months due to the conclusion of IRS proceedings and the addition of new issues for open tax years. The possible change in the amount of unrecognized tax benefits cannot be estimated at </w:t>
      </w:r>
      <w:r>
        <w:rPr>
          <w:rFonts w:eastAsia="Times New Roman"/>
          <w:color w:val="000000"/>
          <w:sz w:val="20"/>
          <w:szCs w:val="20"/>
        </w:rPr>
        <w:t>this time.</w:t>
      </w:r>
    </w:p>
    <w:p w:rsidR="00000000" w:rsidRDefault="00E54EC0">
      <w:pPr>
        <w:divId w:val="1832326984"/>
        <w:rPr>
          <w:rFonts w:eastAsia="Times New Roman"/>
        </w:rPr>
      </w:pPr>
      <w:r>
        <w:rPr>
          <w:rFonts w:eastAsia="Times New Roman"/>
          <w:color w:val="000000"/>
          <w:sz w:val="20"/>
          <w:szCs w:val="20"/>
        </w:rPr>
        <w:t>As of December 31, 2022, tax years 2014 and subsequent remain subject to examination by the IRS.</w:t>
      </w:r>
    </w:p>
    <w:p w:rsidR="00000000" w:rsidRDefault="00E54EC0">
      <w:pPr>
        <w:divId w:val="826239489"/>
        <w:rPr>
          <w:rFonts w:eastAsia="Times New Roman"/>
        </w:rPr>
      </w:pPr>
      <w:r>
        <w:rPr>
          <w:rFonts w:eastAsia="Times New Roman"/>
          <w:b/>
          <w:bCs/>
          <w:color w:val="000000"/>
          <w:sz w:val="20"/>
          <w:szCs w:val="20"/>
        </w:rPr>
        <w:t>17)    COMMITMENTS AND CONTINGENT LIABILITIES</w:t>
      </w:r>
    </w:p>
    <w:p w:rsidR="00000000" w:rsidRDefault="00E54EC0">
      <w:pPr>
        <w:divId w:val="1232079127"/>
        <w:rPr>
          <w:rFonts w:eastAsia="Times New Roman"/>
        </w:rPr>
      </w:pPr>
      <w:r>
        <w:rPr>
          <w:rFonts w:eastAsia="Times New Roman"/>
          <w:color w:val="000000"/>
          <w:sz w:val="20"/>
          <w:szCs w:val="20"/>
          <w:u w:val="single"/>
        </w:rPr>
        <w:t>Litigation and Regulatory Matters</w:t>
      </w:r>
    </w:p>
    <w:p w:rsidR="00000000" w:rsidRDefault="00E54EC0">
      <w:pPr>
        <w:divId w:val="850097996"/>
        <w:rPr>
          <w:rFonts w:eastAsia="Times New Roman"/>
        </w:rPr>
      </w:pPr>
      <w:r>
        <w:rPr>
          <w:rFonts w:eastAsia="Times New Roman"/>
          <w:color w:val="000000"/>
          <w:sz w:val="20"/>
          <w:szCs w:val="20"/>
        </w:rPr>
        <w:t>Litigation, regulatory and other loss contingencies arise in the ord</w:t>
      </w:r>
      <w:r>
        <w:rPr>
          <w:rFonts w:eastAsia="Times New Roman"/>
          <w:color w:val="000000"/>
          <w:sz w:val="20"/>
          <w:szCs w:val="20"/>
        </w:rPr>
        <w:t>inary course of the Company’s activities as a diversified financial services firm. The Company is a defendant in a number of litigation matters arising from the conduct of its business. In some of these matters, claimants seek to recover very large or inde</w:t>
      </w:r>
      <w:r>
        <w:rPr>
          <w:rFonts w:eastAsia="Times New Roman"/>
          <w:color w:val="000000"/>
          <w:sz w:val="20"/>
          <w:szCs w:val="20"/>
        </w:rPr>
        <w:t>terminate amounts, including compensatory, punitive, treble and exemplary damages. Modern pleading practice permits considerable variation in the assertion of monetary damages and other relief. Claimants are not always required to specify the monetary dama</w:t>
      </w:r>
      <w:r>
        <w:rPr>
          <w:rFonts w:eastAsia="Times New Roman"/>
          <w:color w:val="000000"/>
          <w:sz w:val="20"/>
          <w:szCs w:val="20"/>
        </w:rPr>
        <w:t>ges they seek, or they may be required only to state an amount sufficient to meet a court’s jurisdictional requirements. Moreover, some jurisdictions allow claimants to allege monetary damages that far exceed any reasonably possible verdict. The variabilit</w:t>
      </w:r>
      <w:r>
        <w:rPr>
          <w:rFonts w:eastAsia="Times New Roman"/>
          <w:color w:val="000000"/>
          <w:sz w:val="20"/>
          <w:szCs w:val="20"/>
        </w:rPr>
        <w:t>y in pleading requirements and past experience demonstrates that the monetary and other relief that may be requested in a lawsuit or claim often bears little relevance to the merits or potential value of a claim. Litigation against the Company includes a v</w:t>
      </w:r>
      <w:r>
        <w:rPr>
          <w:rFonts w:eastAsia="Times New Roman"/>
          <w:color w:val="000000"/>
          <w:sz w:val="20"/>
          <w:szCs w:val="20"/>
        </w:rPr>
        <w:t>ariety of claims including, among other things, insurers’ sales practices, alleged agent misconduct, alleged failure to properly supervise agents, contract administration, product design, features and accompanying disclosure, cost of insurance increases, p</w:t>
      </w:r>
      <w:r>
        <w:rPr>
          <w:rFonts w:eastAsia="Times New Roman"/>
          <w:color w:val="000000"/>
          <w:sz w:val="20"/>
          <w:szCs w:val="20"/>
        </w:rPr>
        <w:t>ayments of death benefits and the reporting and escheatment of unclaimed property, alleged breach of fiduciary duties, alleged mismanagement of client funds and other matters.</w:t>
      </w:r>
    </w:p>
    <w:p w:rsidR="00000000" w:rsidRDefault="00E54EC0">
      <w:pPr>
        <w:divId w:val="1455951238"/>
        <w:rPr>
          <w:rFonts w:eastAsia="Times New Roman"/>
        </w:rPr>
      </w:pPr>
      <w:r>
        <w:rPr>
          <w:rFonts w:eastAsia="Times New Roman"/>
          <w:color w:val="000000"/>
          <w:sz w:val="20"/>
          <w:szCs w:val="20"/>
        </w:rPr>
        <w:t>The outcome of a litigation or regulatory matter is difficult to predict, and th</w:t>
      </w:r>
      <w:r>
        <w:rPr>
          <w:rFonts w:eastAsia="Times New Roman"/>
          <w:color w:val="000000"/>
          <w:sz w:val="20"/>
          <w:szCs w:val="20"/>
        </w:rPr>
        <w:t>e amount or range of potential losses associated with these or other loss contingencies requires significant management judgment. It is not possible to predict the ultimate outcome or to provide reasonably possible losses or ranges of losses for all pendin</w:t>
      </w:r>
      <w:r>
        <w:rPr>
          <w:rFonts w:eastAsia="Times New Roman"/>
          <w:color w:val="000000"/>
          <w:sz w:val="20"/>
          <w:szCs w:val="20"/>
        </w:rPr>
        <w:t>g regulatory matters, litigation and other loss contingencies. While it is possible that an adverse outcome in certain cases could have a material adverse effect upon the Company’s financial position, based on information currently known, management believ</w:t>
      </w:r>
      <w:r>
        <w:rPr>
          <w:rFonts w:eastAsia="Times New Roman"/>
          <w:color w:val="000000"/>
          <w:sz w:val="20"/>
          <w:szCs w:val="20"/>
        </w:rPr>
        <w:t xml:space="preserve">es that neither the outcome of pending litigation and regulatory matters, nor potential liabilities associated with </w:t>
      </w:r>
    </w:p>
    <w:p w:rsidR="00000000" w:rsidRDefault="00E54EC0">
      <w:pPr>
        <w:jc w:val="center"/>
        <w:divId w:val="1516924050"/>
        <w:rPr>
          <w:rFonts w:eastAsia="Times New Roman"/>
        </w:rPr>
      </w:pPr>
      <w:r>
        <w:rPr>
          <w:rFonts w:eastAsia="Times New Roman"/>
          <w:color w:val="000000"/>
          <w:sz w:val="20"/>
          <w:szCs w:val="20"/>
        </w:rPr>
        <w:t>216</w:t>
      </w:r>
    </w:p>
    <w:p w:rsidR="00000000" w:rsidRDefault="00E54EC0">
      <w:pPr>
        <w:rPr>
          <w:rFonts w:eastAsia="Times New Roman"/>
        </w:rPr>
      </w:pPr>
      <w:r>
        <w:rPr>
          <w:rFonts w:eastAsia="Times New Roman"/>
        </w:rPr>
        <w:pict>
          <v:rect id="_x0000_i1254" style="width:0;height:1.5pt" o:hralign="center" o:hrstd="t" o:hr="t" fillcolor="#a0a0a0" stroked="f"/>
        </w:pict>
      </w:r>
    </w:p>
    <w:p w:rsidR="00000000" w:rsidRDefault="00E54EC0">
      <w:pPr>
        <w:jc w:val="center"/>
        <w:divId w:val="950471967"/>
        <w:rPr>
          <w:rFonts w:eastAsia="Times New Roman"/>
        </w:rPr>
      </w:pPr>
      <w:r>
        <w:rPr>
          <w:rFonts w:eastAsia="Times New Roman"/>
          <w:b/>
          <w:bCs/>
          <w:color w:val="000000"/>
          <w:sz w:val="20"/>
          <w:szCs w:val="20"/>
        </w:rPr>
        <w:t>EQUITABLE HOLDINGS, INC.</w:t>
      </w:r>
    </w:p>
    <w:p w:rsidR="00000000" w:rsidRDefault="00E54EC0">
      <w:pPr>
        <w:jc w:val="center"/>
        <w:divId w:val="950471967"/>
        <w:rPr>
          <w:rFonts w:eastAsia="Times New Roman"/>
        </w:rPr>
      </w:pPr>
      <w:r>
        <w:rPr>
          <w:rFonts w:eastAsia="Times New Roman"/>
          <w:b/>
          <w:bCs/>
          <w:color w:val="000000"/>
          <w:sz w:val="20"/>
          <w:szCs w:val="20"/>
        </w:rPr>
        <w:t>NOTES TO CONSOLIDATED FINANCIAL STATEMENTS, continued</w:t>
      </w:r>
    </w:p>
    <w:p w:rsidR="00000000" w:rsidRDefault="00E54EC0">
      <w:pPr>
        <w:divId w:val="1864636478"/>
        <w:rPr>
          <w:rFonts w:eastAsia="Times New Roman"/>
        </w:rPr>
      </w:pPr>
      <w:r>
        <w:rPr>
          <w:rFonts w:eastAsia="Times New Roman"/>
          <w:color w:val="000000"/>
          <w:sz w:val="20"/>
          <w:szCs w:val="20"/>
        </w:rPr>
        <w:t>other loss contingencies, are likely to have such an effect. However, given the large and indeterminate amounts sought in certain litigation and the inherent unpredictability of all such matters, it is possible that an adverse outcome in certain of the Com</w:t>
      </w:r>
      <w:r>
        <w:rPr>
          <w:rFonts w:eastAsia="Times New Roman"/>
          <w:color w:val="000000"/>
          <w:sz w:val="20"/>
          <w:szCs w:val="20"/>
        </w:rPr>
        <w:t>pany’s litigation or regulatory matters, or liabilities arising from other loss contingencies, could, from time to time, have a material adverse effect upon the Company’s results of operations or cash flows in a particular quarterly or annual period.</w:t>
      </w:r>
    </w:p>
    <w:p w:rsidR="00000000" w:rsidRDefault="00E54EC0">
      <w:pPr>
        <w:divId w:val="90929982"/>
        <w:rPr>
          <w:rFonts w:eastAsia="Times New Roman"/>
        </w:rPr>
      </w:pPr>
      <w:r>
        <w:rPr>
          <w:rFonts w:eastAsia="Times New Roman"/>
          <w:color w:val="000000"/>
          <w:sz w:val="20"/>
          <w:szCs w:val="20"/>
        </w:rPr>
        <w:t>For s</w:t>
      </w:r>
      <w:r>
        <w:rPr>
          <w:rFonts w:eastAsia="Times New Roman"/>
          <w:color w:val="000000"/>
          <w:sz w:val="20"/>
          <w:szCs w:val="20"/>
        </w:rPr>
        <w:t>ome matters, the Company is able to estimate a range of loss. For such matters in which a loss is probable, an accrual has been made. For matters where the Company believes a loss is reasonably possible, but not probable, no accrual is required. For matter</w:t>
      </w:r>
      <w:r>
        <w:rPr>
          <w:rFonts w:eastAsia="Times New Roman"/>
          <w:color w:val="000000"/>
          <w:sz w:val="20"/>
          <w:szCs w:val="20"/>
        </w:rPr>
        <w:t>s for which an accrual has been made, but there remains a reasonably possible range of loss in excess of the amounts accrued or for matters where no accrual is required, the Company develops an estimate of the unaccrued amounts of the reasonably possible r</w:t>
      </w:r>
      <w:r>
        <w:rPr>
          <w:rFonts w:eastAsia="Times New Roman"/>
          <w:color w:val="000000"/>
          <w:sz w:val="20"/>
          <w:szCs w:val="20"/>
        </w:rPr>
        <w:t>ange of losses. As of December 31, 2022, the Company estimates the aggregate range of reasonably possible losses, in excess of any amounts accrued for these matters as of such date, to be up to approximately $250 million.</w:t>
      </w:r>
    </w:p>
    <w:p w:rsidR="00000000" w:rsidRDefault="00E54EC0">
      <w:pPr>
        <w:divId w:val="913707086"/>
        <w:rPr>
          <w:rFonts w:eastAsia="Times New Roman"/>
        </w:rPr>
      </w:pPr>
      <w:r>
        <w:rPr>
          <w:rFonts w:eastAsia="Times New Roman"/>
          <w:color w:val="000000"/>
          <w:sz w:val="20"/>
          <w:szCs w:val="20"/>
        </w:rPr>
        <w:t xml:space="preserve">For other matters, the Company is </w:t>
      </w:r>
      <w:r>
        <w:rPr>
          <w:rFonts w:eastAsia="Times New Roman"/>
          <w:color w:val="000000"/>
          <w:sz w:val="20"/>
          <w:szCs w:val="20"/>
        </w:rPr>
        <w:t>currently not able to estimate the reasonably possible loss or range of loss. The Company is often unable to estimate the possible loss or range of loss until developments in such matters have provided sufficient information to support an assessment of the</w:t>
      </w:r>
      <w:r>
        <w:rPr>
          <w:rFonts w:eastAsia="Times New Roman"/>
          <w:color w:val="000000"/>
          <w:sz w:val="20"/>
          <w:szCs w:val="20"/>
        </w:rPr>
        <w:t xml:space="preserve"> range of possible loss, such as quantification of a damage demand from plaintiffs, discovery from plaintiffs and other parties, investigation of factual allegations, rulings by a court on motions or appeals, analysis by experts and the progress of settlem</w:t>
      </w:r>
      <w:r>
        <w:rPr>
          <w:rFonts w:eastAsia="Times New Roman"/>
          <w:color w:val="000000"/>
          <w:sz w:val="20"/>
          <w:szCs w:val="20"/>
        </w:rPr>
        <w:t>ent discussions. On a quarterly and annual basis, the Company reviews relevant information with respect to litigation and regulatory contingencies and updates the Company’s accruals, disclosures and reasonably possible losses or ranges of loss based on suc</w:t>
      </w:r>
      <w:r>
        <w:rPr>
          <w:rFonts w:eastAsia="Times New Roman"/>
          <w:color w:val="000000"/>
          <w:sz w:val="20"/>
          <w:szCs w:val="20"/>
        </w:rPr>
        <w:t>h reviews.</w:t>
      </w:r>
    </w:p>
    <w:p w:rsidR="00000000" w:rsidRDefault="00E54EC0">
      <w:pPr>
        <w:divId w:val="161358935"/>
        <w:rPr>
          <w:rFonts w:eastAsia="Times New Roman"/>
        </w:rPr>
      </w:pPr>
      <w:r>
        <w:rPr>
          <w:rFonts w:eastAsia="Times New Roman"/>
          <w:color w:val="000000"/>
          <w:sz w:val="20"/>
          <w:szCs w:val="20"/>
        </w:rPr>
        <w:t>In February 2016, a lawsuit was filed in the Southern District of New York entitled Brach Family Foundation, Inc. v. AXA Equitable Life Insurance Company. This lawsuit is a putative class action brought on behalf of all owners of UL policies sub</w:t>
      </w:r>
      <w:r>
        <w:rPr>
          <w:rFonts w:eastAsia="Times New Roman"/>
          <w:color w:val="000000"/>
          <w:sz w:val="20"/>
          <w:szCs w:val="20"/>
        </w:rPr>
        <w:t>ject to Equitable Financial’s COI rate increase. In early 2016, Equitable Financial raised COI rates for certain UL policies issued between 2004 and 2008, which had both issue ages 70 and above and a current face value amount of $1 million and above. A sec</w:t>
      </w:r>
      <w:r>
        <w:rPr>
          <w:rFonts w:eastAsia="Times New Roman"/>
          <w:color w:val="000000"/>
          <w:sz w:val="20"/>
          <w:szCs w:val="20"/>
        </w:rPr>
        <w:t>ond putative class action was filed in the District of Arizona in 2017 and consolidated with the Brach matter in federal court in New York. The consolidated amended class action complaint alleges the following claims: breach of contract; misrepresentations</w:t>
      </w:r>
      <w:r>
        <w:rPr>
          <w:rFonts w:eastAsia="Times New Roman"/>
          <w:color w:val="000000"/>
          <w:sz w:val="20"/>
          <w:szCs w:val="20"/>
        </w:rPr>
        <w:t xml:space="preserve"> in violation of Section 4226 of the New York Insurance Law; violations of New York General Business Law Section 349; and violations of the California Unfair Competition Law, and the California Elder Abuse Statute. Plaintiffs seek: (a) compensatory damages</w:t>
      </w:r>
      <w:r>
        <w:rPr>
          <w:rFonts w:eastAsia="Times New Roman"/>
          <w:color w:val="000000"/>
          <w:sz w:val="20"/>
          <w:szCs w:val="20"/>
        </w:rPr>
        <w:t>, costs, and, pre- and post-judgment interest; (b) with respect to their claim concerning Section 4226, a penalty in the amount of premiums paid by the plaintiffs and the putative class; and (c) injunctive relief and attorneys’ fees in connection with thei</w:t>
      </w:r>
      <w:r>
        <w:rPr>
          <w:rFonts w:eastAsia="Times New Roman"/>
          <w:color w:val="000000"/>
          <w:sz w:val="20"/>
          <w:szCs w:val="20"/>
        </w:rPr>
        <w:t>r statutory claims. In August 2020, the federal district court issued a decision certifying nationwide breach of contract and Section 4226 classes, and a New York State Section 349 class. Owners of a substantial number of policies opted out of the Brach cl</w:t>
      </w:r>
      <w:r>
        <w:rPr>
          <w:rFonts w:eastAsia="Times New Roman"/>
          <w:color w:val="000000"/>
          <w:sz w:val="20"/>
          <w:szCs w:val="20"/>
        </w:rPr>
        <w:t>ass action. Most opt-out policies are not yet the subject of litigation. Others filed suit previously including three federal actions that have been coordinated with the Brach action and contain similar allegations along with additional allegations for vio</w:t>
      </w:r>
      <w:r>
        <w:rPr>
          <w:rFonts w:eastAsia="Times New Roman"/>
          <w:color w:val="000000"/>
          <w:sz w:val="20"/>
          <w:szCs w:val="20"/>
        </w:rPr>
        <w:t xml:space="preserve">lations of state consumer protection statutes and common law fraud. In March 2022, the federal district court issued a summary judgment decision, denying in significant part but granting in part Equitable Financial’s motion and denying the motion filed by </w:t>
      </w:r>
      <w:r>
        <w:rPr>
          <w:rFonts w:eastAsia="Times New Roman"/>
          <w:color w:val="000000"/>
          <w:sz w:val="20"/>
          <w:szCs w:val="20"/>
        </w:rPr>
        <w:t>plaintiffs in the coordinated actions. In July 2022, the federal district court granted Equitable Financial’s motion to reconsider its summary judgment decision in part and granted summary judgment as to a portion of the Section 4226 class. The federal dis</w:t>
      </w:r>
      <w:r>
        <w:rPr>
          <w:rFonts w:eastAsia="Times New Roman"/>
          <w:color w:val="000000"/>
          <w:sz w:val="20"/>
          <w:szCs w:val="20"/>
        </w:rPr>
        <w:t>trict court also agreed to consider whether it should decertify the Section 4226 class. In January 2023, the federal district court declined to decertify the class and instead modified it to replace certain class members. Beginning October 30, 2023, the fe</w:t>
      </w:r>
      <w:r>
        <w:rPr>
          <w:rFonts w:eastAsia="Times New Roman"/>
          <w:color w:val="000000"/>
          <w:sz w:val="20"/>
          <w:szCs w:val="20"/>
        </w:rPr>
        <w:t>deral district court will hold one consolidated trial for the Brach action and the three coordinated actions. Equitable Financial has commenced settlement discussions with the Brach class action plaintiffs and plaintiffs in the coordinated actions. No assu</w:t>
      </w:r>
      <w:r>
        <w:rPr>
          <w:rFonts w:eastAsia="Times New Roman"/>
          <w:color w:val="000000"/>
          <w:sz w:val="20"/>
          <w:szCs w:val="20"/>
        </w:rPr>
        <w:t xml:space="preserve">rances can be given about the outcome of those settlement discussions. Equitable Financial has settled actual and threatened litigations challenging the COI increase by individual policyowners and one entity that invested in numerous policies purchased in </w:t>
      </w:r>
      <w:r>
        <w:rPr>
          <w:rFonts w:eastAsia="Times New Roman"/>
          <w:color w:val="000000"/>
          <w:sz w:val="20"/>
          <w:szCs w:val="20"/>
        </w:rPr>
        <w:t>the life settlement market. Two actions are also pending against Equitable Financial in New York state court. In July 2022, the trial court in one of the New York state court actions, Hobish v. AXA Equitable Life Insurance Company, granted in significant p</w:t>
      </w:r>
      <w:r>
        <w:rPr>
          <w:rFonts w:eastAsia="Times New Roman"/>
          <w:color w:val="000000"/>
          <w:sz w:val="20"/>
          <w:szCs w:val="20"/>
        </w:rPr>
        <w:t>art Equitable Financial’s motion for summary judgment and denied plaintiff’s cross motion. That plaintiff filed a notice of appeal and Equitable filed a notice of cross-appeal. Equitable Financial is vigorously defending each of these matters.</w:t>
      </w:r>
    </w:p>
    <w:p w:rsidR="00000000" w:rsidRDefault="00E54EC0">
      <w:pPr>
        <w:divId w:val="957376069"/>
        <w:rPr>
          <w:rFonts w:eastAsia="Times New Roman"/>
        </w:rPr>
      </w:pPr>
      <w:r>
        <w:rPr>
          <w:rFonts w:eastAsia="Times New Roman"/>
          <w:color w:val="000000"/>
          <w:sz w:val="20"/>
          <w:szCs w:val="20"/>
        </w:rPr>
        <w:t>As with othe</w:t>
      </w:r>
      <w:r>
        <w:rPr>
          <w:rFonts w:eastAsia="Times New Roman"/>
          <w:color w:val="000000"/>
          <w:sz w:val="20"/>
          <w:szCs w:val="20"/>
        </w:rPr>
        <w:t>r financial services companies, Equitable Financial periodically receives informal and formal requests for information from various state and federal governmental agencies and self-regulatory organizations in connection with inquiries and investigations of</w:t>
      </w:r>
      <w:r>
        <w:rPr>
          <w:rFonts w:eastAsia="Times New Roman"/>
          <w:color w:val="000000"/>
          <w:sz w:val="20"/>
          <w:szCs w:val="20"/>
        </w:rPr>
        <w:t xml:space="preserve"> the products and practices of the Company or the financial services industry. It is the practice of the Company to cooperate fully in these matters. </w:t>
      </w:r>
    </w:p>
    <w:p w:rsidR="00000000" w:rsidRDefault="00E54EC0">
      <w:pPr>
        <w:jc w:val="center"/>
        <w:divId w:val="360057917"/>
        <w:rPr>
          <w:rFonts w:eastAsia="Times New Roman"/>
        </w:rPr>
      </w:pPr>
      <w:r>
        <w:rPr>
          <w:rFonts w:eastAsia="Times New Roman"/>
          <w:color w:val="000000"/>
          <w:sz w:val="20"/>
          <w:szCs w:val="20"/>
        </w:rPr>
        <w:t>217</w:t>
      </w:r>
    </w:p>
    <w:p w:rsidR="00000000" w:rsidRDefault="00E54EC0">
      <w:pPr>
        <w:rPr>
          <w:rFonts w:eastAsia="Times New Roman"/>
        </w:rPr>
      </w:pPr>
      <w:r>
        <w:rPr>
          <w:rFonts w:eastAsia="Times New Roman"/>
        </w:rPr>
        <w:pict>
          <v:rect id="_x0000_i1255" style="width:0;height:1.5pt" o:hralign="center" o:hrstd="t" o:hr="t" fillcolor="#a0a0a0" stroked="f"/>
        </w:pict>
      </w:r>
    </w:p>
    <w:p w:rsidR="00000000" w:rsidRDefault="00E54EC0">
      <w:pPr>
        <w:jc w:val="center"/>
        <w:divId w:val="2136677396"/>
        <w:rPr>
          <w:rFonts w:eastAsia="Times New Roman"/>
        </w:rPr>
      </w:pPr>
      <w:r>
        <w:rPr>
          <w:rFonts w:eastAsia="Times New Roman"/>
          <w:b/>
          <w:bCs/>
          <w:color w:val="000000"/>
          <w:sz w:val="20"/>
          <w:szCs w:val="20"/>
        </w:rPr>
        <w:t>EQUITABLE HOLDINGS, INC.</w:t>
      </w:r>
    </w:p>
    <w:p w:rsidR="00000000" w:rsidRDefault="00E54EC0">
      <w:pPr>
        <w:jc w:val="center"/>
        <w:divId w:val="2136677396"/>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 continued</w:t>
      </w:r>
    </w:p>
    <w:p w:rsidR="00000000" w:rsidRDefault="00E54EC0">
      <w:pPr>
        <w:divId w:val="1053776153"/>
        <w:rPr>
          <w:rFonts w:eastAsia="Times New Roman"/>
        </w:rPr>
      </w:pPr>
      <w:r>
        <w:rPr>
          <w:rFonts w:eastAsia="Times New Roman"/>
          <w:color w:val="000000"/>
          <w:sz w:val="20"/>
          <w:szCs w:val="20"/>
          <w:u w:val="single"/>
        </w:rPr>
        <w:t>Obligations under Funding Agreements</w:t>
      </w:r>
    </w:p>
    <w:p w:rsidR="00000000" w:rsidRDefault="00E54EC0">
      <w:pPr>
        <w:divId w:val="911817424"/>
        <w:rPr>
          <w:rFonts w:eastAsia="Times New Roman"/>
        </w:rPr>
      </w:pPr>
      <w:r>
        <w:rPr>
          <w:rFonts w:eastAsia="Times New Roman"/>
          <w:b/>
          <w:bCs/>
          <w:i/>
          <w:iCs/>
          <w:color w:val="000000"/>
          <w:sz w:val="20"/>
          <w:szCs w:val="20"/>
        </w:rPr>
        <w:t>Pre-Capitalized Trust Securities (“P-Caps”)</w:t>
      </w:r>
    </w:p>
    <w:p w:rsidR="00000000" w:rsidRDefault="00E54EC0">
      <w:pPr>
        <w:divId w:val="1483809752"/>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w:t>
      </w:r>
      <w:r>
        <w:rPr>
          <w:rFonts w:eastAsia="Times New Roman"/>
          <w:color w:val="000000"/>
          <w:sz w:val="20"/>
          <w:szCs w:val="20"/>
        </w:rPr>
        <w:t xml:space="preserve"> and the Trusts (as defined below), Pine Street Trust I, a Delaware statutory trust (the “2029 Trust”), completed the issuance and sale of 600,000 of its Pre-Capitalized Trust Securities redeemable February 15, 2029 (the “2029 P-Caps”) for an aggregate pur</w:t>
      </w:r>
      <w:r>
        <w:rPr>
          <w:rFonts w:eastAsia="Times New Roman"/>
          <w:color w:val="000000"/>
          <w:sz w:val="20"/>
          <w:szCs w:val="20"/>
        </w:rPr>
        <w:t xml:space="preserve">chase price of $600 million and Pine Street Trust II, a Delaware statutory trust (the “2049 Trust” and, together with the 2029 Trust, the “Trusts”), completed the issuance and sale of 400,000 of its Pre-Capitalized Trust Securities redeemable February 15, </w:t>
      </w:r>
      <w:r>
        <w:rPr>
          <w:rFonts w:eastAsia="Times New Roman"/>
          <w:color w:val="000000"/>
          <w:sz w:val="20"/>
          <w:szCs w:val="20"/>
        </w:rPr>
        <w:t>2049 (the “2049 P-Caps” and, together with the 2029 P-Caps, the “P-Caps”) for an aggregate purchase price of $400 million in each case to qualified institutional buyers in reliance on Rule 144A that are also “qualified purchasers” for purposes of Section 3</w:t>
      </w:r>
      <w:r>
        <w:rPr>
          <w:rFonts w:eastAsia="Times New Roman"/>
          <w:color w:val="000000"/>
          <w:sz w:val="20"/>
          <w:szCs w:val="20"/>
        </w:rPr>
        <w:t xml:space="preserve">(c)(7) of the Investment Company Act of 1940, as amended. </w:t>
      </w:r>
    </w:p>
    <w:p w:rsidR="00000000" w:rsidRDefault="00E54EC0">
      <w:pPr>
        <w:divId w:val="838813174"/>
        <w:rPr>
          <w:rFonts w:eastAsia="Times New Roman"/>
        </w:rPr>
      </w:pPr>
      <w:r>
        <w:rPr>
          <w:rFonts w:eastAsia="Times New Roman"/>
          <w:color w:val="000000"/>
          <w:sz w:val="20"/>
          <w:szCs w:val="20"/>
        </w:rPr>
        <w:t>The P-Caps are an off-balance sheet contingent funding arrangement that, upon Holdings’ election, gives Holdings the right over a ten-year period (in the case of the 2029 Trust) or over a thirty-ye</w:t>
      </w:r>
      <w:r>
        <w:rPr>
          <w:rFonts w:eastAsia="Times New Roman"/>
          <w:color w:val="000000"/>
          <w:sz w:val="20"/>
          <w:szCs w:val="20"/>
        </w:rPr>
        <w:t>ar period (in the case of the 2049 Trust) to issue senior notes to these Trusts. The Trusts each invested the proceeds from the sale of their P-Caps in separate portfolios of principal and/or interest strips of U.S. Treasury securities. In return, Holdings</w:t>
      </w:r>
      <w:r>
        <w:rPr>
          <w:rFonts w:eastAsia="Times New Roman"/>
          <w:color w:val="000000"/>
          <w:sz w:val="20"/>
          <w:szCs w:val="20"/>
        </w:rPr>
        <w:t xml:space="preserve"> will pay a semi-annual facility fee to the 2029 Trust and 2049 Trust calculated at a rate of 2.125% and 2.715% per annum, respectively, which will be applied to the unexercised portion of the contingent funding arrangement and Holdings will reimburse the </w:t>
      </w:r>
      <w:r>
        <w:rPr>
          <w:rFonts w:eastAsia="Times New Roman"/>
          <w:color w:val="000000"/>
          <w:sz w:val="20"/>
          <w:szCs w:val="20"/>
        </w:rPr>
        <w:t>Trusts for certain expenses. The facility fees are recorded in Other operating costs and expenses in the Consolidated Statements of Income (Loss).</w:t>
      </w:r>
    </w:p>
    <w:p w:rsidR="00000000" w:rsidRDefault="00E54EC0">
      <w:pPr>
        <w:jc w:val="both"/>
        <w:divId w:val="267200203"/>
        <w:rPr>
          <w:rFonts w:eastAsia="Times New Roman"/>
        </w:rPr>
      </w:pPr>
      <w:r>
        <w:rPr>
          <w:rFonts w:eastAsia="Times New Roman"/>
          <w:b/>
          <w:bCs/>
          <w:i/>
          <w:iCs/>
          <w:color w:val="000000"/>
          <w:sz w:val="20"/>
          <w:szCs w:val="20"/>
        </w:rPr>
        <w:t>Federal Home Loan Bank (“FHLB”)</w:t>
      </w:r>
    </w:p>
    <w:p w:rsidR="00000000" w:rsidRDefault="00E54EC0">
      <w:pPr>
        <w:divId w:val="1214005924"/>
        <w:rPr>
          <w:rFonts w:eastAsia="Times New Roman"/>
        </w:rPr>
      </w:pPr>
      <w:r>
        <w:rPr>
          <w:rFonts w:eastAsia="Times New Roman"/>
          <w:color w:val="000000"/>
          <w:sz w:val="20"/>
          <w:szCs w:val="20"/>
        </w:rPr>
        <w:t>As a member of the FHLB, Equitable Financial has access to collateralized bor</w:t>
      </w:r>
      <w:r>
        <w:rPr>
          <w:rFonts w:eastAsia="Times New Roman"/>
          <w:color w:val="000000"/>
          <w:sz w:val="20"/>
          <w:szCs w:val="20"/>
        </w:rPr>
        <w:t>rowings. It also may issue funding agreements to the FHLB. Both the collateralized borrowings and funding agreements would require Equitable Financial to pledge qualified mortgage-backed assets and/or government securities as collateral. Equitable Financia</w:t>
      </w:r>
      <w:r>
        <w:rPr>
          <w:rFonts w:eastAsia="Times New Roman"/>
          <w:color w:val="000000"/>
          <w:sz w:val="20"/>
          <w:szCs w:val="20"/>
        </w:rPr>
        <w:t xml:space="preserve">l issues short-term funding agreements to the FHLB and uses the funds for asset, liability, and cash management purposes. Equitable Financial issues long-term funding agreements to the FHLB and uses the funds for spread lending purposes. </w:t>
      </w:r>
    </w:p>
    <w:p w:rsidR="00000000" w:rsidRDefault="00E54EC0">
      <w:pPr>
        <w:divId w:val="678316535"/>
        <w:rPr>
          <w:rFonts w:eastAsia="Times New Roman"/>
        </w:rPr>
      </w:pPr>
      <w:r>
        <w:rPr>
          <w:rFonts w:eastAsia="Times New Roman"/>
          <w:color w:val="000000"/>
          <w:sz w:val="20"/>
          <w:szCs w:val="20"/>
        </w:rPr>
        <w:t>Entering into FHL</w:t>
      </w:r>
      <w:r>
        <w:rPr>
          <w:rFonts w:eastAsia="Times New Roman"/>
          <w:color w:val="000000"/>
          <w:sz w:val="20"/>
          <w:szCs w:val="20"/>
        </w:rPr>
        <w:t xml:space="preserve">B membership, borrowings and funding agreements requires the ownership of FHLB stock and the pledge of assets as collateral. Equitable Financial has purchased FHLB stock of $394 million and pledged collateral with a carrying value of </w:t>
      </w:r>
      <w:r>
        <w:rPr>
          <w:rFonts w:eastAsia="Times New Roman"/>
          <w:color w:val="000000"/>
          <w:sz w:val="20"/>
          <w:szCs w:val="20"/>
          <w:shd w:val="clear" w:color="auto" w:fill="FFFFFF"/>
        </w:rPr>
        <w:t>$11.8 billion</w:t>
      </w:r>
      <w:r>
        <w:rPr>
          <w:rFonts w:eastAsia="Times New Roman"/>
          <w:color w:val="000000"/>
          <w:sz w:val="20"/>
          <w:szCs w:val="20"/>
        </w:rPr>
        <w:t xml:space="preserve"> as of De</w:t>
      </w:r>
      <w:r>
        <w:rPr>
          <w:rFonts w:eastAsia="Times New Roman"/>
          <w:color w:val="000000"/>
          <w:sz w:val="20"/>
          <w:szCs w:val="20"/>
        </w:rPr>
        <w:t>cember 31, 2022.</w:t>
      </w:r>
    </w:p>
    <w:p w:rsidR="00000000" w:rsidRDefault="00E54EC0">
      <w:pPr>
        <w:divId w:val="411199782"/>
        <w:rPr>
          <w:rFonts w:eastAsia="Times New Roman"/>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“Derivative and offsetting assets and liabilities” incl</w:t>
      </w:r>
      <w:r>
        <w:rPr>
          <w:rFonts w:eastAsia="Times New Roman"/>
          <w:color w:val="000000"/>
          <w:sz w:val="20"/>
          <w:szCs w:val="20"/>
        </w:rPr>
        <w:t>uded in Note 4 of the Notes to these Consolidated Financial Statements. The table below summarizes the Company’s activity of funding agreements with the FHLB.</w:t>
      </w:r>
    </w:p>
    <w:p w:rsidR="00000000" w:rsidRDefault="00E54EC0">
      <w:pPr>
        <w:jc w:val="center"/>
        <w:rPr>
          <w:rFonts w:eastAsia="Times New Roman"/>
        </w:rPr>
      </w:pPr>
      <w:r>
        <w:rPr>
          <w:rFonts w:eastAsia="Times New Roman"/>
          <w:b/>
          <w:bCs/>
          <w:color w:val="000000"/>
          <w:sz w:val="20"/>
          <w:szCs w:val="20"/>
        </w:rPr>
        <w:t xml:space="preserve">Change in FHLB Funding Agreements during the Year Ended December 31, 2022 </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289"/>
        <w:gridCol w:w="37"/>
        <w:gridCol w:w="121"/>
        <w:gridCol w:w="807"/>
        <w:gridCol w:w="36"/>
        <w:gridCol w:w="36"/>
        <w:gridCol w:w="36"/>
        <w:gridCol w:w="36"/>
        <w:gridCol w:w="120"/>
        <w:gridCol w:w="600"/>
        <w:gridCol w:w="36"/>
        <w:gridCol w:w="36"/>
        <w:gridCol w:w="36"/>
        <w:gridCol w:w="36"/>
        <w:gridCol w:w="120"/>
        <w:gridCol w:w="684"/>
        <w:gridCol w:w="36"/>
        <w:gridCol w:w="36"/>
        <w:gridCol w:w="36"/>
        <w:gridCol w:w="36"/>
        <w:gridCol w:w="121"/>
        <w:gridCol w:w="787"/>
        <w:gridCol w:w="36"/>
        <w:gridCol w:w="36"/>
        <w:gridCol w:w="36"/>
        <w:gridCol w:w="36"/>
        <w:gridCol w:w="121"/>
        <w:gridCol w:w="779"/>
        <w:gridCol w:w="36"/>
        <w:gridCol w:w="36"/>
        <w:gridCol w:w="36"/>
        <w:gridCol w:w="36"/>
        <w:gridCol w:w="121"/>
        <w:gridCol w:w="804"/>
        <w:gridCol w:w="36"/>
      </w:tblGrid>
      <w:tr w:rsidR="00000000">
        <w:trPr>
          <w:jc w:val="right"/>
        </w:trPr>
        <w:tc>
          <w:tcPr>
            <w:tcW w:w="50" w:type="pct"/>
            <w:vAlign w:val="center"/>
            <w:hideMark/>
          </w:tcPr>
          <w:p w:rsidR="00000000" w:rsidRDefault="00E54EC0">
            <w:pPr>
              <w:jc w:val="center"/>
              <w:rPr>
                <w:rFonts w:eastAsia="Times New Roman"/>
              </w:rPr>
            </w:pPr>
          </w:p>
        </w:tc>
        <w:tc>
          <w:tcPr>
            <w:tcW w:w="145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3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1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4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Outstanding Balance at December 31, 2022</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54,316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(53,790)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55,648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(53,790)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8,501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jc w:val="right"/>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jc w:val="right"/>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720"/>
        <w:divId w:val="1994992606"/>
        <w:rPr>
          <w:rFonts w:eastAsia="Times New Roman"/>
        </w:rPr>
      </w:pPr>
      <w:r>
        <w:rPr>
          <w:rFonts w:eastAsia="Times New Roman"/>
          <w:color w:val="000000"/>
          <w:sz w:val="18"/>
          <w:szCs w:val="18"/>
        </w:rPr>
        <w:t>_____________</w:t>
      </w:r>
    </w:p>
    <w:p w:rsidR="00000000" w:rsidRDefault="00E54EC0">
      <w:pPr>
        <w:ind w:hanging="360"/>
        <w:divId w:val="2117020492"/>
        <w:rPr>
          <w:rFonts w:eastAsia="Times New Roman"/>
        </w:rPr>
      </w:pPr>
      <w:r>
        <w:rPr>
          <w:rFonts w:eastAsia="Times New Roman"/>
          <w:color w:val="000000"/>
          <w:sz w:val="18"/>
          <w:szCs w:val="18"/>
        </w:rPr>
        <w:t>(1)</w:t>
      </w:r>
      <w:r>
        <w:rPr>
          <w:rFonts w:eastAsia="Times New Roman"/>
          <w:color w:val="000000"/>
          <w:sz w:val="18"/>
          <w:szCs w:val="18"/>
        </w:rPr>
        <w:t>The $4 million and $4 million difference between the funding agreements carrying value shown in fair value table for December 31, 2022 and 2021, respectively, reflects the remaining amortization of a hedge implemented and closed, which locked in the fundin</w:t>
      </w:r>
      <w:r>
        <w:rPr>
          <w:rFonts w:eastAsia="Times New Roman"/>
          <w:color w:val="000000"/>
          <w:sz w:val="18"/>
          <w:szCs w:val="18"/>
        </w:rPr>
        <w:t>g agreements borrowing rates.</w:t>
      </w:r>
    </w:p>
    <w:p w:rsidR="00000000" w:rsidRDefault="00E54EC0">
      <w:pPr>
        <w:jc w:val="center"/>
        <w:divId w:val="241598220"/>
        <w:rPr>
          <w:rFonts w:eastAsia="Times New Roman"/>
        </w:rPr>
      </w:pPr>
      <w:r>
        <w:rPr>
          <w:rFonts w:eastAsia="Times New Roman"/>
          <w:color w:val="000000"/>
          <w:sz w:val="20"/>
          <w:szCs w:val="20"/>
        </w:rPr>
        <w:t>218</w:t>
      </w:r>
    </w:p>
    <w:p w:rsidR="00000000" w:rsidRDefault="00E54EC0">
      <w:pPr>
        <w:rPr>
          <w:rFonts w:eastAsia="Times New Roman"/>
        </w:rPr>
      </w:pPr>
      <w:r>
        <w:rPr>
          <w:rFonts w:eastAsia="Times New Roman"/>
        </w:rPr>
        <w:pict>
          <v:rect id="_x0000_i1256" style="width:0;height:1.5pt" o:hralign="center" o:hrstd="t" o:hr="t" fillcolor="#a0a0a0" stroked="f"/>
        </w:pict>
      </w:r>
    </w:p>
    <w:p w:rsidR="00000000" w:rsidRDefault="00E54EC0">
      <w:pPr>
        <w:jc w:val="center"/>
        <w:divId w:val="663321044"/>
        <w:rPr>
          <w:rFonts w:eastAsia="Times New Roman"/>
        </w:rPr>
      </w:pPr>
      <w:r>
        <w:rPr>
          <w:rFonts w:eastAsia="Times New Roman"/>
          <w:b/>
          <w:bCs/>
          <w:color w:val="000000"/>
          <w:sz w:val="20"/>
          <w:szCs w:val="20"/>
        </w:rPr>
        <w:t>EQUITABLE HOLDINGS, INC.</w:t>
      </w:r>
    </w:p>
    <w:p w:rsidR="00000000" w:rsidRDefault="00E54EC0">
      <w:pPr>
        <w:jc w:val="center"/>
        <w:divId w:val="663321044"/>
        <w:rPr>
          <w:rFonts w:eastAsia="Times New Roman"/>
        </w:rPr>
      </w:pPr>
      <w:r>
        <w:rPr>
          <w:rFonts w:eastAsia="Times New Roman"/>
          <w:b/>
          <w:bCs/>
          <w:color w:val="000000"/>
          <w:sz w:val="20"/>
          <w:szCs w:val="20"/>
        </w:rPr>
        <w:t>NOTES TO CONSOLIDATED FINANCIAL STATEMENTS, continued</w:t>
      </w:r>
    </w:p>
    <w:p w:rsidR="00000000" w:rsidRDefault="00E54EC0">
      <w:pPr>
        <w:jc w:val="both"/>
        <w:divId w:val="1821069735"/>
        <w:rPr>
          <w:rFonts w:eastAsia="Times New Roman"/>
        </w:rPr>
      </w:pPr>
      <w:r>
        <w:rPr>
          <w:rFonts w:eastAsia="Times New Roman"/>
          <w:b/>
          <w:bCs/>
          <w:i/>
          <w:iCs/>
          <w:color w:val="000000"/>
          <w:sz w:val="20"/>
          <w:szCs w:val="20"/>
        </w:rPr>
        <w:t>Funding Agreement-Backed Notes Program (“FABN”)</w:t>
      </w:r>
    </w:p>
    <w:p w:rsidR="00000000" w:rsidRDefault="00E54EC0">
      <w:pPr>
        <w:divId w:val="113183356"/>
        <w:rPr>
          <w:rFonts w:eastAsia="Times New Roman"/>
        </w:rPr>
      </w:pPr>
      <w:r>
        <w:rPr>
          <w:rFonts w:eastAsia="Times New Roman"/>
          <w:color w:val="000000"/>
          <w:sz w:val="20"/>
          <w:szCs w:val="20"/>
        </w:rPr>
        <w:t>Under the FABN program, Equitable Financial may issue fundi</w:t>
      </w:r>
      <w:r>
        <w:rPr>
          <w:rFonts w:eastAsia="Times New Roman"/>
          <w:color w:val="000000"/>
          <w:sz w:val="20"/>
          <w:szCs w:val="20"/>
        </w:rPr>
        <w:t>ng agreements in U.S. dollar or other foreign currencies to a Delaware special purpose statutory trust (the “Trust”) in exchange for the proceeds from issuances of fixed and floating rate medium-term marketable notes issued by the Trust from time to time (</w:t>
      </w:r>
      <w:r>
        <w:rPr>
          <w:rFonts w:eastAsia="Times New Roman"/>
          <w:color w:val="000000"/>
          <w:sz w:val="20"/>
          <w:szCs w:val="20"/>
        </w:rPr>
        <w:t>the “Trust Notes”). The funding agreements have matching interest, maturity and currency payment terms to the applicable Trust Notes. The Company hedges the foreign currency exposure of foreign currency denominated funding agreements using cross currency s</w:t>
      </w:r>
      <w:r>
        <w:rPr>
          <w:rFonts w:eastAsia="Times New Roman"/>
          <w:color w:val="000000"/>
          <w:sz w:val="20"/>
          <w:szCs w:val="20"/>
        </w:rPr>
        <w:t>waps as discussed in Note 4 of the Notes to these Consolidated Financial Statements. As of December 31, 2022, the maximum aggregate principal amount of Trust Notes permitted to be outstanding at any one time is $10.0 billion. Funding agreements issued to t</w:t>
      </w:r>
      <w:r>
        <w:rPr>
          <w:rFonts w:eastAsia="Times New Roman"/>
          <w:color w:val="000000"/>
          <w:sz w:val="20"/>
          <w:szCs w:val="20"/>
        </w:rPr>
        <w:t>he Trust, including any foreign currency transaction adjustments, are reported in policyholders’ account balances in the consolidated balance sheets. Foreign currency transaction adjustments to policyholder’s account balances are recognized in net income (</w:t>
      </w:r>
      <w:r>
        <w:rPr>
          <w:rFonts w:eastAsia="Times New Roman"/>
          <w:color w:val="000000"/>
          <w:sz w:val="20"/>
          <w:szCs w:val="20"/>
        </w:rPr>
        <w:t xml:space="preserve">loss) as an adjustment to interest credited to policyholders’ account balances and are offset in interest credited to policyholders’ account balances by a release of AOCI from deferred changes in fair value of designated and qualifying cross currency swap </w:t>
      </w:r>
      <w:r>
        <w:rPr>
          <w:rFonts w:eastAsia="Times New Roman"/>
          <w:color w:val="000000"/>
          <w:sz w:val="20"/>
          <w:szCs w:val="20"/>
        </w:rPr>
        <w:t xml:space="preserve">cash flow hedges. The table below summarizes Equitable Financial’s activity of funding agreements under the FABN program. </w:t>
      </w:r>
    </w:p>
    <w:p w:rsidR="00000000" w:rsidRDefault="00E54EC0">
      <w:pPr>
        <w:jc w:val="center"/>
        <w:rPr>
          <w:rFonts w:eastAsia="Times New Roman"/>
        </w:rPr>
      </w:pPr>
      <w:r>
        <w:rPr>
          <w:rFonts w:eastAsia="Times New Roman"/>
          <w:b/>
          <w:bCs/>
          <w:color w:val="000000"/>
          <w:sz w:val="20"/>
          <w:szCs w:val="20"/>
        </w:rPr>
        <w:t>Change in FABN Funding Agreements during the Year Ended December 31, 2022</w:t>
      </w:r>
    </w:p>
    <w:tbl>
      <w:tblPr>
        <w:tblW w:w="5000" w:type="pct"/>
        <w:tblCellMar>
          <w:top w:w="15" w:type="dxa"/>
          <w:left w:w="15" w:type="dxa"/>
          <w:bottom w:w="15" w:type="dxa"/>
          <w:right w:w="15" w:type="dxa"/>
        </w:tblCellMar>
        <w:tblLook w:val="04A0" w:firstRow="1" w:lastRow="0" w:firstColumn="1" w:lastColumn="0" w:noHBand="0" w:noVBand="1"/>
      </w:tblPr>
      <w:tblGrid>
        <w:gridCol w:w="38"/>
        <w:gridCol w:w="1497"/>
        <w:gridCol w:w="37"/>
        <w:gridCol w:w="121"/>
        <w:gridCol w:w="801"/>
        <w:gridCol w:w="36"/>
        <w:gridCol w:w="36"/>
        <w:gridCol w:w="36"/>
        <w:gridCol w:w="36"/>
        <w:gridCol w:w="121"/>
        <w:gridCol w:w="454"/>
        <w:gridCol w:w="36"/>
        <w:gridCol w:w="36"/>
        <w:gridCol w:w="36"/>
        <w:gridCol w:w="36"/>
        <w:gridCol w:w="121"/>
        <w:gridCol w:w="450"/>
        <w:gridCol w:w="36"/>
        <w:gridCol w:w="36"/>
        <w:gridCol w:w="36"/>
        <w:gridCol w:w="36"/>
        <w:gridCol w:w="121"/>
        <w:gridCol w:w="751"/>
        <w:gridCol w:w="36"/>
        <w:gridCol w:w="36"/>
        <w:gridCol w:w="36"/>
        <w:gridCol w:w="36"/>
        <w:gridCol w:w="121"/>
        <w:gridCol w:w="749"/>
        <w:gridCol w:w="36"/>
        <w:gridCol w:w="36"/>
        <w:gridCol w:w="36"/>
        <w:gridCol w:w="36"/>
        <w:gridCol w:w="36"/>
        <w:gridCol w:w="36"/>
        <w:gridCol w:w="36"/>
        <w:gridCol w:w="36"/>
        <w:gridCol w:w="36"/>
        <w:gridCol w:w="36"/>
        <w:gridCol w:w="121"/>
        <w:gridCol w:w="759"/>
        <w:gridCol w:w="36"/>
        <w:gridCol w:w="36"/>
        <w:gridCol w:w="36"/>
        <w:gridCol w:w="36"/>
        <w:gridCol w:w="121"/>
        <w:gridCol w:w="807"/>
        <w:gridCol w:w="36"/>
      </w:tblGrid>
      <w:tr w:rsidR="00000000">
        <w:trPr>
          <w:divId w:val="1385910329"/>
        </w:trPr>
        <w:tc>
          <w:tcPr>
            <w:tcW w:w="50" w:type="pct"/>
            <w:vAlign w:val="center"/>
            <w:hideMark/>
          </w:tcPr>
          <w:p w:rsidR="00000000" w:rsidRDefault="00E54EC0">
            <w:pPr>
              <w:jc w:val="center"/>
              <w:rPr>
                <w:rFonts w:eastAsia="Times New Roman"/>
              </w:rPr>
            </w:pPr>
          </w:p>
        </w:tc>
        <w:tc>
          <w:tcPr>
            <w:tcW w:w="157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Outstanding Balance at December 31,</w:t>
            </w:r>
            <w:r>
              <w:rPr>
                <w:rFonts w:eastAsia="Times New Roman"/>
                <w:b/>
                <w:bCs/>
                <w:color w:val="000000"/>
                <w:sz w:val="16"/>
                <w:szCs w:val="16"/>
              </w:rPr>
              <w:br/>
              <w:t>2022</w:t>
            </w:r>
          </w:p>
        </w:tc>
      </w:tr>
      <w:tr w:rsidR="00000000">
        <w:trPr>
          <w:divId w:val="1385910329"/>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E54EC0">
        <w:trPr>
          <w:divId w:val="1385910329"/>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591032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5910329"/>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5910329"/>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E54EC0">
        <w:trPr>
          <w:divId w:val="1385910329"/>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6,719 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385910329"/>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385910329"/>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360"/>
        <w:divId w:val="1270891071"/>
        <w:rPr>
          <w:rFonts w:eastAsia="Times New Roman"/>
        </w:rPr>
      </w:pPr>
      <w:r>
        <w:rPr>
          <w:rFonts w:eastAsia="Times New Roman"/>
          <w:color w:val="000000"/>
          <w:sz w:val="18"/>
          <w:szCs w:val="18"/>
        </w:rPr>
        <w:t>_____________</w:t>
      </w:r>
    </w:p>
    <w:p w:rsidR="00000000" w:rsidRDefault="00E54EC0">
      <w:pPr>
        <w:ind w:hanging="360"/>
        <w:divId w:val="154028581"/>
        <w:rPr>
          <w:rFonts w:eastAsia="Times New Roman"/>
        </w:rPr>
      </w:pPr>
      <w:r>
        <w:rPr>
          <w:rFonts w:eastAsia="Times New Roman"/>
          <w:color w:val="000000"/>
          <w:sz w:val="18"/>
          <w:szCs w:val="18"/>
        </w:rPr>
        <w:t xml:space="preserve">(1)The $66 million and $70 </w:t>
      </w:r>
      <w:r>
        <w:rPr>
          <w:rFonts w:eastAsia="Times New Roman"/>
          <w:color w:val="000000"/>
          <w:sz w:val="18"/>
          <w:szCs w:val="18"/>
        </w:rPr>
        <w:t>million difference between the funding agreements notional value shown and carrying value table as of December 31, 2022 and 2021, respectively, reflects the remaining amortization of the issuance cost of the funding agreements and the foreign currency tran</w:t>
      </w:r>
      <w:r>
        <w:rPr>
          <w:rFonts w:eastAsia="Times New Roman"/>
          <w:color w:val="000000"/>
          <w:sz w:val="18"/>
          <w:szCs w:val="18"/>
        </w:rPr>
        <w:t>saction adjustment.</w:t>
      </w:r>
    </w:p>
    <w:p w:rsidR="00000000" w:rsidRDefault="00E54EC0">
      <w:pPr>
        <w:divId w:val="90707990"/>
        <w:rPr>
          <w:rFonts w:eastAsia="Times New Roman"/>
        </w:rPr>
      </w:pPr>
      <w:r>
        <w:rPr>
          <w:rFonts w:eastAsia="Times New Roman"/>
          <w:color w:val="000000"/>
          <w:sz w:val="20"/>
          <w:szCs w:val="20"/>
          <w:u w:val="single"/>
        </w:rPr>
        <w:t>Credit Facilities</w:t>
      </w:r>
    </w:p>
    <w:p w:rsidR="00000000" w:rsidRDefault="00E54EC0">
      <w:pPr>
        <w:divId w:val="535581173"/>
        <w:rPr>
          <w:rFonts w:eastAsia="Times New Roman"/>
        </w:rPr>
      </w:pPr>
      <w:r>
        <w:rPr>
          <w:rFonts w:eastAsia="Times New Roman"/>
          <w:color w:val="000000"/>
          <w:sz w:val="20"/>
          <w:szCs w:val="20"/>
        </w:rPr>
        <w:t>For information regarding activity pertaining to our credit facilities arrangements, see Note 12 of the Notes to these Consolidated Financial Statements.</w:t>
      </w:r>
    </w:p>
    <w:p w:rsidR="00000000" w:rsidRDefault="00E54EC0">
      <w:pPr>
        <w:divId w:val="987975741"/>
        <w:rPr>
          <w:rFonts w:eastAsia="Times New Roman"/>
        </w:rPr>
      </w:pPr>
      <w:r>
        <w:rPr>
          <w:rFonts w:eastAsia="Times New Roman"/>
          <w:color w:val="000000"/>
          <w:sz w:val="20"/>
          <w:szCs w:val="20"/>
          <w:u w:val="single"/>
        </w:rPr>
        <w:t>Guarantees and Other Commitments</w:t>
      </w:r>
    </w:p>
    <w:p w:rsidR="00000000" w:rsidRDefault="00E54EC0">
      <w:pPr>
        <w:divId w:val="1485076334"/>
        <w:rPr>
          <w:rFonts w:eastAsia="Times New Roman"/>
        </w:rPr>
      </w:pPr>
      <w:r>
        <w:rPr>
          <w:rFonts w:eastAsia="Times New Roman"/>
          <w:color w:val="000000"/>
          <w:sz w:val="20"/>
          <w:szCs w:val="20"/>
        </w:rPr>
        <w:t xml:space="preserve">The Company provides certain guarantees or commitments to affiliates </w:t>
      </w:r>
      <w:r>
        <w:rPr>
          <w:rFonts w:eastAsia="Times New Roman"/>
          <w:color w:val="000000"/>
          <w:sz w:val="20"/>
          <w:szCs w:val="20"/>
        </w:rPr>
        <w:t xml:space="preserve">and others. As of December 31, 2022, these arrangements include commitments by the Company to provide equity financing of $1.3 billion to certain limited partnerships and real estate joint ventures under certain conditions. Management believes the Company </w:t>
      </w:r>
      <w:r>
        <w:rPr>
          <w:rFonts w:eastAsia="Times New Roman"/>
          <w:color w:val="000000"/>
          <w:sz w:val="20"/>
          <w:szCs w:val="20"/>
        </w:rPr>
        <w:t>will not incur material losses as a result of these commitments.</w:t>
      </w:r>
    </w:p>
    <w:p w:rsidR="00000000" w:rsidRDefault="00E54EC0">
      <w:pPr>
        <w:divId w:val="1464738330"/>
        <w:rPr>
          <w:rFonts w:eastAsia="Times New Roman"/>
        </w:rPr>
      </w:pPr>
      <w:r>
        <w:rPr>
          <w:rFonts w:eastAsia="Times New Roman"/>
          <w:color w:val="000000"/>
          <w:sz w:val="20"/>
          <w:szCs w:val="20"/>
        </w:rPr>
        <w:t>The Company had $17 million of undrawn letters of credit related to reinsurance as of December 31, 2022. The Company had $703 million of commitments under existing mortgage loan agreements as</w:t>
      </w:r>
      <w:r>
        <w:rPr>
          <w:rFonts w:eastAsia="Times New Roman"/>
          <w:color w:val="000000"/>
          <w:sz w:val="20"/>
          <w:szCs w:val="20"/>
        </w:rPr>
        <w:t xml:space="preserve"> of December 31, 2022.</w:t>
      </w:r>
    </w:p>
    <w:p w:rsidR="00000000" w:rsidRDefault="00E54EC0">
      <w:pPr>
        <w:divId w:val="1568148798"/>
        <w:rPr>
          <w:rFonts w:eastAsia="Times New Roman"/>
        </w:rPr>
      </w:pPr>
      <w:r>
        <w:rPr>
          <w:rFonts w:eastAsia="Times New Roman"/>
          <w:color w:val="000000"/>
          <w:sz w:val="20"/>
          <w:szCs w:val="20"/>
        </w:rPr>
        <w:t>The Company is the obligor under certain structured settlement agreements it had entered into with unaffiliated insurance companies and beneficiaries. To satisfy its obligations under these agreements, the Company owns single premium</w:t>
      </w:r>
      <w:r>
        <w:rPr>
          <w:rFonts w:eastAsia="Times New Roman"/>
          <w:color w:val="000000"/>
          <w:sz w:val="20"/>
          <w:szCs w:val="20"/>
        </w:rPr>
        <w:t xml:space="preserve"> annuities issued by previously wholly-owned life insurance subsidiaries. The Company has directed payment under these annuities to be made directly to the beneficiaries under the structured settlement agreements. A contingent liability exists with respect</w:t>
      </w:r>
      <w:r>
        <w:rPr>
          <w:rFonts w:eastAsia="Times New Roman"/>
          <w:color w:val="000000"/>
          <w:sz w:val="20"/>
          <w:szCs w:val="20"/>
        </w:rPr>
        <w:t xml:space="preserve"> to these agreements should the previously wholly-owned subsidiaries be unable to meet their obligations. Management believes the need for the Company to satisfy those obligations is remote.</w:t>
      </w:r>
    </w:p>
    <w:p w:rsidR="00000000" w:rsidRDefault="00E54EC0">
      <w:pPr>
        <w:divId w:val="322466577"/>
        <w:rPr>
          <w:rFonts w:eastAsia="Times New Roman"/>
        </w:rPr>
      </w:pPr>
      <w:r>
        <w:rPr>
          <w:rFonts w:eastAsia="Times New Roman"/>
          <w:b/>
          <w:bCs/>
          <w:color w:val="000000"/>
          <w:sz w:val="20"/>
          <w:szCs w:val="20"/>
        </w:rPr>
        <w:t>18)    INSURANCE GROUP STATUTORY FINANCIAL INFORMATION</w:t>
      </w:r>
    </w:p>
    <w:p w:rsidR="00000000" w:rsidRDefault="00E54EC0">
      <w:pPr>
        <w:jc w:val="center"/>
        <w:divId w:val="272054907"/>
        <w:rPr>
          <w:rFonts w:eastAsia="Times New Roman"/>
        </w:rPr>
      </w:pPr>
      <w:r>
        <w:rPr>
          <w:rFonts w:eastAsia="Times New Roman"/>
          <w:color w:val="000000"/>
          <w:sz w:val="20"/>
          <w:szCs w:val="20"/>
        </w:rPr>
        <w:t>219</w:t>
      </w:r>
    </w:p>
    <w:p w:rsidR="00000000" w:rsidRDefault="00E54EC0">
      <w:pPr>
        <w:rPr>
          <w:rFonts w:eastAsia="Times New Roman"/>
        </w:rPr>
      </w:pPr>
      <w:r>
        <w:rPr>
          <w:rFonts w:eastAsia="Times New Roman"/>
        </w:rPr>
        <w:pict>
          <v:rect id="_x0000_i1257" style="width:0;height:1.5pt" o:hralign="center" o:hrstd="t" o:hr="t" fillcolor="#a0a0a0" stroked="f"/>
        </w:pict>
      </w:r>
    </w:p>
    <w:p w:rsidR="00000000" w:rsidRDefault="00E54EC0">
      <w:pPr>
        <w:jc w:val="center"/>
        <w:divId w:val="1024091418"/>
        <w:rPr>
          <w:rFonts w:eastAsia="Times New Roman"/>
        </w:rPr>
      </w:pPr>
      <w:r>
        <w:rPr>
          <w:rFonts w:eastAsia="Times New Roman"/>
          <w:b/>
          <w:bCs/>
          <w:color w:val="000000"/>
          <w:sz w:val="20"/>
          <w:szCs w:val="20"/>
        </w:rPr>
        <w:t>EQUITABLE HOLDINGS, INC.</w:t>
      </w:r>
    </w:p>
    <w:p w:rsidR="00000000" w:rsidRDefault="00E54EC0">
      <w:pPr>
        <w:jc w:val="center"/>
        <w:divId w:val="1024091418"/>
        <w:rPr>
          <w:rFonts w:eastAsia="Times New Roman"/>
        </w:rPr>
      </w:pPr>
      <w:r>
        <w:rPr>
          <w:rFonts w:eastAsia="Times New Roman"/>
          <w:b/>
          <w:bCs/>
          <w:color w:val="000000"/>
          <w:sz w:val="20"/>
          <w:szCs w:val="20"/>
        </w:rPr>
        <w:t>NOTES TO CONSOLIDATED FINANCIAL STATEMENTS, continued</w:t>
      </w:r>
    </w:p>
    <w:p w:rsidR="00000000" w:rsidRDefault="00E54EC0">
      <w:pPr>
        <w:divId w:val="822551632"/>
        <w:rPr>
          <w:rFonts w:eastAsia="Times New Roman"/>
        </w:rPr>
      </w:pPr>
      <w:r>
        <w:rPr>
          <w:rFonts w:eastAsia="Times New Roman"/>
          <w:color w:val="000000"/>
          <w:sz w:val="20"/>
          <w:szCs w:val="20"/>
        </w:rPr>
        <w:t>In accordance with statutory accounting practices, the following table presents the combined statutory net income (loss), surplus, capital stock &amp; AVR, and securities on deposits for Equitable Financial, Equitable America, USFL, Equitable L&amp;A and CS Life.</w:t>
      </w:r>
    </w:p>
    <w:tbl>
      <w:tblPr>
        <w:tblW w:w="5000" w:type="pct"/>
        <w:tblCellMar>
          <w:top w:w="15" w:type="dxa"/>
          <w:left w:w="15" w:type="dxa"/>
          <w:bottom w:w="15" w:type="dxa"/>
          <w:right w:w="15" w:type="dxa"/>
        </w:tblCellMar>
        <w:tblLook w:val="04A0" w:firstRow="1" w:lastRow="0" w:firstColumn="1" w:lastColumn="0" w:noHBand="0" w:noVBand="1"/>
      </w:tblPr>
      <w:tblGrid>
        <w:gridCol w:w="38"/>
        <w:gridCol w:w="4961"/>
        <w:gridCol w:w="37"/>
        <w:gridCol w:w="120"/>
        <w:gridCol w:w="877"/>
        <w:gridCol w:w="36"/>
        <w:gridCol w:w="36"/>
        <w:gridCol w:w="36"/>
        <w:gridCol w:w="36"/>
        <w:gridCol w:w="120"/>
        <w:gridCol w:w="836"/>
        <w:gridCol w:w="36"/>
        <w:gridCol w:w="36"/>
        <w:gridCol w:w="36"/>
        <w:gridCol w:w="36"/>
        <w:gridCol w:w="120"/>
        <w:gridCol w:w="837"/>
        <w:gridCol w:w="36"/>
        <w:gridCol w:w="36"/>
      </w:tblGrid>
      <w:tr w:rsidR="00000000">
        <w:trPr>
          <w:divId w:val="943417374"/>
        </w:trPr>
        <w:tc>
          <w:tcPr>
            <w:tcW w:w="50" w:type="pct"/>
            <w:vAlign w:val="center"/>
            <w:hideMark/>
          </w:tcPr>
          <w:p w:rsidR="00000000" w:rsidRDefault="00E54EC0">
            <w:pPr>
              <w:rPr>
                <w:rFonts w:eastAsia="Times New Roman"/>
              </w:rPr>
            </w:pPr>
          </w:p>
        </w:tc>
        <w:tc>
          <w:tcPr>
            <w:tcW w:w="30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43417374"/>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E54EC0">
            <w:pPr>
              <w:spacing w:after="100"/>
              <w:jc w:val="center"/>
              <w:rPr>
                <w:rFonts w:eastAsia="Times New Roman"/>
              </w:rPr>
            </w:pPr>
          </w:p>
        </w:tc>
      </w:tr>
      <w:tr w:rsidR="00000000">
        <w:trPr>
          <w:divId w:val="943417374"/>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87" w:type="dxa"/>
              <w:bottom w:w="30" w:type="dxa"/>
              <w:right w:w="87"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jc w:val="center"/>
              <w:rPr>
                <w:rFonts w:eastAsia="Times New Roman"/>
              </w:rPr>
            </w:pPr>
          </w:p>
        </w:tc>
      </w:tr>
      <w:tr w:rsidR="00000000">
        <w:trPr>
          <w:divId w:val="943417374"/>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Years Ended December 31,</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4341737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553735572"/>
              <w:rPr>
                <w:rFonts w:eastAsia="Times New Roman"/>
              </w:rPr>
            </w:pPr>
            <w:r>
              <w:rPr>
                <w:rFonts w:eastAsia="Times New Roman"/>
                <w:color w:val="000000"/>
                <w:sz w:val="20"/>
                <w:szCs w:val="20"/>
              </w:rPr>
              <w:t>Combined statutory net income (loss) (1) (2)</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vAlign w:val="center"/>
            <w:hideMark/>
          </w:tcPr>
          <w:p w:rsidR="00000000" w:rsidRDefault="00E54EC0">
            <w:pPr>
              <w:spacing w:after="100"/>
              <w:jc w:val="right"/>
              <w:rPr>
                <w:rFonts w:eastAsia="Times New Roman"/>
                <w:sz w:val="20"/>
                <w:szCs w:val="20"/>
              </w:rPr>
            </w:pPr>
          </w:p>
        </w:tc>
      </w:tr>
      <w:tr w:rsidR="00000000">
        <w:trPr>
          <w:divId w:val="943417374"/>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43417374"/>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 of December 31,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43417374"/>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Combined surplus, capital stock and AVR</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6,864 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43417374"/>
        </w:trPr>
        <w:tc>
          <w:tcPr>
            <w:tcW w:w="0" w:type="auto"/>
            <w:gridSpan w:val="3"/>
            <w:tcMar>
              <w:top w:w="30" w:type="dxa"/>
              <w:left w:w="20" w:type="dxa"/>
              <w:bottom w:w="30" w:type="dxa"/>
              <w:right w:w="20" w:type="dxa"/>
            </w:tcMar>
            <w:vAlign w:val="bottom"/>
            <w:hideMark/>
          </w:tcPr>
          <w:p w:rsidR="00000000" w:rsidRDefault="00E54EC0">
            <w:pPr>
              <w:spacing w:after="100"/>
              <w:divId w:val="815031596"/>
              <w:rPr>
                <w:rFonts w:eastAsia="Times New Roman"/>
              </w:rPr>
            </w:pPr>
            <w:r>
              <w:rPr>
                <w:rFonts w:eastAsia="Times New Roman"/>
                <w:color w:val="000000"/>
                <w:sz w:val="20"/>
                <w:szCs w:val="20"/>
              </w:rPr>
              <w:t>Combined securities on deposits in accordance with various government and state regulations</w:t>
            </w: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bl>
    <w:p w:rsidR="00000000" w:rsidRDefault="00E54EC0">
      <w:pPr>
        <w:divId w:val="1974098899"/>
        <w:rPr>
          <w:rFonts w:eastAsia="Times New Roman"/>
        </w:rPr>
      </w:pPr>
      <w:r>
        <w:rPr>
          <w:rFonts w:eastAsia="Times New Roman"/>
          <w:color w:val="000000"/>
          <w:sz w:val="18"/>
          <w:szCs w:val="18"/>
        </w:rPr>
        <w:t>_____________</w:t>
      </w:r>
    </w:p>
    <w:p w:rsidR="00000000" w:rsidRDefault="00E54EC0">
      <w:pPr>
        <w:divId w:val="1534688525"/>
        <w:rPr>
          <w:rFonts w:eastAsia="Times New Roman"/>
        </w:rPr>
      </w:pPr>
      <w:r>
        <w:rPr>
          <w:rFonts w:eastAsia="Times New Roman"/>
          <w:color w:val="000000"/>
          <w:sz w:val="18"/>
          <w:szCs w:val="18"/>
        </w:rPr>
        <w:t>(1) For 2021, excludes CS Life which was sold June 1, 2021.</w:t>
      </w:r>
    </w:p>
    <w:p w:rsidR="00000000" w:rsidRDefault="00E54EC0">
      <w:pPr>
        <w:divId w:val="327100880"/>
        <w:rPr>
          <w:rFonts w:eastAsia="Times New Roman"/>
        </w:rPr>
      </w:pPr>
      <w:r>
        <w:rPr>
          <w:rFonts w:eastAsia="Times New Roman"/>
          <w:color w:val="000000"/>
          <w:sz w:val="18"/>
          <w:szCs w:val="18"/>
        </w:rPr>
        <w:t>(2) For 2020, excludes USFL which was sold April 1, 2020.</w:t>
      </w:r>
    </w:p>
    <w:p w:rsidR="00000000" w:rsidRDefault="00E54EC0">
      <w:pPr>
        <w:divId w:val="375666757"/>
        <w:rPr>
          <w:rFonts w:eastAsia="Times New Roman"/>
        </w:rPr>
      </w:pPr>
      <w:r>
        <w:rPr>
          <w:rFonts w:eastAsia="Times New Roman"/>
          <w:color w:val="000000"/>
          <w:sz w:val="20"/>
          <w:szCs w:val="20"/>
        </w:rPr>
        <w:t>In 2022 and 2020, Equitable Financial paid to its direct parent, which subsequently distributed such amount to Holdings, an ordinary shareholder dividend of $930 million and $2.1 billion, respectively. Equitable Financial did not pay ordinary dividends dur</w:t>
      </w:r>
      <w:r>
        <w:rPr>
          <w:rFonts w:eastAsia="Times New Roman"/>
          <w:color w:val="000000"/>
          <w:sz w:val="20"/>
          <w:szCs w:val="20"/>
        </w:rPr>
        <w:t>ing 2021 due to operating losses.</w:t>
      </w:r>
    </w:p>
    <w:p w:rsidR="00000000" w:rsidRDefault="00E54EC0">
      <w:pPr>
        <w:divId w:val="1243905978"/>
        <w:rPr>
          <w:rFonts w:eastAsia="Times New Roman"/>
        </w:rPr>
      </w:pPr>
      <w:r>
        <w:rPr>
          <w:rFonts w:eastAsia="Times New Roman"/>
          <w:color w:val="000000"/>
          <w:sz w:val="20"/>
          <w:szCs w:val="20"/>
          <w:u w:val="single"/>
        </w:rPr>
        <w:t>Dividend Restrictions</w:t>
      </w:r>
    </w:p>
    <w:p w:rsidR="00000000" w:rsidRDefault="00E54EC0">
      <w:pPr>
        <w:divId w:val="690182835"/>
        <w:rPr>
          <w:rFonts w:eastAsia="Times New Roman"/>
        </w:rPr>
      </w:pPr>
      <w:r>
        <w:rPr>
          <w:rFonts w:eastAsia="Times New Roman"/>
          <w:color w:val="000000"/>
          <w:sz w:val="20"/>
          <w:szCs w:val="20"/>
        </w:rPr>
        <w:t xml:space="preserve">As domestic insurance subsidiaries regulated by insurance laws of their respective domiciliary states, Equitable Financial and Equitable America are subject to restrictions as to the amounts they may </w:t>
      </w:r>
      <w:r>
        <w:rPr>
          <w:rFonts w:eastAsia="Times New Roman"/>
          <w:color w:val="000000"/>
          <w:sz w:val="20"/>
          <w:szCs w:val="20"/>
        </w:rPr>
        <w:t>pay as dividends and amounts they may repay of surplus notes to Holdings.</w:t>
      </w:r>
    </w:p>
    <w:p w:rsidR="00000000" w:rsidRDefault="00E54EC0">
      <w:pPr>
        <w:divId w:val="697464793"/>
        <w:rPr>
          <w:rFonts w:eastAsia="Times New Roman"/>
        </w:rPr>
      </w:pPr>
      <w:r>
        <w:rPr>
          <w:rFonts w:eastAsia="Times New Roman"/>
          <w:color w:val="000000"/>
          <w:sz w:val="20"/>
          <w:szCs w:val="20"/>
        </w:rPr>
        <w:t>State insurance statutes also typically place restrictions and limitations on the amount of dividends or other distributions payable by insurance company subsidiaries to their parent</w:t>
      </w:r>
      <w:r>
        <w:rPr>
          <w:rFonts w:eastAsia="Times New Roman"/>
          <w:color w:val="000000"/>
          <w:sz w:val="20"/>
          <w:szCs w:val="20"/>
        </w:rPr>
        <w:t xml:space="preserve"> companies, as well as on transactions between an insurer and its affiliates. Under New York’s insurance laws, which are applicable to Equitable Financial, a domestic stock life insurer may not, without prior approval of the NYDFS, pay an ordinary dividend</w:t>
      </w:r>
      <w:r>
        <w:rPr>
          <w:rFonts w:eastAsia="Times New Roman"/>
          <w:color w:val="000000"/>
          <w:sz w:val="20"/>
          <w:szCs w:val="20"/>
        </w:rPr>
        <w:t xml:space="preserve"> to its stockholders exceeding an amount calculated based on a statutory formula (“Ordinary Dividend”). Dividends in excess of this amount require the insurer to file a notice of its intent to declare the dividends with the NYDFS and obtain prior approval </w:t>
      </w:r>
      <w:r>
        <w:rPr>
          <w:rFonts w:eastAsia="Times New Roman"/>
          <w:color w:val="000000"/>
          <w:sz w:val="20"/>
          <w:szCs w:val="20"/>
        </w:rPr>
        <w:t>or non-disapproval from the NYDFS with respect to such dividends (“Extraordinary Dividend”). Due to a permitted statutory accounting practice agreed to with the NYDFS, Equitable Financial will need the prior approval of the NYDFS to pay the portion, if any</w:t>
      </w:r>
      <w:r>
        <w:rPr>
          <w:rFonts w:eastAsia="Times New Roman"/>
          <w:color w:val="000000"/>
          <w:sz w:val="20"/>
          <w:szCs w:val="20"/>
        </w:rPr>
        <w:t>, of any Ordinary Dividend that exceeds the Ordinary Dividend that Equitable Financial would be permitted to pay under New York’s insurance laws absent the application of such permitted practice (such excess, the “Permitted Practice Ordinary Dividend”).</w:t>
      </w:r>
    </w:p>
    <w:p w:rsidR="00000000" w:rsidRDefault="00E54EC0">
      <w:pPr>
        <w:divId w:val="1553888052"/>
        <w:rPr>
          <w:rFonts w:eastAsia="Times New Roman"/>
        </w:rPr>
      </w:pPr>
      <w:r>
        <w:rPr>
          <w:rFonts w:eastAsia="Times New Roman"/>
          <w:color w:val="000000"/>
          <w:sz w:val="20"/>
          <w:szCs w:val="20"/>
        </w:rPr>
        <w:t>Ap</w:t>
      </w:r>
      <w:r>
        <w:rPr>
          <w:rFonts w:eastAsia="Times New Roman"/>
          <w:color w:val="000000"/>
          <w:sz w:val="20"/>
          <w:szCs w:val="20"/>
        </w:rPr>
        <w:t>plying the formulas above, Equitable Financial could pay an Ordinary Dividend of up to approximately $1.7 billion in 2023.</w:t>
      </w:r>
    </w:p>
    <w:p w:rsidR="00000000" w:rsidRDefault="00E54EC0">
      <w:pPr>
        <w:divId w:val="1283272453"/>
        <w:rPr>
          <w:rFonts w:eastAsia="Times New Roman"/>
        </w:rPr>
      </w:pPr>
      <w:r>
        <w:rPr>
          <w:rFonts w:eastAsia="Times New Roman"/>
          <w:color w:val="000000"/>
          <w:sz w:val="20"/>
          <w:szCs w:val="20"/>
          <w:u w:val="single"/>
        </w:rPr>
        <w:t>Intercompany Reinsurance</w:t>
      </w:r>
    </w:p>
    <w:p w:rsidR="00000000" w:rsidRDefault="00E54EC0">
      <w:pPr>
        <w:divId w:val="1763187413"/>
        <w:rPr>
          <w:rFonts w:eastAsia="Times New Roman"/>
        </w:rPr>
      </w:pPr>
      <w:r>
        <w:rPr>
          <w:rFonts w:eastAsia="Times New Roman"/>
          <w:color w:val="000000"/>
          <w:sz w:val="20"/>
          <w:szCs w:val="20"/>
        </w:rPr>
        <w:t>Equitable Financial and Equitable America receive statutory reserve credits for reinsurance treaties with EQ AZ Life Re to the extent EQ AZ Life Re holds assets in an irrevocable trust (the “EQ AZ Life Re Trust”). As of December 31, 2022, EQ AZ Life Re hol</w:t>
      </w:r>
      <w:r>
        <w:rPr>
          <w:rFonts w:eastAsia="Times New Roman"/>
          <w:color w:val="000000"/>
          <w:sz w:val="20"/>
          <w:szCs w:val="20"/>
        </w:rPr>
        <w:t>ds $1.7 billion of assets in the EQ AZ Life Re Trust and letters of credit of $2.1 billion that are guaranteed by Holdings. Under the reinsurance transactions, EQ AZ Life Re is permitted to transfer assets from the EQ AZ Life Re Trust under certain circums</w:t>
      </w:r>
      <w:r>
        <w:rPr>
          <w:rFonts w:eastAsia="Times New Roman"/>
          <w:color w:val="000000"/>
          <w:sz w:val="20"/>
          <w:szCs w:val="20"/>
        </w:rPr>
        <w:t>tances. The level of statutory reserves held by EQ AZ Life Re fluctuate based on market movements, mortality experience and policyholder behavior. Increasing reserve requirements may necessitate that additional assets be placed in trust and/or additional l</w:t>
      </w:r>
      <w:r>
        <w:rPr>
          <w:rFonts w:eastAsia="Times New Roman"/>
          <w:color w:val="000000"/>
          <w:sz w:val="20"/>
          <w:szCs w:val="20"/>
        </w:rPr>
        <w:t>etters of credit be secured, which could adversely impact EQ AZ Life Re’s liquidity.</w:t>
      </w:r>
    </w:p>
    <w:p w:rsidR="00000000" w:rsidRDefault="00E54EC0">
      <w:pPr>
        <w:divId w:val="1654871177"/>
        <w:rPr>
          <w:rFonts w:eastAsia="Times New Roman"/>
        </w:rPr>
      </w:pPr>
      <w:r>
        <w:rPr>
          <w:rFonts w:eastAsia="Times New Roman"/>
          <w:color w:val="000000"/>
          <w:sz w:val="20"/>
          <w:szCs w:val="20"/>
          <w:u w:val="single"/>
        </w:rPr>
        <w:t>Prescribed and Permitted Accounting Practices</w:t>
      </w:r>
    </w:p>
    <w:p w:rsidR="00000000" w:rsidRDefault="00E54EC0">
      <w:pPr>
        <w:divId w:val="686062430"/>
        <w:rPr>
          <w:rFonts w:eastAsia="Times New Roman"/>
        </w:rPr>
      </w:pPr>
      <w:r>
        <w:rPr>
          <w:rFonts w:eastAsia="Times New Roman"/>
          <w:color w:val="000000"/>
          <w:sz w:val="20"/>
          <w:szCs w:val="20"/>
        </w:rPr>
        <w:t>As of December 31, 2022, the following three prescribed and permitted practices resulted in net income (loss) and capital and</w:t>
      </w:r>
      <w:r>
        <w:rPr>
          <w:rFonts w:eastAsia="Times New Roman"/>
          <w:color w:val="000000"/>
          <w:sz w:val="20"/>
          <w:szCs w:val="20"/>
        </w:rPr>
        <w:t xml:space="preserve"> surplus that is different from the statutory surplus that would have been reported had NAIC statutory accounting practices been applied.</w:t>
      </w:r>
    </w:p>
    <w:p w:rsidR="00000000" w:rsidRDefault="00E54EC0">
      <w:pPr>
        <w:jc w:val="center"/>
        <w:divId w:val="54545409"/>
        <w:rPr>
          <w:rFonts w:eastAsia="Times New Roman"/>
        </w:rPr>
      </w:pPr>
      <w:r>
        <w:rPr>
          <w:rFonts w:eastAsia="Times New Roman"/>
          <w:color w:val="000000"/>
          <w:sz w:val="20"/>
          <w:szCs w:val="20"/>
        </w:rPr>
        <w:t>220</w:t>
      </w:r>
    </w:p>
    <w:p w:rsidR="00000000" w:rsidRDefault="00E54EC0">
      <w:pPr>
        <w:rPr>
          <w:rFonts w:eastAsia="Times New Roman"/>
        </w:rPr>
      </w:pPr>
      <w:r>
        <w:rPr>
          <w:rFonts w:eastAsia="Times New Roman"/>
        </w:rPr>
        <w:pict>
          <v:rect id="_x0000_i1258" style="width:0;height:1.5pt" o:hralign="center" o:hrstd="t" o:hr="t" fillcolor="#a0a0a0" stroked="f"/>
        </w:pict>
      </w:r>
    </w:p>
    <w:p w:rsidR="00000000" w:rsidRDefault="00E54EC0">
      <w:pPr>
        <w:jc w:val="center"/>
        <w:divId w:val="202838019"/>
        <w:rPr>
          <w:rFonts w:eastAsia="Times New Roman"/>
        </w:rPr>
      </w:pPr>
      <w:r>
        <w:rPr>
          <w:rFonts w:eastAsia="Times New Roman"/>
          <w:b/>
          <w:bCs/>
          <w:color w:val="000000"/>
          <w:sz w:val="20"/>
          <w:szCs w:val="20"/>
        </w:rPr>
        <w:t>EQUITABLE HOLDINGS, INC.</w:t>
      </w:r>
    </w:p>
    <w:p w:rsidR="00000000" w:rsidRDefault="00E54EC0">
      <w:pPr>
        <w:jc w:val="center"/>
        <w:divId w:val="202838019"/>
        <w:rPr>
          <w:rFonts w:eastAsia="Times New Roman"/>
        </w:rPr>
      </w:pPr>
      <w:r>
        <w:rPr>
          <w:rFonts w:eastAsia="Times New Roman"/>
          <w:b/>
          <w:bCs/>
          <w:color w:val="000000"/>
          <w:sz w:val="20"/>
          <w:szCs w:val="20"/>
        </w:rPr>
        <w:t>NOTES TO CONSOLIDATED FINANCIAL STATEMENTS, continued</w:t>
      </w:r>
    </w:p>
    <w:p w:rsidR="00000000" w:rsidRDefault="00E54EC0">
      <w:pPr>
        <w:divId w:val="1361857913"/>
        <w:rPr>
          <w:rFonts w:eastAsia="Times New Roman"/>
        </w:rPr>
      </w:pPr>
      <w:r>
        <w:rPr>
          <w:rFonts w:eastAsia="Times New Roman"/>
          <w:color w:val="000000"/>
          <w:sz w:val="20"/>
          <w:szCs w:val="20"/>
        </w:rPr>
        <w:t>Equitable Financial was granted a permitted practice by the NYDFS to apply SSAP 108, Derivatives Hedging Variable Annuity Guarantees on a retroactive basis from January 1, 2021 through June 30, 2021, after reflecting the impacts of our reinsurance transac</w:t>
      </w:r>
      <w:r>
        <w:rPr>
          <w:rFonts w:eastAsia="Times New Roman"/>
          <w:color w:val="000000"/>
          <w:sz w:val="20"/>
          <w:szCs w:val="20"/>
        </w:rPr>
        <w:t>tion with Venerable. The permitted practice was amended to also permit Equitable Financial to adopt SSAP 108 prospectively as of July 1, 2021 and to consider the impact of both the interest rate derivatives and the general account assets used to fully hedg</w:t>
      </w:r>
      <w:r>
        <w:rPr>
          <w:rFonts w:eastAsia="Times New Roman"/>
          <w:color w:val="000000"/>
          <w:sz w:val="20"/>
          <w:szCs w:val="20"/>
        </w:rPr>
        <w:t xml:space="preserve">e the interest rate risk inherent in its variable annuity guarantees when determining the amount of the deferred asset or liability under SSAP 108. Application of the permitted practice partially mitigates the New York Insurance Regulation 213 (“Reg 213”) </w:t>
      </w:r>
      <w:r>
        <w:rPr>
          <w:rFonts w:eastAsia="Times New Roman"/>
          <w:color w:val="000000"/>
          <w:sz w:val="20"/>
          <w:szCs w:val="20"/>
        </w:rPr>
        <w:t>impact of the Venerable Transaction on Equitable Financial’s statutory capital and surplus and enables Equitable Financial to more effectively neutralize the impact of interest rates on its statutory surplus and to better align with our economic hedging pr</w:t>
      </w:r>
      <w:r>
        <w:rPr>
          <w:rFonts w:eastAsia="Times New Roman"/>
          <w:color w:val="000000"/>
          <w:sz w:val="20"/>
          <w:szCs w:val="20"/>
        </w:rPr>
        <w:t>ogram. The impact of applying this permitted practice relative to SSAP 108 as written was an increase of approximately $86 million in statutory special surplus funds, a decrease of $1.3 billion in statutory net income for the year ended December 31, 2022 a</w:t>
      </w:r>
      <w:r>
        <w:rPr>
          <w:rFonts w:eastAsia="Times New Roman"/>
          <w:color w:val="000000"/>
          <w:sz w:val="20"/>
          <w:szCs w:val="20"/>
        </w:rPr>
        <w:t xml:space="preserve">nd an increase of $1.4 billion for the year ended December 31, 2021, which will be amortized over five years for each of the retrospective and prospective components. The permitted practice also reset Equitable Financial’s unassigned surplus to zero as of </w:t>
      </w:r>
      <w:r>
        <w:rPr>
          <w:rFonts w:eastAsia="Times New Roman"/>
          <w:color w:val="000000"/>
          <w:sz w:val="20"/>
          <w:szCs w:val="20"/>
        </w:rPr>
        <w:t xml:space="preserve">June 30, 2021 to reflect the transformative nature of the Venerable Transaction. </w:t>
      </w:r>
    </w:p>
    <w:p w:rsidR="00000000" w:rsidRDefault="00E54EC0">
      <w:pPr>
        <w:divId w:val="1226599953"/>
        <w:rPr>
          <w:rFonts w:eastAsia="Times New Roman"/>
        </w:rPr>
      </w:pPr>
      <w:r>
        <w:rPr>
          <w:rFonts w:eastAsia="Times New Roman"/>
          <w:color w:val="000000"/>
          <w:sz w:val="20"/>
          <w:szCs w:val="20"/>
        </w:rPr>
        <w:t>The NAIC Accounting Practices and Procedures manual (“NAIC SAP”) has been adopted as a component of prescribed or permitted practices by the State of New York. However, Reg 2</w:t>
      </w:r>
      <w:r>
        <w:rPr>
          <w:rFonts w:eastAsia="Times New Roman"/>
          <w:color w:val="000000"/>
          <w:sz w:val="20"/>
          <w:szCs w:val="20"/>
        </w:rPr>
        <w:t>13 adopted in May of 2019 and as amended in February 2020 and March 2021, differs from the NAIC variable annuity reserve and capital framework. Reg 213 requires Equitable Financial to carry statutory basis reserves for its variable annuity contract obligat</w:t>
      </w:r>
      <w:r>
        <w:rPr>
          <w:rFonts w:eastAsia="Times New Roman"/>
          <w:color w:val="000000"/>
          <w:sz w:val="20"/>
          <w:szCs w:val="20"/>
        </w:rPr>
        <w:t>ions equal to the greater of those required under (i) the NAIC standard or (ii) a revised version of the NYDFS requirement in effect prior to the adoption of the first amendment for contracts issued prior to January 1, 2020, and for policies issued after t</w:t>
      </w:r>
      <w:r>
        <w:rPr>
          <w:rFonts w:eastAsia="Times New Roman"/>
          <w:color w:val="000000"/>
          <w:sz w:val="20"/>
          <w:szCs w:val="20"/>
        </w:rPr>
        <w:t xml:space="preserve">hat date a new standard that in current market conditions imposes more conservative reserving requirements for variable annuity contracts than the NAIC standard. </w:t>
      </w:r>
    </w:p>
    <w:p w:rsidR="00000000" w:rsidRDefault="00E54EC0">
      <w:pPr>
        <w:divId w:val="888034737"/>
        <w:rPr>
          <w:rFonts w:eastAsia="Times New Roman"/>
        </w:rPr>
      </w:pPr>
      <w:r>
        <w:rPr>
          <w:rFonts w:eastAsia="Times New Roman"/>
          <w:color w:val="000000"/>
          <w:sz w:val="20"/>
          <w:szCs w:val="20"/>
        </w:rPr>
        <w:t>The impact of the application of Reg 213 was a decrease of approximately $1.9 billion in stat</w:t>
      </w:r>
      <w:r>
        <w:rPr>
          <w:rFonts w:eastAsia="Times New Roman"/>
          <w:color w:val="000000"/>
          <w:sz w:val="20"/>
          <w:szCs w:val="20"/>
        </w:rPr>
        <w:t>utory surplus as of December 31, 2022 compared to statutory surplus under the NAIC variable annuity framework. Our hedging program is designed to hedge the economics of our insurance liabilities and largely offsets Reg 213 and NAIC framework reserve moveme</w:t>
      </w:r>
      <w:r>
        <w:rPr>
          <w:rFonts w:eastAsia="Times New Roman"/>
          <w:color w:val="000000"/>
          <w:sz w:val="20"/>
          <w:szCs w:val="20"/>
        </w:rPr>
        <w:t xml:space="preserve">nts due to interest rates and equities. The NYDFS allows domestic insurance companies a five year phase-in provision for Reg 213 reserves. As of September 30, 2022, Equitable Financial’s Reg 213 reserves were 100% phased-in. As of December 31, 2022, given </w:t>
      </w:r>
      <w:r>
        <w:rPr>
          <w:rFonts w:eastAsia="Times New Roman"/>
          <w:color w:val="000000"/>
          <w:sz w:val="20"/>
          <w:szCs w:val="20"/>
        </w:rPr>
        <w:t>the prevailing market conditions and business mix, there are no Reg 213 redundant reserves over the US RBC CTE 98 total asset requirement (“TAR”). Finally, the continued application of Reg 213 resulted in a corresponding decrease of $0.7 billion in statuto</w:t>
      </w:r>
      <w:r>
        <w:rPr>
          <w:rFonts w:eastAsia="Times New Roman"/>
          <w:color w:val="000000"/>
          <w:sz w:val="20"/>
          <w:szCs w:val="20"/>
        </w:rPr>
        <w:t>ry net income for the year ended December 31, 2022, which was largely offset by net income gains on our hedging program during the same period as noted.</w:t>
      </w:r>
    </w:p>
    <w:p w:rsidR="00000000" w:rsidRDefault="00E54EC0">
      <w:pPr>
        <w:divId w:val="304049329"/>
        <w:rPr>
          <w:rFonts w:eastAsia="Times New Roman"/>
        </w:rPr>
      </w:pPr>
      <w:r>
        <w:rPr>
          <w:rFonts w:eastAsia="Times New Roman"/>
          <w:color w:val="000000"/>
          <w:sz w:val="20"/>
          <w:szCs w:val="20"/>
        </w:rPr>
        <w:t>During the fourth quarter 2020, Equitable Financial received approval from NYDFS for its proposed amend</w:t>
      </w:r>
      <w:r>
        <w:rPr>
          <w:rFonts w:eastAsia="Times New Roman"/>
          <w:color w:val="000000"/>
          <w:sz w:val="20"/>
          <w:szCs w:val="20"/>
        </w:rPr>
        <w:t>ed Plan of Operation for Separate Account No. 68 (“SA 68”) for our Structured Capital Strategies product and Separate Account No. 69 (“SA 69”) for our Equi-Vest product Structured Investment Option, to change the accounting basis of these two non-insulated</w:t>
      </w:r>
      <w:r>
        <w:rPr>
          <w:rFonts w:eastAsia="Times New Roman"/>
          <w:color w:val="000000"/>
          <w:sz w:val="20"/>
          <w:szCs w:val="20"/>
        </w:rPr>
        <w:t xml:space="preserve"> Separate Accounts from fair value to book value in accordance with Section 1414 of the Insurance Law to align with how we manage and measure our overall general account asset portfolio. In order to facilitate this change and comply with Section 4240(a)(10</w:t>
      </w:r>
      <w:r>
        <w:rPr>
          <w:rFonts w:eastAsia="Times New Roman"/>
          <w:color w:val="000000"/>
          <w:sz w:val="20"/>
          <w:szCs w:val="20"/>
        </w:rPr>
        <w:t>), the Company also sought approval to amend the Plans to remove the requirement to comply with Section 4240(a)(5)(iii) and substitute it with a commitment to comply with Section 4240(a)(5)(i). Similarly, the Company updated the reserves section of each Pl</w:t>
      </w:r>
      <w:r>
        <w:rPr>
          <w:rFonts w:eastAsia="Times New Roman"/>
          <w:color w:val="000000"/>
          <w:sz w:val="20"/>
          <w:szCs w:val="20"/>
        </w:rPr>
        <w:t xml:space="preserve">an to reflect the fact that Regulation 128 would no longer be applicable upon the change in accounting basis. We applied this change effective January 1, 2021. The impact of the application is an increase of approximately $2.2 billion in statutory surplus </w:t>
      </w:r>
      <w:r>
        <w:rPr>
          <w:rFonts w:eastAsia="Times New Roman"/>
          <w:color w:val="000000"/>
          <w:sz w:val="20"/>
          <w:szCs w:val="20"/>
        </w:rPr>
        <w:t>and an increase in statutory net income for the year ended December 31, 2022 of $2.3 billion, respectively.</w:t>
      </w:r>
    </w:p>
    <w:p w:rsidR="00000000" w:rsidRDefault="00E54EC0">
      <w:pPr>
        <w:divId w:val="2111851442"/>
        <w:rPr>
          <w:rFonts w:eastAsia="Times New Roman"/>
        </w:rPr>
      </w:pPr>
    </w:p>
    <w:p w:rsidR="00000000" w:rsidRDefault="00E54EC0">
      <w:pPr>
        <w:divId w:val="54210687"/>
        <w:rPr>
          <w:rFonts w:eastAsia="Times New Roman"/>
        </w:rPr>
      </w:pPr>
      <w:r>
        <w:rPr>
          <w:rFonts w:eastAsia="Times New Roman"/>
          <w:color w:val="000000"/>
          <w:sz w:val="20"/>
          <w:szCs w:val="20"/>
        </w:rPr>
        <w:t>Equitable Financial and Equitable America cede a portion of their statutory reserves to EQ AZ Life Re, a captive reinsurer, as part of the Company</w:t>
      </w:r>
      <w:r>
        <w:rPr>
          <w:rFonts w:eastAsia="Times New Roman"/>
          <w:color w:val="000000"/>
          <w:sz w:val="20"/>
          <w:szCs w:val="20"/>
        </w:rPr>
        <w:t>’s capital management strategy. EQ AZ Life Re prepares financial statements in a special purpose framework for statutory reporting.</w:t>
      </w:r>
    </w:p>
    <w:p w:rsidR="00000000" w:rsidRDefault="00E54EC0">
      <w:pPr>
        <w:divId w:val="2112509309"/>
        <w:rPr>
          <w:rFonts w:eastAsia="Times New Roman"/>
        </w:rPr>
      </w:pPr>
      <w:r>
        <w:rPr>
          <w:rFonts w:eastAsia="Times New Roman"/>
          <w:color w:val="000000"/>
          <w:sz w:val="20"/>
          <w:szCs w:val="20"/>
          <w:u w:val="single"/>
        </w:rPr>
        <w:t>Differences between Statutory Accounting Principles and U.S. GAAP</w:t>
      </w:r>
    </w:p>
    <w:p w:rsidR="00000000" w:rsidRDefault="00E54EC0">
      <w:pPr>
        <w:divId w:val="1139230974"/>
        <w:rPr>
          <w:rFonts w:eastAsia="Times New Roman"/>
        </w:rPr>
      </w:pPr>
      <w:r>
        <w:rPr>
          <w:rFonts w:eastAsia="Times New Roman"/>
          <w:color w:val="000000"/>
          <w:sz w:val="20"/>
          <w:szCs w:val="20"/>
        </w:rPr>
        <w:t>Accounting practices used to prepare statutory financial s</w:t>
      </w:r>
      <w:r>
        <w:rPr>
          <w:rFonts w:eastAsia="Times New Roman"/>
          <w:color w:val="000000"/>
          <w:sz w:val="20"/>
          <w:szCs w:val="20"/>
        </w:rPr>
        <w:t>tatements for regulatory filings of stock life insurance companies differ in certain instances from U.S. GAAP. The differences between statutory surplus and capital stock determined in accordance with SAP and total equity under U.S. GAAP are primarily: (a)</w:t>
      </w:r>
      <w:r>
        <w:rPr>
          <w:rFonts w:eastAsia="Times New Roman"/>
          <w:color w:val="000000"/>
          <w:sz w:val="20"/>
          <w:szCs w:val="20"/>
        </w:rPr>
        <w:t xml:space="preserve"> the inclusion in SAP of an AVR intended to stabilize surplus from fluctuations in the value of the investment portfolio; (b) future policy benefits and policyholders’ account balances under SAP differ from U.S. GAAP due to differences between actuarial as</w:t>
      </w:r>
      <w:r>
        <w:rPr>
          <w:rFonts w:eastAsia="Times New Roman"/>
          <w:color w:val="000000"/>
          <w:sz w:val="20"/>
          <w:szCs w:val="20"/>
        </w:rPr>
        <w:t xml:space="preserve">sumptions and reserving methodologies; (c) certain policy acquisition costs are expensed under SAP but deferred under U.S. GAAP and amortized over future periods to achieve a matching of revenues and expenses; (d) under SAP, </w:t>
      </w:r>
    </w:p>
    <w:p w:rsidR="00000000" w:rsidRDefault="00E54EC0">
      <w:pPr>
        <w:jc w:val="center"/>
        <w:divId w:val="1560243354"/>
        <w:rPr>
          <w:rFonts w:eastAsia="Times New Roman"/>
        </w:rPr>
      </w:pPr>
      <w:r>
        <w:rPr>
          <w:rFonts w:eastAsia="Times New Roman"/>
          <w:color w:val="000000"/>
          <w:sz w:val="20"/>
          <w:szCs w:val="20"/>
        </w:rPr>
        <w:t>221</w:t>
      </w:r>
    </w:p>
    <w:p w:rsidR="00000000" w:rsidRDefault="00E54EC0">
      <w:pPr>
        <w:rPr>
          <w:rFonts w:eastAsia="Times New Roman"/>
        </w:rPr>
      </w:pPr>
      <w:r>
        <w:rPr>
          <w:rFonts w:eastAsia="Times New Roman"/>
        </w:rPr>
        <w:pict>
          <v:rect id="_x0000_i1259" style="width:0;height:1.5pt" o:hralign="center" o:hrstd="t" o:hr="t" fillcolor="#a0a0a0" stroked="f"/>
        </w:pict>
      </w:r>
    </w:p>
    <w:p w:rsidR="00000000" w:rsidRDefault="00E54EC0">
      <w:pPr>
        <w:jc w:val="center"/>
        <w:divId w:val="1834762841"/>
        <w:rPr>
          <w:rFonts w:eastAsia="Times New Roman"/>
        </w:rPr>
      </w:pPr>
      <w:r>
        <w:rPr>
          <w:rFonts w:eastAsia="Times New Roman"/>
          <w:b/>
          <w:bCs/>
          <w:color w:val="000000"/>
          <w:sz w:val="20"/>
          <w:szCs w:val="20"/>
        </w:rPr>
        <w:t>EQUITABLE HOLDINGS, INC.</w:t>
      </w:r>
    </w:p>
    <w:p w:rsidR="00000000" w:rsidRDefault="00E54EC0">
      <w:pPr>
        <w:jc w:val="center"/>
        <w:divId w:val="1834762841"/>
        <w:rPr>
          <w:rFonts w:eastAsia="Times New Roman"/>
        </w:rPr>
      </w:pPr>
      <w:r>
        <w:rPr>
          <w:rFonts w:eastAsia="Times New Roman"/>
          <w:b/>
          <w:bCs/>
          <w:color w:val="000000"/>
          <w:sz w:val="20"/>
          <w:szCs w:val="20"/>
        </w:rPr>
        <w:t>NOTES TO CONSOLIDATED FINANCIAL STATEMENTS, continued</w:t>
      </w:r>
    </w:p>
    <w:p w:rsidR="00000000" w:rsidRDefault="00E54EC0">
      <w:pPr>
        <w:divId w:val="1583831457"/>
        <w:rPr>
          <w:rFonts w:eastAsia="Times New Roman"/>
        </w:rPr>
      </w:pPr>
      <w:r>
        <w:rPr>
          <w:rFonts w:eastAsia="Times New Roman"/>
          <w:color w:val="000000"/>
          <w:sz w:val="20"/>
          <w:szCs w:val="20"/>
        </w:rPr>
        <w:t>Federal income taxes are provided on the basis of amounts currently payable with limited recognition of deferred tax assets while under U.S. GAAP, deferred taxes are recorded for temporary differences between the financial statements and tax basis of asset</w:t>
      </w:r>
      <w:r>
        <w:rPr>
          <w:rFonts w:eastAsia="Times New Roman"/>
          <w:color w:val="000000"/>
          <w:sz w:val="20"/>
          <w:szCs w:val="20"/>
        </w:rPr>
        <w:t>s and liabilities where the probability of realization is reasonably assured; (e) the valuation of assets under SAP and U.S. GAAP differ due to different investment valuation and depreciation methodologies, as well as the deferral of interest-related reali</w:t>
      </w:r>
      <w:r>
        <w:rPr>
          <w:rFonts w:eastAsia="Times New Roman"/>
          <w:color w:val="000000"/>
          <w:sz w:val="20"/>
          <w:szCs w:val="20"/>
        </w:rPr>
        <w:t>zed capital gains and losses on fixed income investments; (f) the valuation of the investment in AB and AB Holding under SAP reflects a portion of the market value appreciation rather than the equity in the underlying net assets as required under U.S. GAAP</w:t>
      </w:r>
      <w:r>
        <w:rPr>
          <w:rFonts w:eastAsia="Times New Roman"/>
          <w:color w:val="000000"/>
          <w:sz w:val="20"/>
          <w:szCs w:val="20"/>
        </w:rPr>
        <w:t>; (g) reporting the surplus notes as a component of surplus in SAP but as a liability in U.S. GAAP; (h) computer software development costs are capitalized under U.S. GAAP but expensed under SAP; (i) certain assets, primarily prepaid assets, are not admiss</w:t>
      </w:r>
      <w:r>
        <w:rPr>
          <w:rFonts w:eastAsia="Times New Roman"/>
          <w:color w:val="000000"/>
          <w:sz w:val="20"/>
          <w:szCs w:val="20"/>
        </w:rPr>
        <w:t>ible under SAP but are admissible under U.S. GAAP; and (j) cost of reinsurance which is recognized as expense under SAP and amortized over the life of the underlying reinsured policies under U.S. GAAP.</w:t>
      </w:r>
    </w:p>
    <w:p w:rsidR="00000000" w:rsidRDefault="00E54EC0">
      <w:pPr>
        <w:divId w:val="112405041"/>
        <w:rPr>
          <w:rFonts w:eastAsia="Times New Roman"/>
        </w:rPr>
      </w:pPr>
      <w:r>
        <w:rPr>
          <w:rFonts w:eastAsia="Times New Roman"/>
          <w:b/>
          <w:bCs/>
          <w:color w:val="000000"/>
          <w:sz w:val="20"/>
          <w:szCs w:val="20"/>
        </w:rPr>
        <w:t>19)    BUSINESS SEGMENT INFORMATION</w:t>
      </w:r>
    </w:p>
    <w:p w:rsidR="00000000" w:rsidRDefault="00E54EC0">
      <w:pPr>
        <w:divId w:val="893194611"/>
        <w:rPr>
          <w:rFonts w:eastAsia="Times New Roman"/>
        </w:rPr>
      </w:pPr>
      <w:r>
        <w:rPr>
          <w:rFonts w:eastAsia="Times New Roman"/>
          <w:color w:val="000000"/>
          <w:sz w:val="20"/>
          <w:szCs w:val="20"/>
        </w:rPr>
        <w:t>The Company has fo</w:t>
      </w:r>
      <w:r>
        <w:rPr>
          <w:rFonts w:eastAsia="Times New Roman"/>
          <w:color w:val="000000"/>
          <w:sz w:val="20"/>
          <w:szCs w:val="20"/>
        </w:rPr>
        <w:t>ur reportable segments: Individual Retirement, Group Retirement, Investment Management and Research and Protection Solutions.</w:t>
      </w:r>
    </w:p>
    <w:p w:rsidR="00000000" w:rsidRDefault="00E54EC0">
      <w:pPr>
        <w:divId w:val="40906821"/>
        <w:rPr>
          <w:rFonts w:eastAsia="Times New Roman"/>
        </w:rPr>
      </w:pPr>
      <w:r>
        <w:rPr>
          <w:rFonts w:eastAsia="Times New Roman"/>
          <w:color w:val="000000"/>
          <w:sz w:val="20"/>
          <w:szCs w:val="20"/>
        </w:rPr>
        <w:t>These segments reflect the manner by which the Company’s chief operating decision maker views and manages the business. A brief de</w:t>
      </w:r>
      <w:r>
        <w:rPr>
          <w:rFonts w:eastAsia="Times New Roman"/>
          <w:color w:val="000000"/>
          <w:sz w:val="20"/>
          <w:szCs w:val="20"/>
        </w:rPr>
        <w:t>scription of these segments follows:</w:t>
      </w:r>
    </w:p>
    <w:p w:rsidR="00000000" w:rsidRDefault="00E54EC0">
      <w:pPr>
        <w:ind w:hanging="360"/>
        <w:jc w:val="both"/>
        <w:divId w:val="1635477774"/>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E54EC0">
      <w:pPr>
        <w:ind w:hanging="360"/>
        <w:jc w:val="both"/>
        <w:divId w:val="1492789148"/>
        <w:rPr>
          <w:rFonts w:eastAsia="Times New Roman"/>
        </w:rPr>
      </w:pPr>
      <w:r>
        <w:rPr>
          <w:rFonts w:eastAsia="Times New Roman"/>
          <w:color w:val="000000"/>
          <w:sz w:val="20"/>
          <w:szCs w:val="20"/>
        </w:rPr>
        <w:t>•The Group R</w:t>
      </w:r>
      <w:r>
        <w:rPr>
          <w:rFonts w:eastAsia="Times New Roman"/>
          <w:color w:val="000000"/>
          <w:sz w:val="20"/>
          <w:szCs w:val="20"/>
        </w:rPr>
        <w:t>etirement segment offers tax-deferred investment and retirement services or products to plans sponsored by educational entities, municipalities and not-for-profit entities, as well as small and medium-sized businesses.</w:t>
      </w:r>
    </w:p>
    <w:p w:rsidR="00000000" w:rsidRDefault="00E54EC0">
      <w:pPr>
        <w:ind w:hanging="360"/>
        <w:jc w:val="both"/>
        <w:divId w:val="273640619"/>
        <w:rPr>
          <w:rFonts w:eastAsia="Times New Roman"/>
        </w:rPr>
      </w:pPr>
      <w:r>
        <w:rPr>
          <w:rFonts w:eastAsia="Times New Roman"/>
          <w:color w:val="000000"/>
          <w:sz w:val="20"/>
          <w:szCs w:val="20"/>
        </w:rPr>
        <w:t>•The Investment Management and Resear</w:t>
      </w:r>
      <w:r>
        <w:rPr>
          <w:rFonts w:eastAsia="Times New Roman"/>
          <w:color w:val="000000"/>
          <w:sz w:val="20"/>
          <w:szCs w:val="20"/>
        </w:rPr>
        <w:t>ch segment provides diversified investment management, research and related solutions globally to a broad range of clients through three main client channels - Institutional, Retail and Private Wealth - and distributes its institutional research products a</w:t>
      </w:r>
      <w:r>
        <w:rPr>
          <w:rFonts w:eastAsia="Times New Roman"/>
          <w:color w:val="000000"/>
          <w:sz w:val="20"/>
          <w:szCs w:val="20"/>
        </w:rPr>
        <w:t>nd solutions through Bernstein Research Services.</w:t>
      </w:r>
    </w:p>
    <w:p w:rsidR="00000000" w:rsidRDefault="00E54EC0">
      <w:pPr>
        <w:ind w:hanging="360"/>
        <w:divId w:val="217473712"/>
        <w:rPr>
          <w:rFonts w:eastAsia="Times New Roman"/>
        </w:rPr>
      </w:pPr>
      <w:r>
        <w:rPr>
          <w:rFonts w:eastAsia="Times New Roman"/>
          <w:color w:val="000000"/>
          <w:sz w:val="20"/>
          <w:szCs w:val="20"/>
        </w:rPr>
        <w:t>•</w:t>
      </w:r>
      <w:r>
        <w:rPr>
          <w:rFonts w:eastAsia="Times New Roman"/>
          <w:color w:val="000000"/>
          <w:sz w:val="20"/>
          <w:szCs w:val="20"/>
        </w:rPr>
        <w:t>The Protection Solutions segment includes our life insurance and group employee benefits businesses. Our life insurance business offers a variety of VUL, UL and term life products to help affluent and high net worth individuals, as well as small and medium</w:t>
      </w:r>
      <w:r>
        <w:rPr>
          <w:rFonts w:eastAsia="Times New Roman"/>
          <w:color w:val="000000"/>
          <w:sz w:val="20"/>
          <w:szCs w:val="20"/>
        </w:rPr>
        <w:t>-sized business owners, with their wealth protection, wealth transfer and corporate needs. Our group employee benefits business offers a suite of dental, vision, life, and short- and long-term disability and other insurance products to small and medium-siz</w:t>
      </w:r>
      <w:r>
        <w:rPr>
          <w:rFonts w:eastAsia="Times New Roman"/>
          <w:color w:val="000000"/>
          <w:sz w:val="20"/>
          <w:szCs w:val="20"/>
        </w:rPr>
        <w:t>e businesses across the United States.</w:t>
      </w:r>
    </w:p>
    <w:p w:rsidR="00000000" w:rsidRDefault="00E54EC0">
      <w:pPr>
        <w:divId w:val="509107303"/>
        <w:rPr>
          <w:rFonts w:eastAsia="Times New Roman"/>
        </w:rPr>
      </w:pPr>
      <w:r>
        <w:rPr>
          <w:rFonts w:eastAsia="Times New Roman"/>
          <w:color w:val="000000"/>
          <w:sz w:val="20"/>
          <w:szCs w:val="20"/>
          <w:u w:val="single"/>
        </w:rPr>
        <w:t>Measurement</w:t>
      </w:r>
    </w:p>
    <w:p w:rsidR="00000000" w:rsidRDefault="00E54EC0">
      <w:pPr>
        <w:divId w:val="179394665"/>
        <w:rPr>
          <w:rFonts w:eastAsia="Times New Roman"/>
        </w:rPr>
      </w:pPr>
      <w:r>
        <w:rPr>
          <w:rFonts w:eastAsia="Times New Roman"/>
          <w:color w:val="000000"/>
          <w:sz w:val="20"/>
          <w:szCs w:val="20"/>
        </w:rPr>
        <w:t>Operating earnings (loss) is the financial measure which primarily focuses on the Company’s segments’ results of operations as well as the underlying profitability of the Company’s core business. By exclud</w:t>
      </w:r>
      <w:r>
        <w:rPr>
          <w:rFonts w:eastAsia="Times New Roman"/>
          <w:color w:val="000000"/>
          <w:sz w:val="20"/>
          <w:szCs w:val="20"/>
        </w:rPr>
        <w:t xml:space="preserve">ing items that can be distortive and unpredictable such as investment gains (losses) and investment income (loss) from derivative instruments, the Company believes operating earnings (loss) by segment enhances the understanding of the Company’s underlying </w:t>
      </w:r>
      <w:r>
        <w:rPr>
          <w:rFonts w:eastAsia="Times New Roman"/>
          <w:color w:val="000000"/>
          <w:sz w:val="20"/>
          <w:szCs w:val="20"/>
        </w:rPr>
        <w:t>drivers of profitability and trends in the Company’s segments.</w:t>
      </w:r>
    </w:p>
    <w:p w:rsidR="00000000" w:rsidRDefault="00E54EC0">
      <w:pPr>
        <w:divId w:val="1690717413"/>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E54EC0">
      <w:pPr>
        <w:ind w:hanging="360"/>
        <w:jc w:val="both"/>
        <w:divId w:val="198787751"/>
        <w:rPr>
          <w:rFonts w:eastAsia="Times New Roman"/>
        </w:rPr>
      </w:pPr>
      <w:r>
        <w:rPr>
          <w:rFonts w:eastAsia="Times New Roman"/>
          <w:color w:val="000000"/>
          <w:sz w:val="20"/>
          <w:szCs w:val="20"/>
        </w:rPr>
        <w:t>•Items related to variable annuity product features, which inclu</w:t>
      </w:r>
      <w:r>
        <w:rPr>
          <w:rFonts w:eastAsia="Times New Roman"/>
          <w:color w:val="000000"/>
          <w:sz w:val="20"/>
          <w:szCs w:val="20"/>
        </w:rPr>
        <w:t xml:space="preserve">de: (i) certain changes in the fair value of the derivatives and other securities we use to hedge these features; (ii) the effect of benefit ratio unlock adjustments, including extraordinary economic conditions or events such as COVID-19; (iii) changes in </w:t>
      </w:r>
      <w:r>
        <w:rPr>
          <w:rFonts w:eastAsia="Times New Roman"/>
          <w:color w:val="000000"/>
          <w:sz w:val="20"/>
          <w:szCs w:val="20"/>
        </w:rPr>
        <w:t xml:space="preserve">the fair value of the embedded derivatives reflected within variable annuity products’ net derivative results and the impact of these items on DAC amortization on our SCS product; and (iv) DAC amortization for the SCS variable annuity product arising from </w:t>
      </w:r>
      <w:r>
        <w:rPr>
          <w:rFonts w:eastAsia="Times New Roman"/>
          <w:color w:val="000000"/>
          <w:sz w:val="20"/>
          <w:szCs w:val="20"/>
        </w:rPr>
        <w:t xml:space="preserve">near-term fluctuations in index segment returns; </w:t>
      </w:r>
    </w:p>
    <w:p w:rsidR="00000000" w:rsidRDefault="00E54EC0">
      <w:pPr>
        <w:ind w:hanging="360"/>
        <w:jc w:val="both"/>
        <w:divId w:val="326598494"/>
        <w:rPr>
          <w:rFonts w:eastAsia="Times New Roman"/>
        </w:rPr>
      </w:pPr>
      <w:r>
        <w:rPr>
          <w:rFonts w:eastAsia="Times New Roman"/>
          <w:color w:val="000000"/>
          <w:sz w:val="20"/>
          <w:szCs w:val="20"/>
        </w:rPr>
        <w:t>•Investment (gains) losses, which includes credit loss impairments of securities/investments, sales or disposals of securities/investments, realized capital gains/losses and valuation allowances;</w:t>
      </w:r>
    </w:p>
    <w:p w:rsidR="00000000" w:rsidRDefault="00E54EC0">
      <w:pPr>
        <w:ind w:hanging="360"/>
        <w:jc w:val="both"/>
        <w:divId w:val="1710183069"/>
        <w:rPr>
          <w:rFonts w:eastAsia="Times New Roman"/>
        </w:rPr>
      </w:pPr>
      <w:r>
        <w:rPr>
          <w:rFonts w:eastAsia="Times New Roman"/>
          <w:color w:val="000000"/>
          <w:sz w:val="20"/>
          <w:szCs w:val="20"/>
        </w:rPr>
        <w:t>•Net actua</w:t>
      </w:r>
      <w:r>
        <w:rPr>
          <w:rFonts w:eastAsia="Times New Roman"/>
          <w:color w:val="000000"/>
          <w:sz w:val="20"/>
          <w:szCs w:val="20"/>
        </w:rPr>
        <w:t xml:space="preserve">rial (gains) losses, which includes actuarial gains and losses as a result of differences between actual and expected experience on pension plan assets or projected benefit obligation during a given period related </w:t>
      </w:r>
    </w:p>
    <w:p w:rsidR="00000000" w:rsidRDefault="00E54EC0">
      <w:pPr>
        <w:jc w:val="center"/>
        <w:divId w:val="20713099"/>
        <w:rPr>
          <w:rFonts w:eastAsia="Times New Roman"/>
        </w:rPr>
      </w:pPr>
      <w:r>
        <w:rPr>
          <w:rFonts w:eastAsia="Times New Roman"/>
          <w:color w:val="000000"/>
          <w:sz w:val="20"/>
          <w:szCs w:val="20"/>
        </w:rPr>
        <w:t>222</w:t>
      </w:r>
    </w:p>
    <w:p w:rsidR="00000000" w:rsidRDefault="00E54EC0">
      <w:pPr>
        <w:rPr>
          <w:rFonts w:eastAsia="Times New Roman"/>
        </w:rPr>
      </w:pPr>
      <w:r>
        <w:rPr>
          <w:rFonts w:eastAsia="Times New Roman"/>
        </w:rPr>
        <w:pict>
          <v:rect id="_x0000_i1260" style="width:0;height:1.5pt" o:hralign="center" o:hrstd="t" o:hr="t" fillcolor="#a0a0a0" stroked="f"/>
        </w:pict>
      </w:r>
    </w:p>
    <w:p w:rsidR="00000000" w:rsidRDefault="00E54EC0">
      <w:pPr>
        <w:jc w:val="center"/>
        <w:divId w:val="1977752993"/>
        <w:rPr>
          <w:rFonts w:eastAsia="Times New Roman"/>
        </w:rPr>
      </w:pPr>
      <w:r>
        <w:rPr>
          <w:rFonts w:eastAsia="Times New Roman"/>
          <w:b/>
          <w:bCs/>
          <w:color w:val="000000"/>
          <w:sz w:val="20"/>
          <w:szCs w:val="20"/>
        </w:rPr>
        <w:t>EQUITABLE HOLDINGS, INC.</w:t>
      </w:r>
    </w:p>
    <w:p w:rsidR="00000000" w:rsidRDefault="00E54EC0">
      <w:pPr>
        <w:jc w:val="center"/>
        <w:divId w:val="1977752993"/>
        <w:rPr>
          <w:rFonts w:eastAsia="Times New Roman"/>
        </w:rPr>
      </w:pPr>
      <w:r>
        <w:rPr>
          <w:rFonts w:eastAsia="Times New Roman"/>
          <w:b/>
          <w:bCs/>
          <w:color w:val="000000"/>
          <w:sz w:val="20"/>
          <w:szCs w:val="20"/>
        </w:rPr>
        <w:t>NOTES TO CONSOLIDATED FINANCIAL STATEMENTS, continued</w:t>
      </w:r>
    </w:p>
    <w:p w:rsidR="00000000" w:rsidRDefault="00E54EC0">
      <w:pPr>
        <w:jc w:val="both"/>
        <w:divId w:val="890196106"/>
        <w:rPr>
          <w:rFonts w:eastAsia="Times New Roman"/>
        </w:rPr>
      </w:pPr>
      <w:r>
        <w:rPr>
          <w:rFonts w:eastAsia="Times New Roman"/>
          <w:color w:val="000000"/>
          <w:sz w:val="20"/>
          <w:szCs w:val="20"/>
        </w:rPr>
        <w:t>to pension, other postretirement benefit obligations, and the one-time impact of the settlement of the defined benefit obligation;</w:t>
      </w:r>
    </w:p>
    <w:p w:rsidR="00000000" w:rsidRDefault="00E54EC0">
      <w:pPr>
        <w:ind w:hanging="360"/>
        <w:jc w:val="both"/>
        <w:divId w:val="1879774049"/>
        <w:rPr>
          <w:rFonts w:eastAsia="Times New Roman"/>
        </w:rPr>
      </w:pPr>
      <w:r>
        <w:rPr>
          <w:rFonts w:eastAsia="Times New Roman"/>
          <w:color w:val="000000"/>
          <w:sz w:val="20"/>
          <w:szCs w:val="20"/>
        </w:rPr>
        <w:t>•Other adjustments, which primarily include re</w:t>
      </w:r>
      <w:r>
        <w:rPr>
          <w:rFonts w:eastAsia="Times New Roman"/>
          <w:color w:val="000000"/>
          <w:sz w:val="20"/>
          <w:szCs w:val="20"/>
        </w:rPr>
        <w:t>structuring costs related to severance and separation, lease write-offs related to non-recurring restructuring activities, COVID-19 related impacts, net derivative gains (losses) on certain Non-GMxB der</w:t>
      </w:r>
      <w:r>
        <w:rPr>
          <w:rFonts w:eastAsia="Times New Roman"/>
          <w:color w:val="000000"/>
          <w:sz w:val="20"/>
          <w:szCs w:val="20"/>
          <w:shd w:val="clear" w:color="auto" w:fill="FFFFFF"/>
        </w:rPr>
        <w:t>ivatives, net investment income from certain items inc</w:t>
      </w:r>
      <w:r>
        <w:rPr>
          <w:rFonts w:eastAsia="Times New Roman"/>
          <w:color w:val="000000"/>
          <w:sz w:val="20"/>
          <w:szCs w:val="20"/>
          <w:shd w:val="clear" w:color="auto" w:fill="FFFFFF"/>
        </w:rPr>
        <w:t>luding consolidated VIE investments, seed capital mark-to-market adjustments, unrealized gain/losses and realized capital gains/losses from sales or disposals of select securities, certain legal accruals; and a bespoke deal to repurchase UL policies from o</w:t>
      </w:r>
      <w:r>
        <w:rPr>
          <w:rFonts w:eastAsia="Times New Roman"/>
          <w:color w:val="000000"/>
          <w:sz w:val="20"/>
          <w:szCs w:val="20"/>
          <w:shd w:val="clear" w:color="auto" w:fill="FFFFFF"/>
        </w:rPr>
        <w:t>ne entity that had invested in numerous policies p</w:t>
      </w:r>
      <w:r>
        <w:rPr>
          <w:rFonts w:eastAsia="Times New Roman"/>
          <w:color w:val="000000"/>
          <w:sz w:val="20"/>
          <w:szCs w:val="20"/>
        </w:rPr>
        <w:t>urchased in the life settlement market, which disposed of the risk of additional COI litigation by that entity related to those UL policies; and</w:t>
      </w:r>
    </w:p>
    <w:p w:rsidR="00000000" w:rsidRDefault="00E54EC0">
      <w:pPr>
        <w:ind w:hanging="360"/>
        <w:divId w:val="2043164872"/>
        <w:rPr>
          <w:rFonts w:eastAsia="Times New Roman"/>
        </w:rPr>
      </w:pPr>
      <w:r>
        <w:rPr>
          <w:rFonts w:eastAsia="Times New Roman"/>
          <w:color w:val="000000"/>
          <w:sz w:val="20"/>
          <w:szCs w:val="20"/>
        </w:rPr>
        <w:t xml:space="preserve">•Income tax expense (benefit) related to the above items and </w:t>
      </w:r>
      <w:r>
        <w:rPr>
          <w:rFonts w:eastAsia="Times New Roman"/>
          <w:color w:val="000000"/>
          <w:sz w:val="20"/>
          <w:szCs w:val="20"/>
        </w:rPr>
        <w:t>non-recurring tax items, which includes the effect of uncertain tax positions for a given audit period.</w:t>
      </w:r>
    </w:p>
    <w:p w:rsidR="00000000" w:rsidRDefault="00E54EC0">
      <w:pPr>
        <w:divId w:val="1717506518"/>
        <w:rPr>
          <w:rFonts w:eastAsia="Times New Roman"/>
        </w:rPr>
      </w:pPr>
      <w:r>
        <w:rPr>
          <w:rFonts w:eastAsia="Times New Roman"/>
          <w:color w:val="000000"/>
          <w:sz w:val="20"/>
          <w:szCs w:val="20"/>
        </w:rPr>
        <w:t>In the first quarter 2022, the Company updated its Operating earnings measure to exclude the DAC amortization impact of near-term fluctuations in indexe</w:t>
      </w:r>
      <w:r>
        <w:rPr>
          <w:rFonts w:eastAsia="Times New Roman"/>
          <w:color w:val="000000"/>
          <w:sz w:val="20"/>
          <w:szCs w:val="20"/>
        </w:rPr>
        <w:t xml:space="preserve">d segment returns on the SCS variable annuity product to reflect the impact of market fluctuations consistently with the long term duration of the product. Operating earnings were favorably impacted by this change in the amount of $78 million for the year </w:t>
      </w:r>
      <w:r>
        <w:rPr>
          <w:rFonts w:eastAsia="Times New Roman"/>
          <w:color w:val="000000"/>
          <w:sz w:val="20"/>
          <w:szCs w:val="20"/>
        </w:rPr>
        <w:t xml:space="preserve">ended December 31, 2022. The presentation of Operating earnings in prior periods was not revised to reflect this modification, however, the Company estimated that had the treatment in the Company’s Operating earnings measure of the Amortization of DAC for </w:t>
      </w:r>
      <w:r>
        <w:rPr>
          <w:rFonts w:eastAsia="Times New Roman"/>
          <w:color w:val="000000"/>
          <w:sz w:val="20"/>
          <w:szCs w:val="20"/>
        </w:rPr>
        <w:t>SCS been modified in 2020, the pre-tax impact on Operating earnings of excluding the SCS-related DAC amortization from Operating earnings would have been a decrease of $16 million and $34 million for the years ended December 31, 2021 and 2020, respectively</w:t>
      </w:r>
      <w:r>
        <w:rPr>
          <w:rFonts w:eastAsia="Times New Roman"/>
          <w:color w:val="000000"/>
          <w:sz w:val="20"/>
          <w:szCs w:val="20"/>
        </w:rPr>
        <w:t xml:space="preserve">. </w:t>
      </w:r>
    </w:p>
    <w:p w:rsidR="00000000" w:rsidRDefault="00E54EC0">
      <w:pPr>
        <w:divId w:val="1075665023"/>
        <w:rPr>
          <w:rFonts w:eastAsia="Times New Roman"/>
        </w:rPr>
      </w:pPr>
      <w:r>
        <w:rPr>
          <w:rFonts w:eastAsia="Times New Roman"/>
          <w:color w:val="000000"/>
          <w:sz w:val="20"/>
          <w:szCs w:val="20"/>
        </w:rPr>
        <w:t>The General Account investment portfolio is used to support the insurance and annuity liabilities of our Individual Retirement, Group Retirement and Protection Solutions businesses segments. In the first quarter 2022, the Company changed its methodology</w:t>
      </w:r>
      <w:r>
        <w:rPr>
          <w:rFonts w:eastAsia="Times New Roman"/>
          <w:color w:val="000000"/>
          <w:sz w:val="20"/>
          <w:szCs w:val="20"/>
        </w:rPr>
        <w:t xml:space="preserve"> for allocating its General Account investment portfolio, which resulted in a change in the asset and net investment income allocation amongst the Company’s business segments. Following this change, the segmentation of the general account investments is no</w:t>
      </w:r>
      <w:r>
        <w:rPr>
          <w:rFonts w:eastAsia="Times New Roman"/>
          <w:color w:val="000000"/>
          <w:sz w:val="20"/>
          <w:szCs w:val="20"/>
        </w:rPr>
        <w:t>w more closely aligned with the liability characteristics of the product groups. Management determined that the change in the allocation methodology allows for improved flexibility and infuses an active asset liability management practice into the segmenta</w:t>
      </w:r>
      <w:r>
        <w:rPr>
          <w:rFonts w:eastAsia="Times New Roman"/>
          <w:color w:val="000000"/>
          <w:sz w:val="20"/>
          <w:szCs w:val="20"/>
        </w:rPr>
        <w:t>tion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includes the investment income on t</w:t>
      </w:r>
      <w:r>
        <w:rPr>
          <w:rFonts w:eastAsia="Times New Roman"/>
          <w:color w:val="000000"/>
          <w:sz w:val="20"/>
          <w:szCs w:val="20"/>
        </w:rPr>
        <w:t>he assets less interest credited on the funding agreements. The net spread as reflected in net investment income is allocated to the segments based on the percentage of the individual segment insurance liabilities over the combined segments insurance liabi</w:t>
      </w:r>
      <w:r>
        <w:rPr>
          <w:rFonts w:eastAsia="Times New Roman"/>
          <w:color w:val="000000"/>
          <w:sz w:val="20"/>
          <w:szCs w:val="20"/>
        </w:rPr>
        <w:t xml:space="preserve">lities. </w:t>
      </w:r>
    </w:p>
    <w:p w:rsidR="00000000" w:rsidRDefault="00E54EC0">
      <w:pPr>
        <w:divId w:val="710610566"/>
        <w:rPr>
          <w:rFonts w:eastAsia="Times New Roman"/>
        </w:rPr>
      </w:pPr>
      <w:r>
        <w:rPr>
          <w:rFonts w:eastAsia="Times New Roman"/>
          <w:color w:val="000000"/>
          <w:sz w:val="20"/>
          <w:szCs w:val="20"/>
        </w:rPr>
        <w:t>This</w:t>
      </w:r>
      <w:r>
        <w:rPr>
          <w:rFonts w:eastAsia="Times New Roman"/>
          <w:color w:val="000000"/>
          <w:sz w:val="20"/>
          <w:szCs w:val="20"/>
        </w:rPr>
        <w:t> </w:t>
      </w:r>
      <w:r>
        <w:rPr>
          <w:rFonts w:eastAsia="Times New Roman"/>
          <w:color w:val="000000"/>
          <w:sz w:val="20"/>
          <w:szCs w:val="20"/>
        </w:rPr>
        <w:t>change</w:t>
      </w:r>
      <w:r>
        <w:rPr>
          <w:rFonts w:eastAsia="Times New Roman"/>
          <w:color w:val="000000"/>
          <w:sz w:val="20"/>
          <w:szCs w:val="20"/>
        </w:rPr>
        <w:t> </w:t>
      </w:r>
      <w:r>
        <w:rPr>
          <w:rFonts w:eastAsia="Times New Roman"/>
          <w:color w:val="000000"/>
          <w:sz w:val="20"/>
          <w:szCs w:val="20"/>
        </w:rPr>
        <w:t>in</w:t>
      </w:r>
      <w:r>
        <w:rPr>
          <w:rFonts w:eastAsia="Times New Roman"/>
          <w:color w:val="000000"/>
          <w:sz w:val="20"/>
          <w:szCs w:val="20"/>
        </w:rPr>
        <w:t> </w:t>
      </w:r>
      <w:r>
        <w:rPr>
          <w:rFonts w:eastAsia="Times New Roman"/>
          <w:color w:val="000000"/>
          <w:sz w:val="20"/>
          <w:szCs w:val="20"/>
        </w:rPr>
        <w:t>measurement</w:t>
      </w:r>
      <w:r>
        <w:rPr>
          <w:rFonts w:eastAsia="Times New Roman"/>
          <w:color w:val="000000"/>
          <w:sz w:val="20"/>
          <w:szCs w:val="20"/>
        </w:rPr>
        <w:t> </w:t>
      </w:r>
      <w:r>
        <w:rPr>
          <w:rFonts w:eastAsia="Times New Roman"/>
          <w:color w:val="000000"/>
          <w:sz w:val="20"/>
          <w:szCs w:val="20"/>
        </w:rPr>
        <w:t>only impacts our segment disclosures, and thus has no impact on our overall consolidated financial statements. Historical segment operating income (loss), revenues and assets have not been recast in the tables as the imp</w:t>
      </w:r>
      <w:r>
        <w:rPr>
          <w:rFonts w:eastAsia="Times New Roman"/>
          <w:color w:val="000000"/>
          <w:sz w:val="20"/>
          <w:szCs w:val="20"/>
        </w:rPr>
        <w:t xml:space="preserve">act was immaterial. </w:t>
      </w:r>
    </w:p>
    <w:p w:rsidR="00000000" w:rsidRDefault="00E54EC0">
      <w:pPr>
        <w:divId w:val="799570454"/>
        <w:rPr>
          <w:rFonts w:eastAsia="Times New Roman"/>
        </w:rPr>
      </w:pPr>
      <w:r>
        <w:rPr>
          <w:rFonts w:eastAsia="Times New Roman"/>
          <w:color w:val="000000"/>
          <w:sz w:val="20"/>
          <w:szCs w:val="20"/>
        </w:rPr>
        <w:t>Revenues derived from any customer did not exceed 10% of revenues for the years ended December 31, 2022, 2021 and 2020.</w:t>
      </w:r>
    </w:p>
    <w:p w:rsidR="00000000" w:rsidRDefault="00E54EC0">
      <w:pPr>
        <w:divId w:val="1000429190"/>
        <w:rPr>
          <w:rFonts w:eastAsia="Times New Roman"/>
        </w:rPr>
      </w:pPr>
      <w:r>
        <w:rPr>
          <w:rFonts w:eastAsia="Times New Roman"/>
          <w:color w:val="000000"/>
          <w:sz w:val="20"/>
          <w:szCs w:val="20"/>
        </w:rPr>
        <w:t>The table below presents operating earnings (loss) by segment and Corporate and Other and a reconciliation to net i</w:t>
      </w:r>
      <w:r>
        <w:rPr>
          <w:rFonts w:eastAsia="Times New Roman"/>
          <w:color w:val="000000"/>
          <w:sz w:val="20"/>
          <w:szCs w:val="20"/>
        </w:rPr>
        <w:t>ncome (loss) attributable to Holdings for the years ended December 31, 2022,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5643"/>
        <w:gridCol w:w="39"/>
        <w:gridCol w:w="36"/>
        <w:gridCol w:w="36"/>
        <w:gridCol w:w="36"/>
        <w:gridCol w:w="36"/>
        <w:gridCol w:w="120"/>
        <w:gridCol w:w="612"/>
        <w:gridCol w:w="36"/>
        <w:gridCol w:w="36"/>
        <w:gridCol w:w="36"/>
        <w:gridCol w:w="36"/>
        <w:gridCol w:w="120"/>
        <w:gridCol w:w="572"/>
        <w:gridCol w:w="36"/>
        <w:gridCol w:w="36"/>
        <w:gridCol w:w="36"/>
        <w:gridCol w:w="36"/>
        <w:gridCol w:w="120"/>
        <w:gridCol w:w="572"/>
        <w:gridCol w:w="36"/>
      </w:tblGrid>
      <w:tr w:rsidR="00000000">
        <w:trPr>
          <w:divId w:val="1063600673"/>
        </w:trPr>
        <w:tc>
          <w:tcPr>
            <w:tcW w:w="50" w:type="pct"/>
            <w:vAlign w:val="center"/>
            <w:hideMark/>
          </w:tcPr>
          <w:p w:rsidR="00000000" w:rsidRDefault="00E54EC0">
            <w:pPr>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6360067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06360067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063600673"/>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06360067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360067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related to:</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6360067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annuity product features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4,145 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3600673"/>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(867)</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360067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3600673"/>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adjustments (2) (3) (4) (5)</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06360067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Income tax expense (benefit) related to above adjustments (6)</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jc w:val="center"/>
        <w:divId w:val="83916172"/>
        <w:rPr>
          <w:rFonts w:eastAsia="Times New Roman"/>
        </w:rPr>
      </w:pPr>
      <w:r>
        <w:rPr>
          <w:rFonts w:eastAsia="Times New Roman"/>
          <w:color w:val="000000"/>
          <w:sz w:val="20"/>
          <w:szCs w:val="20"/>
        </w:rPr>
        <w:t>223</w:t>
      </w:r>
    </w:p>
    <w:p w:rsidR="00000000" w:rsidRDefault="00E54EC0">
      <w:pPr>
        <w:rPr>
          <w:rFonts w:eastAsia="Times New Roman"/>
        </w:rPr>
      </w:pPr>
      <w:r>
        <w:rPr>
          <w:rFonts w:eastAsia="Times New Roman"/>
        </w:rPr>
        <w:pict>
          <v:rect id="_x0000_i1261" style="width:0;height:1.5pt" o:hralign="center" o:hrstd="t" o:hr="t" fillcolor="#a0a0a0" stroked="f"/>
        </w:pict>
      </w:r>
    </w:p>
    <w:p w:rsidR="00000000" w:rsidRDefault="00E54EC0">
      <w:pPr>
        <w:jc w:val="center"/>
        <w:divId w:val="891845640"/>
        <w:rPr>
          <w:rFonts w:eastAsia="Times New Roman"/>
        </w:rPr>
      </w:pPr>
      <w:r>
        <w:rPr>
          <w:rFonts w:eastAsia="Times New Roman"/>
          <w:b/>
          <w:bCs/>
          <w:color w:val="000000"/>
          <w:sz w:val="20"/>
          <w:szCs w:val="20"/>
        </w:rPr>
        <w:t>EQUITABLE HOLDINGS, INC.</w:t>
      </w:r>
    </w:p>
    <w:p w:rsidR="00000000" w:rsidRDefault="00E54EC0">
      <w:pPr>
        <w:jc w:val="center"/>
        <w:divId w:val="891845640"/>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5644"/>
        <w:gridCol w:w="38"/>
        <w:gridCol w:w="36"/>
        <w:gridCol w:w="36"/>
        <w:gridCol w:w="36"/>
        <w:gridCol w:w="36"/>
        <w:gridCol w:w="120"/>
        <w:gridCol w:w="613"/>
        <w:gridCol w:w="36"/>
        <w:gridCol w:w="36"/>
        <w:gridCol w:w="36"/>
        <w:gridCol w:w="36"/>
        <w:gridCol w:w="120"/>
        <w:gridCol w:w="572"/>
        <w:gridCol w:w="36"/>
        <w:gridCol w:w="36"/>
        <w:gridCol w:w="36"/>
        <w:gridCol w:w="36"/>
        <w:gridCol w:w="120"/>
        <w:gridCol w:w="572"/>
        <w:gridCol w:w="36"/>
      </w:tblGrid>
      <w:tr w:rsidR="00000000">
        <w:trPr>
          <w:divId w:val="1206067970"/>
        </w:trPr>
        <w:tc>
          <w:tcPr>
            <w:tcW w:w="50" w:type="pct"/>
            <w:vAlign w:val="center"/>
            <w:hideMark/>
          </w:tcPr>
          <w:p w:rsidR="00000000" w:rsidRDefault="00E54EC0">
            <w:pPr>
              <w:jc w:val="center"/>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0606797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0606797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20606797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06067970"/>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Non-recurring tax items (7)</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0606797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2,825 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06067970"/>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0606797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06067970"/>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Individual Retirement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06067970"/>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Group Retirement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06067970"/>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06067970"/>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Protection Solutions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0606797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Corporate and Other (8)</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720"/>
        <w:divId w:val="283196285"/>
        <w:rPr>
          <w:rFonts w:eastAsia="Times New Roman"/>
        </w:rPr>
      </w:pPr>
      <w:r>
        <w:rPr>
          <w:rFonts w:eastAsia="Times New Roman"/>
          <w:color w:val="000000"/>
          <w:sz w:val="18"/>
          <w:szCs w:val="18"/>
        </w:rPr>
        <w:t>______________</w:t>
      </w:r>
    </w:p>
    <w:p w:rsidR="00000000" w:rsidRDefault="00E54EC0">
      <w:pPr>
        <w:ind w:hanging="360"/>
        <w:divId w:val="1144734036"/>
        <w:rPr>
          <w:rFonts w:eastAsia="Times New Roman"/>
        </w:rPr>
      </w:pPr>
      <w:r>
        <w:rPr>
          <w:rFonts w:eastAsia="Times New Roman"/>
          <w:color w:val="000000"/>
          <w:sz w:val="18"/>
          <w:szCs w:val="18"/>
        </w:rPr>
        <w:t>(1)Includes COVID-19 impact on variable annuity product features due to a first quarter 2020 assumption update of $1.5 billion and other COVID-19 related impacts of $35 mil</w:t>
      </w:r>
      <w:r>
        <w:rPr>
          <w:rFonts w:eastAsia="Times New Roman"/>
          <w:color w:val="000000"/>
          <w:sz w:val="18"/>
          <w:szCs w:val="18"/>
        </w:rPr>
        <w:t>lion for the year ended December 31, 2020.</w:t>
      </w:r>
    </w:p>
    <w:p w:rsidR="00000000" w:rsidRDefault="00E54EC0">
      <w:pPr>
        <w:ind w:hanging="360"/>
        <w:divId w:val="1458797258"/>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$86 million for the year ended December 31, 2020.</w:t>
      </w:r>
    </w:p>
    <w:p w:rsidR="00000000" w:rsidRDefault="00E54EC0">
      <w:pPr>
        <w:ind w:hanging="360"/>
        <w:divId w:val="850413638"/>
        <w:rPr>
          <w:rFonts w:eastAsia="Times New Roman"/>
        </w:rPr>
      </w:pPr>
      <w:r>
        <w:rPr>
          <w:rFonts w:eastAsia="Times New Roman"/>
          <w:color w:val="000000"/>
          <w:sz w:val="18"/>
          <w:szCs w:val="18"/>
        </w:rPr>
        <w:t>(3)Includes se</w:t>
      </w:r>
      <w:r>
        <w:rPr>
          <w:rFonts w:eastAsia="Times New Roman"/>
          <w:color w:val="000000"/>
          <w:sz w:val="18"/>
          <w:szCs w:val="18"/>
        </w:rPr>
        <w:t>paration costs of $82 million and $108 million for the for the years ended December 31, 2021 and 2020, respectively. Separation costs were completed during 2021.</w:t>
      </w:r>
    </w:p>
    <w:p w:rsidR="00000000" w:rsidRDefault="00E54EC0">
      <w:pPr>
        <w:ind w:hanging="360"/>
        <w:divId w:val="1378552941"/>
        <w:rPr>
          <w:rFonts w:eastAsia="Times New Roman"/>
        </w:rPr>
      </w:pPr>
      <w:r>
        <w:rPr>
          <w:rFonts w:eastAsia="Times New Roman"/>
          <w:color w:val="000000"/>
          <w:sz w:val="18"/>
          <w:szCs w:val="18"/>
        </w:rPr>
        <w:t>(4)</w:t>
      </w:r>
      <w:r>
        <w:rPr>
          <w:rFonts w:eastAsia="Times New Roman"/>
          <w:color w:val="000000"/>
          <w:sz w:val="18"/>
          <w:szCs w:val="18"/>
        </w:rPr>
        <w:t>Includes certain gross legal expenses related to the COI litigation and claims related to a commercial relationship of $218 million and $207 million for the years ended December 31, 2022 and 2021, respectively. Includes policyholder benefit costs of $75 mi</w:t>
      </w:r>
      <w:r>
        <w:rPr>
          <w:rFonts w:eastAsia="Times New Roman"/>
          <w:color w:val="000000"/>
          <w:sz w:val="18"/>
          <w:szCs w:val="18"/>
        </w:rPr>
        <w:t xml:space="preserve">llion for the years ended December 31, 2022 stemming from a deal to repurchase UL policies from one entity that had invested in numerous policies purchased in the life settlement market. No adjustments were made for years ended December 31, 2020 operating </w:t>
      </w:r>
      <w:r>
        <w:rPr>
          <w:rFonts w:eastAsia="Times New Roman"/>
          <w:color w:val="000000"/>
          <w:sz w:val="18"/>
          <w:szCs w:val="18"/>
        </w:rPr>
        <w:t>earnings as the impact was immaterial.</w:t>
      </w:r>
    </w:p>
    <w:p w:rsidR="00000000" w:rsidRDefault="00E54EC0">
      <w:pPr>
        <w:ind w:hanging="360"/>
        <w:divId w:val="1294023807"/>
        <w:rPr>
          <w:rFonts w:eastAsia="Times New Roman"/>
        </w:rPr>
      </w:pPr>
      <w:r>
        <w:rPr>
          <w:rFonts w:eastAsia="Times New Roman"/>
          <w:color w:val="000000"/>
          <w:sz w:val="18"/>
          <w:szCs w:val="18"/>
        </w:rPr>
        <w:t>(5)Includes Non-GMxB related derivative hedge gains and losses of ($34) million, $65 million and ($404) million for the years ended December 31, 2022, 2021 and 2020, respectively.</w:t>
      </w:r>
    </w:p>
    <w:p w:rsidR="00000000" w:rsidRDefault="00E54EC0">
      <w:pPr>
        <w:ind w:hanging="360"/>
        <w:divId w:val="1698308597"/>
        <w:rPr>
          <w:rFonts w:eastAsia="Times New Roman"/>
        </w:rPr>
      </w:pPr>
      <w:r>
        <w:rPr>
          <w:rFonts w:eastAsia="Times New Roman"/>
          <w:color w:val="000000"/>
          <w:sz w:val="18"/>
          <w:szCs w:val="18"/>
        </w:rPr>
        <w:t>(6)Includes income taxes of $(554) mi</w:t>
      </w:r>
      <w:r>
        <w:rPr>
          <w:rFonts w:eastAsia="Times New Roman"/>
          <w:color w:val="000000"/>
          <w:sz w:val="18"/>
          <w:szCs w:val="18"/>
        </w:rPr>
        <w:t>llion for the above COVID-19 items for the year ended December 31, 2020.</w:t>
      </w:r>
    </w:p>
    <w:p w:rsidR="00000000" w:rsidRDefault="00E54EC0">
      <w:pPr>
        <w:ind w:hanging="360"/>
        <w:divId w:val="1241720809"/>
        <w:rPr>
          <w:rFonts w:eastAsia="Times New Roman"/>
        </w:rPr>
      </w:pPr>
      <w:r>
        <w:rPr>
          <w:rFonts w:eastAsia="Times New Roman"/>
          <w:color w:val="000000"/>
          <w:sz w:val="18"/>
          <w:szCs w:val="18"/>
        </w:rPr>
        <w:t>(7)Prior year includes a reduction in the reserve for uncertain tax positions resulting from the completion of an IRS examination in the year ended December 31, 2020.</w:t>
      </w:r>
    </w:p>
    <w:p w:rsidR="00000000" w:rsidRDefault="00E54EC0">
      <w:pPr>
        <w:ind w:hanging="360"/>
        <w:divId w:val="648823761"/>
        <w:rPr>
          <w:rFonts w:eastAsia="Times New Roman"/>
        </w:rPr>
      </w:pPr>
      <w:r>
        <w:rPr>
          <w:rFonts w:eastAsia="Times New Roman"/>
          <w:color w:val="000000"/>
          <w:sz w:val="18"/>
          <w:szCs w:val="18"/>
        </w:rPr>
        <w:t>(8)Includes inte</w:t>
      </w:r>
      <w:r>
        <w:rPr>
          <w:rFonts w:eastAsia="Times New Roman"/>
          <w:color w:val="000000"/>
          <w:sz w:val="18"/>
          <w:szCs w:val="18"/>
        </w:rPr>
        <w:t>rest expense and financing fees of $205 million, $241 million and $218 million for the years ended December 31, 2022, 2021 and 2020, respectively.</w:t>
      </w:r>
    </w:p>
    <w:p w:rsidR="00000000" w:rsidRDefault="00E54EC0">
      <w:pPr>
        <w:divId w:val="966278191"/>
        <w:rPr>
          <w:rFonts w:eastAsia="Times New Roman"/>
        </w:rPr>
      </w:pPr>
      <w:r>
        <w:rPr>
          <w:rFonts w:eastAsia="Times New Roman"/>
          <w:color w:val="000000"/>
          <w:sz w:val="20"/>
          <w:szCs w:val="20"/>
        </w:rPr>
        <w:t>Segment revenues is a measure of the Company’s revenue by segment as adjusted to exclude certain items. The f</w:t>
      </w:r>
      <w:r>
        <w:rPr>
          <w:rFonts w:eastAsia="Times New Roman"/>
          <w:color w:val="000000"/>
          <w:sz w:val="20"/>
          <w:szCs w:val="20"/>
        </w:rPr>
        <w:t>ollowing table reconciles segment revenues to total revenues by excluding the following items:</w:t>
      </w:r>
    </w:p>
    <w:p w:rsidR="00000000" w:rsidRDefault="00E54EC0">
      <w:pPr>
        <w:ind w:hanging="360"/>
        <w:jc w:val="both"/>
        <w:divId w:val="1607493522"/>
        <w:rPr>
          <w:rFonts w:eastAsia="Times New Roman"/>
        </w:rPr>
      </w:pPr>
      <w:r>
        <w:rPr>
          <w:rFonts w:eastAsia="Times New Roman"/>
          <w:color w:val="000000"/>
          <w:sz w:val="20"/>
          <w:szCs w:val="20"/>
        </w:rPr>
        <w:t>•Items related to variable annuity product features, which include certain changes in the fair value of the derivatives and other securities we use to hedge thes</w:t>
      </w:r>
      <w:r>
        <w:rPr>
          <w:rFonts w:eastAsia="Times New Roman"/>
          <w:color w:val="000000"/>
          <w:sz w:val="20"/>
          <w:szCs w:val="20"/>
        </w:rPr>
        <w:t>e features and changes in the fair value of the embedded derivatives reflected within the net derivative results of variable annuity product features;</w:t>
      </w:r>
    </w:p>
    <w:p w:rsidR="00000000" w:rsidRDefault="00E54EC0">
      <w:pPr>
        <w:ind w:hanging="360"/>
        <w:jc w:val="both"/>
        <w:divId w:val="1958676547"/>
        <w:rPr>
          <w:rFonts w:eastAsia="Times New Roman"/>
        </w:rPr>
      </w:pPr>
      <w:r>
        <w:rPr>
          <w:rFonts w:eastAsia="Times New Roman"/>
          <w:color w:val="000000"/>
          <w:sz w:val="20"/>
          <w:szCs w:val="20"/>
        </w:rPr>
        <w:t>•Investment (gains) losses, which includes credit loss impairments of securities/investments, sales or di</w:t>
      </w:r>
      <w:r>
        <w:rPr>
          <w:rFonts w:eastAsia="Times New Roman"/>
          <w:color w:val="000000"/>
          <w:sz w:val="20"/>
          <w:szCs w:val="20"/>
        </w:rPr>
        <w:t xml:space="preserve">sposals of securities/investments, realized capital gains/losses and valuation allowances; </w:t>
      </w:r>
    </w:p>
    <w:p w:rsidR="00000000" w:rsidRDefault="00E54EC0">
      <w:pPr>
        <w:ind w:hanging="360"/>
        <w:divId w:val="241723106"/>
        <w:rPr>
          <w:rFonts w:eastAsia="Times New Roman"/>
        </w:rPr>
      </w:pPr>
      <w:r>
        <w:rPr>
          <w:rFonts w:eastAsia="Times New Roman"/>
          <w:color w:val="000000"/>
          <w:sz w:val="20"/>
          <w:szCs w:val="20"/>
        </w:rPr>
        <w:t>•Other adjustments, which primarily includes net derivative gains (losses) on certain Non-GMxB derivatives and net investment income from certain items including co</w:t>
      </w:r>
      <w:r>
        <w:rPr>
          <w:rFonts w:eastAsia="Times New Roman"/>
          <w:color w:val="000000"/>
          <w:sz w:val="20"/>
          <w:szCs w:val="20"/>
        </w:rPr>
        <w:t>nsolidated VIE investments, seed capital mark-to-market adjustments and unrealized gain/losses associated with equity securities.</w:t>
      </w:r>
    </w:p>
    <w:p w:rsidR="00000000" w:rsidRDefault="00E54EC0">
      <w:pPr>
        <w:jc w:val="center"/>
        <w:divId w:val="385182785"/>
        <w:rPr>
          <w:rFonts w:eastAsia="Times New Roman"/>
        </w:rPr>
      </w:pPr>
      <w:r>
        <w:rPr>
          <w:rFonts w:eastAsia="Times New Roman"/>
          <w:color w:val="000000"/>
          <w:sz w:val="20"/>
          <w:szCs w:val="20"/>
        </w:rPr>
        <w:t>224</w:t>
      </w:r>
    </w:p>
    <w:p w:rsidR="00000000" w:rsidRDefault="00E54EC0">
      <w:pPr>
        <w:rPr>
          <w:rFonts w:eastAsia="Times New Roman"/>
        </w:rPr>
      </w:pPr>
      <w:r>
        <w:rPr>
          <w:rFonts w:eastAsia="Times New Roman"/>
        </w:rPr>
        <w:pict>
          <v:rect id="_x0000_i1262" style="width:0;height:1.5pt" o:hralign="center" o:hrstd="t" o:hr="t" fillcolor="#a0a0a0" stroked="f"/>
        </w:pict>
      </w:r>
    </w:p>
    <w:p w:rsidR="00000000" w:rsidRDefault="00E54EC0">
      <w:pPr>
        <w:jc w:val="center"/>
        <w:divId w:val="1362703306"/>
        <w:rPr>
          <w:rFonts w:eastAsia="Times New Roman"/>
        </w:rPr>
      </w:pPr>
      <w:r>
        <w:rPr>
          <w:rFonts w:eastAsia="Times New Roman"/>
          <w:b/>
          <w:bCs/>
          <w:color w:val="000000"/>
          <w:sz w:val="20"/>
          <w:szCs w:val="20"/>
        </w:rPr>
        <w:t>EQUITABLE HOLDINGS, INC.</w:t>
      </w:r>
    </w:p>
    <w:p w:rsidR="00000000" w:rsidRDefault="00E54EC0">
      <w:pPr>
        <w:jc w:val="center"/>
        <w:divId w:val="1362703306"/>
        <w:rPr>
          <w:rFonts w:eastAsia="Times New Roman"/>
        </w:rPr>
      </w:pPr>
      <w:r>
        <w:rPr>
          <w:rFonts w:eastAsia="Times New Roman"/>
          <w:b/>
          <w:bCs/>
          <w:color w:val="000000"/>
          <w:sz w:val="20"/>
          <w:szCs w:val="20"/>
        </w:rPr>
        <w:t>NOTES TO CONSOLIDATED FINANCIAL STATEMENTS, continued</w:t>
      </w:r>
    </w:p>
    <w:p w:rsidR="00000000" w:rsidRDefault="00E54EC0">
      <w:pPr>
        <w:divId w:val="1473058507"/>
        <w:rPr>
          <w:rFonts w:eastAsia="Times New Roman"/>
        </w:rPr>
      </w:pPr>
      <w:r>
        <w:rPr>
          <w:rFonts w:eastAsia="Times New Roman"/>
          <w:color w:val="000000"/>
          <w:sz w:val="20"/>
          <w:szCs w:val="20"/>
        </w:rPr>
        <w:t>The tab</w:t>
      </w:r>
      <w:r>
        <w:rPr>
          <w:rFonts w:eastAsia="Times New Roman"/>
          <w:color w:val="000000"/>
          <w:sz w:val="20"/>
          <w:szCs w:val="20"/>
        </w:rPr>
        <w:t>le below presents segment revenues for the 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601"/>
        <w:gridCol w:w="38"/>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776173443"/>
        </w:trPr>
        <w:tc>
          <w:tcPr>
            <w:tcW w:w="50" w:type="pct"/>
            <w:vAlign w:val="center"/>
            <w:hideMark/>
          </w:tcPr>
          <w:p w:rsidR="00000000" w:rsidRDefault="00E54EC0">
            <w:pPr>
              <w:rPr>
                <w:rFonts w:eastAsia="Times New Roman"/>
              </w:rPr>
            </w:pPr>
          </w:p>
        </w:tc>
        <w:tc>
          <w:tcPr>
            <w:tcW w:w="349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76173443"/>
        </w:trPr>
        <w:tc>
          <w:tcPr>
            <w:tcW w:w="0" w:type="auto"/>
            <w:gridSpan w:val="3"/>
            <w:tcMar>
              <w:top w:w="30" w:type="dxa"/>
              <w:left w:w="20" w:type="dxa"/>
              <w:bottom w:w="30" w:type="dxa"/>
              <w:right w:w="20" w:type="dxa"/>
            </w:tcMar>
            <w:vAlign w:val="bottom"/>
            <w:hideMark/>
          </w:tcPr>
          <w:p w:rsidR="00000000" w:rsidRDefault="00E54EC0">
            <w:pPr>
              <w:spacing w:after="100"/>
              <w:divId w:val="1976523480"/>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776173443"/>
        </w:trPr>
        <w:tc>
          <w:tcPr>
            <w:tcW w:w="0" w:type="auto"/>
            <w:gridSpan w:val="3"/>
            <w:tcMar>
              <w:top w:w="30" w:type="dxa"/>
              <w:left w:w="20" w:type="dxa"/>
              <w:bottom w:w="30" w:type="dxa"/>
              <w:right w:w="20" w:type="dxa"/>
            </w:tcMar>
            <w:vAlign w:val="bottom"/>
            <w:hideMark/>
          </w:tcPr>
          <w:p w:rsidR="00000000" w:rsidRDefault="00E54EC0">
            <w:pPr>
              <w:spacing w:after="100"/>
              <w:divId w:val="595409294"/>
              <w:rPr>
                <w:rFonts w:eastAsia="Times New Roman"/>
              </w:rPr>
            </w:pPr>
            <w:r>
              <w:rPr>
                <w:rFonts w:eastAsia="Times New Roman"/>
                <w:b/>
                <w:bCs/>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77617344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776173443"/>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Segment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617344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Individual Retirement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4,311 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Group Retirement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1,372 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Management and Research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4,430 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Protection Solutions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Corporate and Other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related to:</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617344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Variable annuity product features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(4,268)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(2,284)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FFFF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(945)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CCEEFF"/>
            <w:tcMar>
              <w:top w:w="30" w:type="dxa"/>
              <w:left w:w="38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adjustments to segment revenues (3)</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77617344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14,017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11,036 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312756785"/>
        <w:rPr>
          <w:rFonts w:eastAsia="Times New Roman"/>
        </w:rPr>
      </w:pPr>
      <w:r>
        <w:rPr>
          <w:rFonts w:eastAsia="Times New Roman"/>
          <w:color w:val="000000"/>
          <w:sz w:val="18"/>
          <w:szCs w:val="18"/>
        </w:rPr>
        <w:t>______________</w:t>
      </w:r>
    </w:p>
    <w:p w:rsidR="00000000" w:rsidRDefault="00E54EC0">
      <w:pPr>
        <w:ind w:hanging="360"/>
        <w:divId w:val="1339037426"/>
        <w:rPr>
          <w:rFonts w:eastAsia="Times New Roman"/>
        </w:rPr>
      </w:pPr>
      <w:r>
        <w:rPr>
          <w:rFonts w:eastAsia="Times New Roman"/>
          <w:color w:val="000000"/>
          <w:sz w:val="18"/>
          <w:szCs w:val="18"/>
        </w:rPr>
        <w:t>(1)Includes investment expenses charged by AB of $95 million, $128 million and $71 million fo</w:t>
      </w:r>
      <w:r>
        <w:rPr>
          <w:rFonts w:eastAsia="Times New Roman"/>
          <w:color w:val="000000"/>
          <w:sz w:val="18"/>
          <w:szCs w:val="18"/>
        </w:rPr>
        <w:t>r the years ended December 31, 2022, 2021 and 2020, respectively, for services provided to the Company.</w:t>
      </w:r>
    </w:p>
    <w:p w:rsidR="00000000" w:rsidRDefault="00E54EC0">
      <w:pPr>
        <w:ind w:hanging="360"/>
        <w:divId w:val="1207136097"/>
        <w:rPr>
          <w:rFonts w:eastAsia="Times New Roman"/>
        </w:rPr>
      </w:pPr>
      <w:r>
        <w:rPr>
          <w:rFonts w:eastAsia="Times New Roman"/>
          <w:color w:val="000000"/>
          <w:sz w:val="18"/>
          <w:szCs w:val="18"/>
        </w:rPr>
        <w:t>(2)Inter-segment investment management and other fees of $134 million, $126 million and $113 million for the years ended December 31, 2022, 2021 and 202</w:t>
      </w:r>
      <w:r>
        <w:rPr>
          <w:rFonts w:eastAsia="Times New Roman"/>
          <w:color w:val="000000"/>
          <w:sz w:val="18"/>
          <w:szCs w:val="18"/>
        </w:rPr>
        <w:t>0, respectively, are included in segment revenues of the Investment Management and Research segment.</w:t>
      </w:r>
    </w:p>
    <w:p w:rsidR="00000000" w:rsidRDefault="00E54EC0">
      <w:pPr>
        <w:ind w:hanging="360"/>
        <w:divId w:val="140657220"/>
        <w:rPr>
          <w:rFonts w:eastAsia="Times New Roman"/>
        </w:rPr>
      </w:pPr>
      <w:r>
        <w:rPr>
          <w:rFonts w:eastAsia="Times New Roman"/>
          <w:color w:val="000000"/>
          <w:sz w:val="18"/>
          <w:szCs w:val="18"/>
        </w:rPr>
        <w:t>(3)Includes COVID-19 impact on other adjustments due to an assumption update of $46 million and other COVID-19 related impacts of ($30) million for the yea</w:t>
      </w:r>
      <w:r>
        <w:rPr>
          <w:rFonts w:eastAsia="Times New Roman"/>
          <w:color w:val="000000"/>
          <w:sz w:val="18"/>
          <w:szCs w:val="18"/>
        </w:rPr>
        <w:t xml:space="preserve">r ended December 31, 2020. </w:t>
      </w:r>
    </w:p>
    <w:p w:rsidR="00000000" w:rsidRDefault="00E54EC0">
      <w:pPr>
        <w:divId w:val="1222055139"/>
        <w:rPr>
          <w:rFonts w:eastAsia="Times New Roman"/>
        </w:rPr>
      </w:pPr>
      <w:r>
        <w:rPr>
          <w:rFonts w:eastAsia="Times New Roman"/>
          <w:color w:val="000000"/>
          <w:sz w:val="20"/>
          <w:szCs w:val="20"/>
        </w:rPr>
        <w:t>The table below presents total assets by segment as of December 31, 2022 and 2021:</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80"/>
        <w:gridCol w:w="38"/>
        <w:gridCol w:w="120"/>
        <w:gridCol w:w="1055"/>
        <w:gridCol w:w="36"/>
        <w:gridCol w:w="36"/>
        <w:gridCol w:w="36"/>
        <w:gridCol w:w="36"/>
        <w:gridCol w:w="120"/>
        <w:gridCol w:w="948"/>
        <w:gridCol w:w="36"/>
      </w:tblGrid>
      <w:tr w:rsidR="00000000">
        <w:trPr>
          <w:divId w:val="121391397"/>
          <w:jc w:val="center"/>
        </w:trPr>
        <w:tc>
          <w:tcPr>
            <w:tcW w:w="50" w:type="pct"/>
            <w:vAlign w:val="center"/>
            <w:hideMark/>
          </w:tcPr>
          <w:p w:rsidR="00000000" w:rsidRDefault="00E54EC0">
            <w:pPr>
              <w:rPr>
                <w:rFonts w:eastAsia="Times New Roman"/>
              </w:rPr>
            </w:pPr>
          </w:p>
        </w:tc>
        <w:tc>
          <w:tcPr>
            <w:tcW w:w="35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6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1391397"/>
          <w:jc w:val="center"/>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21391397"/>
          <w:jc w:val="center"/>
        </w:trPr>
        <w:tc>
          <w:tcPr>
            <w:tcW w:w="0" w:type="auto"/>
            <w:gridSpan w:val="3"/>
            <w:tcMar>
              <w:top w:w="30" w:type="dxa"/>
              <w:left w:w="20" w:type="dxa"/>
              <w:bottom w:w="30" w:type="dxa"/>
              <w:right w:w="20" w:type="dxa"/>
            </w:tcMar>
            <w:vAlign w:val="bottom"/>
            <w:hideMark/>
          </w:tcPr>
          <w:p w:rsidR="00000000" w:rsidRDefault="00E54EC0">
            <w:pPr>
              <w:spacing w:after="100"/>
              <w:divId w:val="1376078835"/>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r>
      <w:tr w:rsidR="00000000">
        <w:trPr>
          <w:divId w:val="121391397"/>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1391397"/>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1391397"/>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125,588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143,663 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391397"/>
          <w:jc w:val="center"/>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42,656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55,368 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391397"/>
          <w:jc w:val="center"/>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12,633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11,602 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391397"/>
          <w:jc w:val="center"/>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50,686 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391397"/>
          <w:jc w:val="center"/>
        </w:trPr>
        <w:tc>
          <w:tcPr>
            <w:tcW w:w="0" w:type="auto"/>
            <w:gridSpan w:val="3"/>
            <w:shd w:val="clear" w:color="auto" w:fill="CCEEFF"/>
            <w:tcMar>
              <w:top w:w="30" w:type="dxa"/>
              <w:left w:w="26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34,861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30,943 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1391397"/>
          <w:jc w:val="center"/>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253,468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292,262 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861818485"/>
        <w:rPr>
          <w:rFonts w:eastAsia="Times New Roman"/>
        </w:rPr>
      </w:pPr>
    </w:p>
    <w:p w:rsidR="00000000" w:rsidRDefault="00E54EC0">
      <w:pPr>
        <w:divId w:val="55933813"/>
        <w:rPr>
          <w:rFonts w:eastAsia="Times New Roman"/>
        </w:rPr>
      </w:pPr>
      <w:r>
        <w:rPr>
          <w:rFonts w:eastAsia="Times New Roman"/>
          <w:b/>
          <w:bCs/>
          <w:color w:val="000000"/>
          <w:sz w:val="20"/>
          <w:szCs w:val="20"/>
        </w:rPr>
        <w:t xml:space="preserve">20)    EQUITY </w:t>
      </w:r>
    </w:p>
    <w:p w:rsidR="00000000" w:rsidRDefault="00E54EC0">
      <w:pPr>
        <w:divId w:val="1953202032"/>
        <w:rPr>
          <w:rFonts w:eastAsia="Times New Roman"/>
        </w:rPr>
      </w:pPr>
      <w:r>
        <w:rPr>
          <w:rFonts w:eastAsia="Times New Roman"/>
          <w:color w:val="000000"/>
          <w:sz w:val="20"/>
          <w:szCs w:val="20"/>
          <w:u w:val="single"/>
        </w:rPr>
        <w:t xml:space="preserve">Preferred Stock </w:t>
      </w:r>
    </w:p>
    <w:p w:rsidR="00000000" w:rsidRDefault="00E54EC0">
      <w:pPr>
        <w:divId w:val="307168572"/>
        <w:rPr>
          <w:rFonts w:eastAsia="Times New Roman"/>
        </w:rPr>
      </w:pPr>
      <w:r>
        <w:rPr>
          <w:rFonts w:eastAsia="Times New Roman"/>
          <w:color w:val="000000"/>
          <w:sz w:val="20"/>
          <w:szCs w:val="20"/>
        </w:rPr>
        <w:t>Preferred stock authorized, issued and outstanding was as follows:</w:t>
      </w:r>
    </w:p>
    <w:tbl>
      <w:tblPr>
        <w:tblW w:w="4334" w:type="pct"/>
        <w:tblCellMar>
          <w:top w:w="15" w:type="dxa"/>
          <w:left w:w="15" w:type="dxa"/>
          <w:bottom w:w="15" w:type="dxa"/>
          <w:right w:w="15" w:type="dxa"/>
        </w:tblCellMar>
        <w:tblLook w:val="04A0" w:firstRow="1" w:lastRow="0" w:firstColumn="1" w:lastColumn="0" w:noHBand="0" w:noVBand="1"/>
      </w:tblPr>
      <w:tblGrid>
        <w:gridCol w:w="37"/>
        <w:gridCol w:w="1409"/>
        <w:gridCol w:w="36"/>
        <w:gridCol w:w="36"/>
        <w:gridCol w:w="36"/>
        <w:gridCol w:w="36"/>
        <w:gridCol w:w="67"/>
        <w:gridCol w:w="741"/>
        <w:gridCol w:w="37"/>
        <w:gridCol w:w="37"/>
        <w:gridCol w:w="37"/>
        <w:gridCol w:w="37"/>
        <w:gridCol w:w="51"/>
        <w:gridCol w:w="730"/>
        <w:gridCol w:w="37"/>
        <w:gridCol w:w="37"/>
        <w:gridCol w:w="37"/>
        <w:gridCol w:w="36"/>
        <w:gridCol w:w="73"/>
        <w:gridCol w:w="814"/>
        <w:gridCol w:w="36"/>
        <w:gridCol w:w="36"/>
        <w:gridCol w:w="36"/>
        <w:gridCol w:w="36"/>
        <w:gridCol w:w="62"/>
        <w:gridCol w:w="700"/>
        <w:gridCol w:w="37"/>
        <w:gridCol w:w="37"/>
        <w:gridCol w:w="37"/>
        <w:gridCol w:w="37"/>
        <w:gridCol w:w="51"/>
        <w:gridCol w:w="736"/>
        <w:gridCol w:w="37"/>
        <w:gridCol w:w="36"/>
        <w:gridCol w:w="36"/>
        <w:gridCol w:w="36"/>
        <w:gridCol w:w="67"/>
        <w:gridCol w:w="750"/>
        <w:gridCol w:w="36"/>
      </w:tblGrid>
      <w:tr w:rsidR="00000000">
        <w:trPr>
          <w:divId w:val="1902667441"/>
        </w:trPr>
        <w:tc>
          <w:tcPr>
            <w:tcW w:w="50" w:type="pct"/>
            <w:vAlign w:val="center"/>
            <w:hideMark/>
          </w:tcPr>
          <w:p w:rsidR="00000000" w:rsidRDefault="00E54EC0">
            <w:pPr>
              <w:rPr>
                <w:rFonts w:eastAsia="Times New Roman"/>
              </w:rPr>
            </w:pPr>
          </w:p>
        </w:tc>
        <w:tc>
          <w:tcPr>
            <w:tcW w:w="101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902667441"/>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December 31, 2021</w:t>
            </w:r>
          </w:p>
        </w:tc>
      </w:tr>
      <w:tr w:rsidR="00000000">
        <w:trPr>
          <w:divId w:val="190266744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Shares Outstanding</w:t>
            </w:r>
          </w:p>
        </w:tc>
      </w:tr>
      <w:tr w:rsidR="00000000">
        <w:trPr>
          <w:divId w:val="190266744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0266744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0266744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902667441"/>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833379348"/>
        <w:rPr>
          <w:rFonts w:eastAsia="Times New Roman"/>
        </w:rPr>
      </w:pPr>
    </w:p>
    <w:p w:rsidR="00000000" w:rsidRDefault="00E54EC0">
      <w:pPr>
        <w:ind w:firstLine="360"/>
        <w:divId w:val="152721415"/>
        <w:rPr>
          <w:rFonts w:eastAsia="Times New Roman"/>
        </w:rPr>
      </w:pPr>
      <w:r>
        <w:rPr>
          <w:rFonts w:eastAsia="Times New Roman"/>
          <w:color w:val="000000"/>
          <w:sz w:val="20"/>
          <w:szCs w:val="20"/>
          <w:u w:val="single"/>
        </w:rPr>
        <w:t>Series A Fixed Rate Noncumulative Perpetual Preferred Stock</w:t>
      </w:r>
    </w:p>
    <w:p w:rsidR="00000000" w:rsidRDefault="00E54EC0">
      <w:pPr>
        <w:jc w:val="center"/>
        <w:divId w:val="944767858"/>
        <w:rPr>
          <w:rFonts w:eastAsia="Times New Roman"/>
        </w:rPr>
      </w:pPr>
      <w:r>
        <w:rPr>
          <w:rFonts w:eastAsia="Times New Roman"/>
          <w:color w:val="000000"/>
          <w:sz w:val="20"/>
          <w:szCs w:val="20"/>
        </w:rPr>
        <w:t>225</w:t>
      </w:r>
    </w:p>
    <w:p w:rsidR="00000000" w:rsidRDefault="00E54EC0">
      <w:pPr>
        <w:rPr>
          <w:rFonts w:eastAsia="Times New Roman"/>
        </w:rPr>
      </w:pPr>
      <w:r>
        <w:rPr>
          <w:rFonts w:eastAsia="Times New Roman"/>
        </w:rPr>
        <w:pict>
          <v:rect id="_x0000_i1263" style="width:0;height:1.5pt" o:hralign="center" o:hrstd="t" o:hr="t" fillcolor="#a0a0a0" stroked="f"/>
        </w:pict>
      </w:r>
    </w:p>
    <w:p w:rsidR="00000000" w:rsidRDefault="00E54EC0">
      <w:pPr>
        <w:jc w:val="center"/>
        <w:divId w:val="2019498178"/>
        <w:rPr>
          <w:rFonts w:eastAsia="Times New Roman"/>
        </w:rPr>
      </w:pPr>
      <w:r>
        <w:rPr>
          <w:rFonts w:eastAsia="Times New Roman"/>
          <w:b/>
          <w:bCs/>
          <w:color w:val="000000"/>
          <w:sz w:val="20"/>
          <w:szCs w:val="20"/>
        </w:rPr>
        <w:t>EQUITABLE HOLDINGS, INC.</w:t>
      </w:r>
    </w:p>
    <w:p w:rsidR="00000000" w:rsidRDefault="00E54EC0">
      <w:pPr>
        <w:jc w:val="center"/>
        <w:divId w:val="2019498178"/>
        <w:rPr>
          <w:rFonts w:eastAsia="Times New Roman"/>
        </w:rPr>
      </w:pPr>
      <w:r>
        <w:rPr>
          <w:rFonts w:eastAsia="Times New Roman"/>
          <w:b/>
          <w:bCs/>
          <w:color w:val="000000"/>
          <w:sz w:val="20"/>
          <w:szCs w:val="20"/>
        </w:rPr>
        <w:t>NOTES TO CONSOLIDATED FINANCIAL STATEMENTS, continued</w:t>
      </w:r>
    </w:p>
    <w:p w:rsidR="00000000" w:rsidRDefault="00E54EC0">
      <w:pPr>
        <w:divId w:val="1803574578"/>
        <w:rPr>
          <w:rFonts w:eastAsia="Times New Roman"/>
        </w:rPr>
      </w:pPr>
      <w:r>
        <w:rPr>
          <w:rFonts w:eastAsia="Times New Roman"/>
          <w:color w:val="000000"/>
          <w:sz w:val="20"/>
          <w:szCs w:val="20"/>
        </w:rPr>
        <w:t>In November and December 2019, Holdings’ issued a total of 32 million deposit</w:t>
      </w:r>
      <w:r>
        <w:rPr>
          <w:rFonts w:eastAsia="Times New Roman"/>
          <w:color w:val="000000"/>
          <w:sz w:val="20"/>
          <w:szCs w:val="20"/>
        </w:rPr>
        <w:t>ary shares, each representing a 1/1,000th interest in share of Series A Preferred Stock, $1.00 par value per share, with a liquidation preference of $25,000 per share, for aggregate net cash proceeds of $775 million ($800 million gross). The preferred stoc</w:t>
      </w:r>
      <w:r>
        <w:rPr>
          <w:rFonts w:eastAsia="Times New Roman"/>
          <w:color w:val="000000"/>
          <w:sz w:val="20"/>
          <w:szCs w:val="20"/>
        </w:rPr>
        <w:t>k ranks senior to Holdings’ common stock with respect to the payment of dividends and liquidation. Holdings’ will pay dividends on the Series A Preferred Stock on a noncumulative basis only when, as and if declared by the Company’s Board of Directors (or a</w:t>
      </w:r>
      <w:r>
        <w:rPr>
          <w:rFonts w:eastAsia="Times New Roman"/>
          <w:color w:val="000000"/>
          <w:sz w:val="20"/>
          <w:szCs w:val="20"/>
        </w:rPr>
        <w:t xml:space="preserve"> duly authorized committee of the Board) and will be payable quarterly in arrears, at an annual rate of 5.25% on the stated amount per share. In connection with the issuance of the depositary shares and the underlying Series A Preferred Stock, Holdings’ in</w:t>
      </w:r>
      <w:r>
        <w:rPr>
          <w:rFonts w:eastAsia="Times New Roman"/>
          <w:color w:val="000000"/>
          <w:sz w:val="20"/>
          <w:szCs w:val="20"/>
        </w:rPr>
        <w:t xml:space="preserve">curred $25 million of issuance costs, which has been recorded as a reduction of additional paid-in capital. The Series A Preferred Stock is redeemable at Holdings’ option in whole or in part, on or after December 15, 2024, at a redemption price of $25,000 </w:t>
      </w:r>
      <w:r>
        <w:rPr>
          <w:rFonts w:eastAsia="Times New Roman"/>
          <w:color w:val="000000"/>
          <w:sz w:val="20"/>
          <w:szCs w:val="20"/>
        </w:rPr>
        <w:t xml:space="preserve">per share of preferred stock, plus declared and unpaid dividends. Prior to December 25, 2024, the preferred stock is redeemable at Holdings’ option, in whole but not in part, within 90 days of the occurrence of certain rating agency events at a redemption </w:t>
      </w:r>
      <w:r>
        <w:rPr>
          <w:rFonts w:eastAsia="Times New Roman"/>
          <w:color w:val="000000"/>
          <w:sz w:val="20"/>
          <w:szCs w:val="20"/>
        </w:rPr>
        <w:t>price equal to $25,500 per share, plus declared and unpaid dividends or certain regulatory capital events at a redemption price equal to $25,000 per share, plus any declared and unpaid dividends.</w:t>
      </w:r>
    </w:p>
    <w:p w:rsidR="00000000" w:rsidRDefault="00E54EC0">
      <w:pPr>
        <w:divId w:val="2096585855"/>
        <w:rPr>
          <w:rFonts w:eastAsia="Times New Roman"/>
        </w:rPr>
      </w:pPr>
      <w:r>
        <w:rPr>
          <w:rFonts w:eastAsia="Times New Roman"/>
          <w:color w:val="000000"/>
          <w:sz w:val="20"/>
          <w:szCs w:val="20"/>
          <w:u w:val="single"/>
        </w:rPr>
        <w:t xml:space="preserve">Series B Fixed Rate Reset Noncumulative Perpetual Preferred </w:t>
      </w:r>
      <w:r>
        <w:rPr>
          <w:rFonts w:eastAsia="Times New Roman"/>
          <w:color w:val="000000"/>
          <w:sz w:val="20"/>
          <w:szCs w:val="20"/>
          <w:u w:val="single"/>
        </w:rPr>
        <w:t>Stock</w:t>
      </w:r>
    </w:p>
    <w:p w:rsidR="00000000" w:rsidRDefault="00E54EC0">
      <w:pPr>
        <w:divId w:val="100497629"/>
        <w:rPr>
          <w:rFonts w:eastAsia="Times New Roman"/>
        </w:rPr>
      </w:pPr>
      <w:r>
        <w:rPr>
          <w:rFonts w:eastAsia="Times New Roman"/>
          <w:color w:val="000000"/>
          <w:sz w:val="20"/>
          <w:szCs w:val="20"/>
        </w:rPr>
        <w:t>On August 11, 2020, Holdings issued 500,000 depositary shares, each representing a 1/25th interest in a share of Series B Preferred Stock, $1.00 par value per share and liquidation preference of $25,000 per share, for aggregate net cash proceeds of $</w:t>
      </w:r>
      <w:r>
        <w:rPr>
          <w:rFonts w:eastAsia="Times New Roman"/>
          <w:color w:val="000000"/>
          <w:sz w:val="20"/>
          <w:szCs w:val="20"/>
        </w:rPr>
        <w:t xml:space="preserve">494 million ($500 million gross). The Series B Preferred Stock ranks senior to Holdings’ common stock and on parity with Holdings’ Series A Preferred Stock with respect to the payment of dividends and liquidation. Holdings will pay dividends on the Series </w:t>
      </w:r>
      <w:r>
        <w:rPr>
          <w:rFonts w:eastAsia="Times New Roman"/>
          <w:color w:val="000000"/>
          <w:sz w:val="20"/>
          <w:szCs w:val="20"/>
        </w:rPr>
        <w:t>B Preferred Stock on a noncumulative basis only when, as and if declared by the Company’s Board of Directors (or a duly authorized committee of the Board) and will be payable semi-annually in arrears, at an annual rate equal to the fixed rate of 4.950%, wh</w:t>
      </w:r>
      <w:r>
        <w:rPr>
          <w:rFonts w:eastAsia="Times New Roman"/>
          <w:color w:val="000000"/>
          <w:sz w:val="20"/>
          <w:szCs w:val="20"/>
        </w:rPr>
        <w:t>ich is reset every 5 years starting on December 15, 2025 (“Reset Date”), at a rate per annum equal to the five-year U.S. Treasury Rate plus 4.736%.</w:t>
      </w:r>
    </w:p>
    <w:p w:rsidR="00000000" w:rsidRDefault="00E54EC0">
      <w:pPr>
        <w:divId w:val="1532843029"/>
        <w:rPr>
          <w:rFonts w:eastAsia="Times New Roman"/>
        </w:rPr>
      </w:pPr>
      <w:r>
        <w:rPr>
          <w:rFonts w:eastAsia="Times New Roman"/>
          <w:color w:val="000000"/>
          <w:sz w:val="20"/>
          <w:szCs w:val="20"/>
        </w:rPr>
        <w:t>In connection with the issuance of the depositary shares and the underlying Series B Preferred Stock, Holdings incurred $6 million of issuance costs, which have been recorded as a reduction of additional paid-in capital. The Series B Preferred Stock is red</w:t>
      </w:r>
      <w:r>
        <w:rPr>
          <w:rFonts w:eastAsia="Times New Roman"/>
          <w:color w:val="000000"/>
          <w:sz w:val="20"/>
          <w:szCs w:val="20"/>
        </w:rPr>
        <w:t>eemable at Holdings’ option in whole or in part, from time to time, during the three-month period prior to, and including, each Reset Date, at a redemption price equal to $25,000 per share of preferred stock, plus any declared and unpaid dividends. Further</w:t>
      </w:r>
      <w:r>
        <w:rPr>
          <w:rFonts w:eastAsia="Times New Roman"/>
          <w:color w:val="000000"/>
          <w:sz w:val="20"/>
          <w:szCs w:val="20"/>
        </w:rPr>
        <w:t xml:space="preserve">more, the preferred stock is redeemable at Holdings’ option, in whole but not in part at any time, within 90 days after the occurrence of certain rating agency events at a redemption price equal to $25,500 per share, plus any declared and unpaid dividends </w:t>
      </w:r>
      <w:r>
        <w:rPr>
          <w:rFonts w:eastAsia="Times New Roman"/>
          <w:color w:val="000000"/>
          <w:sz w:val="20"/>
          <w:szCs w:val="20"/>
        </w:rPr>
        <w:t>or after the occurrence of certain regulatory capital events at a redemption price equal to $25,000 per share, plus any declared and unpaid dividends.</w:t>
      </w:r>
    </w:p>
    <w:p w:rsidR="00000000" w:rsidRDefault="00E54EC0">
      <w:pPr>
        <w:divId w:val="1546480475"/>
        <w:rPr>
          <w:rFonts w:eastAsia="Times New Roman"/>
        </w:rPr>
      </w:pPr>
      <w:r>
        <w:rPr>
          <w:rFonts w:eastAsia="Times New Roman"/>
          <w:color w:val="000000"/>
          <w:sz w:val="20"/>
          <w:szCs w:val="20"/>
          <w:u w:val="single"/>
        </w:rPr>
        <w:t>Series C Fixed Rate Reset Noncumulative Perpetual Preferred Stock</w:t>
      </w:r>
    </w:p>
    <w:p w:rsidR="00000000" w:rsidRDefault="00E54EC0">
      <w:pPr>
        <w:divId w:val="757558920"/>
        <w:rPr>
          <w:rFonts w:eastAsia="Times New Roman"/>
        </w:rPr>
      </w:pPr>
      <w:r>
        <w:rPr>
          <w:rFonts w:eastAsia="Times New Roman"/>
          <w:color w:val="000000"/>
          <w:sz w:val="20"/>
          <w:szCs w:val="20"/>
        </w:rPr>
        <w:t>On January 8, 2021, Holdings issued 12,</w:t>
      </w:r>
      <w:r>
        <w:rPr>
          <w:rFonts w:eastAsia="Times New Roman"/>
          <w:color w:val="000000"/>
          <w:sz w:val="20"/>
          <w:szCs w:val="20"/>
        </w:rPr>
        <w:t>000,000 depositary shares, each representing a 1/1,000th interest in a share of the Company’s Series C Fixed Rate Noncumulative Perpetual Preferred Stock (“Series C Preferred Stock”), $1.00 par value per share and liquidation preference of $25,000 per shar</w:t>
      </w:r>
      <w:r>
        <w:rPr>
          <w:rFonts w:eastAsia="Times New Roman"/>
          <w:color w:val="000000"/>
          <w:sz w:val="20"/>
          <w:szCs w:val="20"/>
        </w:rPr>
        <w:t>e, for aggregate net cash proceeds of $293 million ($300 million gross). The Series C Preferred Stock ranks senior to Holdings’ common stock and on parity with Holdings’ Series A Preferred Stock and Series B Preferred Stock with respect to the payment of d</w:t>
      </w:r>
      <w:r>
        <w:rPr>
          <w:rFonts w:eastAsia="Times New Roman"/>
          <w:color w:val="000000"/>
          <w:sz w:val="20"/>
          <w:szCs w:val="20"/>
        </w:rPr>
        <w:t xml:space="preserve">ividends and liquidation. Holdings will pay dividends on the Series C Preferred Stock on a noncumulative basis only when, as and if declared by the Company’s Board of Directors (or a duly authorized committee of the Board) and will be payable quarterly in </w:t>
      </w:r>
      <w:r>
        <w:rPr>
          <w:rFonts w:eastAsia="Times New Roman"/>
          <w:color w:val="000000"/>
          <w:sz w:val="20"/>
          <w:szCs w:val="20"/>
        </w:rPr>
        <w:t>arrears, at an annual rate equal to the fixed rate of 4.3%.</w:t>
      </w:r>
    </w:p>
    <w:p w:rsidR="00000000" w:rsidRDefault="00E54EC0">
      <w:pPr>
        <w:jc w:val="both"/>
        <w:divId w:val="115103270"/>
        <w:rPr>
          <w:rFonts w:eastAsia="Times New Roman"/>
        </w:rPr>
      </w:pPr>
      <w:r>
        <w:rPr>
          <w:rFonts w:eastAsia="Times New Roman"/>
          <w:b/>
          <w:bCs/>
          <w:i/>
          <w:iCs/>
          <w:color w:val="000000"/>
          <w:sz w:val="20"/>
          <w:szCs w:val="20"/>
        </w:rPr>
        <w:t>Dividends to Shareholders</w:t>
      </w:r>
    </w:p>
    <w:p w:rsidR="00000000" w:rsidRDefault="00E54EC0">
      <w:pPr>
        <w:divId w:val="447358148"/>
        <w:rPr>
          <w:rFonts w:eastAsia="Times New Roman"/>
        </w:rPr>
      </w:pPr>
      <w:r>
        <w:rPr>
          <w:rFonts w:eastAsia="Times New Roman"/>
          <w:color w:val="000000"/>
          <w:sz w:val="20"/>
          <w:szCs w:val="20"/>
        </w:rPr>
        <w:t>Dividends declared per share were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715"/>
        <w:gridCol w:w="36"/>
        <w:gridCol w:w="36"/>
        <w:gridCol w:w="36"/>
        <w:gridCol w:w="36"/>
        <w:gridCol w:w="36"/>
        <w:gridCol w:w="120"/>
        <w:gridCol w:w="924"/>
        <w:gridCol w:w="36"/>
        <w:gridCol w:w="36"/>
        <w:gridCol w:w="36"/>
        <w:gridCol w:w="36"/>
        <w:gridCol w:w="120"/>
        <w:gridCol w:w="883"/>
        <w:gridCol w:w="36"/>
        <w:gridCol w:w="36"/>
        <w:gridCol w:w="36"/>
        <w:gridCol w:w="36"/>
        <w:gridCol w:w="120"/>
        <w:gridCol w:w="883"/>
        <w:gridCol w:w="36"/>
      </w:tblGrid>
      <w:tr w:rsidR="00000000">
        <w:trPr>
          <w:divId w:val="309090988"/>
        </w:trPr>
        <w:tc>
          <w:tcPr>
            <w:tcW w:w="50" w:type="pct"/>
            <w:vAlign w:val="center"/>
            <w:hideMark/>
          </w:tcPr>
          <w:p w:rsidR="00000000" w:rsidRDefault="00E54EC0">
            <w:pPr>
              <w:rPr>
                <w:rFonts w:eastAsia="Times New Roman"/>
              </w:rPr>
            </w:pPr>
          </w:p>
        </w:tc>
        <w:tc>
          <w:tcPr>
            <w:tcW w:w="29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30909098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309090988"/>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30909098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Series A dividends declared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09090988"/>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Series B dividends declared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1,238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1,238 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09090988"/>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Series C dividends declared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1,075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309090988"/>
        </w:trPr>
        <w:tc>
          <w:tcPr>
            <w:tcW w:w="0" w:type="auto"/>
            <w:gridSpan w:val="3"/>
            <w:vAlign w:val="center"/>
            <w:hideMark/>
          </w:tcPr>
          <w:p w:rsidR="00000000" w:rsidRDefault="00E54EC0">
            <w:pPr>
              <w:spacing w:after="100"/>
              <w:jc w:val="right"/>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549459096"/>
        <w:rPr>
          <w:rFonts w:eastAsia="Times New Roman"/>
        </w:rPr>
      </w:pPr>
      <w:r>
        <w:rPr>
          <w:rFonts w:eastAsia="Times New Roman"/>
          <w:color w:val="000000"/>
          <w:sz w:val="20"/>
          <w:szCs w:val="20"/>
          <w:u w:val="single"/>
        </w:rPr>
        <w:t>Common Stock</w:t>
      </w:r>
    </w:p>
    <w:p w:rsidR="00000000" w:rsidRDefault="00E54EC0">
      <w:pPr>
        <w:divId w:val="516696432"/>
        <w:rPr>
          <w:rFonts w:eastAsia="Times New Roman"/>
        </w:rPr>
      </w:pPr>
      <w:r>
        <w:rPr>
          <w:rFonts w:eastAsia="Times New Roman"/>
          <w:color w:val="000000"/>
          <w:sz w:val="20"/>
          <w:szCs w:val="20"/>
        </w:rPr>
        <w:t xml:space="preserve">Dividends declared per share of common stock were as follows for the periods </w:t>
      </w:r>
      <w:r>
        <w:rPr>
          <w:rFonts w:eastAsia="Times New Roman"/>
          <w:color w:val="000000"/>
          <w:sz w:val="20"/>
          <w:szCs w:val="20"/>
        </w:rPr>
        <w:t>indicated:</w:t>
      </w:r>
    </w:p>
    <w:p w:rsidR="00000000" w:rsidRDefault="00E54EC0">
      <w:pPr>
        <w:jc w:val="center"/>
        <w:divId w:val="1422793077"/>
        <w:rPr>
          <w:rFonts w:eastAsia="Times New Roman"/>
        </w:rPr>
      </w:pPr>
    </w:p>
    <w:p w:rsidR="00000000" w:rsidRDefault="00E54EC0">
      <w:pPr>
        <w:jc w:val="center"/>
        <w:divId w:val="1422793077"/>
        <w:rPr>
          <w:rFonts w:eastAsia="Times New Roman"/>
        </w:rPr>
      </w:pPr>
      <w:r>
        <w:rPr>
          <w:rFonts w:eastAsia="Times New Roman"/>
          <w:color w:val="000000"/>
          <w:sz w:val="20"/>
          <w:szCs w:val="20"/>
        </w:rPr>
        <w:t>226</w:t>
      </w:r>
    </w:p>
    <w:p w:rsidR="00000000" w:rsidRDefault="00E54EC0">
      <w:pPr>
        <w:rPr>
          <w:rFonts w:eastAsia="Times New Roman"/>
        </w:rPr>
      </w:pPr>
      <w:r>
        <w:rPr>
          <w:rFonts w:eastAsia="Times New Roman"/>
        </w:rPr>
        <w:pict>
          <v:rect id="_x0000_i1264" style="width:0;height:1.5pt" o:hralign="center" o:hrstd="t" o:hr="t" fillcolor="#a0a0a0" stroked="f"/>
        </w:pict>
      </w:r>
    </w:p>
    <w:p w:rsidR="00000000" w:rsidRDefault="00E54EC0">
      <w:pPr>
        <w:jc w:val="center"/>
        <w:divId w:val="1577737993"/>
        <w:rPr>
          <w:rFonts w:eastAsia="Times New Roman"/>
        </w:rPr>
      </w:pPr>
      <w:r>
        <w:rPr>
          <w:rFonts w:eastAsia="Times New Roman"/>
          <w:b/>
          <w:bCs/>
          <w:color w:val="000000"/>
          <w:sz w:val="20"/>
          <w:szCs w:val="20"/>
        </w:rPr>
        <w:t>EQUITABLE HOLDINGS, INC.</w:t>
      </w:r>
    </w:p>
    <w:p w:rsidR="00000000" w:rsidRDefault="00E54EC0">
      <w:pPr>
        <w:jc w:val="center"/>
        <w:divId w:val="1577737993"/>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7"/>
        <w:gridCol w:w="4715"/>
        <w:gridCol w:w="36"/>
        <w:gridCol w:w="36"/>
        <w:gridCol w:w="36"/>
        <w:gridCol w:w="36"/>
        <w:gridCol w:w="36"/>
        <w:gridCol w:w="120"/>
        <w:gridCol w:w="924"/>
        <w:gridCol w:w="36"/>
        <w:gridCol w:w="36"/>
        <w:gridCol w:w="36"/>
        <w:gridCol w:w="36"/>
        <w:gridCol w:w="120"/>
        <w:gridCol w:w="883"/>
        <w:gridCol w:w="36"/>
        <w:gridCol w:w="36"/>
        <w:gridCol w:w="36"/>
        <w:gridCol w:w="36"/>
        <w:gridCol w:w="120"/>
        <w:gridCol w:w="883"/>
        <w:gridCol w:w="36"/>
      </w:tblGrid>
      <w:tr w:rsidR="00000000">
        <w:trPr>
          <w:divId w:val="256987225"/>
        </w:trPr>
        <w:tc>
          <w:tcPr>
            <w:tcW w:w="50" w:type="pct"/>
            <w:vAlign w:val="center"/>
            <w:hideMark/>
          </w:tcPr>
          <w:p w:rsidR="00000000" w:rsidRDefault="00E54EC0">
            <w:pPr>
              <w:jc w:val="center"/>
              <w:rPr>
                <w:rFonts w:eastAsia="Times New Roman"/>
              </w:rPr>
            </w:pPr>
          </w:p>
        </w:tc>
        <w:tc>
          <w:tcPr>
            <w:tcW w:w="29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9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5698722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5698722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25698722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Dividends declared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0.78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0.66 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2085102368"/>
        <w:rPr>
          <w:rFonts w:eastAsia="Times New Roman"/>
        </w:rPr>
      </w:pPr>
    </w:p>
    <w:p w:rsidR="00000000" w:rsidRDefault="00E54EC0">
      <w:pPr>
        <w:jc w:val="both"/>
        <w:divId w:val="589195492"/>
        <w:rPr>
          <w:rFonts w:eastAsia="Times New Roman"/>
        </w:rPr>
      </w:pPr>
      <w:r>
        <w:rPr>
          <w:rFonts w:eastAsia="Times New Roman"/>
          <w:b/>
          <w:bCs/>
          <w:i/>
          <w:iCs/>
          <w:color w:val="000000"/>
          <w:sz w:val="20"/>
          <w:szCs w:val="20"/>
        </w:rPr>
        <w:t>Share Repurchase</w:t>
      </w:r>
    </w:p>
    <w:p w:rsidR="00000000" w:rsidRDefault="00E54EC0">
      <w:pPr>
        <w:divId w:val="538013512"/>
        <w:rPr>
          <w:rFonts w:eastAsia="Times New Roman"/>
        </w:rPr>
      </w:pPr>
      <w:r>
        <w:rPr>
          <w:rFonts w:eastAsia="Times New Roman"/>
          <w:color w:val="000000"/>
          <w:sz w:val="20"/>
          <w:szCs w:val="20"/>
        </w:rPr>
        <w:t xml:space="preserve">On February 9, 2022, the Company’s Board of Directors authorized a new $1.2 </w:t>
      </w:r>
      <w:r>
        <w:rPr>
          <w:rFonts w:eastAsia="Times New Roman"/>
          <w:color w:val="000000"/>
          <w:sz w:val="20"/>
          <w:szCs w:val="20"/>
        </w:rPr>
        <w:t xml:space="preserve">billion share repurchase program. Under this program, the Company may, from time to time purchase shares of its common stock through various means. The Company may choose to suspend or discontinue the repurchase program at any time. The repurchase program </w:t>
      </w:r>
      <w:r>
        <w:rPr>
          <w:rFonts w:eastAsia="Times New Roman"/>
          <w:color w:val="000000"/>
          <w:sz w:val="20"/>
          <w:szCs w:val="20"/>
        </w:rPr>
        <w:t xml:space="preserve">does not obligate the Company to purchase any particular number of shares. As of December 31, 2022, Holdings had authorized capacity of approximately $372 million remaining in its share repurchase program. </w:t>
      </w:r>
    </w:p>
    <w:p w:rsidR="00000000" w:rsidRDefault="00E54EC0">
      <w:pPr>
        <w:divId w:val="1314020573"/>
        <w:rPr>
          <w:rFonts w:eastAsia="Times New Roman"/>
        </w:rPr>
      </w:pPr>
      <w:r>
        <w:rPr>
          <w:rFonts w:eastAsia="Times New Roman"/>
          <w:color w:val="000000"/>
          <w:sz w:val="20"/>
          <w:szCs w:val="20"/>
        </w:rPr>
        <w:t>For the years ended December 31, 2022, 2021 and 2</w:t>
      </w:r>
      <w:r>
        <w:rPr>
          <w:rFonts w:eastAsia="Times New Roman"/>
          <w:color w:val="000000"/>
          <w:sz w:val="20"/>
          <w:szCs w:val="20"/>
        </w:rPr>
        <w:t>020, the Company repurchased approximately 28.2 million, 51.9 million and 23.7 million shares of its common stock at a total cost of approximately $0.8 billion, $1.6 billion and $0.4 billion, respectively through open market repurchases, ASRs and privately</w:t>
      </w:r>
      <w:r>
        <w:rPr>
          <w:rFonts w:eastAsia="Times New Roman"/>
          <w:color w:val="000000"/>
          <w:sz w:val="20"/>
          <w:szCs w:val="20"/>
        </w:rPr>
        <w:t xml:space="preserve"> negotiated transactions. The repurchased common stock was recorded as treasury stock in the consolidated balance sheets. For the years ended December 31, 2022, 2021 and 2020, the Company reissued approximately 2.0 million, 2.3 million and 743 thousand sha</w:t>
      </w:r>
      <w:r>
        <w:rPr>
          <w:rFonts w:eastAsia="Times New Roman"/>
          <w:color w:val="000000"/>
          <w:sz w:val="20"/>
          <w:szCs w:val="20"/>
        </w:rPr>
        <w:t>res of its treasury stock, respectively. For the year ended December 31, 2022, 2021 and 2020, the Company retired approximately 12.5 million, 32 million and 0 shares of its treasury stock, respectively.</w:t>
      </w:r>
    </w:p>
    <w:p w:rsidR="00000000" w:rsidRDefault="00E54EC0">
      <w:pPr>
        <w:divId w:val="608970105"/>
        <w:rPr>
          <w:rFonts w:eastAsia="Times New Roman"/>
        </w:rPr>
      </w:pPr>
      <w:r>
        <w:rPr>
          <w:rFonts w:eastAsia="Times New Roman"/>
          <w:color w:val="000000"/>
          <w:sz w:val="20"/>
          <w:szCs w:val="20"/>
        </w:rPr>
        <w:t>In April 2022, Holdings entered into an ASR with a th</w:t>
      </w:r>
      <w:r>
        <w:rPr>
          <w:rFonts w:eastAsia="Times New Roman"/>
          <w:color w:val="000000"/>
          <w:sz w:val="20"/>
          <w:szCs w:val="20"/>
        </w:rPr>
        <w:t xml:space="preserve">ird-party financial institution to repurchase an aggregate of $100 million of Holdings’ common stock. Pursuant to the ASR, Holdings made a prepayment of $100 million and initially received 2.6 million shares. The ASR terminated during April 2022, at which </w:t>
      </w:r>
      <w:r>
        <w:rPr>
          <w:rFonts w:eastAsia="Times New Roman"/>
          <w:color w:val="000000"/>
          <w:sz w:val="20"/>
          <w:szCs w:val="20"/>
        </w:rPr>
        <w:t xml:space="preserve">time 684,700 additional shares of common stock were received. </w:t>
      </w:r>
    </w:p>
    <w:p w:rsidR="00000000" w:rsidRDefault="00E54EC0">
      <w:pPr>
        <w:divId w:val="615019683"/>
        <w:rPr>
          <w:rFonts w:eastAsia="Times New Roman"/>
        </w:rPr>
      </w:pPr>
      <w:r>
        <w:rPr>
          <w:rFonts w:eastAsia="Times New Roman"/>
          <w:color w:val="000000"/>
          <w:sz w:val="20"/>
          <w:szCs w:val="20"/>
        </w:rPr>
        <w:t>In May 2022, Holdings entered into an ASR with a third-party financial institution to repurchase an aggregate of $150 million of Holdings’ common stock. Pursuant to the ASR, Holdings made a pre</w:t>
      </w:r>
      <w:r>
        <w:rPr>
          <w:rFonts w:eastAsia="Times New Roman"/>
          <w:color w:val="000000"/>
          <w:sz w:val="20"/>
          <w:szCs w:val="20"/>
        </w:rPr>
        <w:t xml:space="preserve">payment of $150 million and initially received 4.3 million shares. The ASR terminated during July 2022, at which time 1.2 million additional shares of common stock were received. </w:t>
      </w:r>
    </w:p>
    <w:p w:rsidR="00000000" w:rsidRDefault="00E54EC0">
      <w:pPr>
        <w:divId w:val="849442705"/>
        <w:rPr>
          <w:rFonts w:eastAsia="Times New Roman"/>
        </w:rPr>
      </w:pPr>
      <w:r>
        <w:rPr>
          <w:rFonts w:eastAsia="Times New Roman"/>
          <w:color w:val="000000"/>
          <w:sz w:val="20"/>
          <w:szCs w:val="20"/>
        </w:rPr>
        <w:t xml:space="preserve">In September 2022, Holdings entered into an ASR contract with a third-party </w:t>
      </w:r>
      <w:r>
        <w:rPr>
          <w:rFonts w:eastAsia="Times New Roman"/>
          <w:color w:val="000000"/>
          <w:sz w:val="20"/>
          <w:szCs w:val="20"/>
        </w:rPr>
        <w:t>financial institution to repurchase an aggregate of $37.5 million of Holdings’ common stock. Pursuant to the ASR, Holdings made a prepayment of $37.5 million and received initial delivery of 1.1 million shares. The ASR terminated during November 2022, at w</w:t>
      </w:r>
      <w:r>
        <w:rPr>
          <w:rFonts w:eastAsia="Times New Roman"/>
          <w:color w:val="000000"/>
          <w:sz w:val="20"/>
          <w:szCs w:val="20"/>
        </w:rPr>
        <w:t>hich time 0.2 million additional shares of common stock were received.</w:t>
      </w:r>
    </w:p>
    <w:p w:rsidR="00000000" w:rsidRDefault="00E54EC0">
      <w:pPr>
        <w:divId w:val="621959823"/>
        <w:rPr>
          <w:rFonts w:eastAsia="Times New Roman"/>
        </w:rPr>
      </w:pPr>
      <w:r>
        <w:rPr>
          <w:rFonts w:eastAsia="Times New Roman"/>
          <w:color w:val="000000"/>
          <w:sz w:val="20"/>
          <w:szCs w:val="20"/>
        </w:rPr>
        <w:t>In December 2022, Holdings entered into an ASR with a third-party financial institution to repurchase an aggregate of $61 million of Holdings’ common stock. Pursuant to the ASR, Holding</w:t>
      </w:r>
      <w:r>
        <w:rPr>
          <w:rFonts w:eastAsia="Times New Roman"/>
          <w:color w:val="000000"/>
          <w:sz w:val="20"/>
          <w:szCs w:val="20"/>
        </w:rPr>
        <w:t>s made a prepayment of $61 million and initially received 1.7 million shares. The ASR terminated during February 2023, at which time an additional 0.3 million shares of common stock were received.</w:t>
      </w:r>
    </w:p>
    <w:p w:rsidR="00000000" w:rsidRDefault="00E54EC0">
      <w:pPr>
        <w:ind w:firstLine="360"/>
        <w:divId w:val="1309355827"/>
        <w:rPr>
          <w:rFonts w:eastAsia="Times New Roman"/>
        </w:rPr>
      </w:pPr>
      <w:r>
        <w:rPr>
          <w:rFonts w:eastAsia="Times New Roman"/>
          <w:color w:val="000000"/>
          <w:sz w:val="20"/>
          <w:szCs w:val="20"/>
          <w:u w:val="single"/>
        </w:rPr>
        <w:t xml:space="preserve">Accumulated Other Comprehensive Income (Loss) </w:t>
      </w:r>
    </w:p>
    <w:p w:rsidR="00000000" w:rsidRDefault="00E54EC0">
      <w:pPr>
        <w:divId w:val="1336566096"/>
        <w:rPr>
          <w:rFonts w:eastAsia="Times New Roman"/>
        </w:rPr>
      </w:pPr>
      <w:r>
        <w:rPr>
          <w:rFonts w:eastAsia="Times New Roman"/>
          <w:color w:val="000000"/>
          <w:sz w:val="20"/>
          <w:szCs w:val="20"/>
        </w:rPr>
        <w:t xml:space="preserve">AOCI represents cumulative gains (losses) on items that are not reflected in net income (loss). The balances as of December 31, 2022, and 2021 follow: </w:t>
      </w:r>
    </w:p>
    <w:tbl>
      <w:tblPr>
        <w:tblW w:w="5000" w:type="pct"/>
        <w:tblCellMar>
          <w:top w:w="15" w:type="dxa"/>
          <w:left w:w="15" w:type="dxa"/>
          <w:bottom w:w="15" w:type="dxa"/>
          <w:right w:w="15" w:type="dxa"/>
        </w:tblCellMar>
        <w:tblLook w:val="04A0" w:firstRow="1" w:lastRow="0" w:firstColumn="1" w:lastColumn="0" w:noHBand="0" w:noVBand="1"/>
      </w:tblPr>
      <w:tblGrid>
        <w:gridCol w:w="38"/>
        <w:gridCol w:w="5910"/>
        <w:gridCol w:w="37"/>
        <w:gridCol w:w="120"/>
        <w:gridCol w:w="861"/>
        <w:gridCol w:w="36"/>
        <w:gridCol w:w="36"/>
        <w:gridCol w:w="36"/>
        <w:gridCol w:w="36"/>
        <w:gridCol w:w="120"/>
        <w:gridCol w:w="824"/>
        <w:gridCol w:w="36"/>
        <w:gridCol w:w="36"/>
        <w:gridCol w:w="36"/>
        <w:gridCol w:w="36"/>
        <w:gridCol w:w="36"/>
        <w:gridCol w:w="36"/>
        <w:gridCol w:w="36"/>
      </w:tblGrid>
      <w:tr w:rsidR="00000000">
        <w:trPr>
          <w:divId w:val="875774785"/>
        </w:trPr>
        <w:tc>
          <w:tcPr>
            <w:tcW w:w="50" w:type="pct"/>
            <w:vAlign w:val="center"/>
            <w:hideMark/>
          </w:tcPr>
          <w:p w:rsidR="00000000" w:rsidRDefault="00E54EC0">
            <w:pPr>
              <w:rPr>
                <w:rFonts w:eastAsia="Times New Roman"/>
              </w:rPr>
            </w:pPr>
          </w:p>
        </w:tc>
        <w:tc>
          <w:tcPr>
            <w:tcW w:w="368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tcMar>
              <w:top w:w="30" w:type="dxa"/>
              <w:left w:w="20" w:type="dxa"/>
              <w:bottom w:w="30" w:type="dxa"/>
              <w:right w:w="20" w:type="dxa"/>
            </w:tcMar>
            <w:vAlign w:val="bottom"/>
            <w:hideMark/>
          </w:tcPr>
          <w:p w:rsidR="00000000" w:rsidRDefault="00E54EC0">
            <w:pPr>
              <w:spacing w:after="100"/>
              <w:divId w:val="170651955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tcMar>
              <w:top w:w="30" w:type="dxa"/>
              <w:left w:w="20" w:type="dxa"/>
              <w:bottom w:w="30" w:type="dxa"/>
              <w:right w:w="20" w:type="dxa"/>
            </w:tcMar>
            <w:vAlign w:val="bottom"/>
            <w:hideMark/>
          </w:tcPr>
          <w:p w:rsidR="00000000" w:rsidRDefault="00E54EC0">
            <w:pPr>
              <w:spacing w:after="100"/>
              <w:divId w:val="1632859400"/>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E54EC0">
            <w:pPr>
              <w:spacing w:after="100"/>
              <w:jc w:val="center"/>
              <w:rPr>
                <w:rFonts w:eastAsia="Times New Roman"/>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tcMar>
              <w:top w:w="30" w:type="dxa"/>
              <w:left w:w="20" w:type="dxa"/>
              <w:bottom w:w="30" w:type="dxa"/>
              <w:right w:w="20" w:type="dxa"/>
            </w:tcMar>
            <w:vAlign w:val="bottom"/>
            <w:hideMark/>
          </w:tcPr>
          <w:p w:rsidR="00000000" w:rsidRDefault="00E54EC0">
            <w:pPr>
              <w:spacing w:after="100"/>
              <w:divId w:val="1501122573"/>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Unrealized gains (losses) on investments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(8,142)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(8,884)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8757747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(8,834)</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ind w:hanging="720"/>
        <w:divId w:val="890534138"/>
        <w:rPr>
          <w:rFonts w:eastAsia="Times New Roman"/>
        </w:rPr>
      </w:pPr>
    </w:p>
    <w:p w:rsidR="00000000" w:rsidRDefault="00E54EC0">
      <w:pPr>
        <w:divId w:val="814375584"/>
        <w:rPr>
          <w:rFonts w:eastAsia="Times New Roman"/>
        </w:rPr>
      </w:pPr>
    </w:p>
    <w:p w:rsidR="00000000" w:rsidRDefault="00E54EC0">
      <w:pPr>
        <w:jc w:val="center"/>
        <w:divId w:val="1016271351"/>
        <w:rPr>
          <w:rFonts w:eastAsia="Times New Roman"/>
        </w:rPr>
      </w:pPr>
    </w:p>
    <w:p w:rsidR="00000000" w:rsidRDefault="00E54EC0">
      <w:pPr>
        <w:jc w:val="center"/>
        <w:divId w:val="1016271351"/>
        <w:rPr>
          <w:rFonts w:eastAsia="Times New Roman"/>
        </w:rPr>
      </w:pPr>
      <w:r>
        <w:rPr>
          <w:rFonts w:eastAsia="Times New Roman"/>
          <w:color w:val="000000"/>
          <w:sz w:val="20"/>
          <w:szCs w:val="20"/>
        </w:rPr>
        <w:t>227</w:t>
      </w:r>
    </w:p>
    <w:p w:rsidR="00000000" w:rsidRDefault="00E54EC0">
      <w:pPr>
        <w:rPr>
          <w:rFonts w:eastAsia="Times New Roman"/>
        </w:rPr>
      </w:pPr>
      <w:r>
        <w:rPr>
          <w:rFonts w:eastAsia="Times New Roman"/>
        </w:rPr>
        <w:pict>
          <v:rect id="_x0000_i1265" style="width:0;height:1.5pt" o:hralign="center" o:hrstd="t" o:hr="t" fillcolor="#a0a0a0" stroked="f"/>
        </w:pict>
      </w:r>
    </w:p>
    <w:p w:rsidR="00000000" w:rsidRDefault="00E54EC0">
      <w:pPr>
        <w:jc w:val="center"/>
        <w:divId w:val="1400979598"/>
        <w:rPr>
          <w:rFonts w:eastAsia="Times New Roman"/>
        </w:rPr>
      </w:pPr>
      <w:r>
        <w:rPr>
          <w:rFonts w:eastAsia="Times New Roman"/>
          <w:b/>
          <w:bCs/>
          <w:color w:val="000000"/>
          <w:sz w:val="20"/>
          <w:szCs w:val="20"/>
        </w:rPr>
        <w:t>EQUITABLE HOLDINGS, INC.</w:t>
      </w:r>
    </w:p>
    <w:p w:rsidR="00000000" w:rsidRDefault="00E54EC0">
      <w:pPr>
        <w:jc w:val="center"/>
        <w:divId w:val="1400979598"/>
        <w:rPr>
          <w:rFonts w:eastAsia="Times New Roman"/>
        </w:rPr>
      </w:pPr>
      <w:r>
        <w:rPr>
          <w:rFonts w:eastAsia="Times New Roman"/>
          <w:b/>
          <w:bCs/>
          <w:color w:val="000000"/>
          <w:sz w:val="20"/>
          <w:szCs w:val="20"/>
        </w:rPr>
        <w:t>NOTES TO CONSOLIDATED FINANCIAL STATEMENTS, continued</w:t>
      </w:r>
    </w:p>
    <w:p w:rsidR="00000000" w:rsidRDefault="00E54EC0">
      <w:pPr>
        <w:divId w:val="840435284"/>
        <w:rPr>
          <w:rFonts w:eastAsia="Times New Roman"/>
        </w:rPr>
      </w:pPr>
      <w:r>
        <w:rPr>
          <w:rFonts w:eastAsia="Times New Roman"/>
          <w:color w:val="000000"/>
          <w:sz w:val="20"/>
          <w:szCs w:val="20"/>
        </w:rPr>
        <w:t>The components of OCI, net of taxes for the years ended December 31, 2022, 2021 and 2020 follow:</w:t>
      </w:r>
    </w:p>
    <w:tbl>
      <w:tblPr>
        <w:tblW w:w="5000" w:type="pct"/>
        <w:tblCellMar>
          <w:top w:w="15" w:type="dxa"/>
          <w:left w:w="15" w:type="dxa"/>
          <w:bottom w:w="15" w:type="dxa"/>
          <w:right w:w="15" w:type="dxa"/>
        </w:tblCellMar>
        <w:tblLook w:val="04A0" w:firstRow="1" w:lastRow="0" w:firstColumn="1" w:lastColumn="0" w:noHBand="0" w:noVBand="1"/>
      </w:tblPr>
      <w:tblGrid>
        <w:gridCol w:w="40"/>
        <w:gridCol w:w="4845"/>
        <w:gridCol w:w="39"/>
        <w:gridCol w:w="36"/>
        <w:gridCol w:w="46"/>
        <w:gridCol w:w="36"/>
        <w:gridCol w:w="36"/>
        <w:gridCol w:w="36"/>
        <w:gridCol w:w="36"/>
        <w:gridCol w:w="120"/>
        <w:gridCol w:w="824"/>
        <w:gridCol w:w="36"/>
        <w:gridCol w:w="36"/>
        <w:gridCol w:w="36"/>
        <w:gridCol w:w="36"/>
        <w:gridCol w:w="120"/>
        <w:gridCol w:w="824"/>
        <w:gridCol w:w="36"/>
        <w:gridCol w:w="36"/>
        <w:gridCol w:w="36"/>
        <w:gridCol w:w="36"/>
        <w:gridCol w:w="120"/>
        <w:gridCol w:w="824"/>
        <w:gridCol w:w="36"/>
      </w:tblGrid>
      <w:tr w:rsidR="00000000">
        <w:trPr>
          <w:divId w:val="1113863850"/>
        </w:trPr>
        <w:tc>
          <w:tcPr>
            <w:tcW w:w="50" w:type="pct"/>
            <w:vAlign w:val="center"/>
            <w:hideMark/>
          </w:tcPr>
          <w:p w:rsidR="00000000" w:rsidRDefault="00E54EC0">
            <w:pPr>
              <w:rPr>
                <w:rFonts w:eastAsia="Times New Roman"/>
              </w:rPr>
            </w:pPr>
          </w:p>
        </w:tc>
        <w:tc>
          <w:tcPr>
            <w:tcW w:w="29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1386385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E54EC0">
            <w:pPr>
              <w:spacing w:after="100"/>
              <w:divId w:val="1538733140"/>
              <w:rPr>
                <w:rFonts w:eastAsia="Times New Roman"/>
              </w:rPr>
            </w:pPr>
          </w:p>
        </w:tc>
        <w:tc>
          <w:tcPr>
            <w:tcW w:w="0" w:type="auto"/>
            <w:gridSpan w:val="1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11386385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11386385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113863850"/>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net unrealized gains (losses) on investments: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3863850"/>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unrealized gains (losses) arising during the period (1)</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(13,637)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(2,467)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4,887 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(Gains) losses reclassified into net income (loss) during the period (2)</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(698)</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(653)</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unrealized gains (losses) on investments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(12,952)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(3,165)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1,052 </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(1,278)</w:t>
            </w:r>
          </w:p>
        </w:tc>
        <w:tc>
          <w:tcPr>
            <w:tcW w:w="0" w:type="auto"/>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187186329"/>
              <w:rPr>
                <w:rFonts w:eastAsia="Times New Roman"/>
              </w:rPr>
            </w:pPr>
            <w:r>
              <w:rPr>
                <w:rFonts w:eastAsia="Times New Roman"/>
                <w:color w:val="000000"/>
                <w:sz w:val="20"/>
                <w:szCs w:val="20"/>
              </w:rPr>
              <w:t>Change in unrealized gains (losses), net of adjustments (net of deferred income tax expense (benefit) of ($891), ($562), and $786)</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(10,826)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defined benefit plans: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3863850"/>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Reclassification to Net income (loss) of amortization of net prior service credit included in net periodic cost (3)</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513181783"/>
              <w:rPr>
                <w:rFonts w:eastAsia="Times New Roman"/>
              </w:rPr>
            </w:pPr>
            <w:r>
              <w:rPr>
                <w:rFonts w:eastAsia="Times New Roman"/>
                <w:color w:val="000000"/>
                <w:sz w:val="20"/>
                <w:szCs w:val="20"/>
              </w:rPr>
              <w:t>Change in defined benefit plans (net of deferred income tax expense (benefit) of ($1), $68, and $14)</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266 </w:t>
            </w:r>
          </w:p>
        </w:tc>
        <w:tc>
          <w:tcPr>
            <w:tcW w:w="0" w:type="auto"/>
            <w:tcBorders>
              <w:top w:val="single" w:sz="4" w:space="0" w:color="000000"/>
            </w:tcBorders>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48 </w:t>
            </w:r>
          </w:p>
        </w:tc>
        <w:tc>
          <w:tcPr>
            <w:tcW w:w="0" w:type="auto"/>
            <w:tcBorders>
              <w:top w:val="single" w:sz="4" w:space="0" w:color="000000"/>
            </w:tcBorders>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Foreign currency translation adjustments: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3863850"/>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Foreign currency translation gains (losses) arising during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(Gains) losses reclassified into net income (loss) during the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p>
        </w:tc>
        <w:tc>
          <w:tcPr>
            <w:tcW w:w="0" w:type="auto"/>
            <w:tcBorders>
              <w:top w:val="single" w:sz="4" w:space="0" w:color="000000"/>
            </w:tcBorders>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w:t>
            </w:r>
          </w:p>
        </w:tc>
        <w:tc>
          <w:tcPr>
            <w:tcW w:w="0" w:type="auto"/>
            <w:tcBorders>
              <w:top w:val="single" w:sz="4" w:space="0" w:color="000000"/>
            </w:tcBorders>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(10,854)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(1,858)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113863850"/>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comprehensive income (loss) attributable to Holdings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(10,838)</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(1,859)</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3,019 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720"/>
        <w:divId w:val="1069812107"/>
        <w:rPr>
          <w:rFonts w:eastAsia="Times New Roman"/>
        </w:rPr>
      </w:pPr>
      <w:r>
        <w:rPr>
          <w:rFonts w:eastAsia="Times New Roman"/>
          <w:color w:val="000000"/>
          <w:sz w:val="18"/>
          <w:szCs w:val="18"/>
        </w:rPr>
        <w:t>______________</w:t>
      </w:r>
    </w:p>
    <w:p w:rsidR="00000000" w:rsidRDefault="00E54EC0">
      <w:pPr>
        <w:ind w:hanging="360"/>
        <w:divId w:val="797144619"/>
        <w:rPr>
          <w:rFonts w:eastAsia="Times New Roman"/>
        </w:rPr>
      </w:pPr>
      <w:r>
        <w:rPr>
          <w:rFonts w:eastAsia="Times New Roman"/>
          <w:color w:val="000000"/>
          <w:sz w:val="18"/>
          <w:szCs w:val="18"/>
        </w:rPr>
        <w:t>(1)For 2022, unrealized gains (losses) arising during the period is presented net of a valuation al</w:t>
      </w:r>
      <w:r>
        <w:rPr>
          <w:rFonts w:eastAsia="Times New Roman"/>
          <w:color w:val="000000"/>
          <w:sz w:val="18"/>
          <w:szCs w:val="18"/>
        </w:rPr>
        <w:t xml:space="preserve">lowance of </w:t>
      </w:r>
      <w:r>
        <w:rPr>
          <w:rFonts w:eastAsia="Times New Roman"/>
          <w:color w:val="000000"/>
          <w:sz w:val="20"/>
          <w:szCs w:val="20"/>
        </w:rPr>
        <w:t>$1.6 billion</w:t>
      </w:r>
      <w:r>
        <w:rPr>
          <w:rFonts w:eastAsia="Times New Roman"/>
          <w:color w:val="000000"/>
          <w:sz w:val="18"/>
          <w:szCs w:val="18"/>
        </w:rPr>
        <w:t xml:space="preserve"> established during the fourth quarter of 2022. The Company established the valuation allowance against its deferred tax assets related to unrealized capital losses in the available for sale securities portfolio. See Note 16 of the N</w:t>
      </w:r>
      <w:r>
        <w:rPr>
          <w:rFonts w:eastAsia="Times New Roman"/>
          <w:color w:val="000000"/>
          <w:sz w:val="18"/>
          <w:szCs w:val="18"/>
        </w:rPr>
        <w:t>otes to these Consolidated Financial Statements for details on the valuation allowance.</w:t>
      </w:r>
    </w:p>
    <w:p w:rsidR="00000000" w:rsidRDefault="00E54EC0">
      <w:pPr>
        <w:ind w:hanging="360"/>
        <w:divId w:val="164982938"/>
        <w:rPr>
          <w:rFonts w:eastAsia="Times New Roman"/>
        </w:rPr>
      </w:pPr>
      <w:r>
        <w:rPr>
          <w:rFonts w:eastAsia="Times New Roman"/>
          <w:color w:val="000000"/>
          <w:sz w:val="18"/>
          <w:szCs w:val="18"/>
        </w:rPr>
        <w:t>(2)See “reclassification adjustments” in Note 3 of the Notes to these Consolidated Financial Statements. Reclassification amounts presented net of income tax expense (b</w:t>
      </w:r>
      <w:r>
        <w:rPr>
          <w:rFonts w:eastAsia="Times New Roman"/>
          <w:color w:val="000000"/>
          <w:sz w:val="18"/>
          <w:szCs w:val="18"/>
        </w:rPr>
        <w:t>enefit) of ($182) million, $186 million, and ($174) million for the years ended December 31, 2022, 2021 and 2020, respectively.</w:t>
      </w:r>
    </w:p>
    <w:p w:rsidR="00000000" w:rsidRDefault="00E54EC0">
      <w:pPr>
        <w:ind w:hanging="360"/>
        <w:divId w:val="1948192298"/>
        <w:rPr>
          <w:rFonts w:eastAsia="Times New Roman"/>
        </w:rPr>
      </w:pPr>
      <w:r>
        <w:rPr>
          <w:rFonts w:eastAsia="Times New Roman"/>
          <w:color w:val="000000"/>
          <w:sz w:val="18"/>
          <w:szCs w:val="18"/>
        </w:rPr>
        <w:t>(3)These AOCI components are included in the computation of net periodic costs. See Note 14 of the Notes to these Consolidated F</w:t>
      </w:r>
      <w:r>
        <w:rPr>
          <w:rFonts w:eastAsia="Times New Roman"/>
          <w:color w:val="000000"/>
          <w:sz w:val="18"/>
          <w:szCs w:val="18"/>
        </w:rPr>
        <w:t>inancial Statement.</w:t>
      </w:r>
    </w:p>
    <w:p w:rsidR="00000000" w:rsidRDefault="00E54EC0">
      <w:pPr>
        <w:divId w:val="1553228768"/>
        <w:rPr>
          <w:rFonts w:eastAsia="Times New Roman"/>
        </w:rPr>
      </w:pPr>
      <w:r>
        <w:rPr>
          <w:rFonts w:eastAsia="Times New Roman"/>
          <w:color w:val="000000"/>
          <w:sz w:val="20"/>
          <w:szCs w:val="20"/>
        </w:rPr>
        <w:t>Investment gains and losses reclassified from AOCI to net income (loss) primarily consist of realized gains (losses) on sales and credit losses of AFS securities and are included in total investment gains (losses), net on the consolidat</w:t>
      </w:r>
      <w:r>
        <w:rPr>
          <w:rFonts w:eastAsia="Times New Roman"/>
          <w:color w:val="000000"/>
          <w:sz w:val="20"/>
          <w:szCs w:val="20"/>
        </w:rPr>
        <w:t>ed statements of income (loss). Amounts reclassified from AOCI to net income (loss) as related to defined benefit plans primarily consist of amortization of net (gains) losses and net prior service cost (credit) recognized as a component of net periodic co</w:t>
      </w:r>
      <w:r>
        <w:rPr>
          <w:rFonts w:eastAsia="Times New Roman"/>
          <w:color w:val="000000"/>
          <w:sz w:val="20"/>
          <w:szCs w:val="20"/>
        </w:rPr>
        <w:t xml:space="preserve">st and reported in compensation and benefits in the consolidated statements of income (loss). Amounts presented in the table above are net of tax. </w:t>
      </w:r>
    </w:p>
    <w:p w:rsidR="00000000" w:rsidRDefault="00E54EC0">
      <w:pPr>
        <w:jc w:val="center"/>
        <w:divId w:val="1080562213"/>
        <w:rPr>
          <w:rFonts w:eastAsia="Times New Roman"/>
        </w:rPr>
      </w:pPr>
    </w:p>
    <w:p w:rsidR="00000000" w:rsidRDefault="00E54EC0">
      <w:pPr>
        <w:jc w:val="center"/>
        <w:divId w:val="1080562213"/>
        <w:rPr>
          <w:rFonts w:eastAsia="Times New Roman"/>
        </w:rPr>
      </w:pPr>
      <w:r>
        <w:rPr>
          <w:rFonts w:eastAsia="Times New Roman"/>
          <w:color w:val="000000"/>
          <w:sz w:val="20"/>
          <w:szCs w:val="20"/>
        </w:rPr>
        <w:t>228</w:t>
      </w:r>
    </w:p>
    <w:p w:rsidR="00000000" w:rsidRDefault="00E54EC0">
      <w:pPr>
        <w:rPr>
          <w:rFonts w:eastAsia="Times New Roman"/>
        </w:rPr>
      </w:pPr>
      <w:r>
        <w:rPr>
          <w:rFonts w:eastAsia="Times New Roman"/>
        </w:rPr>
        <w:pict>
          <v:rect id="_x0000_i1266" style="width:0;height:1.5pt" o:hralign="center" o:hrstd="t" o:hr="t" fillcolor="#a0a0a0" stroked="f"/>
        </w:pict>
      </w:r>
    </w:p>
    <w:p w:rsidR="00000000" w:rsidRDefault="00E54EC0">
      <w:pPr>
        <w:jc w:val="center"/>
        <w:divId w:val="1249344485"/>
        <w:rPr>
          <w:rFonts w:eastAsia="Times New Roman"/>
        </w:rPr>
      </w:pPr>
      <w:r>
        <w:rPr>
          <w:rFonts w:eastAsia="Times New Roman"/>
          <w:b/>
          <w:bCs/>
          <w:color w:val="000000"/>
          <w:sz w:val="20"/>
          <w:szCs w:val="20"/>
        </w:rPr>
        <w:t>EQUITABLE HOLDINGS, INC.</w:t>
      </w:r>
    </w:p>
    <w:p w:rsidR="00000000" w:rsidRDefault="00E54EC0">
      <w:pPr>
        <w:jc w:val="center"/>
        <w:divId w:val="124934448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 continued</w:t>
      </w:r>
    </w:p>
    <w:p w:rsidR="00000000" w:rsidRDefault="00E54EC0">
      <w:pPr>
        <w:divId w:val="960382247"/>
        <w:rPr>
          <w:rFonts w:eastAsia="Times New Roman"/>
        </w:rPr>
      </w:pPr>
      <w:r>
        <w:rPr>
          <w:rFonts w:eastAsia="Times New Roman"/>
          <w:b/>
          <w:bCs/>
          <w:color w:val="000000"/>
          <w:sz w:val="20"/>
          <w:szCs w:val="20"/>
        </w:rPr>
        <w:t>21)</w:t>
      </w:r>
      <w:r>
        <w:rPr>
          <w:rFonts w:eastAsia="Times New Roman"/>
          <w:color w:val="000000"/>
          <w:sz w:val="20"/>
          <w:szCs w:val="20"/>
        </w:rPr>
        <w:t>    </w:t>
      </w:r>
      <w:r>
        <w:rPr>
          <w:rFonts w:eastAsia="Times New Roman"/>
          <w:b/>
          <w:bCs/>
          <w:color w:val="000000"/>
          <w:sz w:val="20"/>
          <w:szCs w:val="20"/>
        </w:rPr>
        <w:t>EARNINGS PER COMMON SHARE</w:t>
      </w:r>
    </w:p>
    <w:p w:rsidR="00000000" w:rsidRDefault="00E54EC0">
      <w:pPr>
        <w:divId w:val="1759713202"/>
        <w:rPr>
          <w:rFonts w:eastAsia="Times New Roman"/>
        </w:rPr>
      </w:pPr>
      <w:r>
        <w:rPr>
          <w:rFonts w:eastAsia="Times New Roman"/>
          <w:color w:val="000000"/>
          <w:sz w:val="20"/>
          <w:szCs w:val="20"/>
        </w:rPr>
        <w:t>The following table presents a reconciliation of net income (loss) and weighted-average common shares used in calculating basic and diluted EPS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981"/>
        <w:gridCol w:w="38"/>
        <w:gridCol w:w="120"/>
        <w:gridCol w:w="881"/>
        <w:gridCol w:w="36"/>
        <w:gridCol w:w="36"/>
        <w:gridCol w:w="36"/>
        <w:gridCol w:w="36"/>
        <w:gridCol w:w="120"/>
        <w:gridCol w:w="841"/>
        <w:gridCol w:w="36"/>
        <w:gridCol w:w="36"/>
        <w:gridCol w:w="36"/>
        <w:gridCol w:w="36"/>
        <w:gridCol w:w="120"/>
        <w:gridCol w:w="842"/>
        <w:gridCol w:w="36"/>
      </w:tblGrid>
      <w:tr w:rsidR="00000000">
        <w:trPr>
          <w:divId w:val="1759713202"/>
        </w:trPr>
        <w:tc>
          <w:tcPr>
            <w:tcW w:w="50" w:type="pct"/>
            <w:vAlign w:val="center"/>
            <w:hideMark/>
          </w:tcPr>
          <w:p w:rsidR="00000000" w:rsidRDefault="00E54EC0">
            <w:pPr>
              <w:rPr>
                <w:rFonts w:eastAsia="Times New Roman"/>
              </w:rPr>
            </w:pPr>
          </w:p>
        </w:tc>
        <w:tc>
          <w:tcPr>
            <w:tcW w:w="302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tcMar>
              <w:top w:w="30" w:type="dxa"/>
              <w:left w:w="20" w:type="dxa"/>
              <w:bottom w:w="30" w:type="dxa"/>
              <w:right w:w="20" w:type="dxa"/>
            </w:tcMar>
            <w:vAlign w:val="bottom"/>
            <w:hideMark/>
          </w:tcPr>
          <w:p w:rsidR="00000000" w:rsidRDefault="00E54EC0">
            <w:pPr>
              <w:spacing w:after="100"/>
              <w:divId w:val="105200097"/>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r>
      <w:tr w:rsidR="00000000">
        <w:trPr>
          <w:divId w:val="1759713202"/>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87" w:type="dxa"/>
              <w:bottom w:w="30" w:type="dxa"/>
              <w:right w:w="87"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759713202"/>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75971320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408164049"/>
              <w:rPr>
                <w:rFonts w:eastAsia="Times New Roman"/>
              </w:rPr>
            </w:pPr>
            <w:r>
              <w:rPr>
                <w:rFonts w:eastAsia="Times New Roman"/>
                <w:color w:val="000000"/>
                <w:sz w:val="20"/>
                <w:szCs w:val="20"/>
              </w:rPr>
              <w:t>Weighted-average common shares outstanding — basic</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shd w:val="clear" w:color="auto" w:fill="CCEE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Employee share awards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529490125"/>
              <w:rPr>
                <w:rFonts w:eastAsia="Times New Roman"/>
              </w:rPr>
            </w:pPr>
            <w:r>
              <w:rPr>
                <w:rFonts w:eastAsia="Times New Roman"/>
                <w:color w:val="000000"/>
                <w:sz w:val="20"/>
                <w:szCs w:val="20"/>
              </w:rPr>
              <w:t>Weighted-average common shares outstanding — diluted (2)</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417.4 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450.4 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FFFFFF"/>
            <w:tcMar>
              <w:top w:w="30" w:type="dxa"/>
              <w:left w:w="51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Preferred stock dividends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EPS: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759713202"/>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759713202"/>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720"/>
        <w:divId w:val="83380348"/>
        <w:rPr>
          <w:rFonts w:eastAsia="Times New Roman"/>
        </w:rPr>
      </w:pPr>
      <w:r>
        <w:rPr>
          <w:rFonts w:eastAsia="Times New Roman"/>
          <w:color w:val="000000"/>
          <w:sz w:val="18"/>
          <w:szCs w:val="18"/>
        </w:rPr>
        <w:t>_____________</w:t>
      </w:r>
    </w:p>
    <w:p w:rsidR="00000000" w:rsidRDefault="00E54EC0">
      <w:pPr>
        <w:ind w:hanging="360"/>
        <w:divId w:val="1720593960"/>
        <w:rPr>
          <w:rFonts w:eastAsia="Times New Roman"/>
        </w:rPr>
      </w:pPr>
      <w:r>
        <w:rPr>
          <w:rFonts w:eastAsia="Times New Roman"/>
          <w:color w:val="000000"/>
          <w:sz w:val="18"/>
          <w:szCs w:val="18"/>
        </w:rPr>
        <w:t>(1)Calculated using the treasury stock method.</w:t>
      </w:r>
    </w:p>
    <w:p w:rsidR="00000000" w:rsidRDefault="00E54EC0">
      <w:pPr>
        <w:ind w:hanging="360"/>
        <w:divId w:val="1133327122"/>
        <w:rPr>
          <w:rFonts w:eastAsia="Times New Roman"/>
        </w:rPr>
      </w:pPr>
      <w:r>
        <w:rPr>
          <w:rFonts w:eastAsia="Times New Roman"/>
          <w:color w:val="000000"/>
          <w:sz w:val="18"/>
          <w:szCs w:val="18"/>
        </w:rPr>
        <w:t>(2)Due to net loss for the years ended December 31, 2021 and 2020, approximately 3.8 million and 1.7 millio</w:t>
      </w:r>
      <w:r>
        <w:rPr>
          <w:rFonts w:eastAsia="Times New Roman"/>
          <w:color w:val="000000"/>
          <w:sz w:val="18"/>
          <w:szCs w:val="18"/>
        </w:rPr>
        <w:t>n shares were excluded from the diluted EPS calculation.</w:t>
      </w:r>
    </w:p>
    <w:p w:rsidR="00000000" w:rsidRDefault="00E54EC0">
      <w:pPr>
        <w:divId w:val="1256868436"/>
        <w:rPr>
          <w:rFonts w:eastAsia="Times New Roman"/>
        </w:rPr>
      </w:pPr>
      <w:r>
        <w:rPr>
          <w:rFonts w:eastAsia="Times New Roman"/>
          <w:color w:val="000000"/>
          <w:sz w:val="20"/>
          <w:szCs w:val="20"/>
        </w:rPr>
        <w:t>For the years ended December 31, 2022, 2021 and 2020, 3.9 million, 8.2 million, and 10.0 million of outstanding stock awards, respectively, were not included in the computation of diluted EPS because</w:t>
      </w:r>
      <w:r>
        <w:rPr>
          <w:rFonts w:eastAsia="Times New Roman"/>
          <w:color w:val="000000"/>
          <w:sz w:val="20"/>
          <w:szCs w:val="20"/>
        </w:rPr>
        <w:t xml:space="preserve"> their effect was anti-dilutive.</w:t>
      </w:r>
    </w:p>
    <w:p w:rsidR="00000000" w:rsidRDefault="00E54EC0">
      <w:pPr>
        <w:divId w:val="612513656"/>
        <w:rPr>
          <w:rFonts w:eastAsia="Times New Roman"/>
        </w:rPr>
      </w:pPr>
      <w:r>
        <w:rPr>
          <w:rFonts w:eastAsia="Times New Roman"/>
          <w:b/>
          <w:bCs/>
          <w:color w:val="000000"/>
          <w:sz w:val="20"/>
          <w:szCs w:val="20"/>
        </w:rPr>
        <w:t xml:space="preserve">22)    REDEEMABLE NONCONTROLLING INTEREST </w:t>
      </w:r>
    </w:p>
    <w:p w:rsidR="00000000" w:rsidRDefault="00E54EC0">
      <w:pPr>
        <w:divId w:val="539053968"/>
        <w:rPr>
          <w:rFonts w:eastAsia="Times New Roman"/>
        </w:rPr>
      </w:pPr>
      <w:r>
        <w:rPr>
          <w:rFonts w:eastAsia="Times New Roman"/>
          <w:color w:val="000000"/>
          <w:sz w:val="20"/>
          <w:szCs w:val="20"/>
        </w:rPr>
        <w:t>The changes in the components of redeemable noncontrolling interests are presented in the table that follows:</w:t>
      </w:r>
    </w:p>
    <w:tbl>
      <w:tblPr>
        <w:tblW w:w="4853" w:type="pct"/>
        <w:jc w:val="center"/>
        <w:tblCellMar>
          <w:top w:w="15" w:type="dxa"/>
          <w:left w:w="15" w:type="dxa"/>
          <w:bottom w:w="15" w:type="dxa"/>
          <w:right w:w="15" w:type="dxa"/>
        </w:tblCellMar>
        <w:tblLook w:val="04A0" w:firstRow="1" w:lastRow="0" w:firstColumn="1" w:lastColumn="0" w:noHBand="0" w:noVBand="1"/>
      </w:tblPr>
      <w:tblGrid>
        <w:gridCol w:w="39"/>
        <w:gridCol w:w="5300"/>
        <w:gridCol w:w="38"/>
        <w:gridCol w:w="36"/>
        <w:gridCol w:w="36"/>
        <w:gridCol w:w="36"/>
        <w:gridCol w:w="36"/>
        <w:gridCol w:w="36"/>
        <w:gridCol w:w="36"/>
        <w:gridCol w:w="36"/>
        <w:gridCol w:w="120"/>
        <w:gridCol w:w="583"/>
        <w:gridCol w:w="36"/>
        <w:gridCol w:w="36"/>
        <w:gridCol w:w="36"/>
        <w:gridCol w:w="36"/>
        <w:gridCol w:w="120"/>
        <w:gridCol w:w="583"/>
        <w:gridCol w:w="36"/>
        <w:gridCol w:w="36"/>
        <w:gridCol w:w="36"/>
        <w:gridCol w:w="36"/>
        <w:gridCol w:w="120"/>
        <w:gridCol w:w="583"/>
        <w:gridCol w:w="36"/>
      </w:tblGrid>
      <w:tr w:rsidR="00000000">
        <w:trPr>
          <w:divId w:val="1619099622"/>
          <w:jc w:val="center"/>
        </w:trPr>
        <w:tc>
          <w:tcPr>
            <w:tcW w:w="50" w:type="pct"/>
            <w:vAlign w:val="center"/>
            <w:hideMark/>
          </w:tcPr>
          <w:p w:rsidR="00000000" w:rsidRDefault="00E54EC0">
            <w:pPr>
              <w:rPr>
                <w:rFonts w:eastAsia="Times New Roman"/>
              </w:rPr>
            </w:pPr>
          </w:p>
        </w:tc>
        <w:tc>
          <w:tcPr>
            <w:tcW w:w="3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0"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19099622"/>
          <w:jc w:val="center"/>
        </w:trPr>
        <w:tc>
          <w:tcPr>
            <w:tcW w:w="0" w:type="auto"/>
            <w:gridSpan w:val="3"/>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19099622"/>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19099622"/>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619099622"/>
          <w:jc w:val="center"/>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15"/>
            <w:tcBorders>
              <w:top w:val="single" w:sz="8" w:space="0" w:color="000000"/>
            </w:tcBorders>
            <w:tcMar>
              <w:top w:w="30" w:type="dxa"/>
              <w:left w:w="87" w:type="dxa"/>
              <w:bottom w:w="30" w:type="dxa"/>
              <w:right w:w="87"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619099622"/>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19099622"/>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earnings (loss) attributable to redeemable noncontrolling interests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19099622"/>
          <w:jc w:val="center"/>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Purchase/change of redeemable noncontrolling interests</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19099622"/>
          <w:jc w:val="center"/>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E54EC0">
            <w:pPr>
              <w:spacing w:after="100"/>
              <w:rPr>
                <w:rFonts w:eastAsia="Times New Roman"/>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984819383"/>
        <w:rPr>
          <w:rFonts w:eastAsia="Times New Roman"/>
        </w:rPr>
      </w:pPr>
    </w:p>
    <w:p w:rsidR="00000000" w:rsidRDefault="00E54EC0">
      <w:pPr>
        <w:divId w:val="1146434780"/>
        <w:rPr>
          <w:rFonts w:eastAsia="Times New Roman"/>
        </w:rPr>
      </w:pPr>
      <w:r>
        <w:rPr>
          <w:rFonts w:eastAsia="Times New Roman"/>
          <w:b/>
          <w:bCs/>
          <w:color w:val="000000"/>
          <w:sz w:val="20"/>
          <w:szCs w:val="20"/>
        </w:rPr>
        <w:t xml:space="preserve">23)     HELD-FOR-SALE: </w:t>
      </w:r>
    </w:p>
    <w:p w:rsidR="00000000" w:rsidRDefault="00E54EC0">
      <w:pPr>
        <w:divId w:val="1644500116"/>
        <w:rPr>
          <w:rFonts w:eastAsia="Times New Roman"/>
        </w:rPr>
      </w:pPr>
      <w:r>
        <w:rPr>
          <w:rFonts w:eastAsia="Times New Roman"/>
          <w:color w:val="000000"/>
          <w:sz w:val="20"/>
          <w:szCs w:val="20"/>
        </w:rPr>
        <w:t xml:space="preserve">Assets and liabilities related to the business classified as HFS are separately reported in the Consolidated Balance Sheets beginning in the period in which the business is classified as HFS. </w:t>
      </w:r>
    </w:p>
    <w:p w:rsidR="00000000" w:rsidRDefault="00E54EC0">
      <w:pPr>
        <w:divId w:val="1912035702"/>
        <w:rPr>
          <w:rFonts w:eastAsia="Times New Roman"/>
        </w:rPr>
      </w:pPr>
    </w:p>
    <w:p w:rsidR="00000000" w:rsidRDefault="00E54EC0">
      <w:pPr>
        <w:divId w:val="952715305"/>
        <w:rPr>
          <w:rFonts w:eastAsia="Times New Roman"/>
        </w:rPr>
      </w:pPr>
    </w:p>
    <w:p w:rsidR="00000000" w:rsidRDefault="00E54EC0">
      <w:pPr>
        <w:divId w:val="1672021257"/>
        <w:rPr>
          <w:rFonts w:eastAsia="Times New Roman"/>
        </w:rPr>
      </w:pPr>
    </w:p>
    <w:p w:rsidR="00000000" w:rsidRDefault="00E54EC0">
      <w:pPr>
        <w:jc w:val="center"/>
        <w:divId w:val="911040846"/>
        <w:rPr>
          <w:rFonts w:eastAsia="Times New Roman"/>
        </w:rPr>
      </w:pPr>
    </w:p>
    <w:p w:rsidR="00000000" w:rsidRDefault="00E54EC0">
      <w:pPr>
        <w:jc w:val="center"/>
        <w:divId w:val="911040846"/>
        <w:rPr>
          <w:rFonts w:eastAsia="Times New Roman"/>
        </w:rPr>
      </w:pPr>
      <w:r>
        <w:rPr>
          <w:rFonts w:eastAsia="Times New Roman"/>
          <w:color w:val="000000"/>
          <w:sz w:val="20"/>
          <w:szCs w:val="20"/>
        </w:rPr>
        <w:t>229</w:t>
      </w:r>
    </w:p>
    <w:p w:rsidR="00000000" w:rsidRDefault="00E54EC0">
      <w:pPr>
        <w:rPr>
          <w:rFonts w:eastAsia="Times New Roman"/>
        </w:rPr>
      </w:pPr>
      <w:r>
        <w:rPr>
          <w:rFonts w:eastAsia="Times New Roman"/>
        </w:rPr>
        <w:pict>
          <v:rect id="_x0000_i1267" style="width:0;height:1.5pt" o:hralign="center" o:hrstd="t" o:hr="t" fillcolor="#a0a0a0" stroked="f"/>
        </w:pict>
      </w:r>
    </w:p>
    <w:p w:rsidR="00000000" w:rsidRDefault="00E54EC0">
      <w:pPr>
        <w:jc w:val="center"/>
        <w:divId w:val="382410104"/>
        <w:rPr>
          <w:rFonts w:eastAsia="Times New Roman"/>
        </w:rPr>
      </w:pPr>
      <w:r>
        <w:rPr>
          <w:rFonts w:eastAsia="Times New Roman"/>
          <w:b/>
          <w:bCs/>
          <w:color w:val="000000"/>
          <w:sz w:val="20"/>
          <w:szCs w:val="20"/>
        </w:rPr>
        <w:t>EQUITABLE HOLDINGS, INC.</w:t>
      </w:r>
    </w:p>
    <w:p w:rsidR="00000000" w:rsidRDefault="00E54EC0">
      <w:pPr>
        <w:jc w:val="center"/>
        <w:divId w:val="382410104"/>
        <w:rPr>
          <w:rFonts w:eastAsia="Times New Roman"/>
        </w:rPr>
      </w:pPr>
      <w:r>
        <w:rPr>
          <w:rFonts w:eastAsia="Times New Roman"/>
          <w:b/>
          <w:bCs/>
          <w:color w:val="000000"/>
          <w:sz w:val="20"/>
          <w:szCs w:val="20"/>
        </w:rPr>
        <w:t>NOTES TO CONSOLIDATED FINANCIAL STATEMENTS, continued</w:t>
      </w:r>
    </w:p>
    <w:p w:rsidR="00000000" w:rsidRDefault="00E54EC0">
      <w:pPr>
        <w:jc w:val="both"/>
        <w:divId w:val="65956320"/>
        <w:rPr>
          <w:rFonts w:eastAsia="Times New Roman"/>
        </w:rPr>
      </w:pPr>
      <w:r>
        <w:rPr>
          <w:rFonts w:eastAsia="Times New Roman"/>
          <w:b/>
          <w:bCs/>
          <w:i/>
          <w:iCs/>
          <w:color w:val="000000"/>
          <w:sz w:val="20"/>
          <w:szCs w:val="20"/>
        </w:rPr>
        <w:t>AB Bernstein Research Services</w:t>
      </w:r>
    </w:p>
    <w:p w:rsidR="00000000" w:rsidRDefault="00E54EC0">
      <w:pPr>
        <w:divId w:val="1332903475"/>
        <w:rPr>
          <w:rFonts w:eastAsia="Times New Roman"/>
        </w:rPr>
      </w:pPr>
      <w:r>
        <w:rPr>
          <w:rFonts w:eastAsia="Times New Roman"/>
          <w:color w:val="000000"/>
          <w:sz w:val="20"/>
          <w:szCs w:val="20"/>
        </w:rPr>
        <w:t>On November 22, 2022, AB and Société Géné</w:t>
      </w:r>
      <w:r>
        <w:rPr>
          <w:rFonts w:eastAsia="Times New Roman"/>
          <w:color w:val="000000"/>
          <w:sz w:val="20"/>
          <w:szCs w:val="20"/>
        </w:rPr>
        <w:t xml:space="preserve">rale, a leading European bank, announced plans to form a joint venture combining their respective cash equities and research businesses. The consummation of the joint venture is subject to customary closing conditions, including regulatory clearances. The </w:t>
      </w:r>
      <w:r>
        <w:rPr>
          <w:rFonts w:eastAsia="Times New Roman"/>
          <w:color w:val="000000"/>
          <w:sz w:val="20"/>
          <w:szCs w:val="20"/>
        </w:rPr>
        <w:t>closing is expected to occur before the end of 2023. Upon closing, AB will own a 49% interest in the joint venture and Société Générale will own a 51% interest in the joint venture, with an option to reach 100% ownership after five years. The assets and li</w:t>
      </w:r>
      <w:r>
        <w:rPr>
          <w:rFonts w:eastAsia="Times New Roman"/>
          <w:color w:val="000000"/>
          <w:sz w:val="20"/>
          <w:szCs w:val="20"/>
        </w:rPr>
        <w:t>abilities of AB's research services business recorded at fair value, less cost to sell have been classified as held-for-sale in our Consolidated Financial Statements. As a result of classifying these assets as held-for-sale, AB recognized a non-cash valuat</w:t>
      </w:r>
      <w:r>
        <w:rPr>
          <w:rFonts w:eastAsia="Times New Roman"/>
          <w:color w:val="000000"/>
          <w:sz w:val="20"/>
          <w:szCs w:val="20"/>
        </w:rPr>
        <w:t>ion adjustment of $7 million on the consolidated statement of income, to recognize the net carrying value at lower of cost or fair value, less estimated costs to sell.</w:t>
      </w:r>
    </w:p>
    <w:p w:rsidR="00000000" w:rsidRDefault="00E54EC0">
      <w:pPr>
        <w:divId w:val="247814066"/>
        <w:rPr>
          <w:rFonts w:eastAsia="Times New Roman"/>
        </w:rPr>
      </w:pPr>
    </w:p>
    <w:p w:rsidR="00000000" w:rsidRDefault="00E54EC0">
      <w:pPr>
        <w:divId w:val="1886481075"/>
        <w:rPr>
          <w:rFonts w:eastAsia="Times New Roman"/>
        </w:rPr>
      </w:pPr>
      <w:r>
        <w:rPr>
          <w:rFonts w:eastAsia="Times New Roman"/>
          <w:color w:val="000000"/>
          <w:sz w:val="20"/>
          <w:szCs w:val="20"/>
        </w:rPr>
        <w:t xml:space="preserve">The following table summarizes the assets and liabilities classified as held-for-sale </w:t>
      </w:r>
      <w:r>
        <w:rPr>
          <w:rFonts w:eastAsia="Times New Roman"/>
          <w:color w:val="000000"/>
          <w:sz w:val="20"/>
          <w:szCs w:val="20"/>
        </w:rPr>
        <w:t>as of December 31, 2022 on the Company’s consolidated balance sheet:</w:t>
      </w:r>
    </w:p>
    <w:p w:rsidR="00000000" w:rsidRDefault="00E54EC0">
      <w:pPr>
        <w:divId w:val="1818452874"/>
        <w:rPr>
          <w:rFonts w:eastAsia="Times New Roman"/>
        </w:rPr>
      </w:pPr>
    </w:p>
    <w:p w:rsidR="00000000" w:rsidRDefault="00E54EC0">
      <w:pPr>
        <w:divId w:val="13827088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6569"/>
        <w:gridCol w:w="36"/>
        <w:gridCol w:w="36"/>
        <w:gridCol w:w="36"/>
        <w:gridCol w:w="36"/>
        <w:gridCol w:w="121"/>
        <w:gridCol w:w="1399"/>
        <w:gridCol w:w="36"/>
      </w:tblGrid>
      <w:tr w:rsidR="00000000">
        <w:trPr>
          <w:divId w:val="1293904917"/>
        </w:trPr>
        <w:tc>
          <w:tcPr>
            <w:tcW w:w="50" w:type="pct"/>
            <w:vAlign w:val="center"/>
            <w:hideMark/>
          </w:tcPr>
          <w:p w:rsidR="00000000" w:rsidRDefault="00E54EC0">
            <w:pPr>
              <w:rPr>
                <w:rFonts w:eastAsia="Times New Roman"/>
              </w:rPr>
            </w:pPr>
          </w:p>
        </w:tc>
        <w:tc>
          <w:tcPr>
            <w:tcW w:w="398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1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87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93904917"/>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1293904917"/>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 (1)</w:t>
            </w:r>
          </w:p>
        </w:tc>
      </w:tr>
      <w:tr w:rsidR="00000000">
        <w:trPr>
          <w:divId w:val="1293904917"/>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9390491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Broker-dealer related receivables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Trading securities, at fair value</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Goodwill and other intangible assets ,net</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assets (2)</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FFFFFF"/>
            <w:tcMar>
              <w:top w:w="30" w:type="dxa"/>
              <w:left w:w="20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assets held-for-sale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Height w:val="30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93904917"/>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9390491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Broker-dealer related payables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Customers related payables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93904917"/>
        </w:trPr>
        <w:tc>
          <w:tcPr>
            <w:tcW w:w="0" w:type="auto"/>
            <w:gridSpan w:val="3"/>
            <w:shd w:val="clear" w:color="auto" w:fill="FFFFFF"/>
            <w:tcMar>
              <w:top w:w="30" w:type="dxa"/>
              <w:left w:w="20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liabilities held-for-sale</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360"/>
        <w:divId w:val="255096426"/>
        <w:rPr>
          <w:rFonts w:eastAsia="Times New Roman"/>
        </w:rPr>
      </w:pPr>
      <w:r>
        <w:rPr>
          <w:rFonts w:eastAsia="Times New Roman"/>
          <w:color w:val="000000"/>
          <w:sz w:val="18"/>
          <w:szCs w:val="18"/>
        </w:rPr>
        <w:t>____________</w:t>
      </w:r>
    </w:p>
    <w:p w:rsidR="00000000" w:rsidRDefault="00E54EC0">
      <w:pPr>
        <w:ind w:hanging="360"/>
        <w:divId w:val="1530952328"/>
        <w:rPr>
          <w:rFonts w:eastAsia="Times New Roman"/>
        </w:rPr>
      </w:pPr>
      <w:r>
        <w:rPr>
          <w:rFonts w:eastAsia="Times New Roman"/>
          <w:color w:val="000000"/>
          <w:sz w:val="18"/>
          <w:szCs w:val="18"/>
        </w:rPr>
        <w:t xml:space="preserve">(1) The assets and liabilities classified as held-for-sale are reported within our Investment Management &amp; Research </w:t>
      </w:r>
    </w:p>
    <w:p w:rsidR="00000000" w:rsidRDefault="00E54EC0">
      <w:pPr>
        <w:ind w:hanging="360"/>
        <w:divId w:val="1649090281"/>
        <w:rPr>
          <w:rFonts w:eastAsia="Times New Roman"/>
        </w:rPr>
      </w:pPr>
      <w:r>
        <w:rPr>
          <w:rFonts w:eastAsia="Times New Roman"/>
          <w:color w:val="000000"/>
          <w:sz w:val="18"/>
          <w:szCs w:val="18"/>
        </w:rPr>
        <w:t>segment.</w:t>
      </w:r>
    </w:p>
    <w:p w:rsidR="00000000" w:rsidRDefault="00E54EC0">
      <w:pPr>
        <w:ind w:hanging="360"/>
        <w:divId w:val="1566795435"/>
        <w:rPr>
          <w:rFonts w:eastAsia="Times New Roman"/>
        </w:rPr>
      </w:pPr>
      <w:r>
        <w:rPr>
          <w:rFonts w:eastAsia="Times New Roman"/>
          <w:color w:val="000000"/>
          <w:sz w:val="18"/>
          <w:szCs w:val="18"/>
        </w:rPr>
        <w:t>(2) Other assets includes a valuation adjustment of ($7) million.</w:t>
      </w:r>
    </w:p>
    <w:p w:rsidR="00000000" w:rsidRDefault="00E54EC0">
      <w:pPr>
        <w:divId w:val="1259633864"/>
        <w:rPr>
          <w:rFonts w:eastAsia="Times New Roman"/>
        </w:rPr>
      </w:pPr>
      <w:r>
        <w:rPr>
          <w:rFonts w:eastAsia="Times New Roman"/>
          <w:color w:val="000000"/>
          <w:sz w:val="20"/>
          <w:szCs w:val="20"/>
        </w:rPr>
        <w:t>These assets and liabilities are reported under the Investment M</w:t>
      </w:r>
      <w:r>
        <w:rPr>
          <w:rFonts w:eastAsia="Times New Roman"/>
          <w:color w:val="000000"/>
          <w:sz w:val="20"/>
          <w:szCs w:val="20"/>
        </w:rPr>
        <w:t>anagement &amp; Research segment. The company has determined that AB’s exit from the research business did not represent a strategic shift that had a major effect on AB’s or the Company’s consolidated results of operations, and therefore, are not classified as</w:t>
      </w:r>
      <w:r>
        <w:rPr>
          <w:rFonts w:eastAsia="Times New Roman"/>
          <w:color w:val="000000"/>
          <w:sz w:val="20"/>
          <w:szCs w:val="20"/>
        </w:rPr>
        <w:t xml:space="preserve"> discontinued operations. </w:t>
      </w:r>
    </w:p>
    <w:p w:rsidR="00000000" w:rsidRDefault="00E54EC0">
      <w:pPr>
        <w:jc w:val="both"/>
        <w:divId w:val="922227527"/>
        <w:rPr>
          <w:rFonts w:eastAsia="Times New Roman"/>
        </w:rPr>
      </w:pPr>
      <w:r>
        <w:rPr>
          <w:rFonts w:eastAsia="Times New Roman"/>
          <w:b/>
          <w:bCs/>
          <w:i/>
          <w:iCs/>
          <w:color w:val="000000"/>
          <w:sz w:val="20"/>
          <w:szCs w:val="20"/>
        </w:rPr>
        <w:t xml:space="preserve">Corporate Solutions Life Reinsurance Company </w:t>
      </w:r>
    </w:p>
    <w:p w:rsidR="00000000" w:rsidRDefault="00E54EC0">
      <w:pPr>
        <w:divId w:val="487404861"/>
        <w:rPr>
          <w:rFonts w:eastAsia="Times New Roman"/>
        </w:rPr>
      </w:pPr>
      <w:r>
        <w:rPr>
          <w:rFonts w:eastAsia="Times New Roman"/>
          <w:color w:val="000000"/>
          <w:sz w:val="20"/>
          <w:szCs w:val="20"/>
          <w:shd w:val="clear" w:color="auto" w:fill="FFFFFF"/>
        </w:rPr>
        <w:t>On</w:t>
      </w:r>
      <w:r>
        <w:rPr>
          <w:rFonts w:eastAsia="Times New Roman"/>
          <w:color w:val="000000"/>
          <w:sz w:val="20"/>
          <w:szCs w:val="20"/>
        </w:rPr>
        <w:t xml:space="preserve"> October 27, 2020, Holdings entered into a Master Transaction Agreement with VIAC. See Note 1 of the Notes to these Consolidated Financial Statements for further information. As a r</w:t>
      </w:r>
      <w:r>
        <w:rPr>
          <w:rFonts w:eastAsia="Times New Roman"/>
          <w:color w:val="000000"/>
          <w:sz w:val="20"/>
          <w:szCs w:val="20"/>
        </w:rPr>
        <w:t>esu</w:t>
      </w:r>
      <w:r>
        <w:rPr>
          <w:rFonts w:eastAsia="Times New Roman"/>
          <w:color w:val="000000"/>
          <w:sz w:val="20"/>
          <w:szCs w:val="20"/>
          <w:shd w:val="clear" w:color="auto" w:fill="FFFFFF"/>
        </w:rPr>
        <w:t>lt of the agreement, an estimated impairment loss of $15 million, net of income tax, was recorded for the year ended December 31, 2020 and is included in investment gains (losses), net in the consolidated statements of income (los</w:t>
      </w:r>
      <w:r>
        <w:rPr>
          <w:rFonts w:eastAsia="Times New Roman"/>
          <w:color w:val="000000"/>
          <w:sz w:val="20"/>
          <w:szCs w:val="20"/>
        </w:rPr>
        <w:t>s). The transaction clo</w:t>
      </w:r>
      <w:r>
        <w:rPr>
          <w:rFonts w:eastAsia="Times New Roman"/>
          <w:color w:val="000000"/>
          <w:sz w:val="20"/>
          <w:szCs w:val="20"/>
        </w:rPr>
        <w:t xml:space="preserve">sed on June 1, 2021 with a gain on sale, net of income tax, of less than $1 million. Accordingly, the Company recovered the impairment previously recorded, thus reflecting a gain of </w:t>
      </w:r>
      <w:r>
        <w:rPr>
          <w:rFonts w:eastAsia="Times New Roman"/>
          <w:color w:val="000000"/>
          <w:sz w:val="20"/>
          <w:szCs w:val="20"/>
          <w:shd w:val="clear" w:color="auto" w:fill="FFFFFF"/>
        </w:rPr>
        <w:t xml:space="preserve">$15 million for the </w:t>
      </w:r>
      <w:r>
        <w:rPr>
          <w:rFonts w:eastAsia="Times New Roman"/>
          <w:color w:val="000000"/>
          <w:sz w:val="20"/>
          <w:szCs w:val="20"/>
        </w:rPr>
        <w:t>year ended December 31, 2021.</w:t>
      </w:r>
    </w:p>
    <w:p w:rsidR="00000000" w:rsidRDefault="00E54EC0">
      <w:pPr>
        <w:divId w:val="1882401503"/>
        <w:rPr>
          <w:rFonts w:eastAsia="Times New Roman"/>
        </w:rPr>
      </w:pPr>
      <w:r>
        <w:rPr>
          <w:rFonts w:eastAsia="Times New Roman"/>
          <w:b/>
          <w:bCs/>
          <w:color w:val="000000"/>
          <w:sz w:val="20"/>
          <w:szCs w:val="20"/>
        </w:rPr>
        <w:t>24)     SUBSEQUENT EVENT</w:t>
      </w:r>
      <w:r>
        <w:rPr>
          <w:rFonts w:eastAsia="Times New Roman"/>
          <w:b/>
          <w:bCs/>
          <w:color w:val="000000"/>
          <w:sz w:val="20"/>
          <w:szCs w:val="20"/>
        </w:rPr>
        <w:t>S</w:t>
      </w:r>
    </w:p>
    <w:p w:rsidR="00000000" w:rsidRDefault="00E54EC0">
      <w:pPr>
        <w:jc w:val="both"/>
        <w:divId w:val="999817933"/>
        <w:rPr>
          <w:rFonts w:eastAsia="Times New Roman"/>
        </w:rPr>
      </w:pPr>
      <w:r>
        <w:rPr>
          <w:rFonts w:eastAsia="Times New Roman"/>
          <w:b/>
          <w:bCs/>
          <w:i/>
          <w:iCs/>
          <w:color w:val="000000"/>
          <w:sz w:val="20"/>
          <w:szCs w:val="20"/>
        </w:rPr>
        <w:t>Debt Offering</w:t>
      </w:r>
    </w:p>
    <w:p w:rsidR="00000000" w:rsidRDefault="00E54EC0">
      <w:pPr>
        <w:divId w:val="1899050302"/>
        <w:rPr>
          <w:rFonts w:eastAsia="Times New Roman"/>
        </w:rPr>
      </w:pPr>
      <w:r>
        <w:rPr>
          <w:rFonts w:eastAsia="Times New Roman"/>
          <w:color w:val="000000"/>
          <w:sz w:val="20"/>
          <w:szCs w:val="20"/>
        </w:rPr>
        <w:t>On January 11, 2023, the Company issued $500 million aggregate principal amount of senior notes (the “Senior Notes”</w:t>
      </w:r>
      <w:r>
        <w:rPr>
          <w:rFonts w:eastAsia="Times New Roman"/>
          <w:color w:val="000000"/>
          <w:sz w:val="20"/>
          <w:szCs w:val="20"/>
        </w:rPr>
        <w:t xml:space="preserve">). These amounts will be recorded net of the underwriting discount and issuance costs of $5 million. The Company will pay semiannual interest on the Senior Notes on January 11 and July 11 of each year, commencing on </w:t>
      </w:r>
    </w:p>
    <w:p w:rsidR="00000000" w:rsidRDefault="00E54EC0">
      <w:pPr>
        <w:jc w:val="center"/>
        <w:divId w:val="714618672"/>
        <w:rPr>
          <w:rFonts w:eastAsia="Times New Roman"/>
        </w:rPr>
      </w:pPr>
    </w:p>
    <w:p w:rsidR="00000000" w:rsidRDefault="00E54EC0">
      <w:pPr>
        <w:jc w:val="center"/>
        <w:divId w:val="714618672"/>
        <w:rPr>
          <w:rFonts w:eastAsia="Times New Roman"/>
        </w:rPr>
      </w:pPr>
      <w:r>
        <w:rPr>
          <w:rFonts w:eastAsia="Times New Roman"/>
          <w:color w:val="000000"/>
          <w:sz w:val="20"/>
          <w:szCs w:val="20"/>
        </w:rPr>
        <w:t>230</w:t>
      </w:r>
    </w:p>
    <w:p w:rsidR="00000000" w:rsidRDefault="00E54EC0">
      <w:pPr>
        <w:rPr>
          <w:rFonts w:eastAsia="Times New Roman"/>
        </w:rPr>
      </w:pPr>
      <w:r>
        <w:rPr>
          <w:rFonts w:eastAsia="Times New Roman"/>
        </w:rPr>
        <w:pict>
          <v:rect id="_x0000_i1268" style="width:0;height:1.5pt" o:hralign="center" o:hrstd="t" o:hr="t" fillcolor="#a0a0a0" stroked="f"/>
        </w:pict>
      </w:r>
    </w:p>
    <w:p w:rsidR="00000000" w:rsidRDefault="00E54EC0">
      <w:pPr>
        <w:jc w:val="center"/>
        <w:divId w:val="1936551828"/>
        <w:rPr>
          <w:rFonts w:eastAsia="Times New Roman"/>
        </w:rPr>
      </w:pPr>
      <w:r>
        <w:rPr>
          <w:rFonts w:eastAsia="Times New Roman"/>
          <w:b/>
          <w:bCs/>
          <w:color w:val="000000"/>
          <w:sz w:val="20"/>
          <w:szCs w:val="20"/>
        </w:rPr>
        <w:t>EQUITABLE HOLDINGS, INC.</w:t>
      </w:r>
    </w:p>
    <w:p w:rsidR="00000000" w:rsidRDefault="00E54EC0">
      <w:pPr>
        <w:jc w:val="center"/>
        <w:divId w:val="1936551828"/>
        <w:rPr>
          <w:rFonts w:eastAsia="Times New Roman"/>
        </w:rPr>
      </w:pPr>
      <w:r>
        <w:rPr>
          <w:rFonts w:eastAsia="Times New Roman"/>
          <w:b/>
          <w:bCs/>
          <w:color w:val="000000"/>
          <w:sz w:val="20"/>
          <w:szCs w:val="20"/>
        </w:rPr>
        <w:t>NOTES TO CONSOLIDATED FINANCIAL STATEMENTS, continued</w:t>
      </w:r>
    </w:p>
    <w:p w:rsidR="00000000" w:rsidRDefault="00E54EC0">
      <w:pPr>
        <w:divId w:val="444615117"/>
        <w:rPr>
          <w:rFonts w:eastAsia="Times New Roman"/>
        </w:rPr>
      </w:pPr>
      <w:r>
        <w:rPr>
          <w:rFonts w:eastAsia="Times New Roman"/>
          <w:color w:val="000000"/>
          <w:sz w:val="20"/>
          <w:szCs w:val="20"/>
        </w:rPr>
        <w:t>July 11, 2023, and the Senior Notes will mature on January 11, 2033. The Senior Notes bear interest at 5.594% per annum. On any date prior to October 11, 2032, the Company may redeem some or all of the Senior Notes, subject to a make-whole provision. At an</w:t>
      </w:r>
      <w:r>
        <w:rPr>
          <w:rFonts w:eastAsia="Times New Roman"/>
          <w:color w:val="000000"/>
          <w:sz w:val="20"/>
          <w:szCs w:val="20"/>
        </w:rPr>
        <w:t xml:space="preserve">y time on or after October 11, 2032, the Company may, at its option, redeem the Notes in whole or in part, at a price equal to 100% of the principal amount of the Senior Notes being redeemed plus accrued and unpaid interest thereon to the redemption date. </w:t>
      </w:r>
      <w:r>
        <w:rPr>
          <w:rFonts w:eastAsia="Times New Roman"/>
          <w:color w:val="000000"/>
          <w:sz w:val="20"/>
          <w:szCs w:val="20"/>
        </w:rPr>
        <w:t>The Senior Notes contain customary affirmative and negative covenants, including a limitation on certain liens and a limit on the Company’s ability to consolidate, merge, sell or otherwise dispose of all or substantially all of its assets. The Senior Notes</w:t>
      </w:r>
      <w:r>
        <w:rPr>
          <w:rFonts w:eastAsia="Times New Roman"/>
          <w:color w:val="000000"/>
          <w:sz w:val="20"/>
          <w:szCs w:val="20"/>
        </w:rPr>
        <w:t xml:space="preserve"> also include customary events of default (with customary grace periods, as applicable), including provisions under which, upon the occurrence of an event of default, all outstanding Senior Notes may be accelerated.</w:t>
      </w:r>
    </w:p>
    <w:p w:rsidR="00000000" w:rsidRDefault="00E54EC0">
      <w:pPr>
        <w:jc w:val="both"/>
        <w:divId w:val="1248616135"/>
        <w:rPr>
          <w:rFonts w:eastAsia="Times New Roman"/>
        </w:rPr>
      </w:pPr>
      <w:r>
        <w:rPr>
          <w:rFonts w:eastAsia="Times New Roman"/>
          <w:b/>
          <w:bCs/>
          <w:i/>
          <w:iCs/>
          <w:color w:val="000000"/>
          <w:sz w:val="20"/>
          <w:szCs w:val="20"/>
        </w:rPr>
        <w:t>Share Repurchase</w:t>
      </w:r>
    </w:p>
    <w:p w:rsidR="00000000" w:rsidRDefault="00E54EC0">
      <w:pPr>
        <w:divId w:val="523522986"/>
        <w:rPr>
          <w:rFonts w:eastAsia="Times New Roman"/>
        </w:rPr>
      </w:pPr>
      <w:r>
        <w:rPr>
          <w:rFonts w:eastAsia="Times New Roman"/>
          <w:color w:val="000000"/>
          <w:sz w:val="20"/>
          <w:szCs w:val="20"/>
        </w:rPr>
        <w:t>On February 9, 2023, th</w:t>
      </w:r>
      <w:r>
        <w:rPr>
          <w:rFonts w:eastAsia="Times New Roman"/>
          <w:color w:val="000000"/>
          <w:sz w:val="20"/>
          <w:szCs w:val="20"/>
        </w:rPr>
        <w:t>e Company’s Board of Directors authorized a new $700 million share repurchase program. Under this program, the Company may, from time to time, purchase shares of its common stock through various means. The Company may choose to suspend or discontinue the r</w:t>
      </w:r>
      <w:r>
        <w:rPr>
          <w:rFonts w:eastAsia="Times New Roman"/>
          <w:color w:val="000000"/>
          <w:sz w:val="20"/>
          <w:szCs w:val="20"/>
        </w:rPr>
        <w:t>epurchase program at any time. The repurchase program does not obligate the Company to purchase any particular number of shares. As of February 9, 2023, Holdings had authorized capacity of approximately $1.1 billion remaining in its share repurchase progra</w:t>
      </w:r>
      <w:r>
        <w:rPr>
          <w:rFonts w:eastAsia="Times New Roman"/>
          <w:color w:val="000000"/>
          <w:sz w:val="20"/>
          <w:szCs w:val="20"/>
        </w:rPr>
        <w:t>m.</w:t>
      </w:r>
    </w:p>
    <w:p w:rsidR="00000000" w:rsidRDefault="00E54EC0">
      <w:pPr>
        <w:divId w:val="1289118000"/>
        <w:rPr>
          <w:rFonts w:eastAsia="Times New Roman"/>
        </w:rPr>
      </w:pPr>
    </w:p>
    <w:p w:rsidR="00000000" w:rsidRDefault="00E54EC0">
      <w:pPr>
        <w:divId w:val="498155999"/>
        <w:rPr>
          <w:rFonts w:eastAsia="Times New Roman"/>
        </w:rPr>
      </w:pPr>
      <w:r>
        <w:rPr>
          <w:rFonts w:eastAsia="Times New Roman"/>
          <w:b/>
          <w:bCs/>
          <w:i/>
          <w:iCs/>
          <w:color w:val="000000"/>
          <w:sz w:val="20"/>
          <w:szCs w:val="20"/>
        </w:rPr>
        <w:t>Accelerated Share Repurchase Agreement</w:t>
      </w:r>
    </w:p>
    <w:p w:rsidR="00000000" w:rsidRDefault="00E54EC0">
      <w:pPr>
        <w:divId w:val="640962779"/>
        <w:rPr>
          <w:rFonts w:eastAsia="Times New Roman"/>
        </w:rPr>
      </w:pPr>
    </w:p>
    <w:p w:rsidR="00000000" w:rsidRDefault="00E54EC0">
      <w:pPr>
        <w:divId w:val="1921137104"/>
        <w:rPr>
          <w:rFonts w:eastAsia="Times New Roman"/>
        </w:rPr>
      </w:pPr>
      <w:r>
        <w:rPr>
          <w:rFonts w:eastAsia="Times New Roman"/>
          <w:color w:val="000000"/>
          <w:sz w:val="20"/>
          <w:szCs w:val="20"/>
        </w:rPr>
        <w:t>In January 2023, Holdings entered into an ASR with a third-party financial institution to repurchase an aggregate of $75 million of Holdings’ common stock. Pursuant to the ASR, Holdings made a prepayment of $75</w:t>
      </w:r>
      <w:r>
        <w:rPr>
          <w:rFonts w:eastAsia="Times New Roman"/>
          <w:color w:val="000000"/>
          <w:sz w:val="20"/>
          <w:szCs w:val="20"/>
        </w:rPr>
        <w:t> million and received initial delivery of 2.0 million Holdings’ shares. The ASR is scheduled to terminate during the first quarter of 2023, at which time additional shares may be delivered or returned depending on the daily volume-weighted average price of</w:t>
      </w:r>
      <w:r>
        <w:rPr>
          <w:rFonts w:eastAsia="Times New Roman"/>
          <w:color w:val="000000"/>
          <w:sz w:val="20"/>
          <w:szCs w:val="20"/>
        </w:rPr>
        <w:t xml:space="preserve"> Holdings’ common stock.</w:t>
      </w:r>
    </w:p>
    <w:p w:rsidR="00000000" w:rsidRDefault="00E54EC0">
      <w:pPr>
        <w:jc w:val="center"/>
        <w:divId w:val="134377771"/>
        <w:rPr>
          <w:rFonts w:eastAsia="Times New Roman"/>
        </w:rPr>
      </w:pPr>
    </w:p>
    <w:p w:rsidR="00000000" w:rsidRDefault="00E54EC0">
      <w:pPr>
        <w:jc w:val="center"/>
        <w:divId w:val="134377771"/>
        <w:rPr>
          <w:rFonts w:eastAsia="Times New Roman"/>
        </w:rPr>
      </w:pPr>
      <w:r>
        <w:rPr>
          <w:rFonts w:eastAsia="Times New Roman"/>
          <w:color w:val="000000"/>
          <w:sz w:val="20"/>
          <w:szCs w:val="20"/>
        </w:rPr>
        <w:t>231</w:t>
      </w:r>
    </w:p>
    <w:p w:rsidR="00000000" w:rsidRDefault="00E54EC0">
      <w:pPr>
        <w:rPr>
          <w:rFonts w:eastAsia="Times New Roman"/>
        </w:rPr>
      </w:pPr>
      <w:r>
        <w:rPr>
          <w:rFonts w:eastAsia="Times New Roman"/>
        </w:rPr>
        <w:pict>
          <v:rect id="_x0000_i1269" style="width:0;height:1.5pt" o:hralign="center" o:hrstd="t" o:hr="t" fillcolor="#a0a0a0" stroked="f"/>
        </w:pict>
      </w:r>
    </w:p>
    <w:p w:rsidR="00000000" w:rsidRDefault="00E54EC0">
      <w:pPr>
        <w:divId w:val="1030033452"/>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jc w:val="center"/>
        <w:divId w:val="43256712"/>
        <w:rPr>
          <w:rFonts w:eastAsia="Times New Roman"/>
        </w:rPr>
      </w:pPr>
    </w:p>
    <w:p w:rsidR="00000000" w:rsidRDefault="00E54EC0">
      <w:pPr>
        <w:jc w:val="center"/>
        <w:rPr>
          <w:rFonts w:eastAsia="Times New Roman"/>
        </w:rPr>
      </w:pPr>
      <w:r>
        <w:rPr>
          <w:rFonts w:eastAsia="Times New Roman"/>
          <w:b/>
          <w:bCs/>
          <w:color w:val="000000"/>
          <w:sz w:val="20"/>
          <w:szCs w:val="20"/>
        </w:rPr>
        <w:t xml:space="preserve">EQUITABLE HOLDINGS, INC. </w:t>
      </w:r>
    </w:p>
    <w:p w:rsidR="00000000" w:rsidRDefault="00E54EC0">
      <w:pPr>
        <w:jc w:val="center"/>
        <w:rPr>
          <w:rFonts w:eastAsia="Times New Roman"/>
        </w:rPr>
      </w:pPr>
      <w:r>
        <w:rPr>
          <w:rFonts w:eastAsia="Times New Roman"/>
          <w:b/>
          <w:bCs/>
          <w:color w:val="000000"/>
          <w:sz w:val="20"/>
          <w:szCs w:val="20"/>
        </w:rPr>
        <w:t>SCHEDULE I</w:t>
      </w:r>
    </w:p>
    <w:p w:rsidR="00000000" w:rsidRDefault="00E54EC0">
      <w:pPr>
        <w:jc w:val="center"/>
        <w:rPr>
          <w:rFonts w:eastAsia="Times New Roman"/>
        </w:rPr>
      </w:pPr>
      <w:r>
        <w:rPr>
          <w:rFonts w:eastAsia="Times New Roman"/>
          <w:b/>
          <w:bCs/>
          <w:color w:val="000000"/>
          <w:sz w:val="20"/>
          <w:szCs w:val="20"/>
        </w:rPr>
        <w:t>SUMMARY OF INVESTMENTS — OTHER THAN INVESTMENTS IN RELATED PARTIES</w:t>
      </w:r>
    </w:p>
    <w:p w:rsidR="00000000" w:rsidRDefault="00E54EC0">
      <w:pPr>
        <w:jc w:val="center"/>
        <w:rPr>
          <w:rFonts w:eastAsia="Times New Roman"/>
        </w:rPr>
      </w:pPr>
      <w:r>
        <w:rPr>
          <w:rFonts w:eastAsia="Times New Roman"/>
          <w:b/>
          <w:bCs/>
          <w:color w:val="000000"/>
          <w:sz w:val="20"/>
          <w:szCs w:val="20"/>
        </w:rPr>
        <w:t>AS O</w:t>
      </w:r>
      <w:r>
        <w:rPr>
          <w:rFonts w:eastAsia="Times New Roman"/>
          <w:b/>
          <w:bCs/>
          <w:color w:val="000000"/>
          <w:sz w:val="20"/>
          <w:szCs w:val="20"/>
        </w:rPr>
        <w:t xml:space="preserve">F DECEMBER 31, 2022 </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0"/>
        <w:gridCol w:w="989"/>
        <w:gridCol w:w="36"/>
        <w:gridCol w:w="36"/>
        <w:gridCol w:w="36"/>
        <w:gridCol w:w="36"/>
        <w:gridCol w:w="121"/>
        <w:gridCol w:w="948"/>
        <w:gridCol w:w="36"/>
        <w:gridCol w:w="36"/>
        <w:gridCol w:w="36"/>
        <w:gridCol w:w="36"/>
        <w:gridCol w:w="120"/>
        <w:gridCol w:w="951"/>
        <w:gridCol w:w="36"/>
      </w:tblGrid>
      <w:tr w:rsidR="00000000">
        <w:trPr>
          <w:divId w:val="207184549"/>
        </w:trPr>
        <w:tc>
          <w:tcPr>
            <w:tcW w:w="50" w:type="pct"/>
            <w:vAlign w:val="center"/>
            <w:hideMark/>
          </w:tcPr>
          <w:p w:rsidR="00000000" w:rsidRDefault="00E54EC0">
            <w:pPr>
              <w:jc w:val="center"/>
              <w:rPr>
                <w:rFonts w:eastAsia="Times New Roman"/>
              </w:rPr>
            </w:pPr>
          </w:p>
        </w:tc>
        <w:tc>
          <w:tcPr>
            <w:tcW w:w="283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62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207184549"/>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Cost (1)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Carrying</w:t>
            </w:r>
          </w:p>
          <w:p w:rsidR="00000000" w:rsidRDefault="00E54EC0">
            <w:pPr>
              <w:spacing w:after="100"/>
              <w:jc w:val="center"/>
              <w:rPr>
                <w:rFonts w:eastAsia="Times New Roman"/>
              </w:rPr>
            </w:pPr>
            <w:r>
              <w:rPr>
                <w:rFonts w:eastAsia="Times New Roman"/>
                <w:b/>
                <w:bCs/>
                <w:color w:val="000000"/>
                <w:sz w:val="16"/>
                <w:szCs w:val="16"/>
              </w:rPr>
              <w:t>Value</w:t>
            </w:r>
          </w:p>
        </w:tc>
      </w:tr>
      <w:tr w:rsidR="00000000">
        <w:trPr>
          <w:divId w:val="207184549"/>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207184549"/>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maturities, AFS: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207184549"/>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U.S. government, agencies and authorities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7,054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State, municipalities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Public utilities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6,829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All other corporate bonds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43,883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37,793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155"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Redeemable preferred stocks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72,991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63,361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63,361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Mortgage loans on real estate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16,610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14,690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equity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Trading securities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207184549"/>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Investments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102,695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91,622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93,097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720"/>
        <w:divId w:val="1788039991"/>
        <w:rPr>
          <w:rFonts w:eastAsia="Times New Roman"/>
        </w:rPr>
      </w:pPr>
      <w:r>
        <w:rPr>
          <w:rFonts w:eastAsia="Times New Roman"/>
          <w:color w:val="000000"/>
          <w:sz w:val="18"/>
          <w:szCs w:val="18"/>
        </w:rPr>
        <w:t>______________</w:t>
      </w:r>
    </w:p>
    <w:p w:rsidR="00000000" w:rsidRDefault="00E54EC0">
      <w:pPr>
        <w:ind w:hanging="360"/>
        <w:divId w:val="151534572"/>
        <w:rPr>
          <w:rFonts w:eastAsia="Times New Roman"/>
        </w:rPr>
      </w:pPr>
      <w:r>
        <w:rPr>
          <w:rFonts w:eastAsia="Times New Roman"/>
          <w:color w:val="000000"/>
          <w:sz w:val="18"/>
          <w:szCs w:val="18"/>
        </w:rPr>
        <w:t>(1)</w:t>
      </w:r>
      <w:r>
        <w:rPr>
          <w:rFonts w:eastAsia="Times New Roman"/>
          <w:color w:val="000000"/>
          <w:sz w:val="18"/>
          <w:szCs w:val="18"/>
        </w:rPr>
        <w:t>Cost for fixed maturities represents original cost, reduced by repayments and write-downs and adjusted for amortization of premiums or accretion of discount; cost for equity securities represents original cost reduced by write-downs; cost for other limited</w:t>
      </w:r>
      <w:r>
        <w:rPr>
          <w:rFonts w:eastAsia="Times New Roman"/>
          <w:color w:val="000000"/>
          <w:sz w:val="18"/>
          <w:szCs w:val="18"/>
        </w:rPr>
        <w:t xml:space="preserve"> partnership interests represents original cost adjusted for equity in earnings and reduced by distributions.</w:t>
      </w:r>
    </w:p>
    <w:p w:rsidR="00000000" w:rsidRDefault="00E54EC0">
      <w:pPr>
        <w:ind w:hanging="360"/>
        <w:divId w:val="2031762263"/>
        <w:rPr>
          <w:rFonts w:eastAsia="Times New Roman"/>
        </w:rPr>
      </w:pPr>
      <w:r>
        <w:rPr>
          <w:rFonts w:eastAsia="Times New Roman"/>
          <w:color w:val="000000"/>
          <w:sz w:val="18"/>
          <w:szCs w:val="18"/>
        </w:rPr>
        <w:t>(2)Carrying value for mortgage loans on real estate represents original cost adjusted for amortization of premiums or accretion of discount and re</w:t>
      </w:r>
      <w:r>
        <w:rPr>
          <w:rFonts w:eastAsia="Times New Roman"/>
          <w:color w:val="000000"/>
          <w:sz w:val="18"/>
          <w:szCs w:val="18"/>
        </w:rPr>
        <w:t>duced by credit loss allowance.</w:t>
      </w:r>
    </w:p>
    <w:p w:rsidR="00000000" w:rsidRDefault="00E54EC0">
      <w:pPr>
        <w:jc w:val="center"/>
        <w:divId w:val="495996977"/>
        <w:rPr>
          <w:rFonts w:eastAsia="Times New Roman"/>
        </w:rPr>
      </w:pPr>
      <w:r>
        <w:rPr>
          <w:rFonts w:eastAsia="Times New Roman"/>
          <w:color w:val="000000"/>
          <w:sz w:val="20"/>
          <w:szCs w:val="20"/>
        </w:rPr>
        <w:t>232</w:t>
      </w:r>
    </w:p>
    <w:p w:rsidR="00000000" w:rsidRDefault="00E54EC0">
      <w:pPr>
        <w:rPr>
          <w:rFonts w:eastAsia="Times New Roman"/>
        </w:rPr>
      </w:pPr>
      <w:r>
        <w:rPr>
          <w:rFonts w:eastAsia="Times New Roman"/>
        </w:rPr>
        <w:pict>
          <v:rect id="_x0000_i1270" style="width:0;height:1.5pt" o:hralign="center" o:hrstd="t" o:hr="t" fillcolor="#a0a0a0" stroked="f"/>
        </w:pict>
      </w:r>
    </w:p>
    <w:p w:rsidR="00000000" w:rsidRDefault="00E54EC0">
      <w:pPr>
        <w:jc w:val="center"/>
        <w:divId w:val="506091735"/>
        <w:rPr>
          <w:rFonts w:eastAsia="Times New Roman"/>
        </w:rPr>
      </w:pPr>
      <w:r>
        <w:rPr>
          <w:rFonts w:eastAsia="Times New Roman"/>
          <w:b/>
          <w:bCs/>
          <w:color w:val="000000"/>
          <w:sz w:val="20"/>
          <w:szCs w:val="20"/>
        </w:rPr>
        <w:t>EQUITABLE HOLDINGS, INC.</w:t>
      </w:r>
    </w:p>
    <w:p w:rsidR="00000000" w:rsidRDefault="00E54EC0">
      <w:pPr>
        <w:jc w:val="center"/>
        <w:divId w:val="506091735"/>
        <w:rPr>
          <w:rFonts w:eastAsia="Times New Roman"/>
        </w:rPr>
      </w:pPr>
      <w:r>
        <w:rPr>
          <w:rFonts w:eastAsia="Times New Roman"/>
          <w:b/>
          <w:bCs/>
          <w:color w:val="000000"/>
          <w:sz w:val="20"/>
          <w:szCs w:val="20"/>
        </w:rPr>
        <w:t>SCHEDULE II</w:t>
      </w:r>
    </w:p>
    <w:p w:rsidR="00000000" w:rsidRDefault="00E54EC0">
      <w:pPr>
        <w:jc w:val="center"/>
        <w:rPr>
          <w:rFonts w:eastAsia="Times New Roman"/>
        </w:rPr>
      </w:pPr>
      <w:r>
        <w:rPr>
          <w:rFonts w:eastAsia="Times New Roman"/>
          <w:b/>
          <w:bCs/>
          <w:color w:val="000000"/>
          <w:sz w:val="20"/>
          <w:szCs w:val="20"/>
        </w:rPr>
        <w:t>Balance Sheets (Parent Company)</w:t>
      </w:r>
    </w:p>
    <w:p w:rsidR="00000000" w:rsidRDefault="00E54EC0">
      <w:pPr>
        <w:jc w:val="center"/>
        <w:rPr>
          <w:rFonts w:eastAsia="Times New Roman"/>
        </w:rPr>
      </w:pPr>
      <w:r>
        <w:rPr>
          <w:rFonts w:eastAsia="Times New Roman"/>
          <w:b/>
          <w:bCs/>
          <w:color w:val="000000"/>
          <w:sz w:val="20"/>
          <w:szCs w:val="20"/>
        </w:rPr>
        <w:t>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793"/>
        <w:gridCol w:w="38"/>
        <w:gridCol w:w="120"/>
        <w:gridCol w:w="886"/>
        <w:gridCol w:w="36"/>
        <w:gridCol w:w="36"/>
        <w:gridCol w:w="36"/>
        <w:gridCol w:w="36"/>
        <w:gridCol w:w="120"/>
        <w:gridCol w:w="1129"/>
        <w:gridCol w:w="36"/>
      </w:tblGrid>
      <w:tr w:rsidR="00000000">
        <w:trPr>
          <w:divId w:val="507063885"/>
        </w:trPr>
        <w:tc>
          <w:tcPr>
            <w:tcW w:w="50" w:type="pct"/>
            <w:vAlign w:val="center"/>
            <w:hideMark/>
          </w:tcPr>
          <w:p w:rsidR="00000000" w:rsidRDefault="00E54EC0">
            <w:pPr>
              <w:jc w:val="center"/>
              <w:rPr>
                <w:rFonts w:eastAsia="Times New Roman"/>
              </w:rPr>
            </w:pPr>
          </w:p>
        </w:tc>
        <w:tc>
          <w:tcPr>
            <w:tcW w:w="351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5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0706388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December 31,</w:t>
            </w:r>
          </w:p>
        </w:tc>
      </w:tr>
      <w:tr w:rsidR="00000000">
        <w:trPr>
          <w:divId w:val="50706388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r>
      <w:tr w:rsidR="00000000">
        <w:trPr>
          <w:divId w:val="507063885"/>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 except share amounts)</w:t>
            </w:r>
          </w:p>
        </w:tc>
      </w:tr>
      <w:tr w:rsidR="00000000">
        <w:trPr>
          <w:divId w:val="507063885"/>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in consolidated subsidiaries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13,128 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divId w:val="1524199461"/>
              <w:rPr>
                <w:rFonts w:eastAsia="Times New Roman"/>
              </w:rPr>
            </w:pPr>
            <w:r>
              <w:rPr>
                <w:rFonts w:eastAsia="Times New Roman"/>
                <w:color w:val="000000"/>
                <w:sz w:val="20"/>
                <w:szCs w:val="20"/>
              </w:rPr>
              <w:t>Fixed maturities available-for-sale, at fair value (amortized cost of $737 and $884)</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874 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1,255 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Loans to affiliates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Receivable from affiliates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Current and deferred income taxes assets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debt</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Employee benefits liabilities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1,900 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Payable to affiliates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6,994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07063885"/>
        </w:trPr>
        <w:tc>
          <w:tcPr>
            <w:tcW w:w="0" w:type="auto"/>
            <w:gridSpan w:val="3"/>
            <w:shd w:val="clear" w:color="auto" w:fill="FFFFFF"/>
            <w:tcMar>
              <w:top w:w="30" w:type="dxa"/>
              <w:left w:w="20" w:type="dxa"/>
              <w:bottom w:w="30" w:type="dxa"/>
              <w:right w:w="20" w:type="dxa"/>
            </w:tcMar>
            <w:hideMark/>
          </w:tcPr>
          <w:p w:rsidR="00000000" w:rsidRDefault="00E54EC0">
            <w:pPr>
              <w:spacing w:after="100"/>
              <w:divId w:val="1404835745"/>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1,562 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415826708"/>
              <w:rPr>
                <w:rFonts w:eastAsia="Times New Roman"/>
              </w:rPr>
            </w:pPr>
            <w:r>
              <w:rPr>
                <w:rFonts w:eastAsia="Times New Roman"/>
                <w:color w:val="000000"/>
                <w:sz w:val="20"/>
                <w:szCs w:val="20"/>
              </w:rPr>
              <w:t xml:space="preserve">Common stock, $0.01 par value, 2,000,000,000 shares authorized; 508,418,442 and </w:t>
            </w:r>
            <w:r>
              <w:rPr>
                <w:rFonts w:eastAsia="Times New Roman"/>
                <w:color w:val="000000"/>
                <w:sz w:val="20"/>
                <w:szCs w:val="20"/>
              </w:rPr>
              <w:t>520,918,331 shares issued, respectively; 365,081,940 and 391,290,224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divId w:val="361057310"/>
              <w:rPr>
                <w:rFonts w:eastAsia="Times New Roman"/>
              </w:rPr>
            </w:pPr>
            <w:r>
              <w:rPr>
                <w:rFonts w:eastAsia="Times New Roman"/>
                <w:color w:val="000000"/>
                <w:sz w:val="20"/>
                <w:szCs w:val="20"/>
              </w:rPr>
              <w:t xml:space="preserve">Treasury stock, at cost, 143,336,502 and 129,628,107 </w:t>
            </w:r>
            <w:r>
              <w:rPr>
                <w:rFonts w:eastAsia="Times New Roman"/>
                <w:color w:val="000000"/>
                <w:sz w:val="20"/>
                <w:szCs w:val="20"/>
              </w:rPr>
              <w:t>shares, respectively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(2,850)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8,880 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(8,834)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50706388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Total Liabilities and Equity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1324701001"/>
        <w:rPr>
          <w:rFonts w:eastAsia="Times New Roman"/>
        </w:rPr>
      </w:pPr>
    </w:p>
    <w:p w:rsidR="00000000" w:rsidRDefault="00E54EC0">
      <w:pPr>
        <w:divId w:val="1694306003"/>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E54EC0">
      <w:pPr>
        <w:divId w:val="1157916131"/>
        <w:rPr>
          <w:rFonts w:eastAsia="Times New Roman"/>
        </w:rPr>
      </w:pPr>
    </w:p>
    <w:p w:rsidR="00000000" w:rsidRDefault="00E54EC0">
      <w:pPr>
        <w:divId w:val="1739551291"/>
        <w:rPr>
          <w:rFonts w:eastAsia="Times New Roman"/>
        </w:rPr>
      </w:pPr>
    </w:p>
    <w:p w:rsidR="00000000" w:rsidRDefault="00E54EC0">
      <w:pPr>
        <w:divId w:val="1765766350"/>
        <w:rPr>
          <w:rFonts w:eastAsia="Times New Roman"/>
        </w:rPr>
      </w:pPr>
    </w:p>
    <w:p w:rsidR="00000000" w:rsidRDefault="00E54EC0">
      <w:pPr>
        <w:divId w:val="731972324"/>
        <w:rPr>
          <w:rFonts w:eastAsia="Times New Roman"/>
        </w:rPr>
      </w:pPr>
    </w:p>
    <w:p w:rsidR="00000000" w:rsidRDefault="00E54EC0">
      <w:pPr>
        <w:divId w:val="2062705396"/>
        <w:rPr>
          <w:rFonts w:eastAsia="Times New Roman"/>
        </w:rPr>
      </w:pPr>
    </w:p>
    <w:p w:rsidR="00000000" w:rsidRDefault="00E54EC0">
      <w:pPr>
        <w:divId w:val="1118333308"/>
        <w:rPr>
          <w:rFonts w:eastAsia="Times New Roman"/>
        </w:rPr>
      </w:pPr>
    </w:p>
    <w:p w:rsidR="00000000" w:rsidRDefault="00E54EC0">
      <w:pPr>
        <w:divId w:val="1388068993"/>
        <w:rPr>
          <w:rFonts w:eastAsia="Times New Roman"/>
        </w:rPr>
      </w:pPr>
    </w:p>
    <w:p w:rsidR="00000000" w:rsidRDefault="00E54EC0">
      <w:pPr>
        <w:divId w:val="1105269958"/>
        <w:rPr>
          <w:rFonts w:eastAsia="Times New Roman"/>
        </w:rPr>
      </w:pPr>
    </w:p>
    <w:p w:rsidR="00000000" w:rsidRDefault="00E54EC0">
      <w:pPr>
        <w:divId w:val="2071925712"/>
        <w:rPr>
          <w:rFonts w:eastAsia="Times New Roman"/>
        </w:rPr>
      </w:pPr>
    </w:p>
    <w:p w:rsidR="00000000" w:rsidRDefault="00E54EC0">
      <w:pPr>
        <w:jc w:val="center"/>
        <w:divId w:val="608053030"/>
        <w:rPr>
          <w:rFonts w:eastAsia="Times New Roman"/>
        </w:rPr>
      </w:pPr>
      <w:r>
        <w:rPr>
          <w:rFonts w:eastAsia="Times New Roman"/>
          <w:color w:val="000000"/>
          <w:sz w:val="20"/>
          <w:szCs w:val="20"/>
        </w:rPr>
        <w:t>233</w:t>
      </w:r>
    </w:p>
    <w:p w:rsidR="00000000" w:rsidRDefault="00E54EC0">
      <w:pPr>
        <w:rPr>
          <w:rFonts w:eastAsia="Times New Roman"/>
        </w:rPr>
      </w:pPr>
      <w:r>
        <w:rPr>
          <w:rFonts w:eastAsia="Times New Roman"/>
        </w:rPr>
        <w:pict>
          <v:rect id="_x0000_i1271" style="width:0;height:1.5pt" o:hralign="center" o:hrstd="t" o:hr="t" fillcolor="#a0a0a0" stroked="f"/>
        </w:pict>
      </w:r>
    </w:p>
    <w:p w:rsidR="00000000" w:rsidRDefault="00E54EC0">
      <w:pPr>
        <w:jc w:val="center"/>
        <w:divId w:val="1489009893"/>
        <w:rPr>
          <w:rFonts w:eastAsia="Times New Roman"/>
        </w:rPr>
      </w:pPr>
      <w:r>
        <w:rPr>
          <w:rFonts w:eastAsia="Times New Roman"/>
          <w:b/>
          <w:bCs/>
          <w:color w:val="000000"/>
          <w:sz w:val="20"/>
          <w:szCs w:val="20"/>
        </w:rPr>
        <w:t>EQUITABLE HOLDINGS, INC.</w:t>
      </w:r>
    </w:p>
    <w:p w:rsidR="00000000" w:rsidRDefault="00E54EC0">
      <w:pPr>
        <w:jc w:val="center"/>
        <w:divId w:val="1489009893"/>
        <w:rPr>
          <w:rFonts w:eastAsia="Times New Roman"/>
        </w:rPr>
      </w:pPr>
      <w:r>
        <w:rPr>
          <w:rFonts w:eastAsia="Times New Roman"/>
          <w:b/>
          <w:bCs/>
          <w:color w:val="000000"/>
          <w:sz w:val="20"/>
          <w:szCs w:val="20"/>
        </w:rPr>
        <w:t>SCHEDULE II</w:t>
      </w:r>
    </w:p>
    <w:p w:rsidR="00000000" w:rsidRDefault="00E54EC0">
      <w:pPr>
        <w:divId w:val="2079015468"/>
        <w:rPr>
          <w:rFonts w:eastAsia="Times New Roman"/>
        </w:rPr>
      </w:pPr>
    </w:p>
    <w:p w:rsidR="00000000" w:rsidRDefault="00E54EC0">
      <w:pPr>
        <w:divId w:val="1021394317"/>
        <w:rPr>
          <w:rFonts w:eastAsia="Times New Roman"/>
        </w:rPr>
      </w:pPr>
    </w:p>
    <w:p w:rsidR="00000000" w:rsidRDefault="00E54EC0">
      <w:pPr>
        <w:divId w:val="1758135094"/>
        <w:rPr>
          <w:rFonts w:eastAsia="Times New Roman"/>
        </w:rPr>
      </w:pPr>
    </w:p>
    <w:p w:rsidR="00000000" w:rsidRDefault="00E54EC0">
      <w:pPr>
        <w:divId w:val="838814390"/>
        <w:rPr>
          <w:rFonts w:eastAsia="Times New Roman"/>
        </w:rPr>
      </w:pPr>
    </w:p>
    <w:p w:rsidR="00000000" w:rsidRDefault="00E54EC0">
      <w:pPr>
        <w:jc w:val="center"/>
        <w:rPr>
          <w:rFonts w:eastAsia="Times New Roman"/>
        </w:rPr>
      </w:pPr>
    </w:p>
    <w:p w:rsidR="00000000" w:rsidRDefault="00E54EC0">
      <w:pPr>
        <w:jc w:val="center"/>
        <w:rPr>
          <w:rFonts w:eastAsia="Times New Roman"/>
        </w:rPr>
      </w:pPr>
      <w:r>
        <w:rPr>
          <w:rFonts w:eastAsia="Times New Roman"/>
          <w:b/>
          <w:bCs/>
          <w:color w:val="000000"/>
          <w:sz w:val="20"/>
          <w:szCs w:val="20"/>
        </w:rPr>
        <w:t>STATEMENTS OF INCOME (LOSS) AND COMPREHENSIVE INCOME (LOSS) (PARENT COMPANY)</w:t>
      </w:r>
    </w:p>
    <w:p w:rsidR="00000000" w:rsidRDefault="00E54EC0">
      <w:pPr>
        <w:jc w:val="center"/>
        <w:rPr>
          <w:rFonts w:eastAsia="Times New Roman"/>
        </w:rPr>
      </w:pPr>
      <w:r>
        <w:rPr>
          <w:rFonts w:eastAsia="Times New Roman"/>
          <w:b/>
          <w:bCs/>
          <w:color w:val="000000"/>
          <w:sz w:val="20"/>
          <w:szCs w:val="20"/>
        </w:rPr>
        <w:t>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5311"/>
        <w:gridCol w:w="37"/>
        <w:gridCol w:w="120"/>
        <w:gridCol w:w="772"/>
        <w:gridCol w:w="36"/>
        <w:gridCol w:w="36"/>
        <w:gridCol w:w="36"/>
        <w:gridCol w:w="36"/>
        <w:gridCol w:w="120"/>
        <w:gridCol w:w="732"/>
        <w:gridCol w:w="36"/>
        <w:gridCol w:w="36"/>
        <w:gridCol w:w="36"/>
        <w:gridCol w:w="36"/>
        <w:gridCol w:w="120"/>
        <w:gridCol w:w="732"/>
        <w:gridCol w:w="36"/>
      </w:tblGrid>
      <w:tr w:rsidR="00000000">
        <w:trPr>
          <w:divId w:val="1241063286"/>
        </w:trPr>
        <w:tc>
          <w:tcPr>
            <w:tcW w:w="50" w:type="pct"/>
            <w:vAlign w:val="center"/>
            <w:hideMark/>
          </w:tcPr>
          <w:p w:rsidR="00000000" w:rsidRDefault="00E54EC0">
            <w:pPr>
              <w:jc w:val="center"/>
              <w:rPr>
                <w:rFonts w:eastAsia="Times New Roman"/>
              </w:rPr>
            </w:pPr>
          </w:p>
        </w:tc>
        <w:tc>
          <w:tcPr>
            <w:tcW w:w="3227"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9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241063286"/>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41063286"/>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 in income (losses) from continuing operations of consolidated subsidiaries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EXPENSES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comprehensive income (loss) net of income taxes: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net unrealized gains (losses) on investments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 in net other comprehensive income (loss) from continuing operations of 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(10,842)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(2,025)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2,919 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Total 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063286"/>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Comprehensive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(9,053)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divId w:val="294875416"/>
        <w:rPr>
          <w:rFonts w:eastAsia="Times New Roman"/>
        </w:rPr>
      </w:pPr>
    </w:p>
    <w:p w:rsidR="00000000" w:rsidRDefault="00E54EC0">
      <w:pPr>
        <w:divId w:val="1143230100"/>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E54EC0">
      <w:pPr>
        <w:jc w:val="center"/>
        <w:divId w:val="526334995"/>
        <w:rPr>
          <w:rFonts w:eastAsia="Times New Roman"/>
        </w:rPr>
      </w:pPr>
      <w:r>
        <w:rPr>
          <w:rFonts w:eastAsia="Times New Roman"/>
          <w:color w:val="000000"/>
          <w:sz w:val="20"/>
          <w:szCs w:val="20"/>
        </w:rPr>
        <w:t>234</w:t>
      </w:r>
    </w:p>
    <w:p w:rsidR="00000000" w:rsidRDefault="00E54EC0">
      <w:pPr>
        <w:rPr>
          <w:rFonts w:eastAsia="Times New Roman"/>
        </w:rPr>
      </w:pPr>
      <w:r>
        <w:rPr>
          <w:rFonts w:eastAsia="Times New Roman"/>
        </w:rPr>
        <w:pict>
          <v:rect id="_x0000_i1272" style="width:0;height:1.5pt" o:hralign="center" o:hrstd="t" o:hr="t" fillcolor="#a0a0a0" stroked="f"/>
        </w:pict>
      </w:r>
    </w:p>
    <w:p w:rsidR="00000000" w:rsidRDefault="00E54EC0">
      <w:pPr>
        <w:jc w:val="center"/>
        <w:divId w:val="630357906"/>
        <w:rPr>
          <w:rFonts w:eastAsia="Times New Roman"/>
        </w:rPr>
      </w:pPr>
      <w:r>
        <w:rPr>
          <w:rFonts w:eastAsia="Times New Roman"/>
          <w:b/>
          <w:bCs/>
          <w:color w:val="000000"/>
          <w:sz w:val="20"/>
          <w:szCs w:val="20"/>
        </w:rPr>
        <w:t>EQUITABLE HOLDINGS, INC.</w:t>
      </w:r>
    </w:p>
    <w:p w:rsidR="00000000" w:rsidRDefault="00E54EC0">
      <w:pPr>
        <w:jc w:val="center"/>
        <w:divId w:val="630357906"/>
        <w:rPr>
          <w:rFonts w:eastAsia="Times New Roman"/>
        </w:rPr>
      </w:pPr>
      <w:r>
        <w:rPr>
          <w:rFonts w:eastAsia="Times New Roman"/>
          <w:b/>
          <w:bCs/>
          <w:color w:val="000000"/>
          <w:sz w:val="20"/>
          <w:szCs w:val="20"/>
        </w:rPr>
        <w:t>SCHEDULE II</w:t>
      </w:r>
    </w:p>
    <w:p w:rsidR="00000000" w:rsidRDefault="00E54EC0">
      <w:pPr>
        <w:jc w:val="center"/>
        <w:rPr>
          <w:rFonts w:eastAsia="Times New Roman"/>
        </w:rPr>
      </w:pPr>
      <w:r>
        <w:rPr>
          <w:rFonts w:eastAsia="Times New Roman"/>
          <w:b/>
          <w:bCs/>
          <w:color w:val="000000"/>
          <w:sz w:val="20"/>
          <w:szCs w:val="20"/>
        </w:rPr>
        <w:t>STATEMENTS OF CASH FLOWS (PARENT COMPANY)</w:t>
      </w:r>
    </w:p>
    <w:p w:rsidR="00000000" w:rsidRDefault="00E54EC0">
      <w:pPr>
        <w:jc w:val="center"/>
        <w:rPr>
          <w:rFonts w:eastAsia="Times New Roman"/>
        </w:rPr>
      </w:pPr>
      <w:r>
        <w:rPr>
          <w:rFonts w:eastAsia="Times New Roman"/>
          <w:b/>
          <w:bCs/>
          <w:color w:val="000000"/>
          <w:sz w:val="20"/>
          <w:szCs w:val="20"/>
        </w:rPr>
        <w:t>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165"/>
        <w:gridCol w:w="39"/>
        <w:gridCol w:w="120"/>
        <w:gridCol w:w="819"/>
        <w:gridCol w:w="36"/>
        <w:gridCol w:w="36"/>
        <w:gridCol w:w="36"/>
        <w:gridCol w:w="36"/>
        <w:gridCol w:w="120"/>
        <w:gridCol w:w="779"/>
        <w:gridCol w:w="36"/>
        <w:gridCol w:w="36"/>
        <w:gridCol w:w="36"/>
        <w:gridCol w:w="36"/>
        <w:gridCol w:w="120"/>
        <w:gridCol w:w="780"/>
        <w:gridCol w:w="36"/>
      </w:tblGrid>
      <w:tr w:rsidR="00000000">
        <w:trPr>
          <w:divId w:val="124130983"/>
        </w:trPr>
        <w:tc>
          <w:tcPr>
            <w:tcW w:w="50" w:type="pct"/>
            <w:vAlign w:val="center"/>
            <w:hideMark/>
          </w:tcPr>
          <w:p w:rsidR="00000000" w:rsidRDefault="00E54EC0">
            <w:pPr>
              <w:jc w:val="center"/>
              <w:rPr>
                <w:rFonts w:eastAsia="Times New Roman"/>
              </w:rPr>
            </w:pPr>
          </w:p>
        </w:tc>
        <w:tc>
          <w:tcPr>
            <w:tcW w:w="313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2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2020</w:t>
            </w:r>
          </w:p>
        </w:tc>
      </w:tr>
      <w:tr w:rsidR="00000000">
        <w:trPr>
          <w:divId w:val="124130983"/>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241309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 in net (earnings) loss of subsidiaries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(1,935)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Equity (income) loss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Dividends from subsidiaries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2,877 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Changes in:</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Current and deferred taxes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Height w:val="30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(1,011)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(1,000)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24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issuance on credit facilities to affiliates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(235)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14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Proceeds from the sale of subsidiary</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Height w:val="12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Issuance of preferred stock </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Repayment of long-term debt </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Repayments of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(294)</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Preferred dividends paid</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(1,637)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Capital contribution to subsidiaries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(350)</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155"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Height w:val="12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(1,105)</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1,353 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Height w:val="24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Interest paid</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Income taxes (refunded) paid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(265)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Height w:val="24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8"/>
                <w:szCs w:val="18"/>
              </w:rPr>
              <w:t>Change in investment in subsidiary from issuance of AB Units for CarVal acquisition</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E32E1"/>
                <w:sz w:val="18"/>
                <w:szCs w:val="18"/>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E32E1"/>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E32E1"/>
                <w:sz w:val="18"/>
                <w:szCs w:val="18"/>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E32E1"/>
                <w:sz w:val="18"/>
                <w:szCs w:val="18"/>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Non-cash dividends from subsidiaries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Dividend of AB Units from subsidiary</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24130983"/>
        </w:trPr>
        <w:tc>
          <w:tcPr>
            <w:tcW w:w="0" w:type="auto"/>
            <w:gridSpan w:val="3"/>
            <w:vAlign w:val="center"/>
            <w:hideMark/>
          </w:tcPr>
          <w:p w:rsidR="00000000" w:rsidRDefault="00E54EC0">
            <w:pPr>
              <w:spacing w:after="100"/>
              <w:jc w:val="right"/>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r w:rsidR="00000000">
        <w:trPr>
          <w:divId w:val="124130983"/>
        </w:trPr>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c>
          <w:tcPr>
            <w:tcW w:w="0" w:type="auto"/>
            <w:gridSpan w:val="3"/>
            <w:vAlign w:val="center"/>
            <w:hideMark/>
          </w:tcPr>
          <w:p w:rsidR="00000000" w:rsidRDefault="00E54EC0">
            <w:pPr>
              <w:spacing w:after="100"/>
              <w:rPr>
                <w:rFonts w:eastAsia="Times New Roman"/>
                <w:sz w:val="20"/>
                <w:szCs w:val="20"/>
              </w:rPr>
            </w:pPr>
          </w:p>
        </w:tc>
      </w:tr>
    </w:tbl>
    <w:p w:rsidR="00000000" w:rsidRDefault="00E54EC0">
      <w:pPr>
        <w:divId w:val="287008951"/>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E54EC0">
      <w:pPr>
        <w:jc w:val="center"/>
        <w:divId w:val="1654723940"/>
        <w:rPr>
          <w:rFonts w:eastAsia="Times New Roman"/>
        </w:rPr>
      </w:pPr>
      <w:r>
        <w:rPr>
          <w:rFonts w:eastAsia="Times New Roman"/>
          <w:color w:val="000000"/>
          <w:sz w:val="20"/>
          <w:szCs w:val="20"/>
        </w:rPr>
        <w:t>235</w:t>
      </w:r>
    </w:p>
    <w:p w:rsidR="00000000" w:rsidRDefault="00E54EC0">
      <w:pPr>
        <w:rPr>
          <w:rFonts w:eastAsia="Times New Roman"/>
        </w:rPr>
      </w:pPr>
      <w:r>
        <w:rPr>
          <w:rFonts w:eastAsia="Times New Roman"/>
        </w:rPr>
        <w:pict>
          <v:rect id="_x0000_i1273" style="width:0;height:1.5pt" o:hralign="center" o:hrstd="t" o:hr="t" fillcolor="#a0a0a0" stroked="f"/>
        </w:pict>
      </w:r>
    </w:p>
    <w:p w:rsidR="00000000" w:rsidRDefault="00E54EC0">
      <w:pPr>
        <w:jc w:val="center"/>
        <w:divId w:val="1653486928"/>
        <w:rPr>
          <w:rFonts w:eastAsia="Times New Roman"/>
        </w:rPr>
      </w:pPr>
      <w:r>
        <w:rPr>
          <w:rFonts w:eastAsia="Times New Roman"/>
          <w:b/>
          <w:bCs/>
          <w:color w:val="000000"/>
          <w:sz w:val="20"/>
          <w:szCs w:val="20"/>
        </w:rPr>
        <w:t>EQUITABLE HOLDINGS, INC.</w:t>
      </w:r>
    </w:p>
    <w:p w:rsidR="00000000" w:rsidRDefault="00E54EC0">
      <w:pPr>
        <w:jc w:val="center"/>
        <w:divId w:val="1653486928"/>
        <w:rPr>
          <w:rFonts w:eastAsia="Times New Roman"/>
        </w:rPr>
      </w:pPr>
      <w:r>
        <w:rPr>
          <w:rFonts w:eastAsia="Times New Roman"/>
          <w:b/>
          <w:bCs/>
          <w:color w:val="000000"/>
          <w:sz w:val="20"/>
          <w:szCs w:val="20"/>
        </w:rPr>
        <w:t>SCHEDULE II</w:t>
      </w:r>
    </w:p>
    <w:p w:rsidR="00000000" w:rsidRDefault="00E54EC0">
      <w:pPr>
        <w:jc w:val="center"/>
        <w:divId w:val="1582833043"/>
        <w:rPr>
          <w:rFonts w:eastAsia="Times New Roman"/>
        </w:rPr>
      </w:pPr>
      <w:r>
        <w:rPr>
          <w:rFonts w:eastAsia="Times New Roman"/>
          <w:b/>
          <w:bCs/>
          <w:color w:val="000000"/>
          <w:sz w:val="20"/>
          <w:szCs w:val="20"/>
        </w:rPr>
        <w:t>NOTES TO PARENT COMPANY FINANCIAL STATEMENTS</w:t>
      </w:r>
    </w:p>
    <w:p w:rsidR="00000000" w:rsidRDefault="00E54EC0">
      <w:pPr>
        <w:divId w:val="327177842"/>
        <w:rPr>
          <w:rFonts w:eastAsia="Times New Roman"/>
        </w:rPr>
      </w:pPr>
      <w:r>
        <w:rPr>
          <w:rFonts w:eastAsia="Times New Roman"/>
          <w:b/>
          <w:bCs/>
          <w:color w:val="000000"/>
          <w:sz w:val="20"/>
          <w:szCs w:val="20"/>
        </w:rPr>
        <w:t>1)    BASIS OF PRESENTATION</w:t>
      </w:r>
    </w:p>
    <w:p w:rsidR="00000000" w:rsidRDefault="00E54EC0">
      <w:pPr>
        <w:divId w:val="2069575188"/>
        <w:rPr>
          <w:rFonts w:eastAsia="Times New Roman"/>
        </w:rPr>
      </w:pPr>
      <w:r>
        <w:rPr>
          <w:rFonts w:eastAsia="Times New Roman"/>
          <w:color w:val="000000"/>
          <w:sz w:val="20"/>
          <w:szCs w:val="20"/>
        </w:rPr>
        <w:t>The financial information of Holdings should be read in conjunction with the Consolidated Financial Statem</w:t>
      </w:r>
      <w:r>
        <w:rPr>
          <w:rFonts w:eastAsia="Times New Roman"/>
          <w:color w:val="000000"/>
          <w:sz w:val="20"/>
          <w:szCs w:val="20"/>
        </w:rPr>
        <w:t xml:space="preserve">ents and Notes thereto. The Company is the holding company for a diversified financial services organization. </w:t>
      </w:r>
    </w:p>
    <w:p w:rsidR="00000000" w:rsidRDefault="00E54EC0">
      <w:pPr>
        <w:divId w:val="893616034"/>
        <w:rPr>
          <w:rFonts w:eastAsia="Times New Roman"/>
        </w:rPr>
      </w:pPr>
      <w:r>
        <w:rPr>
          <w:rFonts w:eastAsia="Times New Roman"/>
          <w:b/>
          <w:bCs/>
          <w:color w:val="000000"/>
          <w:sz w:val="20"/>
          <w:szCs w:val="20"/>
        </w:rPr>
        <w:t>2)    LOANS TO AFFILIATES</w:t>
      </w:r>
    </w:p>
    <w:p w:rsidR="00000000" w:rsidRDefault="00E54EC0">
      <w:pPr>
        <w:divId w:val="214509903"/>
        <w:rPr>
          <w:rFonts w:eastAsia="Times New Roman"/>
        </w:rPr>
      </w:pPr>
      <w:r>
        <w:rPr>
          <w:rFonts w:eastAsia="Times New Roman"/>
          <w:color w:val="000000"/>
          <w:sz w:val="20"/>
          <w:szCs w:val="20"/>
        </w:rPr>
        <w:t xml:space="preserve">On November 4, 2019, Holdings made available to AB a $900 </w:t>
      </w:r>
      <w:r>
        <w:rPr>
          <w:rFonts w:eastAsia="Times New Roman"/>
          <w:color w:val="000000"/>
          <w:sz w:val="20"/>
          <w:szCs w:val="20"/>
        </w:rPr>
        <w:t xml:space="preserve">million committed, unsecured senior credit facility (the “EQH Facility”). The EQH Facility matures on November 4, 2024 and is available for AB's general business purposes. Borrowings by AB under the EQH Facility generally bear interest at a rate per annum </w:t>
      </w:r>
      <w:r>
        <w:rPr>
          <w:rFonts w:eastAsia="Times New Roman"/>
          <w:color w:val="000000"/>
          <w:sz w:val="20"/>
          <w:szCs w:val="20"/>
        </w:rPr>
        <w:t>based on prevailing overnight commercial paper rates. The EQH Facility contains affirmative, negative and financial covenants which are substantially similar to those in AB’s committed bank facilities. The EQH Facility also includes customary events of def</w:t>
      </w:r>
      <w:r>
        <w:rPr>
          <w:rFonts w:eastAsia="Times New Roman"/>
          <w:color w:val="000000"/>
          <w:sz w:val="20"/>
          <w:szCs w:val="20"/>
        </w:rPr>
        <w:t>ault substantially similar to those in AB’s committed bank facilities, including provisions under which, upon the occurrence of an event of default, all outstanding loans may be accelerated and/or the lender’s commitment may be terminated. Amounts under th</w:t>
      </w:r>
      <w:r>
        <w:rPr>
          <w:rFonts w:eastAsia="Times New Roman"/>
          <w:color w:val="000000"/>
          <w:sz w:val="20"/>
          <w:szCs w:val="20"/>
        </w:rPr>
        <w:t>e EQH Facility may be borrowed, repaid and re-borrowed by AB from time to time until the maturity of the facility. AB or Holdings may reduce or terminate the commitment at any time without penalty upon proper notice. Holdings also may terminate the facilit</w:t>
      </w:r>
      <w:r>
        <w:rPr>
          <w:rFonts w:eastAsia="Times New Roman"/>
          <w:color w:val="000000"/>
          <w:sz w:val="20"/>
          <w:szCs w:val="20"/>
        </w:rPr>
        <w:t>y immediately upon a change of control of the general partner. In As of December 31, 2022 and 2021, $900 million and $755 million were outstanding under the EQH Facility with interest rates of approximately 4.3% and 0.2%, respectively, respectively.</w:t>
      </w:r>
    </w:p>
    <w:p w:rsidR="00000000" w:rsidRDefault="00E54EC0">
      <w:pPr>
        <w:divId w:val="1094402434"/>
        <w:rPr>
          <w:rFonts w:eastAsia="Times New Roman"/>
        </w:rPr>
      </w:pPr>
      <w:r>
        <w:rPr>
          <w:rFonts w:eastAsia="Times New Roman"/>
          <w:b/>
          <w:bCs/>
          <w:color w:val="000000"/>
          <w:sz w:val="20"/>
          <w:szCs w:val="20"/>
        </w:rPr>
        <w:t>3)    </w:t>
      </w:r>
      <w:r>
        <w:rPr>
          <w:rFonts w:eastAsia="Times New Roman"/>
          <w:b/>
          <w:bCs/>
          <w:color w:val="000000"/>
          <w:sz w:val="20"/>
          <w:szCs w:val="20"/>
        </w:rPr>
        <w:t>LOANS FROM AFFILIATES</w:t>
      </w:r>
    </w:p>
    <w:p w:rsidR="00000000" w:rsidRDefault="00E54EC0">
      <w:pPr>
        <w:divId w:val="696469074"/>
        <w:rPr>
          <w:rFonts w:eastAsia="Times New Roman"/>
        </w:rPr>
      </w:pPr>
      <w:r>
        <w:rPr>
          <w:rFonts w:eastAsia="Times New Roman"/>
          <w:color w:val="000000"/>
          <w:sz w:val="20"/>
          <w:szCs w:val="20"/>
        </w:rPr>
        <w:t>In June 2021, Holdings received a $1.0 billion 10-year term loan from Equitable Financial. The loan has an interest rate of 3.23% and matures in June 2031. As of December 31, 2022 and 2021, $1.0 billion was outstanding on the loan.</w:t>
      </w:r>
    </w:p>
    <w:p w:rsidR="00000000" w:rsidRDefault="00E54EC0">
      <w:pPr>
        <w:divId w:val="1116871783"/>
        <w:rPr>
          <w:rFonts w:eastAsia="Times New Roman"/>
        </w:rPr>
      </w:pPr>
      <w:r>
        <w:rPr>
          <w:rFonts w:eastAsia="Times New Roman"/>
          <w:color w:val="000000"/>
          <w:sz w:val="20"/>
          <w:szCs w:val="20"/>
        </w:rPr>
        <w:t>In</w:t>
      </w:r>
      <w:r>
        <w:rPr>
          <w:rFonts w:eastAsia="Times New Roman"/>
          <w:color w:val="000000"/>
          <w:sz w:val="20"/>
          <w:szCs w:val="20"/>
        </w:rPr>
        <w:t xml:space="preserve"> November 2019, Holdings received a $900 million loan from Equitable Financial. The loan has an interest rate of one- month LIBOR plus 1.33%. The loan matures on November 4, 2024. As of December 31, 2022 and 2021, $900 million was outstanding on the loan.</w:t>
      </w:r>
    </w:p>
    <w:p w:rsidR="00000000" w:rsidRDefault="00E54EC0">
      <w:pPr>
        <w:divId w:val="936131327"/>
        <w:rPr>
          <w:rFonts w:eastAsia="Times New Roman"/>
        </w:rPr>
      </w:pPr>
      <w:r>
        <w:rPr>
          <w:rFonts w:eastAsia="Times New Roman"/>
          <w:color w:val="000000"/>
          <w:sz w:val="20"/>
          <w:szCs w:val="20"/>
        </w:rPr>
        <w:t>Interest cost related to loans from affiliates totaled $60 million, $30 million and $32 million for the years ended December 31, 2022, 2021 and 2020, respectively.</w:t>
      </w:r>
    </w:p>
    <w:p w:rsidR="00000000" w:rsidRDefault="00E54EC0">
      <w:pPr>
        <w:divId w:val="1705903753"/>
        <w:rPr>
          <w:rFonts w:eastAsia="Times New Roman"/>
        </w:rPr>
      </w:pPr>
      <w:r>
        <w:rPr>
          <w:rFonts w:eastAsia="Times New Roman"/>
          <w:b/>
          <w:bCs/>
          <w:color w:val="000000"/>
          <w:sz w:val="20"/>
          <w:szCs w:val="20"/>
        </w:rPr>
        <w:t>4)    INCOME TAXES</w:t>
      </w:r>
    </w:p>
    <w:p w:rsidR="00000000" w:rsidRDefault="00E54EC0">
      <w:pPr>
        <w:divId w:val="1010529153"/>
        <w:rPr>
          <w:rFonts w:eastAsia="Times New Roman"/>
        </w:rPr>
      </w:pPr>
      <w:r>
        <w:rPr>
          <w:rFonts w:eastAsia="Times New Roman"/>
          <w:color w:val="000000"/>
          <w:sz w:val="20"/>
          <w:szCs w:val="20"/>
        </w:rPr>
        <w:t>Holdings and certain of its consolidated subsidiaries and affiliates file</w:t>
      </w:r>
      <w:r>
        <w:rPr>
          <w:rFonts w:eastAsia="Times New Roman"/>
          <w:color w:val="000000"/>
          <w:sz w:val="20"/>
          <w:szCs w:val="20"/>
        </w:rPr>
        <w:t xml:space="preserve"> a consolidated federal income tax return. Holdings has tax sharing agreements with certain of its subsidiaries and generally will either receive or pay these subsidiaries for utilization of the subsidiaries’ tax benefits or expense. Holdings settles these</w:t>
      </w:r>
      <w:r>
        <w:rPr>
          <w:rFonts w:eastAsia="Times New Roman"/>
          <w:color w:val="000000"/>
          <w:sz w:val="20"/>
          <w:szCs w:val="20"/>
        </w:rPr>
        <w:t xml:space="preserve"> amounts annually.</w:t>
      </w:r>
    </w:p>
    <w:p w:rsidR="00000000" w:rsidRDefault="00E54EC0">
      <w:pPr>
        <w:ind w:hanging="720"/>
        <w:divId w:val="1290479001"/>
        <w:rPr>
          <w:rFonts w:eastAsia="Times New Roman"/>
        </w:rPr>
      </w:pPr>
      <w:r>
        <w:rPr>
          <w:rFonts w:eastAsia="Times New Roman"/>
          <w:b/>
          <w:bCs/>
          <w:color w:val="000000"/>
          <w:sz w:val="20"/>
          <w:szCs w:val="20"/>
        </w:rPr>
        <w:t>5)    ISSUANCE OF SERIES A, SERIES B AND SERIES C FIXED RATE NONCUMULATIVE PERPETUAL PREFERRED STOCK</w:t>
      </w:r>
    </w:p>
    <w:p w:rsidR="00000000" w:rsidRDefault="00E54EC0">
      <w:pPr>
        <w:divId w:val="2023777722"/>
        <w:rPr>
          <w:rFonts w:eastAsia="Times New Roman"/>
        </w:rPr>
      </w:pPr>
      <w:r>
        <w:rPr>
          <w:rFonts w:eastAsia="Times New Roman"/>
          <w:color w:val="000000"/>
          <w:sz w:val="20"/>
          <w:szCs w:val="20"/>
        </w:rPr>
        <w:t>See Note 20 of the Notes to the Consolidated Financial Statements.</w:t>
      </w:r>
    </w:p>
    <w:p w:rsidR="00000000" w:rsidRDefault="00E54EC0">
      <w:pPr>
        <w:divId w:val="1053846010"/>
        <w:rPr>
          <w:rFonts w:eastAsia="Times New Roman"/>
        </w:rPr>
      </w:pPr>
      <w:r>
        <w:rPr>
          <w:rFonts w:eastAsia="Times New Roman"/>
          <w:b/>
          <w:bCs/>
          <w:color w:val="000000"/>
          <w:sz w:val="20"/>
          <w:szCs w:val="20"/>
        </w:rPr>
        <w:t>6)    SHARE REPURCHASE</w:t>
      </w:r>
    </w:p>
    <w:p w:rsidR="00000000" w:rsidRDefault="00E54EC0">
      <w:pPr>
        <w:divId w:val="1066494515"/>
        <w:rPr>
          <w:rFonts w:eastAsia="Times New Roman"/>
        </w:rPr>
      </w:pPr>
      <w:r>
        <w:rPr>
          <w:rFonts w:eastAsia="Times New Roman"/>
          <w:color w:val="000000"/>
          <w:sz w:val="20"/>
          <w:szCs w:val="20"/>
        </w:rPr>
        <w:t>See Note 20 of the Notes to the Consolidated F</w:t>
      </w:r>
      <w:r>
        <w:rPr>
          <w:rFonts w:eastAsia="Times New Roman"/>
          <w:color w:val="000000"/>
          <w:sz w:val="20"/>
          <w:szCs w:val="20"/>
        </w:rPr>
        <w:t>inancial Statements.</w:t>
      </w:r>
    </w:p>
    <w:p w:rsidR="00000000" w:rsidRDefault="00E54EC0">
      <w:pPr>
        <w:jc w:val="center"/>
        <w:divId w:val="1628781225"/>
        <w:rPr>
          <w:rFonts w:eastAsia="Times New Roman"/>
        </w:rPr>
      </w:pPr>
      <w:r>
        <w:rPr>
          <w:rFonts w:eastAsia="Times New Roman"/>
          <w:color w:val="000000"/>
          <w:sz w:val="20"/>
          <w:szCs w:val="20"/>
        </w:rPr>
        <w:t>236</w:t>
      </w:r>
    </w:p>
    <w:p w:rsidR="00000000" w:rsidRDefault="00E54EC0">
      <w:pPr>
        <w:rPr>
          <w:rFonts w:eastAsia="Times New Roman"/>
        </w:rPr>
      </w:pPr>
      <w:r>
        <w:rPr>
          <w:rFonts w:eastAsia="Times New Roman"/>
        </w:rPr>
        <w:pict>
          <v:rect id="_x0000_i1274" style="width:0;height:1.5pt" o:hralign="center" o:hrstd="t" o:hr="t" fillcolor="#a0a0a0" stroked="f"/>
        </w:pict>
      </w:r>
    </w:p>
    <w:p w:rsidR="00000000" w:rsidRDefault="00E54EC0">
      <w:pPr>
        <w:divId w:val="790395017"/>
        <w:rPr>
          <w:rFonts w:eastAsia="Times New Roman"/>
        </w:rPr>
      </w:pPr>
      <w:hyperlink w:anchor="ifa77335c8c4046aba89b8098f04be9d1_508" w:history="1">
        <w:r>
          <w:rPr>
            <w:rStyle w:val="a3"/>
            <w:rFonts w:eastAsia="Times New Roman"/>
            <w:b/>
            <w:bCs/>
            <w:sz w:val="20"/>
            <w:szCs w:val="20"/>
          </w:rPr>
          <w:t>Table of Contents</w:t>
        </w:r>
      </w:hyperlink>
      <w:hyperlink w:anchor="ifa77335c8c4046aba89b8098f04be9d1_508" w:history="1">
        <w:r>
          <w:rPr>
            <w:rStyle w:val="a3"/>
            <w:rFonts w:eastAsia="Times New Roman"/>
            <w:b/>
            <w:bCs/>
            <w:sz w:val="20"/>
            <w:szCs w:val="20"/>
          </w:rPr>
          <w:t>    </w:t>
        </w:r>
      </w:hyperlink>
      <w:hyperlink w:anchor="ifa77335c8c4046aba89b8098f04be9d1_508" w:history="1">
        <w:r>
          <w:rPr>
            <w:rStyle w:val="a3"/>
            <w:rFonts w:eastAsia="Times New Roman"/>
            <w:b/>
            <w:bCs/>
            <w:sz w:val="20"/>
            <w:szCs w:val="20"/>
          </w:rPr>
          <w:t>    </w:t>
        </w:r>
      </w:hyperlink>
      <w:hyperlink w:anchor="ifa77335c8c4046aba89b8098f04be9d1_508" w:history="1">
        <w:r>
          <w:rPr>
            <w:rStyle w:val="a3"/>
            <w:rFonts w:eastAsia="Times New Roman"/>
            <w:b/>
            <w:bCs/>
            <w:sz w:val="20"/>
            <w:szCs w:val="20"/>
          </w:rPr>
          <w:t>    </w:t>
        </w:r>
      </w:hyperlink>
    </w:p>
    <w:p w:rsidR="00000000" w:rsidRDefault="00E54EC0">
      <w:pPr>
        <w:jc w:val="center"/>
        <w:divId w:val="1380322358"/>
        <w:rPr>
          <w:rFonts w:eastAsia="Times New Roman"/>
        </w:rPr>
      </w:pPr>
      <w:r>
        <w:rPr>
          <w:rFonts w:eastAsia="Times New Roman"/>
          <w:b/>
          <w:bCs/>
          <w:color w:val="000000"/>
          <w:sz w:val="20"/>
          <w:szCs w:val="20"/>
        </w:rPr>
        <w:t xml:space="preserve">EQUITABLE HOLDINGS, INC. </w:t>
      </w:r>
    </w:p>
    <w:p w:rsidR="00000000" w:rsidRDefault="00E54EC0">
      <w:pPr>
        <w:jc w:val="center"/>
        <w:divId w:val="1380322358"/>
        <w:rPr>
          <w:rFonts w:eastAsia="Times New Roman"/>
        </w:rPr>
      </w:pPr>
    </w:p>
    <w:p w:rsidR="00000000" w:rsidRDefault="00E54EC0">
      <w:pPr>
        <w:ind w:firstLine="720"/>
        <w:jc w:val="center"/>
        <w:rPr>
          <w:rFonts w:eastAsia="Times New Roman"/>
        </w:rPr>
      </w:pPr>
      <w:r>
        <w:rPr>
          <w:rFonts w:eastAsia="Times New Roman"/>
          <w:b/>
          <w:bCs/>
          <w:color w:val="000000"/>
          <w:sz w:val="20"/>
          <w:szCs w:val="20"/>
        </w:rPr>
        <w:t>SCHEDULE III</w:t>
      </w:r>
    </w:p>
    <w:p w:rsidR="00000000" w:rsidRDefault="00E54EC0">
      <w:pPr>
        <w:jc w:val="center"/>
        <w:rPr>
          <w:rFonts w:eastAsia="Times New Roman"/>
        </w:rPr>
      </w:pPr>
      <w:r>
        <w:rPr>
          <w:rFonts w:eastAsia="Times New Roman"/>
          <w:b/>
          <w:bCs/>
          <w:color w:val="000000"/>
          <w:sz w:val="20"/>
          <w:szCs w:val="20"/>
        </w:rPr>
        <w:t>SUPPLEMENTARY INSURANCE INFORMATION</w:t>
      </w:r>
    </w:p>
    <w:p w:rsidR="00000000" w:rsidRDefault="00E54EC0">
      <w:pPr>
        <w:jc w:val="center"/>
        <w:divId w:val="1820684089"/>
        <w:rPr>
          <w:rFonts w:eastAsia="Times New Roman"/>
        </w:rPr>
      </w:pPr>
      <w:r>
        <w:rPr>
          <w:rFonts w:eastAsia="Times New Roman"/>
          <w:b/>
          <w:bCs/>
          <w:color w:val="000000"/>
          <w:sz w:val="20"/>
          <w:szCs w:val="20"/>
        </w:rPr>
        <w:t xml:space="preserve">AS OF AND FOR THE YEAR ENDED DECEMBER 31, 2022 </w:t>
      </w:r>
    </w:p>
    <w:tbl>
      <w:tblPr>
        <w:tblW w:w="5000" w:type="pct"/>
        <w:tblCellMar>
          <w:top w:w="15" w:type="dxa"/>
          <w:left w:w="15" w:type="dxa"/>
          <w:bottom w:w="15" w:type="dxa"/>
          <w:right w:w="15" w:type="dxa"/>
        </w:tblCellMar>
        <w:tblLook w:val="04A0" w:firstRow="1" w:lastRow="0" w:firstColumn="1" w:lastColumn="0" w:noHBand="0" w:noVBand="1"/>
      </w:tblPr>
      <w:tblGrid>
        <w:gridCol w:w="38"/>
        <w:gridCol w:w="2679"/>
        <w:gridCol w:w="37"/>
        <w:gridCol w:w="121"/>
        <w:gridCol w:w="711"/>
        <w:gridCol w:w="36"/>
        <w:gridCol w:w="36"/>
        <w:gridCol w:w="36"/>
        <w:gridCol w:w="36"/>
        <w:gridCol w:w="121"/>
        <w:gridCol w:w="711"/>
        <w:gridCol w:w="36"/>
        <w:gridCol w:w="36"/>
        <w:gridCol w:w="36"/>
        <w:gridCol w:w="36"/>
        <w:gridCol w:w="121"/>
        <w:gridCol w:w="835"/>
        <w:gridCol w:w="36"/>
        <w:gridCol w:w="36"/>
        <w:gridCol w:w="36"/>
        <w:gridCol w:w="36"/>
        <w:gridCol w:w="121"/>
        <w:gridCol w:w="657"/>
        <w:gridCol w:w="36"/>
        <w:gridCol w:w="36"/>
        <w:gridCol w:w="36"/>
        <w:gridCol w:w="36"/>
        <w:gridCol w:w="121"/>
        <w:gridCol w:w="657"/>
        <w:gridCol w:w="36"/>
        <w:gridCol w:w="36"/>
        <w:gridCol w:w="36"/>
        <w:gridCol w:w="36"/>
        <w:gridCol w:w="120"/>
        <w:gridCol w:w="500"/>
        <w:gridCol w:w="36"/>
      </w:tblGrid>
      <w:tr w:rsidR="00000000">
        <w:trPr>
          <w:divId w:val="1629698452"/>
        </w:trPr>
        <w:tc>
          <w:tcPr>
            <w:tcW w:w="50" w:type="pct"/>
            <w:vAlign w:val="center"/>
            <w:hideMark/>
          </w:tcPr>
          <w:p w:rsidR="00000000" w:rsidRDefault="00E54EC0">
            <w:pPr>
              <w:jc w:val="center"/>
              <w:rPr>
                <w:rFonts w:eastAsia="Times New Roman"/>
              </w:rPr>
            </w:pPr>
          </w:p>
        </w:tc>
        <w:tc>
          <w:tcPr>
            <w:tcW w:w="20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8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629698452"/>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1629698452"/>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162969845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policy acquisition costs</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account balances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40,790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13,141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14,939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14,985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83,855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20,578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34,124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1,513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2,087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1,696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 and interest credited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4,794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542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1629698452"/>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All other operating expenses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753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6,156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firstLine="360"/>
        <w:divId w:val="1913809475"/>
        <w:rPr>
          <w:rFonts w:eastAsia="Times New Roman"/>
        </w:rPr>
      </w:pPr>
    </w:p>
    <w:p w:rsidR="00000000" w:rsidRDefault="00E54EC0">
      <w:pPr>
        <w:jc w:val="center"/>
        <w:divId w:val="838497032"/>
        <w:rPr>
          <w:rFonts w:eastAsia="Times New Roman"/>
        </w:rPr>
      </w:pPr>
      <w:r>
        <w:rPr>
          <w:rFonts w:eastAsia="Times New Roman"/>
          <w:b/>
          <w:bCs/>
          <w:color w:val="000000"/>
          <w:sz w:val="20"/>
          <w:szCs w:val="20"/>
        </w:rPr>
        <w:t xml:space="preserve">AS OF AND FOR THE YEAR ENDED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2682"/>
        <w:gridCol w:w="37"/>
        <w:gridCol w:w="121"/>
        <w:gridCol w:w="709"/>
        <w:gridCol w:w="36"/>
        <w:gridCol w:w="36"/>
        <w:gridCol w:w="36"/>
        <w:gridCol w:w="36"/>
        <w:gridCol w:w="121"/>
        <w:gridCol w:w="709"/>
        <w:gridCol w:w="36"/>
        <w:gridCol w:w="36"/>
        <w:gridCol w:w="36"/>
        <w:gridCol w:w="36"/>
        <w:gridCol w:w="121"/>
        <w:gridCol w:w="840"/>
        <w:gridCol w:w="36"/>
        <w:gridCol w:w="36"/>
        <w:gridCol w:w="36"/>
        <w:gridCol w:w="36"/>
        <w:gridCol w:w="121"/>
        <w:gridCol w:w="655"/>
        <w:gridCol w:w="36"/>
        <w:gridCol w:w="36"/>
        <w:gridCol w:w="36"/>
        <w:gridCol w:w="36"/>
        <w:gridCol w:w="121"/>
        <w:gridCol w:w="655"/>
        <w:gridCol w:w="36"/>
        <w:gridCol w:w="36"/>
        <w:gridCol w:w="36"/>
        <w:gridCol w:w="36"/>
        <w:gridCol w:w="120"/>
        <w:gridCol w:w="500"/>
        <w:gridCol w:w="36"/>
      </w:tblGrid>
      <w:tr w:rsidR="00000000">
        <w:trPr>
          <w:divId w:val="679311378"/>
        </w:trPr>
        <w:tc>
          <w:tcPr>
            <w:tcW w:w="50" w:type="pct"/>
            <w:vAlign w:val="center"/>
            <w:hideMark/>
          </w:tcPr>
          <w:p w:rsidR="00000000" w:rsidRDefault="00E54EC0">
            <w:pPr>
              <w:jc w:val="center"/>
              <w:rPr>
                <w:rFonts w:eastAsia="Times New Roman"/>
              </w:rPr>
            </w:pPr>
          </w:p>
        </w:tc>
        <w:tc>
          <w:tcPr>
            <w:tcW w:w="207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7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679311378"/>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679311378"/>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67931137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policy acquisition costs (2)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3,639 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1,066 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5,491 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account balances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38,456 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13,049 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15,027 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12,825 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79,357 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 policy benefits and other policyholders' liabilities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22,904 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8,967 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36,717 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1,867 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4,597 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(4,386)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(4,465)</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751 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1,102 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3,846 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 and interest credited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2,478 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4,437 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679311378"/>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All other operating expenses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6,375 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720"/>
        <w:divId w:val="2120953056"/>
        <w:rPr>
          <w:rFonts w:eastAsia="Times New Roman"/>
        </w:rPr>
      </w:pPr>
    </w:p>
    <w:p w:rsidR="00000000" w:rsidRDefault="00E54EC0">
      <w:pPr>
        <w:jc w:val="center"/>
        <w:divId w:val="790561625"/>
        <w:rPr>
          <w:rFonts w:eastAsia="Times New Roman"/>
        </w:rPr>
      </w:pPr>
      <w:r>
        <w:rPr>
          <w:rFonts w:eastAsia="Times New Roman"/>
          <w:b/>
          <w:bCs/>
          <w:color w:val="000000"/>
          <w:sz w:val="20"/>
          <w:szCs w:val="20"/>
        </w:rPr>
        <w:t xml:space="preserve">AS OF AND FOR THE YEAR ENDED DECEMBER 31, 2020 </w:t>
      </w:r>
    </w:p>
    <w:tbl>
      <w:tblPr>
        <w:tblW w:w="5000" w:type="pct"/>
        <w:tblCellMar>
          <w:top w:w="15" w:type="dxa"/>
          <w:left w:w="15" w:type="dxa"/>
          <w:bottom w:w="15" w:type="dxa"/>
          <w:right w:w="15" w:type="dxa"/>
        </w:tblCellMar>
        <w:tblLook w:val="04A0" w:firstRow="1" w:lastRow="0" w:firstColumn="1" w:lastColumn="0" w:noHBand="0" w:noVBand="1"/>
      </w:tblPr>
      <w:tblGrid>
        <w:gridCol w:w="38"/>
        <w:gridCol w:w="2684"/>
        <w:gridCol w:w="37"/>
        <w:gridCol w:w="121"/>
        <w:gridCol w:w="709"/>
        <w:gridCol w:w="36"/>
        <w:gridCol w:w="36"/>
        <w:gridCol w:w="36"/>
        <w:gridCol w:w="36"/>
        <w:gridCol w:w="121"/>
        <w:gridCol w:w="709"/>
        <w:gridCol w:w="36"/>
        <w:gridCol w:w="36"/>
        <w:gridCol w:w="36"/>
        <w:gridCol w:w="36"/>
        <w:gridCol w:w="121"/>
        <w:gridCol w:w="838"/>
        <w:gridCol w:w="36"/>
        <w:gridCol w:w="36"/>
        <w:gridCol w:w="36"/>
        <w:gridCol w:w="36"/>
        <w:gridCol w:w="121"/>
        <w:gridCol w:w="655"/>
        <w:gridCol w:w="36"/>
        <w:gridCol w:w="36"/>
        <w:gridCol w:w="36"/>
        <w:gridCol w:w="36"/>
        <w:gridCol w:w="121"/>
        <w:gridCol w:w="655"/>
        <w:gridCol w:w="36"/>
        <w:gridCol w:w="36"/>
        <w:gridCol w:w="36"/>
        <w:gridCol w:w="36"/>
        <w:gridCol w:w="120"/>
        <w:gridCol w:w="500"/>
        <w:gridCol w:w="36"/>
      </w:tblGrid>
      <w:tr w:rsidR="00000000">
        <w:trPr>
          <w:divId w:val="929267605"/>
        </w:trPr>
        <w:tc>
          <w:tcPr>
            <w:tcW w:w="50" w:type="pct"/>
            <w:vAlign w:val="center"/>
            <w:hideMark/>
          </w:tcPr>
          <w:p w:rsidR="00000000" w:rsidRDefault="00E54EC0">
            <w:pPr>
              <w:jc w:val="center"/>
              <w:rPr>
                <w:rFonts w:eastAsia="Times New Roman"/>
              </w:rPr>
            </w:pPr>
          </w:p>
        </w:tc>
        <w:tc>
          <w:tcPr>
            <w:tcW w:w="208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6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7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929267605"/>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Total</w:t>
            </w:r>
          </w:p>
        </w:tc>
      </w:tr>
      <w:tr w:rsidR="00000000">
        <w:trPr>
          <w:divId w:val="929267605"/>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r>
      <w:tr w:rsidR="00000000">
        <w:trPr>
          <w:divId w:val="92926760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policy acquisition costs (2)</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account balances (2)</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30,736 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12,828 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14,875 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8,381 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66,820 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 policy benefits and other policyholders' liabilities (2)</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25,212 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5,031 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9,629 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2,034 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2,013 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4,732 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(1,999)</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1,337 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3,477 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Policyholders’ benefits and interest credited</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3,086 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2,372 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6,548 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1,220 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r>
      <w:tr w:rsidR="00000000">
        <w:trPr>
          <w:divId w:val="929267605"/>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All other operating expenses (1)</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2,815 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5,347 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r>
    </w:tbl>
    <w:p w:rsidR="00000000" w:rsidRDefault="00E54EC0">
      <w:pPr>
        <w:ind w:hanging="720"/>
        <w:divId w:val="807475711"/>
        <w:rPr>
          <w:rFonts w:eastAsia="Times New Roman"/>
        </w:rPr>
      </w:pPr>
      <w:r>
        <w:rPr>
          <w:rFonts w:eastAsia="Times New Roman"/>
          <w:color w:val="000000"/>
          <w:sz w:val="18"/>
          <w:szCs w:val="18"/>
        </w:rPr>
        <w:t>_____________</w:t>
      </w:r>
    </w:p>
    <w:p w:rsidR="00000000" w:rsidRDefault="00E54EC0">
      <w:pPr>
        <w:ind w:hanging="360"/>
        <w:divId w:val="1548755429"/>
        <w:rPr>
          <w:rFonts w:eastAsia="Times New Roman"/>
        </w:rPr>
      </w:pPr>
      <w:r>
        <w:rPr>
          <w:rFonts w:eastAsia="Times New Roman"/>
          <w:color w:val="000000"/>
          <w:sz w:val="18"/>
          <w:szCs w:val="18"/>
        </w:rPr>
        <w:t>(1)Operating expenses are allocated to segments.</w:t>
      </w:r>
    </w:p>
    <w:p w:rsidR="00000000" w:rsidRDefault="00E54EC0">
      <w:pPr>
        <w:ind w:hanging="360"/>
        <w:divId w:val="1534926526"/>
        <w:rPr>
          <w:rFonts w:eastAsia="Times New Roman"/>
        </w:rPr>
      </w:pPr>
      <w:r>
        <w:rPr>
          <w:rFonts w:eastAsia="Times New Roman"/>
          <w:color w:val="000000"/>
          <w:sz w:val="18"/>
          <w:szCs w:val="18"/>
        </w:rPr>
        <w:t>(2)Excludes amounts reclassified as HFS.</w:t>
      </w:r>
    </w:p>
    <w:p w:rsidR="00000000" w:rsidRDefault="00E54EC0">
      <w:pPr>
        <w:jc w:val="center"/>
        <w:divId w:val="2138255001"/>
        <w:rPr>
          <w:rFonts w:eastAsia="Times New Roman"/>
        </w:rPr>
      </w:pPr>
      <w:r>
        <w:rPr>
          <w:rFonts w:eastAsia="Times New Roman"/>
          <w:color w:val="000000"/>
          <w:sz w:val="20"/>
          <w:szCs w:val="20"/>
        </w:rPr>
        <w:t>237</w:t>
      </w:r>
    </w:p>
    <w:p w:rsidR="00000000" w:rsidRDefault="00E54EC0">
      <w:pPr>
        <w:rPr>
          <w:rFonts w:eastAsia="Times New Roman"/>
        </w:rPr>
      </w:pPr>
      <w:r>
        <w:rPr>
          <w:rFonts w:eastAsia="Times New Roman"/>
        </w:rPr>
        <w:pict>
          <v:rect id="_x0000_i1275" style="width:0;height:1.5pt" o:hralign="center" o:hrstd="t" o:hr="t" fillcolor="#a0a0a0" stroked="f"/>
        </w:pict>
      </w:r>
    </w:p>
    <w:p w:rsidR="00000000" w:rsidRDefault="00E54EC0">
      <w:pPr>
        <w:divId w:val="1418599081"/>
        <w:rPr>
          <w:rFonts w:eastAsia="Times New Roman"/>
        </w:rPr>
      </w:pPr>
      <w:hyperlink w:anchor="ifa77335c8c4046aba89b8098f04be9d1_508" w:history="1">
        <w:r>
          <w:rPr>
            <w:rStyle w:val="a3"/>
            <w:rFonts w:eastAsia="Times New Roman"/>
            <w:b/>
            <w:bCs/>
            <w:sz w:val="20"/>
            <w:szCs w:val="20"/>
          </w:rPr>
          <w:t>Table of Contents</w:t>
        </w:r>
      </w:hyperlink>
      <w:hyperlink w:anchor="ifa77335c8c4046aba89b8098f04be9d1_508" w:history="1">
        <w:r>
          <w:rPr>
            <w:rStyle w:val="a3"/>
            <w:rFonts w:eastAsia="Times New Roman"/>
            <w:b/>
            <w:bCs/>
            <w:sz w:val="20"/>
            <w:szCs w:val="20"/>
          </w:rPr>
          <w:t>    </w:t>
        </w:r>
      </w:hyperlink>
      <w:hyperlink w:anchor="ifa77335c8c4046aba89b8098f04be9d1_508" w:history="1">
        <w:r>
          <w:rPr>
            <w:rStyle w:val="a3"/>
            <w:rFonts w:eastAsia="Times New Roman"/>
            <w:b/>
            <w:bCs/>
            <w:sz w:val="20"/>
            <w:szCs w:val="20"/>
          </w:rPr>
          <w:t>    </w:t>
        </w:r>
      </w:hyperlink>
      <w:hyperlink w:anchor="ifa77335c8c4046aba89b8098f04be9d1_508" w:history="1">
        <w:r>
          <w:rPr>
            <w:rStyle w:val="a3"/>
            <w:rFonts w:eastAsia="Times New Roman"/>
            <w:b/>
            <w:bCs/>
            <w:sz w:val="20"/>
            <w:szCs w:val="20"/>
          </w:rPr>
          <w:t>    </w:t>
        </w:r>
      </w:hyperlink>
    </w:p>
    <w:p w:rsidR="00000000" w:rsidRDefault="00E54EC0">
      <w:pPr>
        <w:jc w:val="center"/>
        <w:divId w:val="1140727207"/>
        <w:rPr>
          <w:rFonts w:eastAsia="Times New Roman"/>
        </w:rPr>
      </w:pPr>
      <w:r>
        <w:rPr>
          <w:rFonts w:eastAsia="Times New Roman"/>
          <w:b/>
          <w:bCs/>
          <w:color w:val="000000"/>
          <w:sz w:val="20"/>
          <w:szCs w:val="20"/>
        </w:rPr>
        <w:t xml:space="preserve">EQUITABLE HOLDINGS, INC. </w:t>
      </w:r>
    </w:p>
    <w:p w:rsidR="00000000" w:rsidRDefault="00E54EC0">
      <w:pPr>
        <w:jc w:val="center"/>
        <w:divId w:val="1140727207"/>
        <w:rPr>
          <w:rFonts w:eastAsia="Times New Roman"/>
        </w:rPr>
      </w:pPr>
    </w:p>
    <w:p w:rsidR="00000000" w:rsidRDefault="00E54EC0">
      <w:pPr>
        <w:ind w:hanging="360"/>
        <w:divId w:val="255477073"/>
        <w:rPr>
          <w:rFonts w:eastAsia="Times New Roman"/>
        </w:rPr>
      </w:pPr>
    </w:p>
    <w:p w:rsidR="00000000" w:rsidRDefault="00E54EC0">
      <w:pPr>
        <w:ind w:firstLine="720"/>
        <w:jc w:val="center"/>
        <w:rPr>
          <w:rFonts w:eastAsia="Times New Roman"/>
        </w:rPr>
      </w:pPr>
      <w:r>
        <w:rPr>
          <w:rFonts w:eastAsia="Times New Roman"/>
          <w:b/>
          <w:bCs/>
          <w:color w:val="000000"/>
          <w:sz w:val="20"/>
          <w:szCs w:val="20"/>
        </w:rPr>
        <w:t>SCHEDULE IV</w:t>
      </w:r>
    </w:p>
    <w:p w:rsidR="00000000" w:rsidRDefault="00E54EC0">
      <w:pPr>
        <w:jc w:val="center"/>
        <w:rPr>
          <w:rFonts w:eastAsia="Times New Roman"/>
        </w:rPr>
      </w:pPr>
      <w:r>
        <w:rPr>
          <w:rFonts w:eastAsia="Times New Roman"/>
          <w:b/>
          <w:bCs/>
          <w:color w:val="000000"/>
          <w:sz w:val="20"/>
          <w:szCs w:val="20"/>
        </w:rPr>
        <w:t>REINSURANCE (1)</w:t>
      </w:r>
    </w:p>
    <w:p w:rsidR="00000000" w:rsidRDefault="00E54EC0">
      <w:pPr>
        <w:jc w:val="center"/>
        <w:divId w:val="1583761647"/>
        <w:rPr>
          <w:rFonts w:eastAsia="Times New Roman"/>
        </w:rPr>
      </w:pPr>
      <w:r>
        <w:rPr>
          <w:rFonts w:eastAsia="Times New Roman"/>
          <w:b/>
          <w:bCs/>
          <w:color w:val="000000"/>
          <w:sz w:val="20"/>
          <w:szCs w:val="20"/>
        </w:rPr>
        <w:t xml:space="preserve">AS OF AND FOR THE YEARS ENDED DECEMBER 31, 2022, 2021 AND 2020 </w:t>
      </w:r>
    </w:p>
    <w:tbl>
      <w:tblPr>
        <w:tblW w:w="5000" w:type="pct"/>
        <w:tblCellMar>
          <w:top w:w="15" w:type="dxa"/>
          <w:left w:w="15" w:type="dxa"/>
          <w:bottom w:w="15" w:type="dxa"/>
          <w:right w:w="15" w:type="dxa"/>
        </w:tblCellMar>
        <w:tblLook w:val="04A0" w:firstRow="1" w:lastRow="0" w:firstColumn="1" w:lastColumn="0" w:noHBand="0" w:noVBand="1"/>
      </w:tblPr>
      <w:tblGrid>
        <w:gridCol w:w="39"/>
        <w:gridCol w:w="2736"/>
        <w:gridCol w:w="37"/>
        <w:gridCol w:w="120"/>
        <w:gridCol w:w="880"/>
        <w:gridCol w:w="36"/>
        <w:gridCol w:w="36"/>
        <w:gridCol w:w="36"/>
        <w:gridCol w:w="36"/>
        <w:gridCol w:w="120"/>
        <w:gridCol w:w="827"/>
        <w:gridCol w:w="36"/>
        <w:gridCol w:w="36"/>
        <w:gridCol w:w="36"/>
        <w:gridCol w:w="36"/>
        <w:gridCol w:w="121"/>
        <w:gridCol w:w="828"/>
        <w:gridCol w:w="36"/>
        <w:gridCol w:w="36"/>
        <w:gridCol w:w="36"/>
        <w:gridCol w:w="36"/>
        <w:gridCol w:w="120"/>
        <w:gridCol w:w="829"/>
        <w:gridCol w:w="36"/>
        <w:gridCol w:w="36"/>
        <w:gridCol w:w="36"/>
        <w:gridCol w:w="36"/>
        <w:gridCol w:w="65"/>
        <w:gridCol w:w="788"/>
        <w:gridCol w:w="220"/>
      </w:tblGrid>
      <w:tr w:rsidR="00000000">
        <w:trPr>
          <w:divId w:val="778791421"/>
        </w:trPr>
        <w:tc>
          <w:tcPr>
            <w:tcW w:w="50" w:type="pct"/>
            <w:vAlign w:val="center"/>
            <w:hideMark/>
          </w:tcPr>
          <w:p w:rsidR="00000000" w:rsidRDefault="00E54EC0">
            <w:pPr>
              <w:jc w:val="center"/>
              <w:rPr>
                <w:rFonts w:eastAsia="Times New Roman"/>
              </w:rPr>
            </w:pPr>
          </w:p>
        </w:tc>
        <w:tc>
          <w:tcPr>
            <w:tcW w:w="16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56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Gross Amount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Ceded to Other Companies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Assumed from Other Companies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Net Amount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Percentage of Amount Assumed to Net</w:t>
            </w:r>
          </w:p>
        </w:tc>
      </w:tr>
      <w:tr w:rsidR="00000000">
        <w:trPr>
          <w:divId w:val="778791421"/>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483,069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174,819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31,337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339,587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77879142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77879142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premiums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1,042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994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b/>
                <w:bCs/>
                <w:color w:val="000000"/>
                <w:sz w:val="20"/>
                <w:szCs w:val="20"/>
              </w:rPr>
              <w:t>%</w:t>
            </w:r>
          </w:p>
        </w:tc>
      </w:tr>
      <w:tr w:rsidR="00000000">
        <w:trPr>
          <w:divId w:val="778791421"/>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484,082 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185,203 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31,971 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330,850 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802 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828 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premiums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970 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189 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960 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Height w:val="280"/>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2020</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473,514 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94,231 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33,098 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412,381 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Height w:val="280"/>
        </w:trPr>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77879142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805 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905 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Pr>
        <w:tc>
          <w:tcPr>
            <w:tcW w:w="0" w:type="auto"/>
            <w:gridSpan w:val="3"/>
            <w:shd w:val="clear" w:color="auto" w:fill="CCEE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r w:rsidR="00000000">
        <w:trPr>
          <w:divId w:val="778791421"/>
        </w:trPr>
        <w:tc>
          <w:tcPr>
            <w:tcW w:w="0" w:type="auto"/>
            <w:gridSpan w:val="3"/>
            <w:shd w:val="clear" w:color="auto" w:fill="FFFFFF"/>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premiums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154 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54EC0">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997 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54EC0">
            <w:pPr>
              <w:spacing w:after="100"/>
              <w:jc w:val="right"/>
              <w:rPr>
                <w:rFonts w:eastAsia="Times New Roman"/>
              </w:rPr>
            </w:pPr>
            <w:r>
              <w:rPr>
                <w:rFonts w:eastAsia="Times New Roman"/>
                <w:color w:val="000000"/>
                <w:sz w:val="20"/>
                <w:szCs w:val="20"/>
              </w:rPr>
              <w:t>22.3 </w:t>
            </w:r>
          </w:p>
        </w:tc>
        <w:tc>
          <w:tcPr>
            <w:tcW w:w="0" w:type="auto"/>
            <w:shd w:val="clear" w:color="auto" w:fill="FFFFFF"/>
            <w:tcMar>
              <w:top w:w="30" w:type="dxa"/>
              <w:left w:w="0" w:type="dxa"/>
              <w:bottom w:w="30" w:type="dxa"/>
              <w:right w:w="20" w:type="dxa"/>
            </w:tcMar>
            <w:vAlign w:val="bottom"/>
            <w:hideMark/>
          </w:tcPr>
          <w:p w:rsidR="00000000" w:rsidRDefault="00E54EC0">
            <w:pPr>
              <w:spacing w:after="100"/>
              <w:jc w:val="right"/>
              <w:rPr>
                <w:rFonts w:eastAsia="Times New Roman"/>
              </w:rPr>
            </w:pPr>
            <w:r>
              <w:rPr>
                <w:rFonts w:eastAsia="Times New Roman"/>
                <w:color w:val="000000"/>
                <w:sz w:val="20"/>
                <w:szCs w:val="20"/>
              </w:rPr>
              <w:t>%</w:t>
            </w:r>
          </w:p>
        </w:tc>
      </w:tr>
    </w:tbl>
    <w:p w:rsidR="00000000" w:rsidRDefault="00E54EC0">
      <w:pPr>
        <w:ind w:hanging="360"/>
        <w:divId w:val="767506144"/>
        <w:rPr>
          <w:rFonts w:eastAsia="Times New Roman"/>
        </w:rPr>
      </w:pPr>
      <w:r>
        <w:rPr>
          <w:rFonts w:eastAsia="Times New Roman"/>
          <w:color w:val="000000"/>
          <w:sz w:val="18"/>
          <w:szCs w:val="18"/>
        </w:rPr>
        <w:t>______________</w:t>
      </w:r>
    </w:p>
    <w:p w:rsidR="00000000" w:rsidRDefault="00E54EC0">
      <w:pPr>
        <w:ind w:hanging="360"/>
        <w:divId w:val="1025985387"/>
        <w:rPr>
          <w:rFonts w:eastAsia="Times New Roman"/>
        </w:rPr>
      </w:pPr>
      <w:r>
        <w:rPr>
          <w:rFonts w:eastAsia="Times New Roman"/>
          <w:color w:val="000000"/>
          <w:sz w:val="18"/>
          <w:szCs w:val="18"/>
        </w:rPr>
        <w:t>(1)Includes amounts related to the discontinued group life and health business.</w:t>
      </w:r>
    </w:p>
    <w:p w:rsidR="00000000" w:rsidRDefault="00E54EC0">
      <w:pPr>
        <w:jc w:val="center"/>
        <w:divId w:val="1850362485"/>
        <w:rPr>
          <w:rFonts w:eastAsia="Times New Roman"/>
        </w:rPr>
      </w:pPr>
      <w:r>
        <w:rPr>
          <w:rFonts w:eastAsia="Times New Roman"/>
          <w:color w:val="000000"/>
          <w:sz w:val="20"/>
          <w:szCs w:val="20"/>
        </w:rPr>
        <w:t>238</w:t>
      </w:r>
    </w:p>
    <w:p w:rsidR="00000000" w:rsidRDefault="00E54EC0">
      <w:pPr>
        <w:rPr>
          <w:rFonts w:eastAsia="Times New Roman"/>
        </w:rPr>
      </w:pPr>
      <w:r>
        <w:rPr>
          <w:rFonts w:eastAsia="Times New Roman"/>
        </w:rPr>
        <w:pict>
          <v:rect id="_x0000_i1276" style="width:0;height:1.5pt" o:hralign="center" o:hrstd="t" o:hr="t" fillcolor="#a0a0a0" stroked="f"/>
        </w:pict>
      </w:r>
    </w:p>
    <w:p w:rsidR="00000000" w:rsidRDefault="00E54EC0">
      <w:pPr>
        <w:divId w:val="2028868078"/>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divId w:val="1673683553"/>
        <w:rPr>
          <w:rFonts w:eastAsia="Times New Roman"/>
        </w:rPr>
      </w:pPr>
      <w:r>
        <w:rPr>
          <w:rFonts w:eastAsia="Times New Roman"/>
          <w:b/>
          <w:bCs/>
          <w:color w:val="000000"/>
          <w:sz w:val="20"/>
          <w:szCs w:val="20"/>
        </w:rPr>
        <w:t xml:space="preserve">Part II, Item 9. </w:t>
      </w:r>
    </w:p>
    <w:p w:rsidR="00000000" w:rsidRDefault="00E54EC0">
      <w:pPr>
        <w:jc w:val="center"/>
        <w:divId w:val="1387797186"/>
        <w:rPr>
          <w:rFonts w:eastAsia="Times New Roman"/>
        </w:rPr>
      </w:pPr>
      <w:r>
        <w:rPr>
          <w:rFonts w:eastAsia="Times New Roman"/>
          <w:b/>
          <w:bCs/>
          <w:color w:val="000000"/>
          <w:sz w:val="20"/>
          <w:szCs w:val="20"/>
        </w:rPr>
        <w:t>CHANGES IN AND DISAGREEMENTS WITH ACCOUNTANTS ON ACCOUNTING AND FINANCIAL DISCLOSURE</w:t>
      </w:r>
      <w:r>
        <w:rPr>
          <w:rFonts w:eastAsia="Times New Roman"/>
          <w:color w:val="000000"/>
          <w:sz w:val="20"/>
          <w:szCs w:val="20"/>
        </w:rPr>
        <w:t xml:space="preserve"> </w:t>
      </w:r>
    </w:p>
    <w:p w:rsidR="00000000" w:rsidRDefault="00E54EC0">
      <w:pPr>
        <w:divId w:val="425229591"/>
        <w:rPr>
          <w:rFonts w:eastAsia="Times New Roman"/>
        </w:rPr>
      </w:pPr>
      <w:r>
        <w:rPr>
          <w:rFonts w:eastAsia="Times New Roman"/>
          <w:color w:val="000000"/>
          <w:sz w:val="20"/>
          <w:szCs w:val="20"/>
        </w:rPr>
        <w:t>None.</w:t>
      </w:r>
    </w:p>
    <w:p w:rsidR="00000000" w:rsidRDefault="00E54EC0">
      <w:pPr>
        <w:divId w:val="2022201582"/>
        <w:rPr>
          <w:rFonts w:eastAsia="Times New Roman"/>
        </w:rPr>
      </w:pPr>
      <w:r>
        <w:rPr>
          <w:rFonts w:eastAsia="Times New Roman"/>
          <w:b/>
          <w:bCs/>
          <w:color w:val="000000"/>
          <w:sz w:val="20"/>
          <w:szCs w:val="20"/>
        </w:rPr>
        <w:t>Part II, Item 9A</w:t>
      </w:r>
      <w:r>
        <w:rPr>
          <w:rFonts w:eastAsia="Times New Roman"/>
          <w:color w:val="000000"/>
          <w:sz w:val="20"/>
          <w:szCs w:val="20"/>
        </w:rPr>
        <w:t>    </w:t>
      </w:r>
      <w:r>
        <w:rPr>
          <w:rFonts w:eastAsia="Times New Roman"/>
          <w:b/>
          <w:bCs/>
          <w:color w:val="000000"/>
          <w:sz w:val="20"/>
          <w:szCs w:val="20"/>
        </w:rPr>
        <w:t xml:space="preserve"> </w:t>
      </w:r>
    </w:p>
    <w:p w:rsidR="00000000" w:rsidRDefault="00E54EC0">
      <w:pPr>
        <w:jc w:val="center"/>
        <w:divId w:val="929698327"/>
        <w:rPr>
          <w:rFonts w:eastAsia="Times New Roman"/>
        </w:rPr>
      </w:pPr>
      <w:r>
        <w:rPr>
          <w:rFonts w:eastAsia="Times New Roman"/>
          <w:b/>
          <w:bCs/>
          <w:color w:val="000000"/>
          <w:sz w:val="20"/>
          <w:szCs w:val="20"/>
        </w:rPr>
        <w:t>CONTROLS AND PROCEDURES</w:t>
      </w:r>
    </w:p>
    <w:p w:rsidR="00000000" w:rsidRDefault="00E54EC0">
      <w:pPr>
        <w:divId w:val="388111756"/>
        <w:rPr>
          <w:rFonts w:eastAsia="Times New Roman"/>
        </w:rPr>
      </w:pPr>
      <w:r>
        <w:rPr>
          <w:rFonts w:eastAsia="Times New Roman"/>
          <w:b/>
          <w:bCs/>
          <w:color w:val="000000"/>
          <w:sz w:val="20"/>
          <w:szCs w:val="20"/>
        </w:rPr>
        <w:t>Evaluation of Disclosure Controls and Procedures</w:t>
      </w:r>
    </w:p>
    <w:p w:rsidR="00000000" w:rsidRDefault="00E54EC0">
      <w:pPr>
        <w:ind w:firstLine="360"/>
        <w:divId w:val="358437264"/>
        <w:rPr>
          <w:rFonts w:eastAsia="Times New Roman"/>
        </w:rPr>
      </w:pPr>
      <w:r>
        <w:rPr>
          <w:rFonts w:eastAsia="Times New Roman"/>
          <w:color w:val="000000"/>
          <w:sz w:val="20"/>
          <w:szCs w:val="20"/>
        </w:rPr>
        <w:t xml:space="preserve">The management of the Company, with the participation of the Company’s Chief Executive Officer (CEO) and Chief Financial Officer (CFO), has evaluated the effectiveness of the Company’s disclosure controls and procedures (as defined in Rule 13a-15(e) under </w:t>
      </w:r>
      <w:r>
        <w:rPr>
          <w:rFonts w:eastAsia="Times New Roman"/>
          <w:color w:val="000000"/>
          <w:sz w:val="20"/>
          <w:szCs w:val="20"/>
        </w:rPr>
        <w:t>the Securities and Exchange Act of 1934, as amended) as of December 31, 2022. This evaluation is performed to determine if our disclosure controls and procedures are effective to provide reasonable assurance that (i) information required to be disclosed by</w:t>
      </w:r>
      <w:r>
        <w:rPr>
          <w:rFonts w:eastAsia="Times New Roman"/>
          <w:color w:val="000000"/>
          <w:sz w:val="20"/>
          <w:szCs w:val="20"/>
        </w:rPr>
        <w:t xml:space="preserve"> the Company in the reports that it files or submits under the Securities and Exchange Act of 1934, as amended, is accumulated and communicated to management, including the Company’s CEO and CFO, as appropriate, to allow timely decisions regarding required</w:t>
      </w:r>
      <w:r>
        <w:rPr>
          <w:rFonts w:eastAsia="Times New Roman"/>
          <w:color w:val="000000"/>
          <w:sz w:val="20"/>
          <w:szCs w:val="20"/>
        </w:rPr>
        <w:t xml:space="preserve"> disclosure and (ii) such information is recorded, processed, summarized and reported within the time periods specified by the Securities and Exchange Commission’s rules and forms.</w:t>
      </w:r>
    </w:p>
    <w:p w:rsidR="00000000" w:rsidRDefault="00E54EC0">
      <w:pPr>
        <w:ind w:firstLine="360"/>
        <w:divId w:val="474638984"/>
        <w:rPr>
          <w:rFonts w:eastAsia="Times New Roman"/>
        </w:rPr>
      </w:pPr>
      <w:r>
        <w:rPr>
          <w:rFonts w:eastAsia="Times New Roman"/>
          <w:color w:val="000000"/>
          <w:sz w:val="20"/>
          <w:szCs w:val="20"/>
        </w:rPr>
        <w:t>Based on this evaluation, the Company’s CEO and CFO concluded that the Comp</w:t>
      </w:r>
      <w:r>
        <w:rPr>
          <w:rFonts w:eastAsia="Times New Roman"/>
          <w:color w:val="000000"/>
          <w:sz w:val="20"/>
          <w:szCs w:val="20"/>
        </w:rPr>
        <w:t>any’s disclosure controls and procedures were effective as of December 31, 2022.</w:t>
      </w:r>
    </w:p>
    <w:p w:rsidR="00000000" w:rsidRDefault="00E54EC0">
      <w:pPr>
        <w:divId w:val="192889216"/>
        <w:rPr>
          <w:rFonts w:eastAsia="Times New Roman"/>
        </w:rPr>
      </w:pPr>
      <w:r>
        <w:rPr>
          <w:rFonts w:eastAsia="Times New Roman"/>
          <w:b/>
          <w:bCs/>
          <w:color w:val="000000"/>
          <w:sz w:val="20"/>
          <w:szCs w:val="20"/>
        </w:rPr>
        <w:t>Management’s Annual Report on Internal Control Over Financial Reporting</w:t>
      </w:r>
    </w:p>
    <w:p w:rsidR="00000000" w:rsidRDefault="00E54EC0">
      <w:pPr>
        <w:ind w:firstLine="360"/>
        <w:divId w:val="1773016858"/>
        <w:rPr>
          <w:rFonts w:eastAsia="Times New Roman"/>
        </w:rPr>
      </w:pPr>
      <w:r>
        <w:rPr>
          <w:rFonts w:eastAsia="Times New Roman"/>
          <w:color w:val="000000"/>
          <w:sz w:val="20"/>
          <w:szCs w:val="20"/>
        </w:rPr>
        <w:t>Management is responsible for establishing and maintaining adequate internal control over financial rep</w:t>
      </w:r>
      <w:r>
        <w:rPr>
          <w:rFonts w:eastAsia="Times New Roman"/>
          <w:color w:val="000000"/>
          <w:sz w:val="20"/>
          <w:szCs w:val="20"/>
        </w:rPr>
        <w:t>orting. Management evaluated the design and operating effectiveness of the Company’s internal control over financial reporting based on the criteria established in the Internal Control-Integrated Framework (2013) issued by the Committee of Sponsoring Organ</w:t>
      </w:r>
      <w:r>
        <w:rPr>
          <w:rFonts w:eastAsia="Times New Roman"/>
          <w:color w:val="000000"/>
          <w:sz w:val="20"/>
          <w:szCs w:val="20"/>
        </w:rPr>
        <w:t>izations of the Treadway Commission (the “COSO framework”). Based on the evaluation, management concluded that the Company’s internal control over financial reporting was effective as of December 31, 2022. Because of its inherent limitations, internal cont</w:t>
      </w:r>
      <w:r>
        <w:rPr>
          <w:rFonts w:eastAsia="Times New Roman"/>
          <w:color w:val="000000"/>
          <w:sz w:val="20"/>
          <w:szCs w:val="20"/>
        </w:rPr>
        <w:t>rol over financial reporting may not prevent or detect misstatements. Also, projections of any evaluation of effectiveness to future periods are subject to the risk that controls may become inadequate because of changes in conditions, or that the degree of</w:t>
      </w:r>
      <w:r>
        <w:rPr>
          <w:rFonts w:eastAsia="Times New Roman"/>
          <w:color w:val="000000"/>
          <w:sz w:val="20"/>
          <w:szCs w:val="20"/>
        </w:rPr>
        <w:t xml:space="preserve"> compliance with the policies or procedures may deteriorate.</w:t>
      </w:r>
    </w:p>
    <w:p w:rsidR="00000000" w:rsidRDefault="00E54EC0">
      <w:pPr>
        <w:ind w:firstLine="360"/>
        <w:divId w:val="1559777344"/>
        <w:rPr>
          <w:rFonts w:eastAsia="Times New Roman"/>
        </w:rPr>
      </w:pPr>
      <w:r>
        <w:rPr>
          <w:rFonts w:eastAsia="Times New Roman"/>
          <w:color w:val="000000"/>
          <w:sz w:val="20"/>
          <w:szCs w:val="20"/>
        </w:rPr>
        <w:t>On July 1, 2022, AllianceBernstein L.P. completed its acquisition of CarVal Investors L.P. (“CarVal”). Consistent with guidance issued by the Securities and Exchange Commission that an assessment</w:t>
      </w:r>
      <w:r>
        <w:rPr>
          <w:rFonts w:eastAsia="Times New Roman"/>
          <w:color w:val="000000"/>
          <w:sz w:val="20"/>
          <w:szCs w:val="20"/>
        </w:rPr>
        <w:t xml:space="preserve"> of a recently acquired business may be omitted from management’s report on internal control over financial reporting in the year of acquisition, management excluded an assessment of the effectiveness of the Company’s internal control over financial report</w:t>
      </w:r>
      <w:r>
        <w:rPr>
          <w:rFonts w:eastAsia="Times New Roman"/>
          <w:color w:val="000000"/>
          <w:sz w:val="20"/>
          <w:szCs w:val="20"/>
        </w:rPr>
        <w:t>ing related to CarVal. Total assets and total revenues of CarVal that were excluded from management’s assessment each constitute less than 1% as of and for the year ended December 31, 2022.</w:t>
      </w:r>
    </w:p>
    <w:p w:rsidR="00000000" w:rsidRDefault="00E54EC0">
      <w:pPr>
        <w:ind w:firstLine="360"/>
        <w:divId w:val="1281649242"/>
        <w:rPr>
          <w:rFonts w:eastAsia="Times New Roman"/>
        </w:rPr>
      </w:pPr>
      <w:r>
        <w:rPr>
          <w:rFonts w:eastAsia="Times New Roman"/>
          <w:color w:val="000000"/>
          <w:sz w:val="20"/>
          <w:szCs w:val="20"/>
        </w:rPr>
        <w:t>The effectiveness of the Company’s internal control over financial</w:t>
      </w:r>
      <w:r>
        <w:rPr>
          <w:rFonts w:eastAsia="Times New Roman"/>
          <w:color w:val="000000"/>
          <w:sz w:val="20"/>
          <w:szCs w:val="20"/>
        </w:rPr>
        <w:t xml:space="preserve"> reporting as of December 31, 2022 has been audited by PricewaterhouseCoopers LLP, an independent registered public accounting firm, as stated in their report, which is included in this Annual Report on Form 10-K.</w:t>
      </w:r>
    </w:p>
    <w:p w:rsidR="00000000" w:rsidRDefault="00E54EC0">
      <w:pPr>
        <w:divId w:val="685255867"/>
        <w:rPr>
          <w:rFonts w:eastAsia="Times New Roman"/>
        </w:rPr>
      </w:pPr>
      <w:r>
        <w:rPr>
          <w:rFonts w:eastAsia="Times New Roman"/>
          <w:b/>
          <w:bCs/>
          <w:color w:val="000000"/>
          <w:sz w:val="20"/>
          <w:szCs w:val="20"/>
        </w:rPr>
        <w:t>Changes in Internal Control Over Financial</w:t>
      </w:r>
      <w:r>
        <w:rPr>
          <w:rFonts w:eastAsia="Times New Roman"/>
          <w:b/>
          <w:bCs/>
          <w:color w:val="000000"/>
          <w:sz w:val="20"/>
          <w:szCs w:val="20"/>
        </w:rPr>
        <w:t xml:space="preserve"> Reporting</w:t>
      </w:r>
    </w:p>
    <w:p w:rsidR="00000000" w:rsidRDefault="00E54EC0">
      <w:pPr>
        <w:ind w:firstLine="360"/>
        <w:divId w:val="452094137"/>
        <w:rPr>
          <w:rFonts w:eastAsia="Times New Roman"/>
        </w:rPr>
      </w:pPr>
      <w:r>
        <w:rPr>
          <w:rFonts w:eastAsia="Times New Roman"/>
          <w:color w:val="000000"/>
          <w:sz w:val="20"/>
          <w:szCs w:val="20"/>
        </w:rPr>
        <w:t>There were no changes in the Company’s internal control over financial reporting as defined in Rule 13a-15(f) under the Exchange Act during the quarter ended December 31, 2022, that have affected, or are reasonably likely to materially affect, t</w:t>
      </w:r>
      <w:r>
        <w:rPr>
          <w:rFonts w:eastAsia="Times New Roman"/>
          <w:color w:val="000000"/>
          <w:sz w:val="20"/>
          <w:szCs w:val="20"/>
        </w:rPr>
        <w:t>he Company’s internal control over financial reporting.</w:t>
      </w:r>
    </w:p>
    <w:p w:rsidR="00000000" w:rsidRDefault="00E54EC0">
      <w:pPr>
        <w:divId w:val="804544314"/>
        <w:rPr>
          <w:rFonts w:eastAsia="Times New Roman"/>
        </w:rPr>
      </w:pPr>
      <w:r>
        <w:rPr>
          <w:rFonts w:eastAsia="Times New Roman"/>
          <w:b/>
          <w:bCs/>
          <w:color w:val="000000"/>
          <w:sz w:val="20"/>
          <w:szCs w:val="20"/>
        </w:rPr>
        <w:t>Part II, Item 9B.</w:t>
      </w:r>
      <w:r>
        <w:rPr>
          <w:rFonts w:eastAsia="Times New Roman"/>
          <w:color w:val="000000"/>
          <w:sz w:val="20"/>
          <w:szCs w:val="20"/>
        </w:rPr>
        <w:t xml:space="preserve"> </w:t>
      </w:r>
    </w:p>
    <w:p w:rsidR="00000000" w:rsidRDefault="00E54EC0">
      <w:pPr>
        <w:jc w:val="center"/>
        <w:divId w:val="1604534812"/>
        <w:rPr>
          <w:rFonts w:eastAsia="Times New Roman"/>
        </w:rPr>
      </w:pPr>
      <w:r>
        <w:rPr>
          <w:rFonts w:eastAsia="Times New Roman"/>
          <w:b/>
          <w:bCs/>
          <w:color w:val="000000"/>
          <w:sz w:val="20"/>
          <w:szCs w:val="20"/>
        </w:rPr>
        <w:t>OTHER INFORMATION</w:t>
      </w:r>
      <w:r>
        <w:rPr>
          <w:rFonts w:eastAsia="Times New Roman"/>
          <w:color w:val="000000"/>
          <w:sz w:val="20"/>
          <w:szCs w:val="20"/>
        </w:rPr>
        <w:t xml:space="preserve"> </w:t>
      </w:r>
    </w:p>
    <w:p w:rsidR="00000000" w:rsidRDefault="00E54EC0">
      <w:pPr>
        <w:divId w:val="1283153999"/>
        <w:rPr>
          <w:rFonts w:eastAsia="Times New Roman"/>
        </w:rPr>
      </w:pPr>
      <w:r>
        <w:rPr>
          <w:rFonts w:eastAsia="Times New Roman"/>
          <w:b/>
          <w:bCs/>
          <w:color w:val="000000"/>
          <w:sz w:val="20"/>
          <w:szCs w:val="20"/>
        </w:rPr>
        <w:t>Sixth Amended and Restated By-laws</w:t>
      </w:r>
    </w:p>
    <w:p w:rsidR="00000000" w:rsidRDefault="00E54EC0">
      <w:pPr>
        <w:ind w:firstLine="360"/>
        <w:divId w:val="1395855783"/>
        <w:rPr>
          <w:rFonts w:eastAsia="Times New Roman"/>
        </w:rPr>
      </w:pPr>
      <w:r>
        <w:rPr>
          <w:rFonts w:eastAsia="Times New Roman"/>
          <w:color w:val="000000"/>
          <w:sz w:val="20"/>
          <w:szCs w:val="20"/>
        </w:rPr>
        <w:t xml:space="preserve">On February 15, 2023, the Board of Directors of Equitable Holdings, Inc. (the “Board”) approved the Sixth Amended and Restated </w:t>
      </w:r>
      <w:r>
        <w:rPr>
          <w:rFonts w:eastAsia="Times New Roman"/>
          <w:color w:val="000000"/>
          <w:sz w:val="20"/>
          <w:szCs w:val="20"/>
        </w:rPr>
        <w:t xml:space="preserve">By-laws of Equitable Holdings, Inc. (the “By-laws”), effective as of February 15, 2023. The Board approved </w:t>
      </w:r>
    </w:p>
    <w:p w:rsidR="00000000" w:rsidRDefault="00E54EC0">
      <w:pPr>
        <w:jc w:val="center"/>
        <w:divId w:val="889922143"/>
        <w:rPr>
          <w:rFonts w:eastAsia="Times New Roman"/>
        </w:rPr>
      </w:pPr>
      <w:r>
        <w:rPr>
          <w:rFonts w:eastAsia="Times New Roman"/>
          <w:color w:val="000000"/>
          <w:sz w:val="20"/>
          <w:szCs w:val="20"/>
        </w:rPr>
        <w:t>239</w:t>
      </w:r>
    </w:p>
    <w:p w:rsidR="00000000" w:rsidRDefault="00E54EC0">
      <w:pPr>
        <w:rPr>
          <w:rFonts w:eastAsia="Times New Roman"/>
        </w:rPr>
      </w:pPr>
      <w:r>
        <w:rPr>
          <w:rFonts w:eastAsia="Times New Roman"/>
        </w:rPr>
        <w:pict>
          <v:rect id="_x0000_i1277" style="width:0;height:1.5pt" o:hralign="center" o:hrstd="t" o:hr="t" fillcolor="#a0a0a0" stroked="f"/>
        </w:pict>
      </w:r>
    </w:p>
    <w:p w:rsidR="00000000" w:rsidRDefault="00E54EC0">
      <w:pPr>
        <w:divId w:val="1644656401"/>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divId w:val="860700334"/>
        <w:rPr>
          <w:rFonts w:eastAsia="Times New Roman"/>
        </w:rPr>
      </w:pPr>
      <w:r>
        <w:rPr>
          <w:rFonts w:eastAsia="Times New Roman"/>
          <w:color w:val="000000"/>
          <w:sz w:val="20"/>
          <w:szCs w:val="20"/>
        </w:rPr>
        <w:t>amendments to provisions of th</w:t>
      </w:r>
      <w:r>
        <w:rPr>
          <w:rFonts w:eastAsia="Times New Roman"/>
          <w:color w:val="000000"/>
          <w:sz w:val="20"/>
          <w:szCs w:val="20"/>
        </w:rPr>
        <w:t xml:space="preserve">e By-laws intended to address universal proxy rules recently adopted by the U.S. Securities and Exchange Commission (the "SEC"), by, among other things, clarifying that no person may solicit proxies in support of a director nominee, other than the Board's </w:t>
      </w:r>
      <w:r>
        <w:rPr>
          <w:rFonts w:eastAsia="Times New Roman"/>
          <w:color w:val="000000"/>
          <w:sz w:val="20"/>
          <w:szCs w:val="20"/>
        </w:rPr>
        <w:t>nominees, unless such person has complied with Rule 14a-19 under the Securities Exchange Act of 1934, as amended, including applicable notice and solicitation requirements. Further, any stockholder directly or indirectly soliciting proxies from other stock</w:t>
      </w:r>
      <w:r>
        <w:rPr>
          <w:rFonts w:eastAsia="Times New Roman"/>
          <w:color w:val="000000"/>
          <w:sz w:val="20"/>
          <w:szCs w:val="20"/>
        </w:rPr>
        <w:t xml:space="preserve">holders must use a proxy card color other than white, with the white proxy card being reserved for exclusive use by the Board. </w:t>
      </w:r>
    </w:p>
    <w:p w:rsidR="00000000" w:rsidRDefault="00E54EC0">
      <w:pPr>
        <w:ind w:firstLine="360"/>
        <w:divId w:val="829560284"/>
        <w:rPr>
          <w:rFonts w:eastAsia="Times New Roman"/>
        </w:rPr>
      </w:pPr>
      <w:r>
        <w:rPr>
          <w:rFonts w:eastAsia="Times New Roman"/>
          <w:color w:val="000000"/>
          <w:sz w:val="20"/>
          <w:szCs w:val="20"/>
        </w:rPr>
        <w:t xml:space="preserve">The amendments also require any candidate for the Board nominated by a stockholder to provide additional background information </w:t>
      </w:r>
      <w:r>
        <w:rPr>
          <w:rFonts w:eastAsia="Times New Roman"/>
          <w:color w:val="000000"/>
          <w:sz w:val="20"/>
          <w:szCs w:val="20"/>
        </w:rPr>
        <w:t xml:space="preserve">by completing a Director Questionnaire. </w:t>
      </w:r>
    </w:p>
    <w:p w:rsidR="00000000" w:rsidRDefault="00E54EC0">
      <w:pPr>
        <w:ind w:firstLine="360"/>
        <w:divId w:val="764424459"/>
        <w:rPr>
          <w:rFonts w:eastAsia="Times New Roman"/>
        </w:rPr>
      </w:pPr>
      <w:r>
        <w:rPr>
          <w:rFonts w:eastAsia="Times New Roman"/>
          <w:color w:val="000000"/>
          <w:sz w:val="20"/>
          <w:szCs w:val="20"/>
        </w:rPr>
        <w:t>The Board also approved the restatement of the By-laws to better conform the By-laws with recent amendments in Delaware corporate law relating to the provision of stockholder lists at the annual meeting. This amendm</w:t>
      </w:r>
      <w:r>
        <w:rPr>
          <w:rFonts w:eastAsia="Times New Roman"/>
          <w:color w:val="000000"/>
          <w:sz w:val="20"/>
          <w:szCs w:val="20"/>
        </w:rPr>
        <w:t xml:space="preserve">ent is intended to address privacy concerns relating to the broadcast of stockholder information via the virtual meeting format by removing the requirement that stockholder lists be provided during a meeting. </w:t>
      </w:r>
    </w:p>
    <w:p w:rsidR="00000000" w:rsidRDefault="00E54EC0">
      <w:pPr>
        <w:ind w:firstLine="360"/>
        <w:divId w:val="85076029"/>
        <w:rPr>
          <w:rFonts w:eastAsia="Times New Roman"/>
        </w:rPr>
      </w:pPr>
      <w:r>
        <w:rPr>
          <w:rFonts w:eastAsia="Times New Roman"/>
          <w:color w:val="000000"/>
          <w:sz w:val="20"/>
          <w:szCs w:val="20"/>
        </w:rPr>
        <w:t>The foregoing description of the changes conta</w:t>
      </w:r>
      <w:r>
        <w:rPr>
          <w:rFonts w:eastAsia="Times New Roman"/>
          <w:color w:val="000000"/>
          <w:sz w:val="20"/>
          <w:szCs w:val="20"/>
        </w:rPr>
        <w:t>ined in the By-laws does not purport to be complete and is qualified in its entirety by reference to the full text of the By-laws, a copy of which is attached hereto as Exhibit 3.2 to this Form 10-K and is incorporated herein by reference.</w:t>
      </w:r>
    </w:p>
    <w:p w:rsidR="00000000" w:rsidRDefault="00E54EC0">
      <w:pPr>
        <w:divId w:val="1124542594"/>
        <w:rPr>
          <w:rFonts w:eastAsia="Times New Roman"/>
        </w:rPr>
      </w:pPr>
      <w:r>
        <w:rPr>
          <w:rFonts w:eastAsia="Times New Roman"/>
          <w:b/>
          <w:bCs/>
          <w:color w:val="000000"/>
          <w:sz w:val="20"/>
          <w:szCs w:val="20"/>
        </w:rPr>
        <w:t>Mark Pearson Emp</w:t>
      </w:r>
      <w:r>
        <w:rPr>
          <w:rFonts w:eastAsia="Times New Roman"/>
          <w:b/>
          <w:bCs/>
          <w:color w:val="000000"/>
          <w:sz w:val="20"/>
          <w:szCs w:val="20"/>
        </w:rPr>
        <w:t>loyment Agreement</w:t>
      </w:r>
    </w:p>
    <w:p w:rsidR="00000000" w:rsidRDefault="00E54EC0">
      <w:pPr>
        <w:ind w:firstLine="360"/>
        <w:divId w:val="117384525"/>
        <w:rPr>
          <w:rFonts w:eastAsia="Times New Roman"/>
        </w:rPr>
      </w:pPr>
      <w:r>
        <w:rPr>
          <w:rFonts w:eastAsia="Times New Roman"/>
          <w:color w:val="000000"/>
          <w:sz w:val="20"/>
          <w:szCs w:val="20"/>
        </w:rPr>
        <w:t>On February 15, 2023, Equitable Holdings, Inc., Equitable Financial Life Insurance Company and Mark Pearson, the Company’s President and Chief Executive Officer, entered into a letter agreement (the “Letter Agreement”) amending the term o</w:t>
      </w:r>
      <w:r>
        <w:rPr>
          <w:rFonts w:eastAsia="Times New Roman"/>
          <w:color w:val="000000"/>
          <w:sz w:val="20"/>
          <w:szCs w:val="20"/>
        </w:rPr>
        <w:t xml:space="preserve">f Mr. Pearson’s employment agreement to delete the references to the automatic termination of the agreement upon Mr. Pearson reaching 65 years of age. </w:t>
      </w:r>
    </w:p>
    <w:p w:rsidR="00000000" w:rsidRDefault="00E54EC0">
      <w:pPr>
        <w:ind w:firstLine="360"/>
        <w:divId w:val="194271743"/>
        <w:rPr>
          <w:rFonts w:eastAsia="Times New Roman"/>
        </w:rPr>
      </w:pPr>
      <w:r>
        <w:rPr>
          <w:rFonts w:eastAsia="Times New Roman"/>
          <w:color w:val="000000"/>
          <w:sz w:val="20"/>
          <w:szCs w:val="20"/>
        </w:rPr>
        <w:t>The foregoing description of the Letter Agreement does not purport to be complete and is qualified in its entirety by reference to the full text of the Letter Agreement, a copy of which is attached hereto as Exhibit 10.2.6 to this Form 10-K and is incorpor</w:t>
      </w:r>
      <w:r>
        <w:rPr>
          <w:rFonts w:eastAsia="Times New Roman"/>
          <w:color w:val="000000"/>
          <w:sz w:val="20"/>
          <w:szCs w:val="20"/>
        </w:rPr>
        <w:t>ated herein by reference.</w:t>
      </w:r>
    </w:p>
    <w:p w:rsidR="00000000" w:rsidRDefault="00E54EC0">
      <w:pPr>
        <w:divId w:val="476192438"/>
        <w:rPr>
          <w:rFonts w:eastAsia="Times New Roman"/>
        </w:rPr>
      </w:pPr>
      <w:r>
        <w:rPr>
          <w:rFonts w:eastAsia="Times New Roman"/>
          <w:b/>
          <w:bCs/>
          <w:color w:val="000000"/>
          <w:sz w:val="20"/>
          <w:szCs w:val="20"/>
        </w:rPr>
        <w:t>Part II, Item 9C.</w:t>
      </w:r>
    </w:p>
    <w:p w:rsidR="00000000" w:rsidRDefault="00E54EC0">
      <w:pPr>
        <w:jc w:val="center"/>
        <w:divId w:val="782923336"/>
        <w:rPr>
          <w:rFonts w:eastAsia="Times New Roman"/>
        </w:rPr>
      </w:pPr>
      <w:r>
        <w:rPr>
          <w:rFonts w:eastAsia="Times New Roman"/>
          <w:b/>
          <w:bCs/>
          <w:color w:val="000000"/>
          <w:sz w:val="20"/>
          <w:szCs w:val="20"/>
        </w:rPr>
        <w:t>DISCLOSURE REGARDING FOREIGN JURISDICTIONS THAT PREVENT INSPECTIONS</w:t>
      </w:r>
    </w:p>
    <w:p w:rsidR="00000000" w:rsidRDefault="00E54EC0">
      <w:pPr>
        <w:divId w:val="1095713381"/>
        <w:rPr>
          <w:rFonts w:eastAsia="Times New Roman"/>
        </w:rPr>
      </w:pPr>
    </w:p>
    <w:p w:rsidR="00000000" w:rsidRDefault="00E54EC0">
      <w:pPr>
        <w:divId w:val="933904148"/>
        <w:rPr>
          <w:rFonts w:eastAsia="Times New Roman"/>
        </w:rPr>
      </w:pPr>
      <w:r>
        <w:rPr>
          <w:rFonts w:eastAsia="Times New Roman"/>
          <w:color w:val="000000"/>
          <w:sz w:val="20"/>
          <w:szCs w:val="20"/>
        </w:rPr>
        <w:t>Not applicable.</w:t>
      </w:r>
    </w:p>
    <w:p w:rsidR="00000000" w:rsidRDefault="00E54EC0">
      <w:pPr>
        <w:divId w:val="1864979794"/>
        <w:rPr>
          <w:rFonts w:eastAsia="Times New Roman"/>
        </w:rPr>
      </w:pPr>
    </w:p>
    <w:p w:rsidR="00000000" w:rsidRDefault="00E54EC0">
      <w:pPr>
        <w:divId w:val="1177231486"/>
        <w:rPr>
          <w:rFonts w:eastAsia="Times New Roman"/>
        </w:rPr>
      </w:pPr>
      <w:r>
        <w:rPr>
          <w:rFonts w:eastAsia="Times New Roman"/>
          <w:b/>
          <w:bCs/>
          <w:color w:val="000000"/>
          <w:sz w:val="20"/>
          <w:szCs w:val="20"/>
        </w:rPr>
        <w:t>Part III, Item 10.</w:t>
      </w:r>
      <w:r>
        <w:rPr>
          <w:rFonts w:eastAsia="Times New Roman"/>
          <w:color w:val="000000"/>
          <w:sz w:val="20"/>
          <w:szCs w:val="20"/>
        </w:rPr>
        <w:t xml:space="preserve"> </w:t>
      </w:r>
    </w:p>
    <w:p w:rsidR="00000000" w:rsidRDefault="00E54EC0">
      <w:pPr>
        <w:jc w:val="center"/>
        <w:divId w:val="437062237"/>
        <w:rPr>
          <w:rFonts w:eastAsia="Times New Roman"/>
        </w:rPr>
      </w:pPr>
      <w:r>
        <w:rPr>
          <w:rFonts w:eastAsia="Times New Roman"/>
          <w:b/>
          <w:bCs/>
          <w:color w:val="000000"/>
          <w:sz w:val="20"/>
          <w:szCs w:val="20"/>
        </w:rPr>
        <w:t>DIRECTORS, EXECUTIVE OFFICERS AND CORPORATE GOVERNANCE</w:t>
      </w:r>
      <w:r>
        <w:rPr>
          <w:rFonts w:eastAsia="Times New Roman"/>
          <w:color w:val="000000"/>
          <w:sz w:val="20"/>
          <w:szCs w:val="20"/>
        </w:rPr>
        <w:t xml:space="preserve"> </w:t>
      </w:r>
    </w:p>
    <w:p w:rsidR="00000000" w:rsidRDefault="00E54EC0">
      <w:pPr>
        <w:ind w:firstLine="360"/>
        <w:divId w:val="329454500"/>
        <w:rPr>
          <w:rFonts w:eastAsia="Times New Roman"/>
        </w:rPr>
      </w:pPr>
      <w:r>
        <w:rPr>
          <w:rFonts w:eastAsia="Times New Roman"/>
          <w:color w:val="000000"/>
          <w:sz w:val="20"/>
          <w:szCs w:val="20"/>
        </w:rPr>
        <w:t>The information required by this item is incorporated by reference to, and will be contained in, the Company’s 2023 Proxy Statement.</w:t>
      </w:r>
    </w:p>
    <w:p w:rsidR="00000000" w:rsidRDefault="00E54EC0">
      <w:pPr>
        <w:divId w:val="280573712"/>
        <w:rPr>
          <w:rFonts w:eastAsia="Times New Roman"/>
        </w:rPr>
      </w:pPr>
      <w:r>
        <w:rPr>
          <w:rFonts w:eastAsia="Times New Roman"/>
          <w:b/>
          <w:bCs/>
          <w:color w:val="000000"/>
          <w:sz w:val="20"/>
          <w:szCs w:val="20"/>
        </w:rPr>
        <w:t xml:space="preserve">Part III, Item 11. </w:t>
      </w:r>
    </w:p>
    <w:p w:rsidR="00000000" w:rsidRDefault="00E54EC0">
      <w:pPr>
        <w:jc w:val="center"/>
        <w:divId w:val="1992370508"/>
        <w:rPr>
          <w:rFonts w:eastAsia="Times New Roman"/>
        </w:rPr>
      </w:pPr>
      <w:r>
        <w:rPr>
          <w:rFonts w:eastAsia="Times New Roman"/>
          <w:b/>
          <w:bCs/>
          <w:color w:val="000000"/>
          <w:sz w:val="20"/>
          <w:szCs w:val="20"/>
        </w:rPr>
        <w:t xml:space="preserve">EXECUTIVE COMPENSATION </w:t>
      </w:r>
    </w:p>
    <w:p w:rsidR="00000000" w:rsidRDefault="00E54EC0">
      <w:pPr>
        <w:ind w:firstLine="360"/>
        <w:divId w:val="1768112874"/>
        <w:rPr>
          <w:rFonts w:eastAsia="Times New Roman"/>
        </w:rPr>
      </w:pPr>
      <w:r>
        <w:rPr>
          <w:rFonts w:eastAsia="Times New Roman"/>
          <w:color w:val="000000"/>
          <w:sz w:val="20"/>
          <w:szCs w:val="20"/>
        </w:rPr>
        <w:t>The information require</w:t>
      </w:r>
      <w:r>
        <w:rPr>
          <w:rFonts w:eastAsia="Times New Roman"/>
          <w:color w:val="000000"/>
          <w:sz w:val="20"/>
          <w:szCs w:val="20"/>
        </w:rPr>
        <w:t>d by this item is incorporated by reference to, and will be contained in, the Company’s 2023 Proxy Statement.</w:t>
      </w:r>
    </w:p>
    <w:p w:rsidR="00000000" w:rsidRDefault="00E54EC0">
      <w:pPr>
        <w:divId w:val="499347680"/>
        <w:rPr>
          <w:rFonts w:eastAsia="Times New Roman"/>
        </w:rPr>
      </w:pPr>
      <w:r>
        <w:rPr>
          <w:rFonts w:eastAsia="Times New Roman"/>
          <w:b/>
          <w:bCs/>
          <w:color w:val="000000"/>
          <w:sz w:val="20"/>
          <w:szCs w:val="20"/>
        </w:rPr>
        <w:t>Part III, Item 12.</w:t>
      </w:r>
      <w:r>
        <w:rPr>
          <w:rFonts w:eastAsia="Times New Roman"/>
          <w:color w:val="000000"/>
          <w:sz w:val="20"/>
          <w:szCs w:val="20"/>
        </w:rPr>
        <w:t xml:space="preserve"> </w:t>
      </w:r>
    </w:p>
    <w:p w:rsidR="00000000" w:rsidRDefault="00E54EC0">
      <w:pPr>
        <w:jc w:val="center"/>
        <w:divId w:val="1536310853"/>
        <w:rPr>
          <w:rFonts w:eastAsia="Times New Roman"/>
        </w:rPr>
      </w:pPr>
      <w:r>
        <w:rPr>
          <w:rFonts w:eastAsia="Times New Roman"/>
          <w:b/>
          <w:bCs/>
          <w:color w:val="000000"/>
          <w:sz w:val="20"/>
          <w:szCs w:val="20"/>
        </w:rPr>
        <w:t>SECURITY OWNERSHIP OF CERTAIN BENEFICIAL OWNERS AND MANAGEMENT AND RELATED STOCKHOLDER MATTERS</w:t>
      </w:r>
      <w:r>
        <w:rPr>
          <w:rFonts w:eastAsia="Times New Roman"/>
          <w:color w:val="000000"/>
          <w:sz w:val="20"/>
          <w:szCs w:val="20"/>
        </w:rPr>
        <w:t xml:space="preserve"> </w:t>
      </w:r>
    </w:p>
    <w:p w:rsidR="00000000" w:rsidRDefault="00E54EC0">
      <w:pPr>
        <w:divId w:val="63069052"/>
        <w:rPr>
          <w:rFonts w:eastAsia="Times New Roman"/>
        </w:rPr>
      </w:pPr>
      <w:r>
        <w:rPr>
          <w:rFonts w:eastAsia="Times New Roman"/>
          <w:b/>
          <w:bCs/>
          <w:color w:val="000000"/>
          <w:sz w:val="20"/>
          <w:szCs w:val="20"/>
        </w:rPr>
        <w:t>Equity Compensation Plan Infor</w:t>
      </w:r>
      <w:r>
        <w:rPr>
          <w:rFonts w:eastAsia="Times New Roman"/>
          <w:b/>
          <w:bCs/>
          <w:color w:val="000000"/>
          <w:sz w:val="20"/>
          <w:szCs w:val="20"/>
        </w:rPr>
        <w:t xml:space="preserve">mation </w:t>
      </w:r>
    </w:p>
    <w:p w:rsidR="00000000" w:rsidRDefault="00E54EC0">
      <w:pPr>
        <w:jc w:val="center"/>
        <w:divId w:val="1212377897"/>
        <w:rPr>
          <w:rFonts w:eastAsia="Times New Roman"/>
        </w:rPr>
      </w:pPr>
      <w:r>
        <w:rPr>
          <w:rFonts w:eastAsia="Times New Roman"/>
          <w:color w:val="000000"/>
          <w:sz w:val="20"/>
          <w:szCs w:val="20"/>
        </w:rPr>
        <w:t>240</w:t>
      </w:r>
    </w:p>
    <w:p w:rsidR="00000000" w:rsidRDefault="00E54EC0">
      <w:pPr>
        <w:rPr>
          <w:rFonts w:eastAsia="Times New Roman"/>
        </w:rPr>
      </w:pPr>
      <w:r>
        <w:rPr>
          <w:rFonts w:eastAsia="Times New Roman"/>
        </w:rPr>
        <w:pict>
          <v:rect id="_x0000_i1278" style="width:0;height:1.5pt" o:hralign="center" o:hrstd="t" o:hr="t" fillcolor="#a0a0a0" stroked="f"/>
        </w:pict>
      </w:r>
    </w:p>
    <w:p w:rsidR="00000000" w:rsidRDefault="00E54EC0">
      <w:pPr>
        <w:divId w:val="71435851"/>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ind w:firstLine="360"/>
        <w:jc w:val="both"/>
        <w:divId w:val="144786127"/>
        <w:rPr>
          <w:rFonts w:eastAsia="Times New Roman"/>
        </w:rPr>
      </w:pPr>
      <w:r>
        <w:rPr>
          <w:rFonts w:eastAsia="Times New Roman"/>
          <w:color w:val="000000"/>
          <w:sz w:val="20"/>
          <w:szCs w:val="20"/>
        </w:rPr>
        <w:t>The following table provides information as of December 31, 2022, regarding securities authorized for issuance under our equity co</w:t>
      </w:r>
      <w:r>
        <w:rPr>
          <w:rFonts w:eastAsia="Times New Roman"/>
          <w:color w:val="000000"/>
          <w:sz w:val="20"/>
          <w:szCs w:val="20"/>
        </w:rPr>
        <w:t>mpensation plans. All outstanding awards relate to our common stock. For additional information about our equity compensation plans, see Note 15 of Notes to the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2652"/>
        <w:gridCol w:w="36"/>
        <w:gridCol w:w="69"/>
        <w:gridCol w:w="1302"/>
        <w:gridCol w:w="36"/>
        <w:gridCol w:w="69"/>
        <w:gridCol w:w="174"/>
        <w:gridCol w:w="36"/>
        <w:gridCol w:w="69"/>
        <w:gridCol w:w="1253"/>
        <w:gridCol w:w="36"/>
        <w:gridCol w:w="70"/>
        <w:gridCol w:w="175"/>
        <w:gridCol w:w="36"/>
        <w:gridCol w:w="70"/>
        <w:gridCol w:w="2118"/>
        <w:gridCol w:w="36"/>
      </w:tblGrid>
      <w:tr w:rsidR="00000000">
        <w:trPr>
          <w:divId w:val="1091970175"/>
        </w:trPr>
        <w:tc>
          <w:tcPr>
            <w:tcW w:w="50" w:type="pct"/>
            <w:vAlign w:val="center"/>
            <w:hideMark/>
          </w:tcPr>
          <w:p w:rsidR="00000000" w:rsidRDefault="00E54EC0">
            <w:pPr>
              <w:ind w:firstLine="360"/>
              <w:jc w:val="both"/>
              <w:rPr>
                <w:rFonts w:eastAsia="Times New Roman"/>
              </w:rPr>
            </w:pPr>
          </w:p>
        </w:tc>
        <w:tc>
          <w:tcPr>
            <w:tcW w:w="1604"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9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76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1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1282"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091970175"/>
        </w:trPr>
        <w:tc>
          <w:tcPr>
            <w:tcW w:w="0" w:type="auto"/>
            <w:gridSpan w:val="3"/>
            <w:tcMar>
              <w:top w:w="30" w:type="dxa"/>
              <w:left w:w="20" w:type="dxa"/>
              <w:bottom w:w="30" w:type="dxa"/>
              <w:right w:w="20" w:type="dxa"/>
            </w:tcMar>
            <w:vAlign w:val="bottom"/>
            <w:hideMark/>
          </w:tcPr>
          <w:p w:rsidR="00000000" w:rsidRDefault="00E54EC0">
            <w:pPr>
              <w:spacing w:after="100"/>
              <w:divId w:val="420952158"/>
              <w:rPr>
                <w:rFonts w:eastAsia="Times New Roman"/>
              </w:rPr>
            </w:pPr>
            <w:r>
              <w:rPr>
                <w:rFonts w:eastAsia="Times New Roman"/>
                <w:b/>
                <w:bCs/>
                <w:color w:val="000000"/>
                <w:sz w:val="16"/>
                <w:szCs w:val="16"/>
              </w:rPr>
              <w:t>Plan category</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Number of securities to be issued upon exercise of outstanding options, warrants and rights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Weighted-average exercise price of outstanding options, warrants and rights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b/>
                <w:bCs/>
                <w:color w:val="000000"/>
                <w:sz w:val="16"/>
                <w:szCs w:val="16"/>
              </w:rPr>
              <w:t>Number of securities remaining available for future issuance under equity compensation plans (excluding securities reflected in column (a))</w:t>
            </w:r>
          </w:p>
        </w:tc>
      </w:tr>
      <w:tr w:rsidR="00000000">
        <w:trPr>
          <w:divId w:val="1091970175"/>
        </w:trPr>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(a)</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(b)</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(c)</w:t>
            </w:r>
          </w:p>
        </w:tc>
      </w:tr>
      <w:tr w:rsidR="00000000">
        <w:trPr>
          <w:divId w:val="109197017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Equity compensation plans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09197017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Omnibus Plan</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7,485,758</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(1)</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21.79</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(2)</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20,262,086</w:t>
            </w:r>
          </w:p>
        </w:tc>
      </w:tr>
      <w:tr w:rsidR="00000000">
        <w:trPr>
          <w:divId w:val="109197017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     Stock Purchase Plan (3) (4)</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5,094,881</w:t>
            </w:r>
          </w:p>
        </w:tc>
      </w:tr>
      <w:tr w:rsidR="00000000">
        <w:trPr>
          <w:divId w:val="1091970175"/>
        </w:trPr>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b/>
                <w:bCs/>
                <w:color w:val="000000"/>
                <w:sz w:val="16"/>
                <w:szCs w:val="16"/>
              </w:rPr>
              <w:t>Equity compensation plans not approved by security holders</w:t>
            </w: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w:t>
            </w:r>
          </w:p>
        </w:tc>
      </w:tr>
      <w:tr w:rsidR="00000000">
        <w:trPr>
          <w:divId w:val="1091970175"/>
        </w:trPr>
        <w:tc>
          <w:tcPr>
            <w:tcW w:w="0" w:type="auto"/>
            <w:gridSpan w:val="3"/>
            <w:shd w:val="clear" w:color="auto" w:fill="FFFFFF"/>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16"/>
                <w:szCs w:val="16"/>
              </w:rPr>
              <w:t>Total</w:t>
            </w:r>
          </w:p>
        </w:tc>
        <w:tc>
          <w:tcPr>
            <w:tcW w:w="0" w:type="auto"/>
            <w:gridSpan w:val="3"/>
            <w:tcBorders>
              <w:top w:val="single" w:sz="4"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7,485,758</w:t>
            </w: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16"/>
                <w:szCs w:val="16"/>
              </w:rPr>
              <w:t>25,356,967</w:t>
            </w:r>
          </w:p>
        </w:tc>
      </w:tr>
    </w:tbl>
    <w:p w:rsidR="00000000" w:rsidRDefault="00E54EC0">
      <w:pPr>
        <w:ind w:hanging="360"/>
        <w:divId w:val="842203713"/>
        <w:rPr>
          <w:rFonts w:eastAsia="Times New Roman"/>
        </w:rPr>
      </w:pPr>
      <w:r>
        <w:rPr>
          <w:rFonts w:eastAsia="Times New Roman"/>
          <w:color w:val="000000"/>
          <w:sz w:val="18"/>
          <w:szCs w:val="18"/>
        </w:rPr>
        <w:t>_____________</w:t>
      </w:r>
    </w:p>
    <w:p w:rsidR="00000000" w:rsidRDefault="00E54EC0">
      <w:pPr>
        <w:ind w:hanging="360"/>
        <w:divId w:val="1880582836"/>
        <w:rPr>
          <w:rFonts w:eastAsia="Times New Roman"/>
        </w:rPr>
      </w:pPr>
      <w:r>
        <w:rPr>
          <w:rFonts w:eastAsia="Times New Roman"/>
          <w:color w:val="000000"/>
          <w:sz w:val="18"/>
          <w:szCs w:val="18"/>
        </w:rPr>
        <w:t>(1)</w:t>
      </w:r>
      <w:r>
        <w:rPr>
          <w:rFonts w:eastAsia="Times New Roman"/>
          <w:color w:val="000000"/>
          <w:sz w:val="18"/>
          <w:szCs w:val="18"/>
        </w:rPr>
        <w:t>Represents 1,907,979 outstanding options, 2,854,295 outstanding RSUs and 2,723,484 outstanding performance shares as of December 31, 2022 under the 2018 &amp; 2019 Omnibus Plan. Totals include dividend equivalents on performance shares of 71,425 and on RSUs of</w:t>
      </w:r>
      <w:r>
        <w:rPr>
          <w:rFonts w:eastAsia="Times New Roman"/>
          <w:color w:val="000000"/>
          <w:sz w:val="18"/>
          <w:szCs w:val="18"/>
        </w:rPr>
        <w:t xml:space="preserve"> 132,751. The number of performance shares represents the number of shares that would be received based on maximum performance, reduced for cancellations through December 31, 2022. The actual number of shares the Compensation Committee will award at the en</w:t>
      </w:r>
      <w:r>
        <w:rPr>
          <w:rFonts w:eastAsia="Times New Roman"/>
          <w:color w:val="000000"/>
          <w:sz w:val="18"/>
          <w:szCs w:val="18"/>
        </w:rPr>
        <w:t>d of each performance period will range between 0% and 200% of the target number of units granted, based upon a measure of the reported performance of the Company relative to stated goals.</w:t>
      </w:r>
    </w:p>
    <w:p w:rsidR="00000000" w:rsidRDefault="00E54EC0">
      <w:pPr>
        <w:ind w:hanging="360"/>
        <w:divId w:val="768698345"/>
        <w:rPr>
          <w:rFonts w:eastAsia="Times New Roman"/>
        </w:rPr>
      </w:pPr>
      <w:r>
        <w:rPr>
          <w:rFonts w:eastAsia="Times New Roman"/>
          <w:color w:val="000000"/>
          <w:sz w:val="18"/>
          <w:szCs w:val="18"/>
        </w:rPr>
        <w:t>(2)Represents the weighted average exercise price of the options di</w:t>
      </w:r>
      <w:r>
        <w:rPr>
          <w:rFonts w:eastAsia="Times New Roman"/>
          <w:color w:val="000000"/>
          <w:sz w:val="18"/>
          <w:szCs w:val="18"/>
        </w:rPr>
        <w:t>sclosed in column (a).</w:t>
      </w:r>
    </w:p>
    <w:p w:rsidR="00000000" w:rsidRDefault="00E54EC0">
      <w:pPr>
        <w:ind w:hanging="360"/>
        <w:divId w:val="2038774909"/>
        <w:rPr>
          <w:rFonts w:eastAsia="Times New Roman"/>
        </w:rPr>
      </w:pPr>
      <w:r>
        <w:rPr>
          <w:rFonts w:eastAsia="Times New Roman"/>
          <w:color w:val="000000"/>
          <w:sz w:val="18"/>
          <w:szCs w:val="18"/>
        </w:rPr>
        <w:t xml:space="preserve">(3) The Equitable Holdings, Inc. Stock Purchase Plan is a non-qualified Employee Stock Purchase Plan to which up to 8,000,000 shares of common stock were authorized for issuance, all of which have been registered on Form S-8. </w:t>
      </w:r>
    </w:p>
    <w:p w:rsidR="00000000" w:rsidRDefault="00E54EC0">
      <w:pPr>
        <w:ind w:hanging="360"/>
        <w:divId w:val="606815100"/>
        <w:rPr>
          <w:rFonts w:eastAsia="Times New Roman"/>
        </w:rPr>
      </w:pPr>
      <w:r>
        <w:rPr>
          <w:rFonts w:eastAsia="Times New Roman"/>
          <w:color w:val="000000"/>
          <w:sz w:val="18"/>
          <w:szCs w:val="18"/>
        </w:rPr>
        <w:t>(4) Th</w:t>
      </w:r>
      <w:r>
        <w:rPr>
          <w:rFonts w:eastAsia="Times New Roman"/>
          <w:color w:val="000000"/>
          <w:sz w:val="18"/>
          <w:szCs w:val="18"/>
        </w:rPr>
        <w:t>rough December 31, 2021, eligible participants received a 15% match on Holdings share purchases up to a maximum of $3,750 per calendar year. Beginning January 1, 2022, eligible participants will receive a 10% match on Holdings share purchases, up to a maxi</w:t>
      </w:r>
      <w:r>
        <w:rPr>
          <w:rFonts w:eastAsia="Times New Roman"/>
          <w:color w:val="000000"/>
          <w:sz w:val="18"/>
          <w:szCs w:val="18"/>
        </w:rPr>
        <w:t>mum of $1,000 per calendar year. Employer matching contributions will be used to purchase additional shares for the participant. Participants may not contribute more than $50,000 through payroll deductions during any calendar year.</w:t>
      </w:r>
    </w:p>
    <w:p w:rsidR="00000000" w:rsidRDefault="00E54EC0">
      <w:pPr>
        <w:ind w:firstLine="360"/>
        <w:divId w:val="2129200797"/>
        <w:rPr>
          <w:rFonts w:eastAsia="Times New Roman"/>
        </w:rPr>
      </w:pPr>
      <w:r>
        <w:rPr>
          <w:rFonts w:eastAsia="Times New Roman"/>
          <w:color w:val="000000"/>
          <w:sz w:val="20"/>
          <w:szCs w:val="20"/>
        </w:rPr>
        <w:t>All of the other informa</w:t>
      </w:r>
      <w:r>
        <w:rPr>
          <w:rFonts w:eastAsia="Times New Roman"/>
          <w:color w:val="000000"/>
          <w:sz w:val="20"/>
          <w:szCs w:val="20"/>
        </w:rPr>
        <w:t>tion required by this item is incorporated by reference to, and will be contained in, the Company’s 2023 Proxy Statement.</w:t>
      </w:r>
    </w:p>
    <w:p w:rsidR="00000000" w:rsidRDefault="00E54EC0">
      <w:pPr>
        <w:divId w:val="956372633"/>
        <w:rPr>
          <w:rFonts w:eastAsia="Times New Roman"/>
        </w:rPr>
      </w:pPr>
      <w:r>
        <w:rPr>
          <w:rFonts w:eastAsia="Times New Roman"/>
          <w:b/>
          <w:bCs/>
          <w:color w:val="000000"/>
          <w:sz w:val="20"/>
          <w:szCs w:val="20"/>
        </w:rPr>
        <w:t>Part III, Item 13.</w:t>
      </w:r>
    </w:p>
    <w:p w:rsidR="00000000" w:rsidRDefault="00E54EC0">
      <w:pPr>
        <w:jc w:val="center"/>
        <w:divId w:val="1982802580"/>
        <w:rPr>
          <w:rFonts w:eastAsia="Times New Roman"/>
        </w:rPr>
      </w:pPr>
      <w:r>
        <w:rPr>
          <w:rFonts w:eastAsia="Times New Roman"/>
          <w:b/>
          <w:bCs/>
          <w:color w:val="000000"/>
          <w:sz w:val="20"/>
          <w:szCs w:val="20"/>
        </w:rPr>
        <w:t>CERTAIN RELATIONSHIPS AND RELATED TRANSACTIONS, AND DIRECTOR INDEPENDENCE</w:t>
      </w:r>
    </w:p>
    <w:p w:rsidR="00000000" w:rsidRDefault="00E54EC0">
      <w:pPr>
        <w:ind w:firstLine="360"/>
        <w:divId w:val="373963376"/>
        <w:rPr>
          <w:rFonts w:eastAsia="Times New Roman"/>
        </w:rPr>
      </w:pPr>
      <w:r>
        <w:rPr>
          <w:rFonts w:eastAsia="Times New Roman"/>
          <w:color w:val="000000"/>
          <w:sz w:val="20"/>
          <w:szCs w:val="20"/>
        </w:rPr>
        <w:t xml:space="preserve">The information required by this item is </w:t>
      </w:r>
      <w:r>
        <w:rPr>
          <w:rFonts w:eastAsia="Times New Roman"/>
          <w:color w:val="000000"/>
          <w:sz w:val="20"/>
          <w:szCs w:val="20"/>
        </w:rPr>
        <w:t>incorporated by reference to, and will be contained in, the Company’s 2023 Proxy Statement.</w:t>
      </w:r>
    </w:p>
    <w:p w:rsidR="00000000" w:rsidRDefault="00E54EC0">
      <w:pPr>
        <w:divId w:val="1905794606"/>
        <w:rPr>
          <w:rFonts w:eastAsia="Times New Roman"/>
        </w:rPr>
      </w:pPr>
      <w:r>
        <w:rPr>
          <w:rFonts w:eastAsia="Times New Roman"/>
          <w:b/>
          <w:bCs/>
          <w:color w:val="000000"/>
          <w:sz w:val="20"/>
          <w:szCs w:val="20"/>
        </w:rPr>
        <w:t xml:space="preserve">Part III, Item 14. </w:t>
      </w:r>
    </w:p>
    <w:p w:rsidR="00000000" w:rsidRDefault="00E54EC0">
      <w:pPr>
        <w:jc w:val="center"/>
        <w:divId w:val="1406954607"/>
        <w:rPr>
          <w:rFonts w:eastAsia="Times New Roman"/>
        </w:rPr>
      </w:pPr>
      <w:r>
        <w:rPr>
          <w:rFonts w:eastAsia="Times New Roman"/>
          <w:b/>
          <w:bCs/>
          <w:color w:val="000000"/>
          <w:sz w:val="20"/>
          <w:szCs w:val="20"/>
        </w:rPr>
        <w:t xml:space="preserve">PRINCIPAL ACCOUNTANT FEES AND SERVICES </w:t>
      </w:r>
    </w:p>
    <w:p w:rsidR="00000000" w:rsidRDefault="00E54EC0">
      <w:pPr>
        <w:ind w:firstLine="360"/>
        <w:divId w:val="2087217825"/>
        <w:rPr>
          <w:rFonts w:eastAsia="Times New Roman"/>
        </w:rPr>
      </w:pPr>
      <w:r>
        <w:rPr>
          <w:rFonts w:eastAsia="Times New Roman"/>
          <w:color w:val="000000"/>
          <w:sz w:val="20"/>
          <w:szCs w:val="20"/>
        </w:rPr>
        <w:t>The information required by this item is incorporated by reference to, and will be contained in, the Company’s 2023 Proxy Statement.</w:t>
      </w:r>
    </w:p>
    <w:p w:rsidR="00000000" w:rsidRDefault="00E54EC0">
      <w:pPr>
        <w:ind w:firstLine="360"/>
        <w:divId w:val="1309359970"/>
        <w:rPr>
          <w:rFonts w:eastAsia="Times New Roman"/>
        </w:rPr>
      </w:pPr>
    </w:p>
    <w:p w:rsidR="00000000" w:rsidRDefault="00E54EC0">
      <w:pPr>
        <w:jc w:val="center"/>
        <w:divId w:val="584412606"/>
        <w:rPr>
          <w:rFonts w:eastAsia="Times New Roman"/>
        </w:rPr>
      </w:pPr>
      <w:r>
        <w:rPr>
          <w:rFonts w:eastAsia="Times New Roman"/>
          <w:color w:val="000000"/>
          <w:sz w:val="20"/>
          <w:szCs w:val="20"/>
        </w:rPr>
        <w:t>241</w:t>
      </w:r>
    </w:p>
    <w:p w:rsidR="00000000" w:rsidRDefault="00E54EC0">
      <w:pPr>
        <w:rPr>
          <w:rFonts w:eastAsia="Times New Roman"/>
        </w:rPr>
      </w:pPr>
      <w:r>
        <w:rPr>
          <w:rFonts w:eastAsia="Times New Roman"/>
        </w:rPr>
        <w:pict>
          <v:rect id="_x0000_i1279" style="width:0;height:1.5pt" o:hralign="center" o:hrstd="t" o:hr="t" fillcolor="#a0a0a0" stroked="f"/>
        </w:pict>
      </w:r>
    </w:p>
    <w:p w:rsidR="00000000" w:rsidRDefault="00E54EC0">
      <w:pPr>
        <w:divId w:val="871460782"/>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divId w:val="541595543"/>
        <w:rPr>
          <w:rFonts w:eastAsia="Times New Roman"/>
        </w:rPr>
      </w:pPr>
      <w:r>
        <w:rPr>
          <w:rFonts w:eastAsia="Times New Roman"/>
          <w:b/>
          <w:bCs/>
          <w:color w:val="000000"/>
          <w:sz w:val="20"/>
          <w:szCs w:val="20"/>
        </w:rPr>
        <w:t>Pa</w:t>
      </w:r>
      <w:r>
        <w:rPr>
          <w:rFonts w:eastAsia="Times New Roman"/>
          <w:b/>
          <w:bCs/>
          <w:color w:val="000000"/>
          <w:sz w:val="20"/>
          <w:szCs w:val="20"/>
        </w:rPr>
        <w:t>rt IV, Item 15.</w:t>
      </w:r>
    </w:p>
    <w:p w:rsidR="00000000" w:rsidRDefault="00E54EC0">
      <w:pPr>
        <w:jc w:val="center"/>
        <w:divId w:val="323320862"/>
        <w:rPr>
          <w:rFonts w:eastAsia="Times New Roman"/>
        </w:rPr>
      </w:pPr>
      <w:r>
        <w:rPr>
          <w:rFonts w:eastAsia="Times New Roman"/>
          <w:b/>
          <w:bCs/>
          <w:color w:val="000000"/>
          <w:sz w:val="20"/>
          <w:szCs w:val="20"/>
        </w:rPr>
        <w:t>EXHIBITS AND FINANCIAL STATEMENT SCHEDULES</w:t>
      </w:r>
      <w:r>
        <w:rPr>
          <w:rFonts w:eastAsia="Times New Roman"/>
          <w:color w:val="000000"/>
          <w:sz w:val="20"/>
          <w:szCs w:val="20"/>
        </w:rPr>
        <w:t xml:space="preserve"> </w:t>
      </w:r>
    </w:p>
    <w:p w:rsidR="00000000" w:rsidRDefault="00E54EC0">
      <w:pPr>
        <w:ind w:firstLine="360"/>
        <w:divId w:val="638152091"/>
        <w:rPr>
          <w:rFonts w:eastAsia="Times New Roman"/>
        </w:rPr>
      </w:pPr>
      <w:r>
        <w:rPr>
          <w:rFonts w:eastAsia="Times New Roman"/>
          <w:color w:val="000000"/>
          <w:sz w:val="20"/>
          <w:szCs w:val="20"/>
        </w:rPr>
        <w:t>The following documents are filed as part of this report:</w:t>
      </w:r>
    </w:p>
    <w:tbl>
      <w:tblPr>
        <w:tblW w:w="9870" w:type="dxa"/>
        <w:jc w:val="center"/>
        <w:tblCellMar>
          <w:top w:w="15" w:type="dxa"/>
          <w:left w:w="15" w:type="dxa"/>
          <w:bottom w:w="15" w:type="dxa"/>
          <w:right w:w="15" w:type="dxa"/>
        </w:tblCellMar>
        <w:tblLook w:val="04A0" w:firstRow="1" w:lastRow="0" w:firstColumn="1" w:lastColumn="0" w:noHBand="0" w:noVBand="1"/>
      </w:tblPr>
      <w:tblGrid>
        <w:gridCol w:w="36"/>
        <w:gridCol w:w="265"/>
        <w:gridCol w:w="36"/>
        <w:gridCol w:w="50"/>
        <w:gridCol w:w="8318"/>
        <w:gridCol w:w="50"/>
        <w:gridCol w:w="36"/>
        <w:gridCol w:w="1043"/>
        <w:gridCol w:w="36"/>
      </w:tblGrid>
      <w:tr w:rsidR="00000000">
        <w:trPr>
          <w:divId w:val="243074499"/>
          <w:jc w:val="center"/>
        </w:trPr>
        <w:tc>
          <w:tcPr>
            <w:tcW w:w="20" w:type="dxa"/>
            <w:vAlign w:val="center"/>
            <w:hideMark/>
          </w:tcPr>
          <w:p w:rsidR="00000000" w:rsidRDefault="00E54EC0">
            <w:pPr>
              <w:ind w:firstLine="360"/>
              <w:rPr>
                <w:rFonts w:eastAsia="Times New Roman"/>
              </w:rPr>
            </w:pPr>
          </w:p>
        </w:tc>
        <w:tc>
          <w:tcPr>
            <w:tcW w:w="365" w:type="dxa"/>
            <w:vAlign w:val="center"/>
            <w:hideMark/>
          </w:tcPr>
          <w:p w:rsidR="00000000" w:rsidRDefault="00E54EC0">
            <w:pPr>
              <w:spacing w:after="100"/>
              <w:rPr>
                <w:rFonts w:eastAsia="Times New Roman"/>
                <w:sz w:val="20"/>
                <w:szCs w:val="20"/>
              </w:rPr>
            </w:pPr>
          </w:p>
        </w:tc>
        <w:tc>
          <w:tcPr>
            <w:tcW w:w="20" w:type="dxa"/>
            <w:vAlign w:val="center"/>
            <w:hideMark/>
          </w:tcPr>
          <w:p w:rsidR="00000000" w:rsidRDefault="00E54EC0">
            <w:pPr>
              <w:spacing w:after="100"/>
              <w:rPr>
                <w:rFonts w:eastAsia="Times New Roman"/>
                <w:sz w:val="20"/>
                <w:szCs w:val="20"/>
              </w:rPr>
            </w:pPr>
          </w:p>
        </w:tc>
        <w:tc>
          <w:tcPr>
            <w:tcW w:w="20" w:type="dxa"/>
            <w:vAlign w:val="center"/>
            <w:hideMark/>
          </w:tcPr>
          <w:p w:rsidR="00000000" w:rsidRDefault="00E54EC0">
            <w:pPr>
              <w:spacing w:after="100"/>
              <w:rPr>
                <w:rFonts w:eastAsia="Times New Roman"/>
                <w:sz w:val="20"/>
                <w:szCs w:val="20"/>
              </w:rPr>
            </w:pPr>
          </w:p>
        </w:tc>
        <w:tc>
          <w:tcPr>
            <w:tcW w:w="8060" w:type="dxa"/>
            <w:vAlign w:val="center"/>
            <w:hideMark/>
          </w:tcPr>
          <w:p w:rsidR="00000000" w:rsidRDefault="00E54EC0">
            <w:pPr>
              <w:spacing w:after="100"/>
              <w:rPr>
                <w:rFonts w:eastAsia="Times New Roman"/>
                <w:sz w:val="20"/>
                <w:szCs w:val="20"/>
              </w:rPr>
            </w:pPr>
          </w:p>
        </w:tc>
        <w:tc>
          <w:tcPr>
            <w:tcW w:w="20" w:type="dxa"/>
            <w:vAlign w:val="center"/>
            <w:hideMark/>
          </w:tcPr>
          <w:p w:rsidR="00000000" w:rsidRDefault="00E54EC0">
            <w:pPr>
              <w:spacing w:after="100"/>
              <w:rPr>
                <w:rFonts w:eastAsia="Times New Roman"/>
                <w:sz w:val="20"/>
                <w:szCs w:val="20"/>
              </w:rPr>
            </w:pPr>
          </w:p>
        </w:tc>
        <w:tc>
          <w:tcPr>
            <w:tcW w:w="20" w:type="dxa"/>
            <w:vAlign w:val="center"/>
            <w:hideMark/>
          </w:tcPr>
          <w:p w:rsidR="00000000" w:rsidRDefault="00E54EC0">
            <w:pPr>
              <w:spacing w:after="100"/>
              <w:rPr>
                <w:rFonts w:eastAsia="Times New Roman"/>
                <w:sz w:val="20"/>
                <w:szCs w:val="20"/>
              </w:rPr>
            </w:pPr>
          </w:p>
        </w:tc>
        <w:tc>
          <w:tcPr>
            <w:tcW w:w="1325" w:type="dxa"/>
            <w:vAlign w:val="center"/>
            <w:hideMark/>
          </w:tcPr>
          <w:p w:rsidR="00000000" w:rsidRDefault="00E54EC0">
            <w:pPr>
              <w:spacing w:after="100"/>
              <w:rPr>
                <w:rFonts w:eastAsia="Times New Roman"/>
                <w:sz w:val="20"/>
                <w:szCs w:val="20"/>
              </w:rPr>
            </w:pPr>
          </w:p>
        </w:tc>
        <w:tc>
          <w:tcPr>
            <w:tcW w:w="20" w:type="dxa"/>
            <w:vAlign w:val="center"/>
            <w:hideMark/>
          </w:tcPr>
          <w:p w:rsidR="00000000" w:rsidRDefault="00E54EC0">
            <w:pPr>
              <w:spacing w:after="100"/>
              <w:rPr>
                <w:rFonts w:eastAsia="Times New Roman"/>
                <w:sz w:val="20"/>
                <w:szCs w:val="20"/>
              </w:rPr>
            </w:pPr>
          </w:p>
        </w:tc>
      </w:tr>
      <w:tr w:rsidR="00000000">
        <w:trPr>
          <w:divId w:val="243074499"/>
          <w:trHeight w:val="30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Page Number</w:t>
            </w:r>
          </w:p>
        </w:tc>
      </w:tr>
      <w:tr w:rsidR="00000000">
        <w:trPr>
          <w:divId w:val="243074499"/>
          <w:trHeight w:val="36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E54EC0">
            <w:pPr>
              <w:spacing w:after="100"/>
              <w:divId w:val="1855613920"/>
              <w:rPr>
                <w:rFonts w:eastAsia="Times New Roman"/>
              </w:rPr>
            </w:pPr>
            <w:hyperlink w:anchor="ifa77335c8c4046aba89b8098f04be9d1_19" w:history="1">
              <w:r>
                <w:rPr>
                  <w:rStyle w:val="a3"/>
                  <w:rFonts w:eastAsia="Times New Roman"/>
                  <w:sz w:val="20"/>
                  <w:szCs w:val="20"/>
                </w:rPr>
                <w:t>Financial Statements—Item 8. Financial Statements and Supplementary Data</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22" w:history="1">
              <w:r>
                <w:rPr>
                  <w:rStyle w:val="a3"/>
                  <w:rFonts w:eastAsia="Times New Roman"/>
                  <w:sz w:val="20"/>
                  <w:szCs w:val="20"/>
                </w:rPr>
                <w:t>125</w:t>
              </w:r>
            </w:hyperlink>
          </w:p>
        </w:tc>
      </w:tr>
      <w:tr w:rsidR="00000000">
        <w:trPr>
          <w:divId w:val="243074499"/>
          <w:trHeight w:val="28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 </w:t>
            </w:r>
          </w:p>
        </w:tc>
      </w:tr>
      <w:tr w:rsidR="00000000">
        <w:trPr>
          <w:divId w:val="243074499"/>
          <w:trHeight w:val="48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divId w:val="216017287"/>
              <w:rPr>
                <w:rFonts w:eastAsia="Times New Roman"/>
              </w:rPr>
            </w:pPr>
            <w:hyperlink w:anchor="ifa77335c8c4046aba89b8098f04be9d1_682" w:history="1">
              <w:r>
                <w:rPr>
                  <w:rStyle w:val="a3"/>
                  <w:rFonts w:eastAsia="Times New Roman"/>
                  <w:sz w:val="20"/>
                  <w:szCs w:val="20"/>
                </w:rPr>
                <w:t>Schedule I—Summary of Investments Other Than Investments in Related Parties as of December 31, 2022</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82" w:history="1">
              <w:r>
                <w:rPr>
                  <w:rStyle w:val="a3"/>
                  <w:rFonts w:eastAsia="Times New Roman"/>
                  <w:sz w:val="20"/>
                  <w:szCs w:val="20"/>
                </w:rPr>
                <w:t>232</w:t>
              </w:r>
            </w:hyperlink>
          </w:p>
        </w:tc>
      </w:tr>
      <w:tr w:rsidR="00000000">
        <w:trPr>
          <w:divId w:val="243074499"/>
          <w:trHeight w:val="48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divId w:val="849635408"/>
              <w:rPr>
                <w:rFonts w:eastAsia="Times New Roman"/>
              </w:rPr>
            </w:pPr>
            <w:hyperlink w:anchor="ifa77335c8c4046aba89b8098f04be9d1_685" w:history="1">
              <w:r>
                <w:rPr>
                  <w:rStyle w:val="a3"/>
                  <w:rFonts w:eastAsia="Times New Roman"/>
                  <w:sz w:val="20"/>
                  <w:szCs w:val="20"/>
                </w:rPr>
                <w:t>Schedule II—Condensed Financial Information of Parent Company as of December 31, 2022 and 2021, and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85" w:history="1">
              <w:r>
                <w:rPr>
                  <w:rStyle w:val="a3"/>
                  <w:rFonts w:eastAsia="Times New Roman"/>
                  <w:sz w:val="20"/>
                  <w:szCs w:val="20"/>
                </w:rPr>
                <w:t>233</w:t>
              </w:r>
            </w:hyperlink>
          </w:p>
        </w:tc>
      </w:tr>
      <w:tr w:rsidR="00000000">
        <w:trPr>
          <w:divId w:val="243074499"/>
          <w:trHeight w:val="48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divId w:val="1667896551"/>
              <w:rPr>
                <w:rFonts w:eastAsia="Times New Roman"/>
              </w:rPr>
            </w:pPr>
            <w:hyperlink w:anchor="ifa77335c8c4046aba89b8098f04be9d1_691" w:history="1">
              <w:r>
                <w:rPr>
                  <w:rStyle w:val="a3"/>
                  <w:rFonts w:eastAsia="Times New Roman"/>
                  <w:sz w:val="20"/>
                  <w:szCs w:val="20"/>
                </w:rPr>
                <w:t>Schedule III—</w:t>
              </w:r>
              <w:r>
                <w:rPr>
                  <w:rStyle w:val="a3"/>
                  <w:rFonts w:eastAsia="Times New Roman"/>
                  <w:sz w:val="20"/>
                  <w:szCs w:val="20"/>
                </w:rPr>
                <w:t>Supplementary Insurance Information as of December 31, 2022 and 2021 and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91" w:history="1">
              <w:r>
                <w:rPr>
                  <w:rStyle w:val="a3"/>
                  <w:rFonts w:eastAsia="Times New Roman"/>
                  <w:sz w:val="20"/>
                  <w:szCs w:val="20"/>
                </w:rPr>
                <w:t>237</w:t>
              </w:r>
            </w:hyperlink>
          </w:p>
        </w:tc>
      </w:tr>
      <w:tr w:rsidR="00000000">
        <w:trPr>
          <w:divId w:val="243074499"/>
          <w:trHeight w:val="30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54EC0">
            <w:pPr>
              <w:spacing w:after="100"/>
              <w:divId w:val="1817719287"/>
              <w:rPr>
                <w:rFonts w:eastAsia="Times New Roman"/>
              </w:rPr>
            </w:pPr>
            <w:hyperlink w:anchor="ifa77335c8c4046aba89b8098f04be9d1_694" w:history="1">
              <w:r>
                <w:rPr>
                  <w:rStyle w:val="a3"/>
                  <w:rFonts w:eastAsia="Times New Roman"/>
                  <w:sz w:val="20"/>
                  <w:szCs w:val="20"/>
                </w:rPr>
                <w:t>Schedule IV—Reinsurance for the Years Ended December 31, 2022, 2021 and 2020</w:t>
              </w:r>
            </w:hyperlink>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694" w:history="1">
              <w:r>
                <w:rPr>
                  <w:rStyle w:val="a3"/>
                  <w:rFonts w:eastAsia="Times New Roman"/>
                  <w:sz w:val="20"/>
                  <w:szCs w:val="20"/>
                </w:rPr>
                <w:t>238</w:t>
              </w:r>
            </w:hyperlink>
          </w:p>
        </w:tc>
      </w:tr>
      <w:tr w:rsidR="00000000">
        <w:trPr>
          <w:divId w:val="243074499"/>
          <w:trHeight w:val="300"/>
          <w:jc w:val="center"/>
        </w:trPr>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E54EC0">
            <w:pPr>
              <w:spacing w:after="100"/>
              <w:divId w:val="1899438227"/>
              <w:rPr>
                <w:rFonts w:eastAsia="Times New Roman"/>
              </w:rPr>
            </w:pPr>
            <w:r>
              <w:rPr>
                <w:rFonts w:eastAsia="Times New Roman"/>
                <w:color w:val="000000"/>
                <w:sz w:val="20"/>
                <w:szCs w:val="20"/>
              </w:rPr>
              <w:t xml:space="preserve">Exhibits: See the accompanying </w:t>
            </w:r>
            <w:hyperlink w:anchor="ifa77335c8c4046aba89b8098f04be9d1_742" w:history="1">
              <w:r>
                <w:rPr>
                  <w:rStyle w:val="a3"/>
                  <w:rFonts w:eastAsia="Times New Roman"/>
                  <w:sz w:val="20"/>
                  <w:szCs w:val="20"/>
                </w:rPr>
                <w:t>Index to Exhibits</w:t>
              </w:r>
            </w:hyperlink>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hyperlink w:anchor="ifa77335c8c4046aba89b8098f04be9d1_742" w:history="1">
              <w:r>
                <w:rPr>
                  <w:rStyle w:val="a3"/>
                  <w:rFonts w:eastAsia="Times New Roman"/>
                  <w:sz w:val="20"/>
                  <w:szCs w:val="20"/>
                </w:rPr>
                <w:t>249</w:t>
              </w:r>
            </w:hyperlink>
          </w:p>
        </w:tc>
      </w:tr>
    </w:tbl>
    <w:p w:rsidR="00000000" w:rsidRDefault="00E54EC0">
      <w:pPr>
        <w:divId w:val="211113745"/>
        <w:rPr>
          <w:rFonts w:eastAsia="Times New Roman"/>
        </w:rPr>
      </w:pPr>
    </w:p>
    <w:p w:rsidR="00000000" w:rsidRDefault="00E54EC0">
      <w:pPr>
        <w:divId w:val="1076901804"/>
        <w:rPr>
          <w:rFonts w:eastAsia="Times New Roman"/>
        </w:rPr>
      </w:pPr>
      <w:r>
        <w:rPr>
          <w:rFonts w:eastAsia="Times New Roman"/>
          <w:b/>
          <w:bCs/>
          <w:color w:val="000000"/>
          <w:sz w:val="20"/>
          <w:szCs w:val="20"/>
        </w:rPr>
        <w:t>Part IV, Item 16.</w:t>
      </w:r>
      <w:r>
        <w:rPr>
          <w:rFonts w:eastAsia="Times New Roman"/>
          <w:color w:val="000000"/>
          <w:sz w:val="20"/>
          <w:szCs w:val="20"/>
        </w:rPr>
        <w:t xml:space="preserve"> </w:t>
      </w:r>
    </w:p>
    <w:p w:rsidR="00000000" w:rsidRDefault="00E54EC0">
      <w:pPr>
        <w:jc w:val="center"/>
        <w:divId w:val="1803113254"/>
        <w:rPr>
          <w:rFonts w:eastAsia="Times New Roman"/>
        </w:rPr>
      </w:pPr>
      <w:r>
        <w:rPr>
          <w:rFonts w:eastAsia="Times New Roman"/>
          <w:b/>
          <w:bCs/>
          <w:color w:val="000000"/>
          <w:sz w:val="20"/>
          <w:szCs w:val="20"/>
        </w:rPr>
        <w:t>FORM 10-K SUMMARY</w:t>
      </w:r>
      <w:r>
        <w:rPr>
          <w:rFonts w:eastAsia="Times New Roman"/>
          <w:color w:val="000000"/>
          <w:sz w:val="20"/>
          <w:szCs w:val="20"/>
        </w:rPr>
        <w:t xml:space="preserve"> </w:t>
      </w:r>
    </w:p>
    <w:p w:rsidR="00000000" w:rsidRDefault="00E54EC0">
      <w:pPr>
        <w:divId w:val="70322072"/>
        <w:rPr>
          <w:rFonts w:eastAsia="Times New Roman"/>
        </w:rPr>
      </w:pPr>
      <w:r>
        <w:rPr>
          <w:rFonts w:eastAsia="Times New Roman"/>
          <w:color w:val="000000"/>
          <w:sz w:val="20"/>
          <w:szCs w:val="20"/>
        </w:rPr>
        <w:t>None.</w:t>
      </w:r>
    </w:p>
    <w:p w:rsidR="00000000" w:rsidRDefault="00E54EC0">
      <w:pPr>
        <w:divId w:val="1850824428"/>
        <w:rPr>
          <w:rFonts w:eastAsia="Times New Roman"/>
        </w:rPr>
      </w:pPr>
    </w:p>
    <w:p w:rsidR="00000000" w:rsidRDefault="00E54EC0">
      <w:pPr>
        <w:jc w:val="center"/>
        <w:divId w:val="1077703956"/>
        <w:rPr>
          <w:rFonts w:eastAsia="Times New Roman"/>
        </w:rPr>
      </w:pPr>
      <w:r>
        <w:rPr>
          <w:rFonts w:eastAsia="Times New Roman"/>
          <w:b/>
          <w:bCs/>
          <w:color w:val="000000"/>
          <w:sz w:val="20"/>
          <w:szCs w:val="20"/>
        </w:rPr>
        <w:t>GLOSSARY</w:t>
      </w:r>
    </w:p>
    <w:p w:rsidR="00000000" w:rsidRDefault="00E54EC0">
      <w:pPr>
        <w:divId w:val="883058116"/>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516817065"/>
          <w:jc w:val="center"/>
        </w:trPr>
        <w:tc>
          <w:tcPr>
            <w:tcW w:w="50" w:type="pct"/>
            <w:vAlign w:val="center"/>
            <w:hideMark/>
          </w:tcPr>
          <w:p w:rsidR="00000000" w:rsidRDefault="00E54EC0">
            <w:pP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E54EC0">
            <w:pPr>
              <w:spacing w:after="100"/>
              <w:divId w:val="889074931"/>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Annualized Premium</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100% of first year recurring premiums (up to target) and 10% of excess first year premiums or first year premiums from single premium products.</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Calculated as the overall aggregate RBC ratio for the Company’s insurance subsidiaries including capital held for its life insurance and variable annuity liabilities and non-variable an</w:t>
            </w:r>
            <w:r>
              <w:rPr>
                <w:rFonts w:eastAsia="Times New Roman"/>
                <w:color w:val="000000"/>
                <w:sz w:val="20"/>
                <w:szCs w:val="20"/>
              </w:rPr>
              <w:t>nuity insurance liabilities.</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E54EC0">
            <w:pPr>
              <w:spacing w:after="100"/>
              <w:divId w:val="2017226839"/>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w:t>
            </w:r>
            <w:r>
              <w:rPr>
                <w:rFonts w:eastAsia="Times New Roman"/>
                <w:color w:val="000000"/>
                <w:sz w:val="20"/>
                <w:szCs w:val="20"/>
              </w:rPr>
              <w:t>x). Example: CTE95 represents the worst five percent of scenarios.</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516817065"/>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516817065"/>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1614970053"/>
        <w:rPr>
          <w:rFonts w:eastAsia="Times New Roman"/>
        </w:rPr>
      </w:pPr>
      <w:r>
        <w:rPr>
          <w:rFonts w:eastAsia="Times New Roman"/>
          <w:color w:val="000000"/>
          <w:sz w:val="20"/>
          <w:szCs w:val="20"/>
        </w:rPr>
        <w:t>242</w:t>
      </w:r>
    </w:p>
    <w:p w:rsidR="00000000" w:rsidRDefault="00E54EC0">
      <w:pPr>
        <w:rPr>
          <w:rFonts w:eastAsia="Times New Roman"/>
        </w:rPr>
      </w:pPr>
      <w:r>
        <w:rPr>
          <w:rFonts w:eastAsia="Times New Roman"/>
        </w:rPr>
        <w:pict>
          <v:rect id="_x0000_i1280" style="width:0;height:1.5pt" o:hralign="center" o:hrstd="t" o:hr="t" fillcolor="#a0a0a0" stroked="f"/>
        </w:pict>
      </w:r>
    </w:p>
    <w:p w:rsidR="00000000" w:rsidRDefault="00E54EC0">
      <w:pPr>
        <w:divId w:val="241263051"/>
        <w:rPr>
          <w:rFonts w:eastAsia="Times New Roman"/>
        </w:rPr>
      </w:pPr>
      <w:hyperlink w:anchor="ifa77335c8c4046aba89b8098f04be9d1_508"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divId w:val="1503662246"/>
          <w:jc w:val="center"/>
        </w:trPr>
        <w:tc>
          <w:tcPr>
            <w:tcW w:w="50" w:type="pct"/>
            <w:vAlign w:val="center"/>
            <w:hideMark/>
          </w:tcPr>
          <w:p w:rsidR="00000000" w:rsidRDefault="00E54EC0">
            <w:pP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503662246"/>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Represent amounts that are credited to a policyholder’s account balance that are higher than the e</w:t>
            </w:r>
            <w:r>
              <w:rPr>
                <w:rFonts w:eastAsia="Times New Roman"/>
                <w:color w:val="000000"/>
                <w:sz w:val="20"/>
                <w:szCs w:val="20"/>
              </w:rPr>
              <w:t>xpected crediting rates on similar contracts without such an inducement and that are an incentive to purchase a contract and also meet the accounting criteria to be deferred as an asset that is amortized over the life of the contract.</w:t>
            </w:r>
          </w:p>
        </w:tc>
      </w:tr>
      <w:tr w:rsidR="00000000">
        <w:trPr>
          <w:divId w:val="1503662246"/>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03662246"/>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Revenue from fees and related items, including policy charges and fee income, premiums, investment management and service fees, and other income.</w:t>
            </w:r>
          </w:p>
        </w:tc>
      </w:tr>
      <w:tr w:rsidR="00000000">
        <w:trPr>
          <w:divId w:val="1503662246"/>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503662246"/>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E54EC0">
            <w:pPr>
              <w:jc w:val="cente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P&amp;C</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Property and casualty.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 and deposits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Amounts a policyholder agrees to pay for an insurance policy or annuity contract that may be paid in one or a series of payments as defined by the terms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Equals the aggregate value of Policyholders’ account balances and Future policy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Insurance policies purchased by insurers to limit the total loss they would experience from an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w:t>
            </w:r>
            <w:r>
              <w:rPr>
                <w:rFonts w:eastAsia="Times New Roman"/>
                <w:color w:val="000000"/>
                <w:sz w:val="20"/>
                <w:szCs w:val="20"/>
              </w:rPr>
              <w:t>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Primarily consists 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457(b)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deferred compensation plan that is available to governmental and certain non-governmental employers. 457(b)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Accumulation phase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The phase of a variable annuity contract during which assets accumulate based on the policyholder’s lump sum or periodic deposits and reinvested interest, capital gains and dividends that are generally tax-deferred.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Refers to individua</w:t>
            </w:r>
            <w:r>
              <w:rPr>
                <w:rFonts w:eastAsia="Times New Roman"/>
                <w:color w:val="000000"/>
                <w:sz w:val="20"/>
                <w:szCs w:val="20"/>
              </w:rPr>
              <w:t>ls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The person who receives annuity payments or the person whose life expectancy determines the amount of variable annuity payments upon annuitization of an annuity to 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The process of converting an annuity investment </w:t>
            </w:r>
            <w:r>
              <w:rPr>
                <w:rFonts w:eastAsia="Times New Roman"/>
                <w:color w:val="000000"/>
                <w:sz w:val="20"/>
                <w:szCs w:val="20"/>
              </w:rPr>
              <w:t>into a series of periodic income payments, generally for life.</w:t>
            </w:r>
          </w:p>
        </w:tc>
      </w:tr>
    </w:tbl>
    <w:p w:rsidR="00000000" w:rsidRDefault="00E54EC0">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8"/>
        <w:gridCol w:w="37"/>
        <w:gridCol w:w="69"/>
        <w:gridCol w:w="5197"/>
        <w:gridCol w:w="37"/>
      </w:tblGrid>
      <w:tr w:rsidR="00000000">
        <w:trPr>
          <w:jc w:val="center"/>
        </w:trPr>
        <w:tc>
          <w:tcPr>
            <w:tcW w:w="50" w:type="pct"/>
            <w:vAlign w:val="center"/>
            <w:hideMark/>
          </w:tcPr>
          <w:p w:rsidR="00000000" w:rsidRDefault="00E54EC0">
            <w:pPr>
              <w:jc w:val="cente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The amount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1584488229"/>
        <w:rPr>
          <w:rFonts w:eastAsia="Times New Roman"/>
        </w:rPr>
      </w:pPr>
      <w:r>
        <w:rPr>
          <w:rFonts w:eastAsia="Times New Roman"/>
          <w:color w:val="000000"/>
          <w:sz w:val="20"/>
          <w:szCs w:val="20"/>
        </w:rPr>
        <w:t>243</w:t>
      </w:r>
    </w:p>
    <w:p w:rsidR="00000000" w:rsidRDefault="00E54EC0">
      <w:pPr>
        <w:rPr>
          <w:rFonts w:eastAsia="Times New Roman"/>
        </w:rPr>
      </w:pPr>
      <w:r>
        <w:rPr>
          <w:rFonts w:eastAsia="Times New Roman"/>
        </w:rPr>
        <w:pict>
          <v:rect id="_x0000_i1281" style="width:0;height:1.5pt" o:hralign="center" o:hrstd="t" o:hr="t" fillcolor="#a0a0a0" stroked="f"/>
        </w:pict>
      </w:r>
    </w:p>
    <w:p w:rsidR="00000000" w:rsidRDefault="00E54EC0">
      <w:pPr>
        <w:divId w:val="874926100"/>
        <w:rPr>
          <w:rFonts w:eastAsia="Times New Roman"/>
        </w:rPr>
      </w:pPr>
      <w:hyperlink w:anchor="ifa77335c8c4046aba89b8098f04be9d1_508"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8"/>
        <w:gridCol w:w="37"/>
        <w:gridCol w:w="69"/>
        <w:gridCol w:w="5197"/>
        <w:gridCol w:w="37"/>
      </w:tblGrid>
      <w:tr w:rsidR="00000000">
        <w:trPr>
          <w:jc w:val="center"/>
        </w:trPr>
        <w:tc>
          <w:tcPr>
            <w:tcW w:w="50" w:type="pct"/>
            <w:vAlign w:val="center"/>
            <w:hideMark/>
          </w:tcPr>
          <w:p w:rsidR="00000000" w:rsidRDefault="00E54EC0">
            <w:pP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Deferred annuity</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annuity purchased with premiums paid either over a period of years or as a lump sum, for which savings accumulate prior to annuitization or surrender, and upon annuitization, such savings are exchanged for either a future lump sum or periodic payments f</w:t>
            </w:r>
            <w:r>
              <w:rPr>
                <w:rFonts w:eastAsia="Times New Roman"/>
                <w:color w:val="000000"/>
                <w:sz w:val="20"/>
                <w:szCs w:val="20"/>
              </w:rPr>
              <w:t>or a specified length of time or for a lifetime.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annuity</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annuity that guarantees a set annual rate of return with interest at rates we determine, subject to specified minimums. Credited interest rates are guaranteed not to change for certain limited periods of time.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Fixed Rate GMxB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Guarantees on our individual variable annuity products that are based on a rate that is fixed at issue.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Floating Rate GMxB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Guarantees on our individual variable annuity products that are based on a rate that varies with a specified index rate, </w:t>
            </w:r>
            <w:r>
              <w:rPr>
                <w:rFonts w:eastAsia="Times New Roman"/>
                <w:color w:val="000000"/>
                <w:sz w:val="20"/>
                <w:szCs w:val="20"/>
              </w:rPr>
              <w:t>subject to a cap and floor.</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Future policy benefits for the annuities business 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w:t>
            </w:r>
            <w:r>
              <w:rPr>
                <w:rFonts w:eastAsia="Times New Roman"/>
                <w:color w:val="000000"/>
                <w:sz w:val="20"/>
                <w:szCs w:val="20"/>
              </w:rPr>
              <w:t>e business are comprised mainly of liabilities for traditional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The invested a</w:t>
            </w:r>
            <w:r>
              <w:rPr>
                <w:rFonts w:eastAsia="Times New Roman"/>
                <w:color w:val="000000"/>
                <w:sz w:val="20"/>
                <w:szCs w:val="20"/>
              </w:rPr>
              <w:t>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General Account (“GA”)</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general reference to all forms of variable annuity guaranteed benefits, including gu</w:t>
            </w:r>
            <w:r>
              <w:rPr>
                <w:rFonts w:eastAsia="Times New Roman"/>
                <w:color w:val="000000"/>
                <w:sz w:val="20"/>
                <w:szCs w:val="20"/>
              </w:rPr>
              <w:t>aranteed minimum living benefits, or GMLBs (such as GMIBs, GMWBs and GMABs), and guaranteed minimum death benefits, or GMDBs (inclusive of return of premium death benefit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p w:rsidR="00000000" w:rsidRDefault="00E54EC0">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E54EC0">
            <w:pPr>
              <w:jc w:val="cente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w:t>
            </w:r>
            <w:r>
              <w:rPr>
                <w:rFonts w:eastAsia="Times New Roman"/>
                <w:color w:val="000000"/>
                <w:sz w:val="20"/>
                <w:szCs w:val="20"/>
              </w:rPr>
              <w:t>nteed minimum income benefits (“GMIB”)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w:t>
            </w:r>
            <w:r>
              <w:rPr>
                <w:rFonts w:eastAsia="Times New Roman"/>
                <w:color w:val="000000"/>
                <w:sz w:val="20"/>
                <w:szCs w:val="20"/>
              </w:rPr>
              <w:t>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Guaranteed minimum living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bl>
    <w:p w:rsidR="00000000" w:rsidRDefault="00E54EC0">
      <w:pPr>
        <w:jc w:val="center"/>
        <w:divId w:val="818306326"/>
        <w:rPr>
          <w:rFonts w:eastAsia="Times New Roman"/>
        </w:rPr>
      </w:pPr>
      <w:r>
        <w:rPr>
          <w:rFonts w:eastAsia="Times New Roman"/>
          <w:color w:val="000000"/>
          <w:sz w:val="20"/>
          <w:szCs w:val="20"/>
        </w:rPr>
        <w:t>244</w:t>
      </w:r>
    </w:p>
    <w:p w:rsidR="00000000" w:rsidRDefault="00E54EC0">
      <w:pPr>
        <w:rPr>
          <w:rFonts w:eastAsia="Times New Roman"/>
        </w:rPr>
      </w:pPr>
      <w:r>
        <w:rPr>
          <w:rFonts w:eastAsia="Times New Roman"/>
        </w:rPr>
        <w:pict>
          <v:rect id="_x0000_i1282" style="width:0;height:1.5pt" o:hralign="center" o:hrstd="t" o:hr="t" fillcolor="#a0a0a0" stroked="f"/>
        </w:pict>
      </w:r>
    </w:p>
    <w:p w:rsidR="00000000" w:rsidRDefault="00E54EC0">
      <w:pPr>
        <w:divId w:val="687753642"/>
        <w:rPr>
          <w:rFonts w:eastAsia="Times New Roman"/>
        </w:rPr>
      </w:pPr>
      <w:hyperlink w:anchor="ifa77335c8c4046aba89b8098f04be9d1_508"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trPr>
          <w:jc w:val="center"/>
        </w:trPr>
        <w:tc>
          <w:tcPr>
            <w:tcW w:w="50" w:type="pct"/>
            <w:vAlign w:val="center"/>
            <w:hideMark/>
          </w:tcPr>
          <w:p w:rsidR="00000000" w:rsidRDefault="00E54EC0">
            <w:pP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Index-linked annuities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annuity that provides for asset accumulation and asset distribution needs with an ability to share in the u</w:t>
            </w:r>
            <w:r>
              <w:rPr>
                <w:rFonts w:eastAsia="Times New Roman"/>
                <w:color w:val="000000"/>
                <w:sz w:val="20"/>
                <w:szCs w:val="20"/>
              </w:rPr>
              <w:t>pside from certain financial markets such as equity indices, or an interest rate benchmark. With an index-linked annuity, the policyholder’s AV can grow or decline due to various external financial market indices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permanent life insurance offering built on a universal life insurance framework that uses an equity-linked approach for generating policy investment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Optional benefits (available at an </w:t>
            </w:r>
            <w:r>
              <w:rPr>
                <w:rFonts w:eastAsia="Times New Roman"/>
                <w:color w:val="000000"/>
                <w:sz w:val="20"/>
                <w:szCs w:val="20"/>
              </w:rPr>
              <w:t>additional cost) that guarantee that the policyholder will get back at least his original investment when the money is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fee charged by insurance companies to compensate for the risk they take by issuing life insurance and variable annuity contracts.</w:t>
            </w:r>
          </w:p>
        </w:tc>
      </w:tr>
    </w:tbl>
    <w:p w:rsidR="00000000" w:rsidRDefault="00E54EC0">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E54EC0">
            <w:pPr>
              <w:jc w:val="cente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E54EC0">
            <w:pPr>
              <w:spacing w:after="100"/>
              <w:divId w:val="1109860344"/>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w:t>
            </w:r>
            <w:r>
              <w:rPr>
                <w:rFonts w:eastAsia="Times New Roman"/>
                <w:color w:val="000000"/>
                <w:sz w:val="20"/>
                <w:szCs w:val="20"/>
              </w:rPr>
              <w:t xml:space="preserve"> we determine which are influenced by current market rates, subject to specified minimums.</w:t>
            </w:r>
          </w:p>
          <w:p w:rsidR="00000000" w:rsidRDefault="00E54EC0">
            <w:pPr>
              <w:spacing w:after="100"/>
              <w:divId w:val="2137066101"/>
              <w:rPr>
                <w:rFonts w:eastAsia="Times New Roman"/>
              </w:rPr>
            </w:pPr>
            <w:r>
              <w:rPr>
                <w:rFonts w:eastAsia="Times New Roman"/>
                <w:color w:val="000000"/>
                <w:sz w:val="12"/>
                <w:szCs w:val="12"/>
              </w:rPr>
              <w:t> </w:t>
            </w:r>
          </w:p>
          <w:p w:rsidR="00000000" w:rsidRDefault="00E54EC0">
            <w:pPr>
              <w:spacing w:after="100"/>
              <w:divId w:val="989559094"/>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w:t>
            </w:r>
            <w:r>
              <w:rPr>
                <w:rFonts w:eastAsia="Times New Roman"/>
                <w:color w:val="000000"/>
                <w:sz w:val="20"/>
                <w:szCs w:val="20"/>
              </w:rPr>
              <w:t>fe insurance policies. Interest is credited to the policyholder’s account at interest rates we determine which are influenced by current market rates, subject to specified minimums.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Roll-up rate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The guaranteed percentage that the benefit base increases by each year.</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fee paid by a contract owner for the early withdrawal o</w:t>
            </w:r>
            <w:r>
              <w:rPr>
                <w:rFonts w:eastAsia="Times New Roman"/>
                <w:color w:val="000000"/>
                <w:sz w:val="20"/>
                <w:szCs w:val="20"/>
              </w:rPr>
              <w:t>f an amount that exceeds a specific percentage or for cancellation of the contract within a specified amount of time after purchase.</w:t>
            </w:r>
          </w:p>
        </w:tc>
      </w:tr>
    </w:tbl>
    <w:p w:rsidR="00000000" w:rsidRDefault="00E54EC0">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E54EC0">
            <w:pPr>
              <w:jc w:val="center"/>
              <w:rPr>
                <w:rFonts w:eastAsia="Times New Roman"/>
              </w:rPr>
            </w:pPr>
          </w:p>
        </w:tc>
        <w:tc>
          <w:tcPr>
            <w:tcW w:w="1753"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313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Represents annualized surrenders and withdrawals as a percentage of average AV.</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w:t>
            </w:r>
            <w:r>
              <w:rPr>
                <w:rFonts w:eastAsia="Times New Roman"/>
                <w:color w:val="000000"/>
                <w:sz w:val="20"/>
                <w:szCs w:val="20"/>
              </w:rPr>
              <w:t>ted to specific costs, which may change over time. To the extent that the policyholder chooses to pay more than the charges required in any given year to keep the policy in-force, the excess premium will be placed into the AV of the policy and credited wit</w:t>
            </w:r>
            <w:r>
              <w:rPr>
                <w:rFonts w:eastAsia="Times New Roman"/>
                <w:color w:val="000000"/>
                <w:sz w:val="20"/>
                <w:szCs w:val="20"/>
              </w:rPr>
              <w:t>h a stated interest rate on a monthly basis.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type of annuity that offers guaranteed periodic payments for a defined period of time or for life and gives purchasers the ability to invest in various markets though the underlying investment options, which may result in potentially higher, but variable</w:t>
            </w:r>
            <w:r>
              <w:rPr>
                <w:rFonts w:eastAsia="Times New Roman"/>
                <w:color w:val="000000"/>
                <w:sz w:val="20"/>
                <w:szCs w:val="20"/>
              </w:rPr>
              <w:t>, returns.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policyholder bears the entire risk and retur</w:t>
            </w:r>
            <w:r>
              <w:rPr>
                <w:rFonts w:eastAsia="Times New Roman"/>
                <w:color w:val="000000"/>
                <w:sz w:val="20"/>
                <w:szCs w:val="20"/>
              </w:rPr>
              <w:t>ns of the investment results.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E54EC0">
      <w:pPr>
        <w:jc w:val="center"/>
        <w:rPr>
          <w:rFonts w:eastAsia="Times New Roman"/>
        </w:rPr>
      </w:pPr>
    </w:p>
    <w:p w:rsidR="00000000" w:rsidRDefault="00E54EC0">
      <w:pPr>
        <w:jc w:val="center"/>
        <w:divId w:val="1345354084"/>
        <w:rPr>
          <w:rFonts w:eastAsia="Times New Roman"/>
        </w:rPr>
      </w:pPr>
      <w:r>
        <w:rPr>
          <w:rFonts w:eastAsia="Times New Roman"/>
          <w:color w:val="000000"/>
          <w:sz w:val="20"/>
          <w:szCs w:val="20"/>
        </w:rPr>
        <w:t>245</w:t>
      </w:r>
    </w:p>
    <w:p w:rsidR="00000000" w:rsidRDefault="00E54EC0">
      <w:pPr>
        <w:rPr>
          <w:rFonts w:eastAsia="Times New Roman"/>
        </w:rPr>
      </w:pPr>
      <w:r>
        <w:rPr>
          <w:rFonts w:eastAsia="Times New Roman"/>
        </w:rPr>
        <w:pict>
          <v:rect id="_x0000_i1283" style="width:0;height:1.5pt" o:hralign="center" o:hrstd="t" o:hr="t" fillcolor="#a0a0a0" stroked="f"/>
        </w:pict>
      </w:r>
    </w:p>
    <w:p w:rsidR="00000000" w:rsidRDefault="00E54EC0">
      <w:pPr>
        <w:divId w:val="268702594"/>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jc w:val="center"/>
        <w:divId w:val="669137074"/>
        <w:rPr>
          <w:rFonts w:eastAsia="Times New Roman"/>
        </w:rPr>
      </w:pPr>
      <w:r>
        <w:rPr>
          <w:rFonts w:eastAsia="Times New Roman"/>
          <w:b/>
          <w:bCs/>
          <w:color w:val="000000"/>
          <w:sz w:val="20"/>
          <w:szCs w:val="20"/>
        </w:rPr>
        <w:t>ACRONYMS</w:t>
      </w:r>
    </w:p>
    <w:p w:rsidR="00000000" w:rsidRDefault="00E54EC0">
      <w:pPr>
        <w:ind w:hanging="360"/>
        <w:jc w:val="both"/>
        <w:textAlignment w:val="top"/>
        <w:divId w:val="357317223"/>
        <w:rPr>
          <w:rFonts w:eastAsia="Times New Roman"/>
        </w:rPr>
      </w:pPr>
      <w:r>
        <w:rPr>
          <w:rFonts w:eastAsia="Times New Roman"/>
          <w:color w:val="000000"/>
          <w:sz w:val="20"/>
          <w:szCs w:val="20"/>
        </w:rPr>
        <w:t>•“AB” or “AllianceBernstein” means AB Holding and ABLP.</w:t>
      </w:r>
    </w:p>
    <w:p w:rsidR="00000000" w:rsidRDefault="00E54EC0">
      <w:pPr>
        <w:ind w:hanging="360"/>
        <w:jc w:val="both"/>
        <w:textAlignment w:val="top"/>
        <w:divId w:val="728041715"/>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E54EC0">
      <w:pPr>
        <w:ind w:hanging="360"/>
        <w:jc w:val="both"/>
        <w:textAlignment w:val="top"/>
        <w:divId w:val="1252353377"/>
        <w:rPr>
          <w:rFonts w:eastAsia="Times New Roman"/>
        </w:rPr>
      </w:pPr>
      <w:r>
        <w:rPr>
          <w:rFonts w:eastAsia="Times New Roman"/>
          <w:color w:val="000000"/>
          <w:sz w:val="20"/>
          <w:szCs w:val="20"/>
        </w:rPr>
        <w:t>•“AB Holding Units” means units representing assignments of beneficial ownership of limited partnership interests in AB Holding.</w:t>
      </w:r>
    </w:p>
    <w:p w:rsidR="00000000" w:rsidRDefault="00E54EC0">
      <w:pPr>
        <w:ind w:hanging="360"/>
        <w:jc w:val="both"/>
        <w:textAlignment w:val="top"/>
        <w:divId w:val="1358971153"/>
        <w:rPr>
          <w:rFonts w:eastAsia="Times New Roman"/>
        </w:rPr>
      </w:pPr>
      <w:r>
        <w:rPr>
          <w:rFonts w:eastAsia="Times New Roman"/>
          <w:color w:val="000000"/>
          <w:sz w:val="20"/>
          <w:szCs w:val="20"/>
        </w:rPr>
        <w:t xml:space="preserve">•“AB Units” means units of limited partnership interests </w:t>
      </w:r>
      <w:r>
        <w:rPr>
          <w:rFonts w:eastAsia="Times New Roman"/>
          <w:color w:val="000000"/>
          <w:sz w:val="20"/>
          <w:szCs w:val="20"/>
        </w:rPr>
        <w:t>in ABLP.</w:t>
      </w:r>
    </w:p>
    <w:p w:rsidR="00000000" w:rsidRDefault="00E54EC0">
      <w:pPr>
        <w:ind w:hanging="360"/>
        <w:jc w:val="both"/>
        <w:textAlignment w:val="top"/>
        <w:divId w:val="1267231901"/>
        <w:rPr>
          <w:rFonts w:eastAsia="Times New Roman"/>
        </w:rPr>
      </w:pPr>
      <w:r>
        <w:rPr>
          <w:rFonts w:eastAsia="Times New Roman"/>
          <w:color w:val="000000"/>
          <w:sz w:val="20"/>
          <w:szCs w:val="20"/>
        </w:rPr>
        <w:t>•“ABLP” means AllianceBernstein L.P., a Delaware limited partnership and the operating partnership for the AB business.</w:t>
      </w:r>
    </w:p>
    <w:p w:rsidR="00000000" w:rsidRDefault="00E54EC0">
      <w:pPr>
        <w:ind w:hanging="360"/>
        <w:jc w:val="both"/>
        <w:textAlignment w:val="top"/>
        <w:divId w:val="1925989003"/>
        <w:rPr>
          <w:rFonts w:eastAsia="Times New Roman"/>
        </w:rPr>
      </w:pPr>
      <w:r>
        <w:rPr>
          <w:rFonts w:eastAsia="Times New Roman"/>
          <w:color w:val="000000"/>
          <w:sz w:val="20"/>
          <w:szCs w:val="20"/>
        </w:rPr>
        <w:t>•“AFS” means available-for-sale.</w:t>
      </w:r>
    </w:p>
    <w:p w:rsidR="00000000" w:rsidRDefault="00E54EC0">
      <w:pPr>
        <w:ind w:hanging="360"/>
        <w:jc w:val="both"/>
        <w:textAlignment w:val="top"/>
        <w:divId w:val="1728406894"/>
        <w:rPr>
          <w:rFonts w:eastAsia="Times New Roman"/>
        </w:rPr>
      </w:pPr>
      <w:r>
        <w:rPr>
          <w:rFonts w:eastAsia="Times New Roman"/>
          <w:color w:val="000000"/>
          <w:sz w:val="20"/>
          <w:szCs w:val="20"/>
        </w:rPr>
        <w:t>•“AOCI” means accumulated other comprehensive income.</w:t>
      </w:r>
    </w:p>
    <w:p w:rsidR="00000000" w:rsidRDefault="00E54EC0">
      <w:pPr>
        <w:ind w:hanging="360"/>
        <w:jc w:val="both"/>
        <w:textAlignment w:val="top"/>
        <w:divId w:val="1473133229"/>
        <w:rPr>
          <w:rFonts w:eastAsia="Times New Roman"/>
        </w:rPr>
      </w:pPr>
      <w:r>
        <w:rPr>
          <w:rFonts w:eastAsia="Times New Roman"/>
          <w:color w:val="000000"/>
          <w:sz w:val="20"/>
          <w:szCs w:val="20"/>
        </w:rPr>
        <w:t>•“ASC” means Accounting Standards Codifi</w:t>
      </w:r>
      <w:r>
        <w:rPr>
          <w:rFonts w:eastAsia="Times New Roman"/>
          <w:color w:val="000000"/>
          <w:sz w:val="20"/>
          <w:szCs w:val="20"/>
        </w:rPr>
        <w:t>cation</w:t>
      </w:r>
    </w:p>
    <w:p w:rsidR="00000000" w:rsidRDefault="00E54EC0">
      <w:pPr>
        <w:ind w:hanging="360"/>
        <w:jc w:val="both"/>
        <w:textAlignment w:val="top"/>
        <w:divId w:val="411120216"/>
        <w:rPr>
          <w:rFonts w:eastAsia="Times New Roman"/>
        </w:rPr>
      </w:pPr>
      <w:r>
        <w:rPr>
          <w:rFonts w:eastAsia="Times New Roman"/>
          <w:color w:val="000000"/>
          <w:sz w:val="20"/>
          <w:szCs w:val="20"/>
        </w:rPr>
        <w:t>•“ASR” means accelerated share repurchase</w:t>
      </w:r>
    </w:p>
    <w:p w:rsidR="00000000" w:rsidRDefault="00E54EC0">
      <w:pPr>
        <w:ind w:firstLine="360"/>
        <w:jc w:val="both"/>
        <w:textAlignment w:val="top"/>
        <w:divId w:val="24254432"/>
        <w:rPr>
          <w:rFonts w:eastAsia="Times New Roman"/>
        </w:rPr>
      </w:pPr>
      <w:r>
        <w:rPr>
          <w:rFonts w:eastAsia="Times New Roman"/>
          <w:color w:val="000000"/>
          <w:sz w:val="20"/>
          <w:szCs w:val="20"/>
        </w:rPr>
        <w:t>•“ASU” means Accounting Standards Update</w:t>
      </w:r>
    </w:p>
    <w:p w:rsidR="00000000" w:rsidRDefault="00E54EC0">
      <w:pPr>
        <w:ind w:firstLine="360"/>
        <w:jc w:val="both"/>
        <w:textAlignment w:val="top"/>
        <w:divId w:val="1952467679"/>
        <w:rPr>
          <w:rFonts w:eastAsia="Times New Roman"/>
        </w:rPr>
      </w:pPr>
      <w:r>
        <w:rPr>
          <w:rFonts w:eastAsia="Times New Roman"/>
          <w:color w:val="000000"/>
          <w:sz w:val="20"/>
          <w:szCs w:val="20"/>
        </w:rPr>
        <w:t>•“ASX” means Australian Securities Exchange</w:t>
      </w:r>
    </w:p>
    <w:p w:rsidR="00000000" w:rsidRDefault="00E54EC0">
      <w:pPr>
        <w:ind w:firstLine="360"/>
        <w:jc w:val="both"/>
        <w:textAlignment w:val="top"/>
        <w:divId w:val="1742482204"/>
        <w:rPr>
          <w:rFonts w:eastAsia="Times New Roman"/>
        </w:rPr>
      </w:pPr>
      <w:r>
        <w:rPr>
          <w:rFonts w:eastAsia="Times New Roman"/>
          <w:color w:val="000000"/>
          <w:sz w:val="20"/>
          <w:szCs w:val="20"/>
        </w:rPr>
        <w:t>•“AVR” means asset valuation reserve</w:t>
      </w:r>
    </w:p>
    <w:p w:rsidR="00000000" w:rsidRDefault="00E54EC0">
      <w:pPr>
        <w:ind w:hanging="360"/>
        <w:jc w:val="both"/>
        <w:textAlignment w:val="top"/>
        <w:divId w:val="1869634520"/>
        <w:rPr>
          <w:rFonts w:eastAsia="Times New Roman"/>
        </w:rPr>
      </w:pPr>
      <w:r>
        <w:rPr>
          <w:rFonts w:eastAsia="Times New Roman"/>
          <w:color w:val="000000"/>
          <w:sz w:val="20"/>
          <w:szCs w:val="20"/>
        </w:rPr>
        <w:t>•“AXA” means AXA S.A., a société anonyme organized under the laws of France, and form</w:t>
      </w:r>
      <w:r>
        <w:rPr>
          <w:rFonts w:eastAsia="Times New Roman"/>
          <w:color w:val="000000"/>
          <w:sz w:val="20"/>
          <w:szCs w:val="20"/>
        </w:rPr>
        <w:t>erly our controlling stockholder.</w:t>
      </w:r>
    </w:p>
    <w:p w:rsidR="00000000" w:rsidRDefault="00E54EC0">
      <w:pPr>
        <w:ind w:hanging="360"/>
        <w:jc w:val="both"/>
        <w:textAlignment w:val="top"/>
        <w:divId w:val="110323541"/>
        <w:rPr>
          <w:rFonts w:eastAsia="Times New Roman"/>
        </w:rPr>
      </w:pPr>
      <w:r>
        <w:rPr>
          <w:rFonts w:eastAsia="Times New Roman"/>
          <w:color w:val="000000"/>
          <w:sz w:val="20"/>
          <w:szCs w:val="20"/>
        </w:rPr>
        <w:t>•“AXA Financial” means AXA Financial, Inc., a Delaware corporation and a former wholly-owned direct subsidiary of Holdings. On October 1, 2018, AXA Financial merged with and into Holdings, with Holdings assuming the obliga</w:t>
      </w:r>
      <w:r>
        <w:rPr>
          <w:rFonts w:eastAsia="Times New Roman"/>
          <w:color w:val="000000"/>
          <w:sz w:val="20"/>
          <w:szCs w:val="20"/>
        </w:rPr>
        <w:t>tions of AXA Financial.</w:t>
      </w:r>
    </w:p>
    <w:p w:rsidR="00000000" w:rsidRDefault="00E54EC0">
      <w:pPr>
        <w:ind w:hanging="360"/>
        <w:jc w:val="both"/>
        <w:textAlignment w:val="top"/>
        <w:divId w:val="1206019368"/>
        <w:rPr>
          <w:rFonts w:eastAsia="Times New Roman"/>
        </w:rPr>
      </w:pPr>
      <w:r>
        <w:rPr>
          <w:rFonts w:eastAsia="Times New Roman"/>
          <w:color w:val="000000"/>
          <w:sz w:val="20"/>
          <w:szCs w:val="20"/>
        </w:rPr>
        <w:t>•“bps” means basis points</w:t>
      </w:r>
    </w:p>
    <w:p w:rsidR="00000000" w:rsidRDefault="00E54EC0">
      <w:pPr>
        <w:ind w:hanging="360"/>
        <w:jc w:val="both"/>
        <w:textAlignment w:val="top"/>
        <w:divId w:val="1454522259"/>
        <w:rPr>
          <w:rFonts w:eastAsia="Times New Roman"/>
        </w:rPr>
      </w:pPr>
      <w:r>
        <w:rPr>
          <w:rFonts w:eastAsia="Times New Roman"/>
          <w:color w:val="000000"/>
          <w:sz w:val="20"/>
          <w:szCs w:val="20"/>
        </w:rPr>
        <w:t>•“CDC” means Center for Disease Control and Prevention</w:t>
      </w:r>
    </w:p>
    <w:p w:rsidR="00000000" w:rsidRDefault="00E54EC0">
      <w:pPr>
        <w:ind w:hanging="360"/>
        <w:jc w:val="both"/>
        <w:textAlignment w:val="top"/>
        <w:divId w:val="219025844"/>
        <w:rPr>
          <w:rFonts w:eastAsia="Times New Roman"/>
        </w:rPr>
      </w:pPr>
      <w:r>
        <w:rPr>
          <w:rFonts w:eastAsia="Times New Roman"/>
          <w:color w:val="000000"/>
          <w:sz w:val="20"/>
          <w:szCs w:val="20"/>
        </w:rPr>
        <w:t>•“CDS” means credit default swaps</w:t>
      </w:r>
    </w:p>
    <w:p w:rsidR="00000000" w:rsidRDefault="00E54EC0">
      <w:pPr>
        <w:ind w:hanging="360"/>
        <w:jc w:val="both"/>
        <w:textAlignment w:val="top"/>
        <w:divId w:val="731654948"/>
        <w:rPr>
          <w:rFonts w:eastAsia="Times New Roman"/>
        </w:rPr>
      </w:pPr>
      <w:r>
        <w:rPr>
          <w:rFonts w:eastAsia="Times New Roman"/>
          <w:color w:val="000000"/>
          <w:sz w:val="20"/>
          <w:szCs w:val="20"/>
        </w:rPr>
        <w:t>•“CDSC” means contingent deferred sales commissions</w:t>
      </w:r>
    </w:p>
    <w:p w:rsidR="00000000" w:rsidRDefault="00E54EC0">
      <w:pPr>
        <w:ind w:hanging="360"/>
        <w:jc w:val="both"/>
        <w:textAlignment w:val="top"/>
        <w:divId w:val="176045521"/>
        <w:rPr>
          <w:rFonts w:eastAsia="Times New Roman"/>
        </w:rPr>
      </w:pPr>
      <w:r>
        <w:rPr>
          <w:rFonts w:eastAsia="Times New Roman"/>
          <w:color w:val="000000"/>
          <w:sz w:val="20"/>
          <w:szCs w:val="20"/>
        </w:rPr>
        <w:t xml:space="preserve">•“CEA” means Commodity Exchange Act </w:t>
      </w:r>
    </w:p>
    <w:p w:rsidR="00000000" w:rsidRDefault="00E54EC0">
      <w:pPr>
        <w:ind w:hanging="360"/>
        <w:jc w:val="both"/>
        <w:textAlignment w:val="top"/>
        <w:divId w:val="627207044"/>
        <w:rPr>
          <w:rFonts w:eastAsia="Times New Roman"/>
        </w:rPr>
      </w:pPr>
      <w:r>
        <w:rPr>
          <w:rFonts w:eastAsia="Times New Roman"/>
          <w:color w:val="000000"/>
          <w:sz w:val="20"/>
          <w:szCs w:val="20"/>
        </w:rPr>
        <w:t xml:space="preserve">•“CECL” </w:t>
      </w:r>
      <w:r>
        <w:rPr>
          <w:rFonts w:eastAsia="Times New Roman"/>
          <w:color w:val="000000"/>
          <w:sz w:val="20"/>
          <w:szCs w:val="20"/>
        </w:rPr>
        <w:t>means current expected credit losses</w:t>
      </w:r>
    </w:p>
    <w:p w:rsidR="00000000" w:rsidRDefault="00E54EC0">
      <w:pPr>
        <w:ind w:hanging="360"/>
        <w:jc w:val="both"/>
        <w:textAlignment w:val="top"/>
        <w:divId w:val="1515263932"/>
        <w:rPr>
          <w:rFonts w:eastAsia="Times New Roman"/>
        </w:rPr>
      </w:pPr>
      <w:r>
        <w:rPr>
          <w:rFonts w:eastAsia="Times New Roman"/>
          <w:color w:val="000000"/>
          <w:sz w:val="20"/>
          <w:szCs w:val="20"/>
        </w:rPr>
        <w:t>•“CEO” means Chief Executive Officer</w:t>
      </w:r>
    </w:p>
    <w:p w:rsidR="00000000" w:rsidRDefault="00E54EC0">
      <w:pPr>
        <w:ind w:hanging="360"/>
        <w:jc w:val="both"/>
        <w:textAlignment w:val="top"/>
        <w:divId w:val="255796255"/>
        <w:rPr>
          <w:rFonts w:eastAsia="Times New Roman"/>
        </w:rPr>
      </w:pPr>
      <w:r>
        <w:rPr>
          <w:rFonts w:eastAsia="Times New Roman"/>
          <w:color w:val="000000"/>
          <w:sz w:val="20"/>
          <w:szCs w:val="20"/>
        </w:rPr>
        <w:t>•“CFTC” means U.S. Commodity Futures Trading Commission</w:t>
      </w:r>
    </w:p>
    <w:p w:rsidR="00000000" w:rsidRDefault="00E54EC0">
      <w:pPr>
        <w:ind w:hanging="360"/>
        <w:jc w:val="both"/>
        <w:textAlignment w:val="top"/>
        <w:divId w:val="1048996166"/>
        <w:rPr>
          <w:rFonts w:eastAsia="Times New Roman"/>
        </w:rPr>
      </w:pPr>
      <w:r>
        <w:rPr>
          <w:rFonts w:eastAsia="Times New Roman"/>
          <w:color w:val="000000"/>
          <w:sz w:val="20"/>
          <w:szCs w:val="20"/>
        </w:rPr>
        <w:t>•“CLO” means collateralized loan obligation</w:t>
      </w:r>
    </w:p>
    <w:p w:rsidR="00000000" w:rsidRDefault="00E54EC0">
      <w:pPr>
        <w:ind w:hanging="360"/>
        <w:jc w:val="both"/>
        <w:textAlignment w:val="top"/>
        <w:divId w:val="1044795667"/>
        <w:rPr>
          <w:rFonts w:eastAsia="Times New Roman"/>
        </w:rPr>
      </w:pPr>
      <w:r>
        <w:rPr>
          <w:rFonts w:eastAsia="Times New Roman"/>
          <w:color w:val="000000"/>
          <w:sz w:val="20"/>
          <w:szCs w:val="20"/>
        </w:rPr>
        <w:t>•“CMBS” means commercial mortgage-backed security</w:t>
      </w:r>
    </w:p>
    <w:p w:rsidR="00000000" w:rsidRDefault="00E54EC0">
      <w:pPr>
        <w:ind w:hanging="360"/>
        <w:jc w:val="both"/>
        <w:textAlignment w:val="top"/>
        <w:divId w:val="1520117330"/>
        <w:rPr>
          <w:rFonts w:eastAsia="Times New Roman"/>
        </w:rPr>
      </w:pPr>
      <w:r>
        <w:rPr>
          <w:rFonts w:eastAsia="Times New Roman"/>
          <w:color w:val="000000"/>
          <w:sz w:val="20"/>
          <w:szCs w:val="20"/>
        </w:rPr>
        <w:t xml:space="preserve">•“COI” means cost of insurance </w:t>
      </w:r>
    </w:p>
    <w:p w:rsidR="00000000" w:rsidRDefault="00E54EC0">
      <w:pPr>
        <w:ind w:hanging="360"/>
        <w:jc w:val="both"/>
        <w:textAlignment w:val="top"/>
        <w:divId w:val="1925141437"/>
        <w:rPr>
          <w:rFonts w:eastAsia="Times New Roman"/>
        </w:rPr>
      </w:pPr>
      <w:r>
        <w:rPr>
          <w:rFonts w:eastAsia="Times New Roman"/>
          <w:color w:val="000000"/>
          <w:sz w:val="20"/>
          <w:szCs w:val="20"/>
        </w:rPr>
        <w:t xml:space="preserve">•“COLI” means corporate owned life insurance </w:t>
      </w:r>
    </w:p>
    <w:p w:rsidR="00000000" w:rsidRDefault="00E54EC0">
      <w:pPr>
        <w:ind w:hanging="360"/>
        <w:jc w:val="both"/>
        <w:textAlignment w:val="top"/>
        <w:divId w:val="476143923"/>
        <w:rPr>
          <w:rFonts w:eastAsia="Times New Roman"/>
        </w:rPr>
      </w:pPr>
      <w:r>
        <w:rPr>
          <w:rFonts w:eastAsia="Times New Roman"/>
          <w:color w:val="000000"/>
          <w:sz w:val="20"/>
          <w:szCs w:val="20"/>
        </w:rPr>
        <w:t>•“Company” means Equitable Holdings, Inc. with its consolidated subsidiaries</w:t>
      </w:r>
    </w:p>
    <w:p w:rsidR="00000000" w:rsidRDefault="00E54EC0">
      <w:pPr>
        <w:ind w:hanging="360"/>
        <w:jc w:val="both"/>
        <w:textAlignment w:val="top"/>
        <w:divId w:val="247153646"/>
        <w:rPr>
          <w:rFonts w:eastAsia="Times New Roman"/>
        </w:rPr>
      </w:pPr>
      <w:r>
        <w:rPr>
          <w:rFonts w:eastAsia="Times New Roman"/>
          <w:color w:val="000000"/>
          <w:sz w:val="20"/>
          <w:szCs w:val="20"/>
        </w:rPr>
        <w:t>•“COVID-19” means coronavirus disease of 2019</w:t>
      </w:r>
    </w:p>
    <w:p w:rsidR="00000000" w:rsidRDefault="00E54EC0">
      <w:pPr>
        <w:ind w:hanging="360"/>
        <w:jc w:val="both"/>
        <w:textAlignment w:val="top"/>
        <w:divId w:val="369040438"/>
        <w:rPr>
          <w:rFonts w:eastAsia="Times New Roman"/>
        </w:rPr>
      </w:pPr>
      <w:r>
        <w:rPr>
          <w:rFonts w:eastAsia="Times New Roman"/>
          <w:color w:val="000000"/>
          <w:sz w:val="20"/>
          <w:szCs w:val="20"/>
        </w:rPr>
        <w:t xml:space="preserve">•“CS Life” </w:t>
      </w:r>
      <w:r>
        <w:rPr>
          <w:rFonts w:eastAsia="Times New Roman"/>
          <w:color w:val="000000"/>
          <w:sz w:val="20"/>
          <w:szCs w:val="20"/>
        </w:rPr>
        <w:t>means Corporate Solutions Life Reinsurance Company, a Delaware corporation and a wholly-owned direct subsidiary of Holdings.</w:t>
      </w:r>
    </w:p>
    <w:p w:rsidR="00000000" w:rsidRDefault="00E54EC0">
      <w:pPr>
        <w:ind w:hanging="360"/>
        <w:jc w:val="both"/>
        <w:textAlignment w:val="top"/>
        <w:divId w:val="1559168838"/>
        <w:rPr>
          <w:rFonts w:eastAsia="Times New Roman"/>
        </w:rPr>
      </w:pPr>
      <w:r>
        <w:rPr>
          <w:rFonts w:eastAsia="Times New Roman"/>
          <w:color w:val="000000"/>
          <w:sz w:val="20"/>
          <w:szCs w:val="20"/>
        </w:rPr>
        <w:t>•“CSA” means credit support annex</w:t>
      </w:r>
    </w:p>
    <w:p w:rsidR="00000000" w:rsidRDefault="00E54EC0">
      <w:pPr>
        <w:ind w:hanging="360"/>
        <w:jc w:val="both"/>
        <w:textAlignment w:val="top"/>
        <w:divId w:val="480922876"/>
        <w:rPr>
          <w:rFonts w:eastAsia="Times New Roman"/>
        </w:rPr>
      </w:pPr>
      <w:r>
        <w:rPr>
          <w:rFonts w:eastAsia="Times New Roman"/>
          <w:color w:val="000000"/>
          <w:sz w:val="20"/>
          <w:szCs w:val="20"/>
        </w:rPr>
        <w:t>•“CSLRC” means Corporate Solutions Life Reinsurance Company</w:t>
      </w:r>
    </w:p>
    <w:p w:rsidR="00000000" w:rsidRDefault="00E54EC0">
      <w:pPr>
        <w:ind w:hanging="360"/>
        <w:jc w:val="both"/>
        <w:textAlignment w:val="top"/>
        <w:divId w:val="1848865702"/>
        <w:rPr>
          <w:rFonts w:eastAsia="Times New Roman"/>
        </w:rPr>
      </w:pPr>
      <w:r>
        <w:rPr>
          <w:rFonts w:eastAsia="Times New Roman"/>
          <w:color w:val="000000"/>
          <w:sz w:val="20"/>
          <w:szCs w:val="20"/>
        </w:rPr>
        <w:t>•“DCO” means designated clearing orga</w:t>
      </w:r>
      <w:r>
        <w:rPr>
          <w:rFonts w:eastAsia="Times New Roman"/>
          <w:color w:val="000000"/>
          <w:sz w:val="20"/>
          <w:szCs w:val="20"/>
        </w:rPr>
        <w:t>nization</w:t>
      </w:r>
    </w:p>
    <w:p w:rsidR="00000000" w:rsidRDefault="00E54EC0">
      <w:pPr>
        <w:ind w:hanging="360"/>
        <w:jc w:val="both"/>
        <w:textAlignment w:val="top"/>
        <w:divId w:val="1518234546"/>
        <w:rPr>
          <w:rFonts w:eastAsia="Times New Roman"/>
        </w:rPr>
      </w:pPr>
      <w:r>
        <w:rPr>
          <w:rFonts w:eastAsia="Times New Roman"/>
          <w:color w:val="000000"/>
          <w:sz w:val="20"/>
          <w:szCs w:val="20"/>
        </w:rPr>
        <w:t xml:space="preserve">•“DI” means disability income </w:t>
      </w:r>
    </w:p>
    <w:p w:rsidR="00000000" w:rsidRDefault="00E54EC0">
      <w:pPr>
        <w:ind w:hanging="360"/>
        <w:jc w:val="both"/>
        <w:textAlignment w:val="top"/>
        <w:divId w:val="616956396"/>
        <w:rPr>
          <w:rFonts w:eastAsia="Times New Roman"/>
        </w:rPr>
      </w:pPr>
      <w:r>
        <w:rPr>
          <w:rFonts w:eastAsia="Times New Roman"/>
          <w:color w:val="000000"/>
          <w:sz w:val="20"/>
          <w:szCs w:val="20"/>
        </w:rPr>
        <w:t>•“Dodd-Frank Act” means Dodd-Frank Wall Street Reform and Consumer Protection Act</w:t>
      </w:r>
    </w:p>
    <w:p w:rsidR="00000000" w:rsidRDefault="00E54EC0">
      <w:pPr>
        <w:ind w:hanging="360"/>
        <w:jc w:val="both"/>
        <w:textAlignment w:val="top"/>
        <w:divId w:val="1314413201"/>
        <w:rPr>
          <w:rFonts w:eastAsia="Times New Roman"/>
        </w:rPr>
      </w:pPr>
      <w:r>
        <w:rPr>
          <w:rFonts w:eastAsia="Times New Roman"/>
          <w:color w:val="000000"/>
          <w:sz w:val="20"/>
          <w:szCs w:val="20"/>
        </w:rPr>
        <w:t>•“DOL” means U.S. Department of Labor</w:t>
      </w:r>
    </w:p>
    <w:p w:rsidR="00000000" w:rsidRDefault="00E54EC0">
      <w:pPr>
        <w:ind w:hanging="360"/>
        <w:jc w:val="both"/>
        <w:textAlignment w:val="top"/>
        <w:divId w:val="560678078"/>
        <w:rPr>
          <w:rFonts w:eastAsia="Times New Roman"/>
        </w:rPr>
      </w:pPr>
      <w:r>
        <w:rPr>
          <w:rFonts w:eastAsia="Times New Roman"/>
          <w:color w:val="000000"/>
          <w:sz w:val="20"/>
          <w:szCs w:val="20"/>
        </w:rPr>
        <w:t>•“DSC” means debt service coverage</w:t>
      </w:r>
    </w:p>
    <w:p w:rsidR="00000000" w:rsidRDefault="00E54EC0">
      <w:pPr>
        <w:ind w:hanging="360"/>
        <w:jc w:val="both"/>
        <w:textAlignment w:val="top"/>
        <w:divId w:val="1292898887"/>
        <w:rPr>
          <w:rFonts w:eastAsia="Times New Roman"/>
        </w:rPr>
      </w:pPr>
      <w:r>
        <w:rPr>
          <w:rFonts w:eastAsia="Times New Roman"/>
          <w:color w:val="000000"/>
          <w:sz w:val="20"/>
          <w:szCs w:val="20"/>
        </w:rPr>
        <w:t>•“EAFE” means European, Australasia, and Far East</w:t>
      </w:r>
    </w:p>
    <w:p w:rsidR="00000000" w:rsidRDefault="00E54EC0">
      <w:pPr>
        <w:ind w:hanging="360"/>
        <w:jc w:val="both"/>
        <w:textAlignment w:val="top"/>
        <w:divId w:val="686951294"/>
        <w:rPr>
          <w:rFonts w:eastAsia="Times New Roman"/>
        </w:rPr>
      </w:pPr>
      <w:r>
        <w:rPr>
          <w:rFonts w:eastAsia="Times New Roman"/>
          <w:color w:val="000000"/>
          <w:sz w:val="20"/>
          <w:szCs w:val="20"/>
        </w:rPr>
        <w:t>•“EBITDA” m</w:t>
      </w:r>
      <w:r>
        <w:rPr>
          <w:rFonts w:eastAsia="Times New Roman"/>
          <w:color w:val="000000"/>
          <w:sz w:val="20"/>
          <w:szCs w:val="20"/>
        </w:rPr>
        <w:t>eans earnings before interest, taxes, depreciation and amortization</w:t>
      </w:r>
    </w:p>
    <w:p w:rsidR="00000000" w:rsidRDefault="00E54EC0">
      <w:pPr>
        <w:ind w:hanging="360"/>
        <w:jc w:val="both"/>
        <w:textAlignment w:val="top"/>
        <w:divId w:val="2043431505"/>
        <w:rPr>
          <w:rFonts w:eastAsia="Times New Roman"/>
        </w:rPr>
      </w:pPr>
      <w:r>
        <w:rPr>
          <w:rFonts w:eastAsia="Times New Roman"/>
          <w:color w:val="000000"/>
          <w:sz w:val="20"/>
          <w:szCs w:val="20"/>
        </w:rPr>
        <w:t>•“EDP” means electronic data processing</w:t>
      </w:r>
    </w:p>
    <w:p w:rsidR="00000000" w:rsidRDefault="00E54EC0">
      <w:pPr>
        <w:ind w:hanging="360"/>
        <w:jc w:val="both"/>
        <w:textAlignment w:val="top"/>
        <w:divId w:val="446893610"/>
        <w:rPr>
          <w:rFonts w:eastAsia="Times New Roman"/>
        </w:rPr>
      </w:pPr>
      <w:r>
        <w:rPr>
          <w:rFonts w:eastAsia="Times New Roman"/>
          <w:color w:val="000000"/>
          <w:sz w:val="20"/>
          <w:szCs w:val="20"/>
        </w:rPr>
        <w:t>•“EFS” means Equitable Financial Services, LLC, a Delaware corporation and a wholly-owned direct subsidiary of Holdings</w:t>
      </w:r>
    </w:p>
    <w:p w:rsidR="00000000" w:rsidRDefault="00E54EC0">
      <w:pPr>
        <w:ind w:hanging="360"/>
        <w:jc w:val="both"/>
        <w:textAlignment w:val="top"/>
        <w:divId w:val="2137336016"/>
        <w:rPr>
          <w:rFonts w:eastAsia="Times New Roman"/>
        </w:rPr>
      </w:pPr>
      <w:r>
        <w:rPr>
          <w:rFonts w:eastAsia="Times New Roman"/>
          <w:color w:val="000000"/>
          <w:sz w:val="20"/>
          <w:szCs w:val="20"/>
        </w:rPr>
        <w:t>•“EIM” means Equitable Inves</w:t>
      </w:r>
      <w:r>
        <w:rPr>
          <w:rFonts w:eastAsia="Times New Roman"/>
          <w:color w:val="000000"/>
          <w:sz w:val="20"/>
          <w:szCs w:val="20"/>
        </w:rPr>
        <w:t>tment Management Group, LLC, a Delaware limited liability company and a wholly-owned indirect subsidiary of Holdings.</w:t>
      </w:r>
    </w:p>
    <w:p w:rsidR="00000000" w:rsidRDefault="00E54EC0">
      <w:pPr>
        <w:ind w:hanging="360"/>
        <w:jc w:val="both"/>
        <w:textAlignment w:val="top"/>
        <w:divId w:val="1051228153"/>
        <w:rPr>
          <w:rFonts w:eastAsia="Times New Roman"/>
        </w:rPr>
      </w:pPr>
      <w:r>
        <w:rPr>
          <w:rFonts w:eastAsia="Times New Roman"/>
          <w:color w:val="000000"/>
          <w:sz w:val="20"/>
          <w:szCs w:val="20"/>
        </w:rPr>
        <w:t>•“EIMG” means Equitable Investment Management Group, LLC, a Delaware limited liability company and a wholly-owned indirect subsidiary of H</w:t>
      </w:r>
      <w:r>
        <w:rPr>
          <w:rFonts w:eastAsia="Times New Roman"/>
          <w:color w:val="000000"/>
          <w:sz w:val="20"/>
          <w:szCs w:val="20"/>
        </w:rPr>
        <w:t>oldings.</w:t>
      </w:r>
    </w:p>
    <w:p w:rsidR="00000000" w:rsidRDefault="00E54EC0">
      <w:pPr>
        <w:ind w:hanging="360"/>
        <w:jc w:val="both"/>
        <w:textAlignment w:val="top"/>
        <w:divId w:val="1237469364"/>
        <w:rPr>
          <w:rFonts w:eastAsia="Times New Roman"/>
        </w:rPr>
      </w:pPr>
      <w:r>
        <w:rPr>
          <w:rFonts w:eastAsia="Times New Roman"/>
          <w:color w:val="000000"/>
          <w:sz w:val="20"/>
          <w:szCs w:val="20"/>
        </w:rPr>
        <w:t>•“EPS” means earnings per share</w:t>
      </w:r>
    </w:p>
    <w:p w:rsidR="00000000" w:rsidRDefault="00E54EC0">
      <w:pPr>
        <w:ind w:hanging="360"/>
        <w:jc w:val="both"/>
        <w:textAlignment w:val="top"/>
        <w:divId w:val="1325279670"/>
        <w:rPr>
          <w:rFonts w:eastAsia="Times New Roman"/>
        </w:rPr>
      </w:pPr>
      <w:r>
        <w:rPr>
          <w:rFonts w:eastAsia="Times New Roman"/>
          <w:color w:val="000000"/>
          <w:sz w:val="20"/>
          <w:szCs w:val="20"/>
        </w:rPr>
        <w:t>•“Equitable Advisors” means Equitable Advisors, LLC, a Delaware limited liability company, our retail broker/dealer for our retirement and protection businesses and a wholly-owned indirect subsidiary of Holdings.</w:t>
      </w:r>
    </w:p>
    <w:p w:rsidR="00000000" w:rsidRDefault="00E54EC0">
      <w:pPr>
        <w:ind w:hanging="360"/>
        <w:jc w:val="both"/>
        <w:textAlignment w:val="top"/>
        <w:divId w:val="803353709"/>
        <w:rPr>
          <w:rFonts w:eastAsia="Times New Roman"/>
        </w:rPr>
      </w:pPr>
      <w:r>
        <w:rPr>
          <w:rFonts w:eastAsia="Times New Roman"/>
          <w:color w:val="000000"/>
          <w:sz w:val="20"/>
          <w:szCs w:val="20"/>
        </w:rPr>
        <w:t>•“</w:t>
      </w:r>
      <w:r>
        <w:rPr>
          <w:rFonts w:eastAsia="Times New Roman"/>
          <w:color w:val="000000"/>
          <w:sz w:val="20"/>
          <w:szCs w:val="20"/>
        </w:rPr>
        <w:t>Equitable America” means Equitable Financial Life Insurance Company of America (f/k/a MONY Life Insurance Company of America), an Arizona corporation and a wholly-owned indirect subsidiary of Holdings.</w:t>
      </w:r>
    </w:p>
    <w:p w:rsidR="00000000" w:rsidRDefault="00E54EC0">
      <w:pPr>
        <w:ind w:hanging="360"/>
        <w:jc w:val="both"/>
        <w:textAlignment w:val="top"/>
        <w:divId w:val="1245844380"/>
        <w:rPr>
          <w:rFonts w:eastAsia="Times New Roman"/>
        </w:rPr>
      </w:pPr>
      <w:r>
        <w:rPr>
          <w:rFonts w:eastAsia="Times New Roman"/>
          <w:color w:val="000000"/>
          <w:sz w:val="20"/>
          <w:szCs w:val="20"/>
        </w:rPr>
        <w:t>•“Equitable Distributors” means Equitable Distributors</w:t>
      </w:r>
      <w:r>
        <w:rPr>
          <w:rFonts w:eastAsia="Times New Roman"/>
          <w:color w:val="000000"/>
          <w:sz w:val="20"/>
          <w:szCs w:val="20"/>
        </w:rPr>
        <w:t xml:space="preserve">, LLC, a Delaware limited liability </w:t>
      </w:r>
    </w:p>
    <w:p w:rsidR="00000000" w:rsidRDefault="00E54EC0">
      <w:pPr>
        <w:jc w:val="center"/>
        <w:divId w:val="1476145434"/>
        <w:rPr>
          <w:rFonts w:eastAsia="Times New Roman"/>
        </w:rPr>
      </w:pPr>
      <w:r>
        <w:rPr>
          <w:rFonts w:eastAsia="Times New Roman"/>
          <w:color w:val="000000"/>
          <w:sz w:val="20"/>
          <w:szCs w:val="20"/>
        </w:rPr>
        <w:t>246</w:t>
      </w:r>
    </w:p>
    <w:p w:rsidR="00000000" w:rsidRDefault="00E54EC0">
      <w:pPr>
        <w:rPr>
          <w:rFonts w:eastAsia="Times New Roman"/>
        </w:rPr>
      </w:pPr>
      <w:r>
        <w:rPr>
          <w:rFonts w:eastAsia="Times New Roman"/>
        </w:rPr>
        <w:pict>
          <v:rect id="_x0000_i1284" style="width:0;height:1.5pt" o:hralign="center" o:hrstd="t" o:hr="t" fillcolor="#a0a0a0" stroked="f"/>
        </w:pict>
      </w:r>
    </w:p>
    <w:p w:rsidR="00000000" w:rsidRDefault="00E54EC0">
      <w:pPr>
        <w:divId w:val="1302659790"/>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jc w:val="both"/>
        <w:textAlignment w:val="top"/>
        <w:divId w:val="1756365872"/>
        <w:rPr>
          <w:rFonts w:eastAsia="Times New Roman"/>
        </w:rPr>
      </w:pPr>
      <w:r>
        <w:rPr>
          <w:rFonts w:eastAsia="Times New Roman"/>
          <w:color w:val="000000"/>
          <w:sz w:val="20"/>
          <w:szCs w:val="20"/>
        </w:rPr>
        <w:t>company, our wholesale broker/dealer for our retirement and protection businesses and a wholly-owned</w:t>
      </w:r>
      <w:r>
        <w:rPr>
          <w:rFonts w:eastAsia="Times New Roman"/>
          <w:color w:val="000000"/>
          <w:sz w:val="20"/>
          <w:szCs w:val="20"/>
        </w:rPr>
        <w:t xml:space="preserve"> indirect subsidiary of Holdings.</w:t>
      </w:r>
    </w:p>
    <w:p w:rsidR="00000000" w:rsidRDefault="00E54EC0">
      <w:pPr>
        <w:ind w:hanging="360"/>
        <w:jc w:val="both"/>
        <w:textAlignment w:val="top"/>
        <w:divId w:val="818961463"/>
        <w:rPr>
          <w:rFonts w:eastAsia="Times New Roman"/>
        </w:rPr>
      </w:pPr>
      <w:r>
        <w:rPr>
          <w:rFonts w:eastAsia="Times New Roman"/>
          <w:color w:val="000000"/>
          <w:sz w:val="20"/>
          <w:szCs w:val="20"/>
        </w:rPr>
        <w:t>•“Equitable L&amp;A” means Equitable Financial Life and Annuity Company, a Colorado corporation and a wholly-owned indirect subsidiary of Holdings.</w:t>
      </w:r>
    </w:p>
    <w:p w:rsidR="00000000" w:rsidRDefault="00E54EC0">
      <w:pPr>
        <w:ind w:hanging="360"/>
        <w:jc w:val="both"/>
        <w:textAlignment w:val="top"/>
        <w:divId w:val="1296714245"/>
        <w:rPr>
          <w:rFonts w:eastAsia="Times New Roman"/>
        </w:rPr>
      </w:pPr>
      <w:r>
        <w:rPr>
          <w:rFonts w:eastAsia="Times New Roman"/>
          <w:color w:val="000000"/>
          <w:sz w:val="20"/>
          <w:szCs w:val="20"/>
        </w:rPr>
        <w:t xml:space="preserve">•“Equitable Financial” </w:t>
      </w:r>
      <w:r>
        <w:rPr>
          <w:rFonts w:eastAsia="Times New Roman"/>
          <w:color w:val="000000"/>
          <w:sz w:val="20"/>
          <w:szCs w:val="20"/>
        </w:rPr>
        <w:t>means Equitable Financial Life Insurance Company, a New York corporation, a life insurance company and a wholly-owned subsidiary of EFS.</w:t>
      </w:r>
    </w:p>
    <w:p w:rsidR="00000000" w:rsidRDefault="00E54EC0">
      <w:pPr>
        <w:ind w:hanging="360"/>
        <w:jc w:val="both"/>
        <w:textAlignment w:val="top"/>
        <w:divId w:val="1075974141"/>
        <w:rPr>
          <w:rFonts w:eastAsia="Times New Roman"/>
        </w:rPr>
      </w:pPr>
      <w:r>
        <w:rPr>
          <w:rFonts w:eastAsia="Times New Roman"/>
          <w:color w:val="000000"/>
          <w:sz w:val="20"/>
          <w:szCs w:val="20"/>
        </w:rPr>
        <w:t>•“Equitable Network” means Equitable Network, LLC, a Delaware limited liability company and wholly-owned indirect subsi</w:t>
      </w:r>
      <w:r>
        <w:rPr>
          <w:rFonts w:eastAsia="Times New Roman"/>
          <w:color w:val="000000"/>
          <w:sz w:val="20"/>
          <w:szCs w:val="20"/>
        </w:rPr>
        <w:t>diary of Holdings and its subsidiary, Equitable Network of Puerto Rico, Inc.</w:t>
      </w:r>
    </w:p>
    <w:p w:rsidR="00000000" w:rsidRDefault="00E54EC0">
      <w:pPr>
        <w:ind w:hanging="360"/>
        <w:jc w:val="both"/>
        <w:textAlignment w:val="top"/>
        <w:divId w:val="1864324002"/>
        <w:rPr>
          <w:rFonts w:eastAsia="Times New Roman"/>
        </w:rPr>
      </w:pPr>
      <w:r>
        <w:rPr>
          <w:rFonts w:eastAsia="Times New Roman"/>
          <w:color w:val="000000"/>
          <w:sz w:val="20"/>
          <w:szCs w:val="20"/>
        </w:rPr>
        <w:t>•“EQ Premier VIP Trust” means EQ Premier VIP Trust, a series trust that is a Delaware statutory trust and is registered under the Investment Company Act of 1940, as amended (the “</w:t>
      </w:r>
      <w:r>
        <w:rPr>
          <w:rFonts w:eastAsia="Times New Roman"/>
          <w:color w:val="000000"/>
          <w:sz w:val="20"/>
          <w:szCs w:val="20"/>
        </w:rPr>
        <w:t>Investment Company Act”), as an open-end management investment company.</w:t>
      </w:r>
    </w:p>
    <w:p w:rsidR="00000000" w:rsidRDefault="00E54EC0">
      <w:pPr>
        <w:ind w:hanging="360"/>
        <w:jc w:val="both"/>
        <w:textAlignment w:val="top"/>
        <w:divId w:val="2316923"/>
        <w:rPr>
          <w:rFonts w:eastAsia="Times New Roman"/>
        </w:rPr>
      </w:pPr>
      <w:r>
        <w:rPr>
          <w:rFonts w:eastAsia="Times New Roman"/>
          <w:color w:val="000000"/>
          <w:sz w:val="20"/>
          <w:szCs w:val="20"/>
        </w:rPr>
        <w:t xml:space="preserve">•“EQAT” </w:t>
      </w:r>
      <w:r>
        <w:rPr>
          <w:rFonts w:eastAsia="Times New Roman"/>
          <w:color w:val="000000"/>
          <w:sz w:val="20"/>
          <w:szCs w:val="20"/>
        </w:rPr>
        <w:t>means EQ Advisors Trust, a series trust that is a Delaware statutory trust and is registered under the Investment Company Act as an open-end management investment company.</w:t>
      </w:r>
    </w:p>
    <w:p w:rsidR="00000000" w:rsidRDefault="00E54EC0">
      <w:pPr>
        <w:ind w:hanging="360"/>
        <w:jc w:val="both"/>
        <w:textAlignment w:val="top"/>
        <w:divId w:val="1300844244"/>
        <w:rPr>
          <w:rFonts w:eastAsia="Times New Roman"/>
        </w:rPr>
      </w:pPr>
      <w:r>
        <w:rPr>
          <w:rFonts w:eastAsia="Times New Roman"/>
          <w:color w:val="000000"/>
          <w:sz w:val="20"/>
          <w:szCs w:val="20"/>
        </w:rPr>
        <w:t>•“EQ AZ Life Re” means EQ AZ Life Re Company, an Arizona corporation and a wholly-ow</w:t>
      </w:r>
      <w:r>
        <w:rPr>
          <w:rFonts w:eastAsia="Times New Roman"/>
          <w:color w:val="000000"/>
          <w:sz w:val="20"/>
          <w:szCs w:val="20"/>
        </w:rPr>
        <w:t>ned indirect subsidiary of Holdings.</w:t>
      </w:r>
    </w:p>
    <w:p w:rsidR="00000000" w:rsidRDefault="00E54EC0">
      <w:pPr>
        <w:ind w:hanging="360"/>
        <w:jc w:val="both"/>
        <w:textAlignment w:val="top"/>
        <w:divId w:val="1237546948"/>
        <w:rPr>
          <w:rFonts w:eastAsia="Times New Roman"/>
        </w:rPr>
      </w:pPr>
      <w:r>
        <w:rPr>
          <w:rFonts w:eastAsia="Times New Roman"/>
          <w:color w:val="000000"/>
          <w:sz w:val="20"/>
          <w:szCs w:val="20"/>
        </w:rPr>
        <w:t>•“ERISA” means Employee Retirement Income Security Act of 1974</w:t>
      </w:r>
    </w:p>
    <w:p w:rsidR="00000000" w:rsidRDefault="00E54EC0">
      <w:pPr>
        <w:ind w:hanging="360"/>
        <w:jc w:val="both"/>
        <w:textAlignment w:val="top"/>
        <w:divId w:val="896865033"/>
        <w:rPr>
          <w:rFonts w:eastAsia="Times New Roman"/>
        </w:rPr>
      </w:pPr>
      <w:r>
        <w:rPr>
          <w:rFonts w:eastAsia="Times New Roman"/>
          <w:color w:val="000000"/>
          <w:sz w:val="20"/>
          <w:szCs w:val="20"/>
        </w:rPr>
        <w:t>•“ESG” means environmental, social and governance</w:t>
      </w:r>
    </w:p>
    <w:p w:rsidR="00000000" w:rsidRDefault="00E54EC0">
      <w:pPr>
        <w:ind w:hanging="360"/>
        <w:jc w:val="both"/>
        <w:textAlignment w:val="top"/>
        <w:divId w:val="1384209434"/>
        <w:rPr>
          <w:rFonts w:eastAsia="Times New Roman"/>
        </w:rPr>
      </w:pPr>
      <w:r>
        <w:rPr>
          <w:rFonts w:eastAsia="Times New Roman"/>
          <w:color w:val="000000"/>
          <w:sz w:val="20"/>
          <w:szCs w:val="20"/>
        </w:rPr>
        <w:t>•“ETF” means exchange traded funds</w:t>
      </w:r>
    </w:p>
    <w:p w:rsidR="00000000" w:rsidRDefault="00E54EC0">
      <w:pPr>
        <w:ind w:hanging="360"/>
        <w:jc w:val="both"/>
        <w:textAlignment w:val="top"/>
        <w:divId w:val="1672950322"/>
        <w:rPr>
          <w:rFonts w:eastAsia="Times New Roman"/>
        </w:rPr>
      </w:pPr>
      <w:r>
        <w:rPr>
          <w:rFonts w:eastAsia="Times New Roman"/>
          <w:color w:val="000000"/>
          <w:sz w:val="20"/>
          <w:szCs w:val="20"/>
        </w:rPr>
        <w:t>•“ETR” means effective tax rate</w:t>
      </w:r>
    </w:p>
    <w:p w:rsidR="00000000" w:rsidRDefault="00E54EC0">
      <w:pPr>
        <w:ind w:hanging="360"/>
        <w:jc w:val="both"/>
        <w:textAlignment w:val="top"/>
        <w:divId w:val="1256940660"/>
        <w:rPr>
          <w:rFonts w:eastAsia="Times New Roman"/>
        </w:rPr>
      </w:pPr>
      <w:r>
        <w:rPr>
          <w:rFonts w:eastAsia="Times New Roman"/>
          <w:color w:val="000000"/>
          <w:sz w:val="20"/>
          <w:szCs w:val="20"/>
        </w:rPr>
        <w:t>•“Exchange Act” means Securities Exchan</w:t>
      </w:r>
      <w:r>
        <w:rPr>
          <w:rFonts w:eastAsia="Times New Roman"/>
          <w:color w:val="000000"/>
          <w:sz w:val="20"/>
          <w:szCs w:val="20"/>
        </w:rPr>
        <w:t>ge Act of 1934, as amended</w:t>
      </w:r>
    </w:p>
    <w:p w:rsidR="00000000" w:rsidRDefault="00E54EC0">
      <w:pPr>
        <w:ind w:hanging="360"/>
        <w:jc w:val="both"/>
        <w:textAlignment w:val="top"/>
        <w:divId w:val="1628655621"/>
        <w:rPr>
          <w:rFonts w:eastAsia="Times New Roman"/>
        </w:rPr>
      </w:pPr>
      <w:r>
        <w:rPr>
          <w:rFonts w:eastAsia="Times New Roman"/>
          <w:color w:val="000000"/>
          <w:sz w:val="20"/>
          <w:szCs w:val="20"/>
        </w:rPr>
        <w:t>•“FABN” means Funding Agreement Backed Notes Program</w:t>
      </w:r>
    </w:p>
    <w:p w:rsidR="00000000" w:rsidRDefault="00E54EC0">
      <w:pPr>
        <w:ind w:hanging="360"/>
        <w:jc w:val="both"/>
        <w:textAlignment w:val="top"/>
        <w:divId w:val="1595505633"/>
        <w:rPr>
          <w:rFonts w:eastAsia="Times New Roman"/>
        </w:rPr>
      </w:pPr>
      <w:r>
        <w:rPr>
          <w:rFonts w:eastAsia="Times New Roman"/>
          <w:color w:val="000000"/>
          <w:sz w:val="20"/>
          <w:szCs w:val="20"/>
        </w:rPr>
        <w:t>•“FASB” means Financial Accounting Standards Board</w:t>
      </w:r>
    </w:p>
    <w:p w:rsidR="00000000" w:rsidRDefault="00E54EC0">
      <w:pPr>
        <w:ind w:hanging="360"/>
        <w:jc w:val="both"/>
        <w:textAlignment w:val="top"/>
        <w:divId w:val="530925165"/>
        <w:rPr>
          <w:rFonts w:eastAsia="Times New Roman"/>
        </w:rPr>
      </w:pPr>
      <w:r>
        <w:rPr>
          <w:rFonts w:eastAsia="Times New Roman"/>
          <w:color w:val="000000"/>
          <w:sz w:val="20"/>
          <w:szCs w:val="20"/>
        </w:rPr>
        <w:t>•“FDIC” means Federal Deposit Insurance Corporation</w:t>
      </w:r>
    </w:p>
    <w:p w:rsidR="00000000" w:rsidRDefault="00E54EC0">
      <w:pPr>
        <w:ind w:hanging="360"/>
        <w:jc w:val="both"/>
        <w:textAlignment w:val="top"/>
        <w:divId w:val="1341159866"/>
        <w:rPr>
          <w:rFonts w:eastAsia="Times New Roman"/>
        </w:rPr>
      </w:pPr>
      <w:r>
        <w:rPr>
          <w:rFonts w:eastAsia="Times New Roman"/>
          <w:color w:val="000000"/>
          <w:sz w:val="20"/>
          <w:szCs w:val="20"/>
        </w:rPr>
        <w:t>•“FHLB” means Federal Home Loan Bank</w:t>
      </w:r>
    </w:p>
    <w:p w:rsidR="00000000" w:rsidRDefault="00E54EC0">
      <w:pPr>
        <w:ind w:hanging="360"/>
        <w:jc w:val="both"/>
        <w:textAlignment w:val="top"/>
        <w:divId w:val="1856380845"/>
        <w:rPr>
          <w:rFonts w:eastAsia="Times New Roman"/>
        </w:rPr>
      </w:pPr>
      <w:r>
        <w:rPr>
          <w:rFonts w:eastAsia="Times New Roman"/>
          <w:color w:val="000000"/>
          <w:sz w:val="20"/>
          <w:szCs w:val="20"/>
        </w:rPr>
        <w:t>•“FINRA” means Financial Industry Re</w:t>
      </w:r>
      <w:r>
        <w:rPr>
          <w:rFonts w:eastAsia="Times New Roman"/>
          <w:color w:val="000000"/>
          <w:sz w:val="20"/>
          <w:szCs w:val="20"/>
        </w:rPr>
        <w:t>gulatory Authority, Inc.</w:t>
      </w:r>
    </w:p>
    <w:p w:rsidR="00000000" w:rsidRDefault="00E54EC0">
      <w:pPr>
        <w:jc w:val="both"/>
        <w:textAlignment w:val="top"/>
        <w:divId w:val="1048529047"/>
        <w:rPr>
          <w:rFonts w:eastAsia="Times New Roman"/>
        </w:rPr>
      </w:pPr>
      <w:r>
        <w:rPr>
          <w:rFonts w:eastAsia="Times New Roman"/>
          <w:color w:val="000000"/>
          <w:sz w:val="20"/>
          <w:szCs w:val="20"/>
        </w:rPr>
        <w:t>•“FIO” means Federal Insurance Office</w:t>
      </w:r>
    </w:p>
    <w:p w:rsidR="00000000" w:rsidRDefault="00E54EC0">
      <w:pPr>
        <w:jc w:val="both"/>
        <w:textAlignment w:val="top"/>
        <w:divId w:val="1827434615"/>
        <w:rPr>
          <w:rFonts w:eastAsia="Times New Roman"/>
        </w:rPr>
      </w:pPr>
      <w:r>
        <w:rPr>
          <w:rFonts w:eastAsia="Times New Roman"/>
          <w:color w:val="000000"/>
          <w:sz w:val="20"/>
          <w:szCs w:val="20"/>
        </w:rPr>
        <w:t>•“FMV” means fair market value</w:t>
      </w:r>
    </w:p>
    <w:p w:rsidR="00000000" w:rsidRDefault="00E54EC0">
      <w:pPr>
        <w:ind w:hanging="360"/>
        <w:jc w:val="both"/>
        <w:textAlignment w:val="top"/>
        <w:divId w:val="1190529466"/>
        <w:rPr>
          <w:rFonts w:eastAsia="Times New Roman"/>
        </w:rPr>
      </w:pPr>
      <w:r>
        <w:rPr>
          <w:rFonts w:eastAsia="Times New Roman"/>
          <w:color w:val="000000"/>
          <w:sz w:val="20"/>
          <w:szCs w:val="20"/>
        </w:rPr>
        <w:t>•“FSOC” means Financial Stability Oversight Council</w:t>
      </w:r>
    </w:p>
    <w:p w:rsidR="00000000" w:rsidRDefault="00E54EC0">
      <w:pPr>
        <w:ind w:hanging="360"/>
        <w:jc w:val="both"/>
        <w:textAlignment w:val="top"/>
        <w:divId w:val="1090350197"/>
        <w:rPr>
          <w:rFonts w:eastAsia="Times New Roman"/>
        </w:rPr>
      </w:pPr>
      <w:r>
        <w:rPr>
          <w:rFonts w:eastAsia="Times New Roman"/>
          <w:color w:val="000000"/>
          <w:sz w:val="20"/>
          <w:szCs w:val="20"/>
        </w:rPr>
        <w:t>•“FTSE” means Financial Times Stock Exchange</w:t>
      </w:r>
    </w:p>
    <w:p w:rsidR="00000000" w:rsidRDefault="00E54EC0">
      <w:pPr>
        <w:ind w:hanging="360"/>
        <w:jc w:val="both"/>
        <w:textAlignment w:val="top"/>
        <w:divId w:val="1675496356"/>
        <w:rPr>
          <w:rFonts w:eastAsia="Times New Roman"/>
        </w:rPr>
      </w:pPr>
      <w:r>
        <w:rPr>
          <w:rFonts w:eastAsia="Times New Roman"/>
          <w:color w:val="000000"/>
          <w:sz w:val="20"/>
          <w:szCs w:val="20"/>
        </w:rPr>
        <w:t>•“FVO” means fair value option</w:t>
      </w:r>
    </w:p>
    <w:p w:rsidR="00000000" w:rsidRDefault="00E54EC0">
      <w:pPr>
        <w:ind w:hanging="360"/>
        <w:jc w:val="both"/>
        <w:textAlignment w:val="top"/>
        <w:divId w:val="673991696"/>
        <w:rPr>
          <w:rFonts w:eastAsia="Times New Roman"/>
        </w:rPr>
      </w:pPr>
      <w:r>
        <w:rPr>
          <w:rFonts w:eastAsia="Times New Roman"/>
          <w:color w:val="000000"/>
          <w:sz w:val="20"/>
          <w:szCs w:val="20"/>
        </w:rPr>
        <w:t>•“FYP” means first year premium an</w:t>
      </w:r>
      <w:r>
        <w:rPr>
          <w:rFonts w:eastAsia="Times New Roman"/>
          <w:color w:val="000000"/>
          <w:sz w:val="20"/>
          <w:szCs w:val="20"/>
        </w:rPr>
        <w:t>d deposits</w:t>
      </w:r>
    </w:p>
    <w:p w:rsidR="00000000" w:rsidRDefault="00E54EC0">
      <w:pPr>
        <w:ind w:hanging="360"/>
        <w:jc w:val="both"/>
        <w:textAlignment w:val="top"/>
        <w:divId w:val="282999497"/>
        <w:rPr>
          <w:rFonts w:eastAsia="Times New Roman"/>
        </w:rPr>
      </w:pPr>
      <w:r>
        <w:rPr>
          <w:rFonts w:eastAsia="Times New Roman"/>
          <w:color w:val="000000"/>
          <w:sz w:val="20"/>
          <w:szCs w:val="20"/>
        </w:rPr>
        <w:t>•The “General Partner” means AllianceBernstein Corporation, a Delaware corporation and the general partner of AB Holding and ABLP.</w:t>
      </w:r>
    </w:p>
    <w:p w:rsidR="00000000" w:rsidRDefault="00E54EC0">
      <w:pPr>
        <w:ind w:hanging="360"/>
        <w:jc w:val="both"/>
        <w:textAlignment w:val="top"/>
        <w:divId w:val="1289580616"/>
        <w:rPr>
          <w:rFonts w:eastAsia="Times New Roman"/>
        </w:rPr>
      </w:pPr>
      <w:r>
        <w:rPr>
          <w:rFonts w:eastAsia="Times New Roman"/>
          <w:color w:val="000000"/>
          <w:sz w:val="20"/>
          <w:szCs w:val="20"/>
        </w:rPr>
        <w:t>•“GIO” means guaranteed interest option</w:t>
      </w:r>
    </w:p>
    <w:p w:rsidR="00000000" w:rsidRDefault="00E54EC0">
      <w:pPr>
        <w:ind w:hanging="360"/>
        <w:jc w:val="both"/>
        <w:textAlignment w:val="top"/>
        <w:divId w:val="451364217"/>
        <w:rPr>
          <w:rFonts w:eastAsia="Times New Roman"/>
        </w:rPr>
      </w:pPr>
      <w:r>
        <w:rPr>
          <w:rFonts w:eastAsia="Times New Roman"/>
          <w:color w:val="000000"/>
          <w:sz w:val="20"/>
          <w:szCs w:val="20"/>
        </w:rPr>
        <w:t>•“HFS” means held-for-sale</w:t>
      </w:r>
    </w:p>
    <w:p w:rsidR="00000000" w:rsidRDefault="00E54EC0">
      <w:pPr>
        <w:ind w:hanging="360"/>
        <w:jc w:val="both"/>
        <w:textAlignment w:val="top"/>
        <w:divId w:val="1176308580"/>
        <w:rPr>
          <w:rFonts w:eastAsia="Times New Roman"/>
        </w:rPr>
      </w:pPr>
      <w:r>
        <w:rPr>
          <w:rFonts w:eastAsia="Times New Roman"/>
          <w:color w:val="000000"/>
          <w:sz w:val="20"/>
          <w:szCs w:val="20"/>
        </w:rPr>
        <w:t>•“Holdings” means Equitable Holdings, Inc.</w:t>
      </w:r>
    </w:p>
    <w:p w:rsidR="00000000" w:rsidRDefault="00E54EC0">
      <w:pPr>
        <w:ind w:hanging="360"/>
        <w:jc w:val="both"/>
        <w:textAlignment w:val="top"/>
        <w:divId w:val="113909804"/>
        <w:rPr>
          <w:rFonts w:eastAsia="Times New Roman"/>
        </w:rPr>
      </w:pPr>
      <w:r>
        <w:rPr>
          <w:rFonts w:eastAsia="Times New Roman"/>
          <w:color w:val="000000"/>
          <w:sz w:val="20"/>
          <w:szCs w:val="20"/>
        </w:rPr>
        <w:t>•“HT</w:t>
      </w:r>
      <w:r>
        <w:rPr>
          <w:rFonts w:eastAsia="Times New Roman"/>
          <w:color w:val="000000"/>
          <w:sz w:val="20"/>
          <w:szCs w:val="20"/>
        </w:rPr>
        <w:t>M” means held-to-maturity</w:t>
      </w:r>
    </w:p>
    <w:p w:rsidR="00000000" w:rsidRDefault="00E54EC0">
      <w:pPr>
        <w:ind w:hanging="360"/>
        <w:jc w:val="both"/>
        <w:textAlignment w:val="top"/>
        <w:divId w:val="1159539388"/>
        <w:rPr>
          <w:rFonts w:eastAsia="Times New Roman"/>
        </w:rPr>
      </w:pPr>
      <w:r>
        <w:rPr>
          <w:rFonts w:eastAsia="Times New Roman"/>
          <w:color w:val="000000"/>
          <w:sz w:val="20"/>
          <w:szCs w:val="20"/>
        </w:rPr>
        <w:t>•“HR” means Human Resources</w:t>
      </w:r>
    </w:p>
    <w:p w:rsidR="00000000" w:rsidRDefault="00E54EC0">
      <w:pPr>
        <w:ind w:hanging="360"/>
        <w:jc w:val="both"/>
        <w:textAlignment w:val="top"/>
        <w:divId w:val="1962420919"/>
        <w:rPr>
          <w:rFonts w:eastAsia="Times New Roman"/>
        </w:rPr>
      </w:pPr>
      <w:r>
        <w:rPr>
          <w:rFonts w:eastAsia="Times New Roman"/>
          <w:color w:val="000000"/>
          <w:sz w:val="20"/>
          <w:szCs w:val="20"/>
        </w:rPr>
        <w:t>•“IFRS” means International Financial Reporting Standards</w:t>
      </w:r>
    </w:p>
    <w:p w:rsidR="00000000" w:rsidRDefault="00E54EC0">
      <w:pPr>
        <w:ind w:hanging="360"/>
        <w:jc w:val="both"/>
        <w:textAlignment w:val="top"/>
        <w:divId w:val="1269237135"/>
        <w:rPr>
          <w:rFonts w:eastAsia="Times New Roman"/>
        </w:rPr>
      </w:pPr>
      <w:r>
        <w:rPr>
          <w:rFonts w:eastAsia="Times New Roman"/>
          <w:color w:val="000000"/>
          <w:sz w:val="20"/>
          <w:szCs w:val="20"/>
        </w:rPr>
        <w:t>•“IT” means information technology</w:t>
      </w:r>
    </w:p>
    <w:p w:rsidR="00000000" w:rsidRDefault="00E54EC0">
      <w:pPr>
        <w:ind w:hanging="360"/>
        <w:jc w:val="both"/>
        <w:textAlignment w:val="top"/>
        <w:divId w:val="1020818196"/>
        <w:rPr>
          <w:rFonts w:eastAsia="Times New Roman"/>
        </w:rPr>
      </w:pPr>
      <w:r>
        <w:rPr>
          <w:rFonts w:eastAsia="Times New Roman"/>
          <w:color w:val="000000"/>
          <w:sz w:val="20"/>
          <w:szCs w:val="20"/>
        </w:rPr>
        <w:t>•“Investment Advisers Act” means Investment Advisers Act of 1940, as amended</w:t>
      </w:r>
    </w:p>
    <w:p w:rsidR="00000000" w:rsidRDefault="00E54EC0">
      <w:pPr>
        <w:ind w:hanging="360"/>
        <w:jc w:val="both"/>
        <w:textAlignment w:val="top"/>
        <w:divId w:val="2045935109"/>
        <w:rPr>
          <w:rFonts w:eastAsia="Times New Roman"/>
        </w:rPr>
      </w:pPr>
      <w:r>
        <w:rPr>
          <w:rFonts w:eastAsia="Times New Roman"/>
          <w:color w:val="000000"/>
          <w:sz w:val="20"/>
          <w:szCs w:val="20"/>
        </w:rPr>
        <w:t xml:space="preserve">•“IPO” </w:t>
      </w:r>
      <w:r>
        <w:rPr>
          <w:rFonts w:eastAsia="Times New Roman"/>
          <w:color w:val="000000"/>
          <w:sz w:val="20"/>
          <w:szCs w:val="20"/>
        </w:rPr>
        <w:t>means initial public offering</w:t>
      </w:r>
    </w:p>
    <w:p w:rsidR="00000000" w:rsidRDefault="00E54EC0">
      <w:pPr>
        <w:ind w:hanging="360"/>
        <w:jc w:val="both"/>
        <w:textAlignment w:val="top"/>
        <w:divId w:val="757748293"/>
        <w:rPr>
          <w:rFonts w:eastAsia="Times New Roman"/>
        </w:rPr>
      </w:pPr>
      <w:r>
        <w:rPr>
          <w:rFonts w:eastAsia="Times New Roman"/>
          <w:color w:val="000000"/>
          <w:sz w:val="20"/>
          <w:szCs w:val="20"/>
        </w:rPr>
        <w:t>•“IRS” means Internal Revenue Service</w:t>
      </w:r>
    </w:p>
    <w:p w:rsidR="00000000" w:rsidRDefault="00E54EC0">
      <w:pPr>
        <w:ind w:hanging="360"/>
        <w:jc w:val="both"/>
        <w:textAlignment w:val="top"/>
        <w:divId w:val="1218862974"/>
        <w:rPr>
          <w:rFonts w:eastAsia="Times New Roman"/>
        </w:rPr>
      </w:pPr>
      <w:r>
        <w:rPr>
          <w:rFonts w:eastAsia="Times New Roman"/>
          <w:color w:val="000000"/>
          <w:sz w:val="20"/>
          <w:szCs w:val="20"/>
        </w:rPr>
        <w:t xml:space="preserve">•“ISDA Master Agreement” means International Swaps and Derivatives Association Master Agreement </w:t>
      </w:r>
    </w:p>
    <w:p w:rsidR="00000000" w:rsidRDefault="00E54EC0">
      <w:pPr>
        <w:ind w:hanging="360"/>
        <w:jc w:val="both"/>
        <w:textAlignment w:val="top"/>
        <w:divId w:val="22362280"/>
        <w:rPr>
          <w:rFonts w:eastAsia="Times New Roman"/>
        </w:rPr>
      </w:pPr>
      <w:r>
        <w:rPr>
          <w:rFonts w:eastAsia="Times New Roman"/>
          <w:color w:val="000000"/>
          <w:sz w:val="20"/>
          <w:szCs w:val="20"/>
        </w:rPr>
        <w:t>•“IUS” means Investments Under Surveillance</w:t>
      </w:r>
    </w:p>
    <w:p w:rsidR="00000000" w:rsidRDefault="00E54EC0">
      <w:pPr>
        <w:ind w:hanging="360"/>
        <w:jc w:val="both"/>
        <w:textAlignment w:val="top"/>
        <w:divId w:val="593591416"/>
        <w:rPr>
          <w:rFonts w:eastAsia="Times New Roman"/>
        </w:rPr>
      </w:pPr>
      <w:r>
        <w:rPr>
          <w:rFonts w:eastAsia="Times New Roman"/>
          <w:color w:val="000000"/>
          <w:sz w:val="20"/>
          <w:szCs w:val="20"/>
        </w:rPr>
        <w:t>•“K-12 education market” means individuals in t</w:t>
      </w:r>
      <w:r>
        <w:rPr>
          <w:rFonts w:eastAsia="Times New Roman"/>
          <w:color w:val="000000"/>
          <w:sz w:val="20"/>
          <w:szCs w:val="20"/>
        </w:rPr>
        <w:t>he kindergarten, primary and secondary education market</w:t>
      </w:r>
    </w:p>
    <w:p w:rsidR="00000000" w:rsidRDefault="00E54EC0">
      <w:pPr>
        <w:ind w:firstLine="90"/>
        <w:jc w:val="both"/>
        <w:textAlignment w:val="top"/>
        <w:divId w:val="613288870"/>
        <w:rPr>
          <w:rFonts w:eastAsia="Times New Roman"/>
        </w:rPr>
      </w:pPr>
      <w:r>
        <w:rPr>
          <w:rFonts w:eastAsia="Times New Roman"/>
          <w:color w:val="000000"/>
          <w:sz w:val="20"/>
          <w:szCs w:val="20"/>
        </w:rPr>
        <w:t>•“KBRA” means Kroll Bond Rating Agency</w:t>
      </w:r>
    </w:p>
    <w:p w:rsidR="00000000" w:rsidRDefault="00E54EC0">
      <w:pPr>
        <w:ind w:hanging="360"/>
        <w:jc w:val="both"/>
        <w:textAlignment w:val="top"/>
        <w:divId w:val="1670526609"/>
        <w:rPr>
          <w:rFonts w:eastAsia="Times New Roman"/>
        </w:rPr>
      </w:pPr>
      <w:r>
        <w:rPr>
          <w:rFonts w:eastAsia="Times New Roman"/>
          <w:color w:val="000000"/>
          <w:sz w:val="20"/>
          <w:szCs w:val="20"/>
        </w:rPr>
        <w:t>•“LDTI” means long duration targeted improvements</w:t>
      </w:r>
    </w:p>
    <w:p w:rsidR="00000000" w:rsidRDefault="00E54EC0">
      <w:pPr>
        <w:ind w:firstLine="90"/>
        <w:jc w:val="both"/>
        <w:textAlignment w:val="top"/>
        <w:divId w:val="2059086536"/>
        <w:rPr>
          <w:rFonts w:eastAsia="Times New Roman"/>
        </w:rPr>
      </w:pPr>
      <w:r>
        <w:rPr>
          <w:rFonts w:eastAsia="Times New Roman"/>
          <w:color w:val="000000"/>
          <w:sz w:val="20"/>
          <w:szCs w:val="20"/>
        </w:rPr>
        <w:t>•“LGD” means loss given default</w:t>
      </w:r>
    </w:p>
    <w:p w:rsidR="00000000" w:rsidRDefault="00E54EC0">
      <w:pPr>
        <w:ind w:firstLine="90"/>
        <w:jc w:val="both"/>
        <w:textAlignment w:val="top"/>
        <w:divId w:val="1449395199"/>
        <w:rPr>
          <w:rFonts w:eastAsia="Times New Roman"/>
        </w:rPr>
      </w:pPr>
      <w:r>
        <w:rPr>
          <w:rFonts w:eastAsia="Times New Roman"/>
          <w:color w:val="000000"/>
          <w:sz w:val="20"/>
          <w:szCs w:val="20"/>
        </w:rPr>
        <w:t>•“LIBOR” means London Interbank Offered Rate</w:t>
      </w:r>
    </w:p>
    <w:p w:rsidR="00000000" w:rsidRDefault="00E54EC0">
      <w:pPr>
        <w:ind w:hanging="360"/>
        <w:jc w:val="both"/>
        <w:textAlignment w:val="top"/>
        <w:divId w:val="1573807949"/>
        <w:rPr>
          <w:rFonts w:eastAsia="Times New Roman"/>
        </w:rPr>
      </w:pPr>
      <w:r>
        <w:rPr>
          <w:rFonts w:eastAsia="Times New Roman"/>
          <w:color w:val="000000"/>
          <w:sz w:val="20"/>
          <w:szCs w:val="20"/>
        </w:rPr>
        <w:t>•“LIS” means AllianceBernstein Lif</w:t>
      </w:r>
      <w:r>
        <w:rPr>
          <w:rFonts w:eastAsia="Times New Roman"/>
          <w:color w:val="000000"/>
          <w:sz w:val="20"/>
          <w:szCs w:val="20"/>
        </w:rPr>
        <w:t>etime Income Strategy</w:t>
      </w:r>
    </w:p>
    <w:p w:rsidR="00000000" w:rsidRDefault="00E54EC0">
      <w:pPr>
        <w:ind w:firstLine="90"/>
        <w:jc w:val="both"/>
        <w:textAlignment w:val="top"/>
        <w:divId w:val="653334772"/>
        <w:rPr>
          <w:rFonts w:eastAsia="Times New Roman"/>
        </w:rPr>
      </w:pPr>
      <w:r>
        <w:rPr>
          <w:rFonts w:eastAsia="Times New Roman"/>
          <w:color w:val="000000"/>
          <w:sz w:val="20"/>
          <w:szCs w:val="20"/>
        </w:rPr>
        <w:t>•“LTV” means loan-to-value</w:t>
      </w:r>
    </w:p>
    <w:p w:rsidR="00000000" w:rsidRDefault="00E54EC0">
      <w:pPr>
        <w:ind w:hanging="360"/>
        <w:jc w:val="both"/>
        <w:textAlignment w:val="top"/>
        <w:divId w:val="1751461383"/>
        <w:rPr>
          <w:rFonts w:eastAsia="Times New Roman"/>
        </w:rPr>
      </w:pPr>
      <w:r>
        <w:rPr>
          <w:rFonts w:eastAsia="Times New Roman"/>
          <w:color w:val="000000"/>
          <w:sz w:val="20"/>
          <w:szCs w:val="20"/>
        </w:rPr>
        <w:t>•“Manual” means Accounting Practices and Procedures Manual as established by the NAIC</w:t>
      </w:r>
    </w:p>
    <w:p w:rsidR="00000000" w:rsidRDefault="00E54EC0">
      <w:pPr>
        <w:ind w:hanging="360"/>
        <w:jc w:val="both"/>
        <w:textAlignment w:val="top"/>
        <w:divId w:val="1700201389"/>
        <w:rPr>
          <w:rFonts w:eastAsia="Times New Roman"/>
        </w:rPr>
      </w:pPr>
      <w:r>
        <w:rPr>
          <w:rFonts w:eastAsia="Times New Roman"/>
          <w:color w:val="000000"/>
          <w:sz w:val="20"/>
          <w:szCs w:val="20"/>
        </w:rPr>
        <w:t>•“MD&amp;A” means Management’s Discussion and Analysis of Financial Condition and Results of Operations</w:t>
      </w:r>
    </w:p>
    <w:p w:rsidR="00000000" w:rsidRDefault="00E54EC0">
      <w:pPr>
        <w:ind w:hanging="360"/>
        <w:jc w:val="both"/>
        <w:textAlignment w:val="top"/>
        <w:divId w:val="2114812595"/>
        <w:rPr>
          <w:rFonts w:eastAsia="Times New Roman"/>
        </w:rPr>
      </w:pPr>
      <w:r>
        <w:rPr>
          <w:rFonts w:eastAsia="Times New Roman"/>
          <w:color w:val="000000"/>
          <w:sz w:val="20"/>
          <w:szCs w:val="20"/>
        </w:rPr>
        <w:t xml:space="preserve">•“MRBs” means market </w:t>
      </w:r>
      <w:r>
        <w:rPr>
          <w:rFonts w:eastAsia="Times New Roman"/>
          <w:color w:val="000000"/>
          <w:sz w:val="20"/>
          <w:szCs w:val="20"/>
        </w:rPr>
        <w:t>risk benefits</w:t>
      </w:r>
    </w:p>
    <w:p w:rsidR="00000000" w:rsidRDefault="00E54EC0">
      <w:pPr>
        <w:ind w:hanging="360"/>
        <w:jc w:val="both"/>
        <w:textAlignment w:val="top"/>
        <w:divId w:val="1561598118"/>
        <w:rPr>
          <w:rFonts w:eastAsia="Times New Roman"/>
        </w:rPr>
      </w:pPr>
      <w:r>
        <w:rPr>
          <w:rFonts w:eastAsia="Times New Roman"/>
          <w:color w:val="000000"/>
          <w:sz w:val="20"/>
          <w:szCs w:val="20"/>
        </w:rPr>
        <w:t>•“MSCI” means Morgan Stanley Capital International</w:t>
      </w:r>
    </w:p>
    <w:p w:rsidR="00000000" w:rsidRDefault="00E54EC0">
      <w:pPr>
        <w:jc w:val="both"/>
        <w:textAlignment w:val="top"/>
        <w:divId w:val="812986247"/>
        <w:rPr>
          <w:rFonts w:eastAsia="Times New Roman"/>
        </w:rPr>
      </w:pPr>
      <w:r>
        <w:rPr>
          <w:rFonts w:eastAsia="Times New Roman"/>
          <w:color w:val="000000"/>
          <w:sz w:val="20"/>
          <w:szCs w:val="20"/>
        </w:rPr>
        <w:t>•“MSO” means Market Stabilizer Option</w:t>
      </w:r>
    </w:p>
    <w:p w:rsidR="00000000" w:rsidRDefault="00E54EC0">
      <w:pPr>
        <w:jc w:val="center"/>
        <w:divId w:val="746071465"/>
        <w:rPr>
          <w:rFonts w:eastAsia="Times New Roman"/>
        </w:rPr>
      </w:pPr>
      <w:r>
        <w:rPr>
          <w:rFonts w:eastAsia="Times New Roman"/>
          <w:color w:val="000000"/>
          <w:sz w:val="20"/>
          <w:szCs w:val="20"/>
        </w:rPr>
        <w:t>247</w:t>
      </w:r>
    </w:p>
    <w:p w:rsidR="00000000" w:rsidRDefault="00E54EC0">
      <w:pPr>
        <w:rPr>
          <w:rFonts w:eastAsia="Times New Roman"/>
        </w:rPr>
      </w:pPr>
      <w:r>
        <w:rPr>
          <w:rFonts w:eastAsia="Times New Roman"/>
        </w:rPr>
        <w:pict>
          <v:rect id="_x0000_i1285" style="width:0;height:1.5pt" o:hralign="center" o:hrstd="t" o:hr="t" fillcolor="#a0a0a0" stroked="f"/>
        </w:pict>
      </w:r>
    </w:p>
    <w:p w:rsidR="00000000" w:rsidRDefault="00E54EC0">
      <w:pPr>
        <w:divId w:val="433594956"/>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ind w:hanging="360"/>
        <w:jc w:val="both"/>
        <w:textAlignment w:val="top"/>
        <w:divId w:val="1697272473"/>
        <w:rPr>
          <w:rFonts w:eastAsia="Times New Roman"/>
        </w:rPr>
      </w:pPr>
      <w:r>
        <w:rPr>
          <w:rFonts w:eastAsia="Times New Roman"/>
          <w:color w:val="000000"/>
          <w:sz w:val="20"/>
          <w:szCs w:val="20"/>
        </w:rPr>
        <w:t xml:space="preserve">•“NAIC” </w:t>
      </w:r>
      <w:r>
        <w:rPr>
          <w:rFonts w:eastAsia="Times New Roman"/>
          <w:color w:val="000000"/>
          <w:sz w:val="20"/>
          <w:szCs w:val="20"/>
        </w:rPr>
        <w:t>means National Association of Insurance Commissioners</w:t>
      </w:r>
    </w:p>
    <w:p w:rsidR="00000000" w:rsidRDefault="00E54EC0">
      <w:pPr>
        <w:jc w:val="both"/>
        <w:textAlignment w:val="top"/>
        <w:divId w:val="1639411900"/>
        <w:rPr>
          <w:rFonts w:eastAsia="Times New Roman"/>
        </w:rPr>
      </w:pPr>
      <w:r>
        <w:rPr>
          <w:rFonts w:eastAsia="Times New Roman"/>
          <w:color w:val="000000"/>
          <w:sz w:val="20"/>
          <w:szCs w:val="20"/>
        </w:rPr>
        <w:t>•“NAR” means net amount at risk</w:t>
      </w:r>
    </w:p>
    <w:p w:rsidR="00000000" w:rsidRDefault="00E54EC0">
      <w:pPr>
        <w:jc w:val="both"/>
        <w:textAlignment w:val="top"/>
        <w:divId w:val="2038460306"/>
        <w:rPr>
          <w:rFonts w:eastAsia="Times New Roman"/>
        </w:rPr>
      </w:pPr>
      <w:r>
        <w:rPr>
          <w:rFonts w:eastAsia="Times New Roman"/>
          <w:color w:val="000000"/>
          <w:sz w:val="20"/>
          <w:szCs w:val="20"/>
        </w:rPr>
        <w:t>•“NAV” means net asset value</w:t>
      </w:r>
    </w:p>
    <w:p w:rsidR="00000000" w:rsidRDefault="00E54EC0">
      <w:pPr>
        <w:jc w:val="both"/>
        <w:textAlignment w:val="top"/>
        <w:divId w:val="1735011282"/>
        <w:rPr>
          <w:rFonts w:eastAsia="Times New Roman"/>
        </w:rPr>
      </w:pPr>
      <w:r>
        <w:rPr>
          <w:rFonts w:eastAsia="Times New Roman"/>
          <w:color w:val="000000"/>
          <w:sz w:val="20"/>
          <w:szCs w:val="20"/>
        </w:rPr>
        <w:t>•“NFA” means National Futures Association</w:t>
      </w:r>
    </w:p>
    <w:p w:rsidR="00000000" w:rsidRDefault="00E54EC0">
      <w:pPr>
        <w:jc w:val="both"/>
        <w:textAlignment w:val="top"/>
        <w:divId w:val="885802117"/>
        <w:rPr>
          <w:rFonts w:eastAsia="Times New Roman"/>
        </w:rPr>
      </w:pPr>
      <w:r>
        <w:rPr>
          <w:rFonts w:eastAsia="Times New Roman"/>
          <w:color w:val="000000"/>
          <w:sz w:val="20"/>
          <w:szCs w:val="20"/>
        </w:rPr>
        <w:t>•“NLG” means no-lapse guarantee</w:t>
      </w:r>
    </w:p>
    <w:p w:rsidR="00000000" w:rsidRDefault="00E54EC0">
      <w:pPr>
        <w:jc w:val="both"/>
        <w:textAlignment w:val="top"/>
        <w:divId w:val="1046368599"/>
        <w:rPr>
          <w:rFonts w:eastAsia="Times New Roman"/>
        </w:rPr>
      </w:pPr>
      <w:r>
        <w:rPr>
          <w:rFonts w:eastAsia="Times New Roman"/>
          <w:color w:val="000000"/>
          <w:sz w:val="20"/>
          <w:szCs w:val="20"/>
        </w:rPr>
        <w:t>•“NMS” means National Market System</w:t>
      </w:r>
    </w:p>
    <w:p w:rsidR="00000000" w:rsidRDefault="00E54EC0">
      <w:pPr>
        <w:ind w:hanging="360"/>
        <w:jc w:val="both"/>
        <w:textAlignment w:val="top"/>
        <w:divId w:val="107631161"/>
        <w:rPr>
          <w:rFonts w:eastAsia="Times New Roman"/>
        </w:rPr>
      </w:pPr>
      <w:r>
        <w:rPr>
          <w:rFonts w:eastAsia="Times New Roman"/>
          <w:color w:val="000000"/>
          <w:sz w:val="20"/>
          <w:szCs w:val="20"/>
        </w:rPr>
        <w:t xml:space="preserve">•“NRSRO” </w:t>
      </w:r>
      <w:r>
        <w:rPr>
          <w:rFonts w:eastAsia="Times New Roman"/>
          <w:color w:val="000000"/>
          <w:sz w:val="20"/>
          <w:szCs w:val="20"/>
        </w:rPr>
        <w:t>means Nationally Recognized Statistical Ratings Organization</w:t>
      </w:r>
    </w:p>
    <w:p w:rsidR="00000000" w:rsidRDefault="00E54EC0">
      <w:pPr>
        <w:ind w:hanging="360"/>
        <w:jc w:val="both"/>
        <w:textAlignment w:val="top"/>
        <w:divId w:val="1979723755"/>
        <w:rPr>
          <w:rFonts w:eastAsia="Times New Roman"/>
        </w:rPr>
      </w:pPr>
      <w:r>
        <w:rPr>
          <w:rFonts w:eastAsia="Times New Roman"/>
          <w:color w:val="000000"/>
          <w:sz w:val="20"/>
          <w:szCs w:val="20"/>
        </w:rPr>
        <w:t>•“NYDFS” means New York State Department of Financial Services</w:t>
      </w:r>
    </w:p>
    <w:p w:rsidR="00000000" w:rsidRDefault="00E54EC0">
      <w:pPr>
        <w:ind w:hanging="360"/>
        <w:jc w:val="both"/>
        <w:textAlignment w:val="top"/>
        <w:divId w:val="1462655734"/>
        <w:rPr>
          <w:rFonts w:eastAsia="Times New Roman"/>
        </w:rPr>
      </w:pPr>
      <w:r>
        <w:rPr>
          <w:rFonts w:eastAsia="Times New Roman"/>
          <w:color w:val="000000"/>
          <w:sz w:val="20"/>
          <w:szCs w:val="20"/>
        </w:rPr>
        <w:t>•“NYSE” means New York Stock Exchange</w:t>
      </w:r>
    </w:p>
    <w:p w:rsidR="00000000" w:rsidRDefault="00E54EC0">
      <w:pPr>
        <w:ind w:firstLine="360"/>
        <w:jc w:val="both"/>
        <w:textAlignment w:val="top"/>
        <w:divId w:val="681665428"/>
        <w:rPr>
          <w:rFonts w:eastAsia="Times New Roman"/>
        </w:rPr>
      </w:pPr>
      <w:r>
        <w:rPr>
          <w:rFonts w:eastAsia="Times New Roman"/>
          <w:color w:val="000000"/>
          <w:sz w:val="20"/>
          <w:szCs w:val="20"/>
        </w:rPr>
        <w:t>•“OCI” means other comprehensive income</w:t>
      </w:r>
    </w:p>
    <w:p w:rsidR="00000000" w:rsidRDefault="00E54EC0">
      <w:pPr>
        <w:ind w:firstLine="360"/>
        <w:jc w:val="both"/>
        <w:textAlignment w:val="top"/>
        <w:divId w:val="1506438469"/>
        <w:rPr>
          <w:rFonts w:eastAsia="Times New Roman"/>
        </w:rPr>
      </w:pPr>
      <w:r>
        <w:rPr>
          <w:rFonts w:eastAsia="Times New Roman"/>
          <w:color w:val="000000"/>
          <w:sz w:val="20"/>
          <w:szCs w:val="20"/>
        </w:rPr>
        <w:t>•“OTC” means over-the-counter</w:t>
      </w:r>
    </w:p>
    <w:p w:rsidR="00000000" w:rsidRDefault="00E54EC0">
      <w:pPr>
        <w:ind w:firstLine="360"/>
        <w:jc w:val="both"/>
        <w:textAlignment w:val="top"/>
        <w:divId w:val="642076428"/>
        <w:rPr>
          <w:rFonts w:eastAsia="Times New Roman"/>
        </w:rPr>
      </w:pPr>
      <w:r>
        <w:rPr>
          <w:rFonts w:eastAsia="Times New Roman"/>
          <w:color w:val="000000"/>
          <w:sz w:val="20"/>
          <w:szCs w:val="20"/>
        </w:rPr>
        <w:t>•“OTTI” means other than</w:t>
      </w:r>
      <w:r>
        <w:rPr>
          <w:rFonts w:eastAsia="Times New Roman"/>
          <w:color w:val="000000"/>
          <w:sz w:val="20"/>
          <w:szCs w:val="20"/>
        </w:rPr>
        <w:t xml:space="preserve"> temporary impairment</w:t>
      </w:r>
    </w:p>
    <w:p w:rsidR="00000000" w:rsidRDefault="00E54EC0">
      <w:pPr>
        <w:ind w:firstLine="360"/>
        <w:jc w:val="both"/>
        <w:textAlignment w:val="top"/>
        <w:divId w:val="473988112"/>
        <w:rPr>
          <w:rFonts w:eastAsia="Times New Roman"/>
        </w:rPr>
      </w:pPr>
      <w:r>
        <w:rPr>
          <w:rFonts w:eastAsia="Times New Roman"/>
          <w:color w:val="000000"/>
          <w:sz w:val="20"/>
          <w:szCs w:val="20"/>
        </w:rPr>
        <w:t>•“PBO” means projected benefit obligation</w:t>
      </w:r>
    </w:p>
    <w:p w:rsidR="00000000" w:rsidRDefault="00E54EC0">
      <w:pPr>
        <w:ind w:firstLine="360"/>
        <w:jc w:val="both"/>
        <w:textAlignment w:val="top"/>
        <w:divId w:val="830373340"/>
        <w:rPr>
          <w:rFonts w:eastAsia="Times New Roman"/>
        </w:rPr>
      </w:pPr>
      <w:r>
        <w:rPr>
          <w:rFonts w:eastAsia="Times New Roman"/>
          <w:color w:val="000000"/>
          <w:sz w:val="20"/>
          <w:szCs w:val="20"/>
        </w:rPr>
        <w:t>•“PD” means probability of default</w:t>
      </w:r>
    </w:p>
    <w:p w:rsidR="00000000" w:rsidRDefault="00E54EC0">
      <w:pPr>
        <w:ind w:hanging="360"/>
        <w:jc w:val="both"/>
        <w:textAlignment w:val="top"/>
        <w:divId w:val="2072608228"/>
        <w:rPr>
          <w:rFonts w:eastAsia="Times New Roman"/>
        </w:rPr>
      </w:pPr>
      <w:r>
        <w:rPr>
          <w:rFonts w:eastAsia="Times New Roman"/>
          <w:color w:val="000000"/>
          <w:sz w:val="20"/>
          <w:szCs w:val="20"/>
        </w:rPr>
        <w:t>•“Pension Act” means Pension Protection Act of 2006</w:t>
      </w:r>
    </w:p>
    <w:p w:rsidR="00000000" w:rsidRDefault="00E54EC0">
      <w:pPr>
        <w:ind w:hanging="360"/>
        <w:jc w:val="both"/>
        <w:textAlignment w:val="top"/>
        <w:divId w:val="829712787"/>
        <w:rPr>
          <w:rFonts w:eastAsia="Times New Roman"/>
        </w:rPr>
      </w:pPr>
      <w:r>
        <w:rPr>
          <w:rFonts w:eastAsia="Times New Roman"/>
          <w:color w:val="000000"/>
          <w:sz w:val="20"/>
          <w:szCs w:val="20"/>
        </w:rPr>
        <w:t>•“PFBL” means profits followed by losses</w:t>
      </w:r>
    </w:p>
    <w:p w:rsidR="00000000" w:rsidRDefault="00E54EC0">
      <w:pPr>
        <w:ind w:firstLine="360"/>
        <w:jc w:val="both"/>
        <w:textAlignment w:val="top"/>
        <w:divId w:val="1372656518"/>
        <w:rPr>
          <w:rFonts w:eastAsia="Times New Roman"/>
        </w:rPr>
      </w:pPr>
      <w:r>
        <w:rPr>
          <w:rFonts w:eastAsia="Times New Roman"/>
          <w:color w:val="000000"/>
          <w:sz w:val="20"/>
          <w:szCs w:val="20"/>
        </w:rPr>
        <w:t>•“R&amp;P” means retirement and protection</w:t>
      </w:r>
    </w:p>
    <w:p w:rsidR="00000000" w:rsidRDefault="00E54EC0">
      <w:pPr>
        <w:ind w:hanging="360"/>
        <w:jc w:val="both"/>
        <w:textAlignment w:val="top"/>
        <w:divId w:val="113139113"/>
        <w:rPr>
          <w:rFonts w:eastAsia="Times New Roman"/>
        </w:rPr>
      </w:pPr>
      <w:r>
        <w:rPr>
          <w:rFonts w:eastAsia="Times New Roman"/>
          <w:color w:val="000000"/>
          <w:sz w:val="20"/>
          <w:szCs w:val="20"/>
        </w:rPr>
        <w:t>•“RBG” means the Retireme</w:t>
      </w:r>
      <w:r>
        <w:rPr>
          <w:rFonts w:eastAsia="Times New Roman"/>
          <w:color w:val="000000"/>
          <w:sz w:val="20"/>
          <w:szCs w:val="20"/>
        </w:rPr>
        <w:t>nt Benefits Group, a specialized division of Equitable Advisors</w:t>
      </w:r>
    </w:p>
    <w:p w:rsidR="00000000" w:rsidRDefault="00E54EC0">
      <w:pPr>
        <w:ind w:hanging="360"/>
        <w:jc w:val="both"/>
        <w:textAlignment w:val="top"/>
        <w:divId w:val="1088230548"/>
        <w:rPr>
          <w:rFonts w:eastAsia="Times New Roman"/>
        </w:rPr>
      </w:pPr>
      <w:r>
        <w:rPr>
          <w:rFonts w:eastAsia="Times New Roman"/>
          <w:color w:val="000000"/>
          <w:sz w:val="20"/>
          <w:szCs w:val="20"/>
        </w:rPr>
        <w:t>•“REIT” means real estate investment trusts</w:t>
      </w:r>
    </w:p>
    <w:p w:rsidR="00000000" w:rsidRDefault="00E54EC0">
      <w:pPr>
        <w:ind w:hanging="360"/>
        <w:jc w:val="both"/>
        <w:textAlignment w:val="top"/>
        <w:divId w:val="303508455"/>
        <w:rPr>
          <w:rFonts w:eastAsia="Times New Roman"/>
        </w:rPr>
      </w:pPr>
      <w:r>
        <w:rPr>
          <w:rFonts w:eastAsia="Times New Roman"/>
          <w:color w:val="000000"/>
          <w:sz w:val="20"/>
          <w:szCs w:val="20"/>
        </w:rPr>
        <w:t>•“RoU” means right of use</w:t>
      </w:r>
    </w:p>
    <w:p w:rsidR="00000000" w:rsidRDefault="00E54EC0">
      <w:pPr>
        <w:ind w:hanging="360"/>
        <w:jc w:val="both"/>
        <w:textAlignment w:val="top"/>
        <w:divId w:val="1136070038"/>
        <w:rPr>
          <w:rFonts w:eastAsia="Times New Roman"/>
        </w:rPr>
      </w:pPr>
      <w:r>
        <w:rPr>
          <w:rFonts w:eastAsia="Times New Roman"/>
          <w:color w:val="000000"/>
          <w:sz w:val="20"/>
          <w:szCs w:val="20"/>
        </w:rPr>
        <w:t>•“RMBS” means residential mortgage-backed security</w:t>
      </w:r>
    </w:p>
    <w:p w:rsidR="00000000" w:rsidRDefault="00E54EC0">
      <w:pPr>
        <w:ind w:hanging="360"/>
        <w:jc w:val="both"/>
        <w:textAlignment w:val="top"/>
        <w:divId w:val="935792775"/>
        <w:rPr>
          <w:rFonts w:eastAsia="Times New Roman"/>
        </w:rPr>
      </w:pPr>
      <w:r>
        <w:rPr>
          <w:rFonts w:eastAsia="Times New Roman"/>
          <w:color w:val="000000"/>
          <w:sz w:val="20"/>
          <w:szCs w:val="20"/>
        </w:rPr>
        <w:t>•“ROE” means return on equity</w:t>
      </w:r>
    </w:p>
    <w:p w:rsidR="00000000" w:rsidRDefault="00E54EC0">
      <w:pPr>
        <w:ind w:hanging="360"/>
        <w:jc w:val="both"/>
        <w:textAlignment w:val="top"/>
        <w:divId w:val="176165751"/>
        <w:rPr>
          <w:rFonts w:eastAsia="Times New Roman"/>
        </w:rPr>
      </w:pPr>
      <w:r>
        <w:rPr>
          <w:rFonts w:eastAsia="Times New Roman"/>
          <w:color w:val="000000"/>
          <w:sz w:val="20"/>
          <w:szCs w:val="20"/>
        </w:rPr>
        <w:t>•“RSUs” means restricted stock units</w:t>
      </w:r>
    </w:p>
    <w:p w:rsidR="00000000" w:rsidRDefault="00E54EC0">
      <w:pPr>
        <w:ind w:hanging="360"/>
        <w:jc w:val="both"/>
        <w:textAlignment w:val="top"/>
        <w:divId w:val="1060860233"/>
        <w:rPr>
          <w:rFonts w:eastAsia="Times New Roman"/>
        </w:rPr>
      </w:pPr>
      <w:r>
        <w:rPr>
          <w:rFonts w:eastAsia="Times New Roman"/>
          <w:color w:val="000000"/>
          <w:sz w:val="20"/>
          <w:szCs w:val="20"/>
        </w:rPr>
        <w:t>•“RT</w:t>
      </w:r>
      <w:r>
        <w:rPr>
          <w:rFonts w:eastAsia="Times New Roman"/>
          <w:color w:val="000000"/>
          <w:sz w:val="20"/>
          <w:szCs w:val="20"/>
        </w:rPr>
        <w:t>M” means reversion to the mean</w:t>
      </w:r>
    </w:p>
    <w:p w:rsidR="00000000" w:rsidRDefault="00E54EC0">
      <w:pPr>
        <w:jc w:val="both"/>
        <w:textAlignment w:val="top"/>
        <w:divId w:val="534655263"/>
        <w:rPr>
          <w:rFonts w:eastAsia="Times New Roman"/>
        </w:rPr>
      </w:pPr>
      <w:r>
        <w:rPr>
          <w:rFonts w:eastAsia="Times New Roman"/>
          <w:color w:val="000000"/>
          <w:sz w:val="20"/>
          <w:szCs w:val="20"/>
        </w:rPr>
        <w:t>•“SAP” means statutory accounting principles</w:t>
      </w:r>
    </w:p>
    <w:p w:rsidR="00000000" w:rsidRDefault="00E54EC0">
      <w:pPr>
        <w:ind w:hanging="360"/>
        <w:jc w:val="both"/>
        <w:textAlignment w:val="top"/>
        <w:divId w:val="2004164758"/>
        <w:rPr>
          <w:rFonts w:eastAsia="Times New Roman"/>
        </w:rPr>
      </w:pPr>
      <w:r>
        <w:rPr>
          <w:rFonts w:eastAsia="Times New Roman"/>
          <w:color w:val="000000"/>
          <w:sz w:val="20"/>
          <w:szCs w:val="20"/>
        </w:rPr>
        <w:t>•“SCB LLC” means Sanford C. Bernstein &amp; Co., LLC, a registered investment adviser and broker-dealer</w:t>
      </w:r>
    </w:p>
    <w:p w:rsidR="00000000" w:rsidRDefault="00E54EC0">
      <w:pPr>
        <w:ind w:hanging="360"/>
        <w:jc w:val="both"/>
        <w:textAlignment w:val="top"/>
        <w:divId w:val="712197237"/>
        <w:rPr>
          <w:rFonts w:eastAsia="Times New Roman"/>
        </w:rPr>
      </w:pPr>
      <w:r>
        <w:rPr>
          <w:rFonts w:eastAsia="Times New Roman"/>
          <w:color w:val="000000"/>
          <w:sz w:val="20"/>
          <w:szCs w:val="20"/>
        </w:rPr>
        <w:t>•“SCBL” means Sanford C. Bernstein Limited</w:t>
      </w:r>
    </w:p>
    <w:p w:rsidR="00000000" w:rsidRDefault="00E54EC0">
      <w:pPr>
        <w:ind w:hanging="360"/>
        <w:jc w:val="both"/>
        <w:textAlignment w:val="top"/>
        <w:divId w:val="1614745747"/>
        <w:rPr>
          <w:rFonts w:eastAsia="Times New Roman"/>
        </w:rPr>
      </w:pPr>
      <w:r>
        <w:rPr>
          <w:rFonts w:eastAsia="Times New Roman"/>
          <w:color w:val="000000"/>
          <w:sz w:val="20"/>
          <w:szCs w:val="20"/>
        </w:rPr>
        <w:t>•“SCS” means Structured Capital Strat</w:t>
      </w:r>
      <w:r>
        <w:rPr>
          <w:rFonts w:eastAsia="Times New Roman"/>
          <w:color w:val="000000"/>
          <w:sz w:val="20"/>
          <w:szCs w:val="20"/>
        </w:rPr>
        <w:t>egies</w:t>
      </w:r>
    </w:p>
    <w:p w:rsidR="00000000" w:rsidRDefault="00E54EC0">
      <w:pPr>
        <w:ind w:hanging="360"/>
        <w:jc w:val="both"/>
        <w:textAlignment w:val="top"/>
        <w:divId w:val="2000574143"/>
        <w:rPr>
          <w:rFonts w:eastAsia="Times New Roman"/>
        </w:rPr>
      </w:pPr>
      <w:r>
        <w:rPr>
          <w:rFonts w:eastAsia="Times New Roman"/>
          <w:color w:val="000000"/>
          <w:sz w:val="20"/>
          <w:szCs w:val="20"/>
        </w:rPr>
        <w:t>•“SEC” means U.S. Securities and Exchange Commission</w:t>
      </w:r>
    </w:p>
    <w:p w:rsidR="00000000" w:rsidRDefault="00E54EC0">
      <w:pPr>
        <w:ind w:hanging="360"/>
        <w:jc w:val="both"/>
        <w:textAlignment w:val="top"/>
        <w:divId w:val="101806803"/>
        <w:rPr>
          <w:rFonts w:eastAsia="Times New Roman"/>
        </w:rPr>
      </w:pPr>
      <w:r>
        <w:rPr>
          <w:rFonts w:eastAsia="Times New Roman"/>
          <w:color w:val="000000"/>
          <w:sz w:val="20"/>
          <w:szCs w:val="20"/>
        </w:rPr>
        <w:t>•“SECURE” means Setting Every Community Up for Retirement Enhancement</w:t>
      </w:r>
    </w:p>
    <w:p w:rsidR="00000000" w:rsidRDefault="00E54EC0">
      <w:pPr>
        <w:ind w:hanging="360"/>
        <w:jc w:val="both"/>
        <w:textAlignment w:val="top"/>
        <w:divId w:val="781459623"/>
        <w:rPr>
          <w:rFonts w:eastAsia="Times New Roman"/>
        </w:rPr>
      </w:pPr>
      <w:r>
        <w:rPr>
          <w:rFonts w:eastAsia="Times New Roman"/>
          <w:color w:val="000000"/>
          <w:sz w:val="20"/>
          <w:szCs w:val="20"/>
        </w:rPr>
        <w:t>•“Series A Preferred Stock” means Holdings’ Series A Fixed Rate Noncumulative Perpetual Preferred Stock</w:t>
      </w:r>
    </w:p>
    <w:p w:rsidR="00000000" w:rsidRDefault="00E54EC0">
      <w:pPr>
        <w:ind w:hanging="360"/>
        <w:jc w:val="both"/>
        <w:textAlignment w:val="top"/>
        <w:divId w:val="615715431"/>
        <w:rPr>
          <w:rFonts w:eastAsia="Times New Roman"/>
        </w:rPr>
      </w:pPr>
      <w:r>
        <w:rPr>
          <w:rFonts w:eastAsia="Times New Roman"/>
          <w:color w:val="000000"/>
          <w:sz w:val="20"/>
          <w:szCs w:val="20"/>
        </w:rPr>
        <w:t>•“Series B Preferred St</w:t>
      </w:r>
      <w:r>
        <w:rPr>
          <w:rFonts w:eastAsia="Times New Roman"/>
          <w:color w:val="000000"/>
          <w:sz w:val="20"/>
          <w:szCs w:val="20"/>
        </w:rPr>
        <w:t>ock” means Holdings’ Series B Fixed Rate Reset Noncumulative Perpetual Preferred Stock</w:t>
      </w:r>
    </w:p>
    <w:p w:rsidR="00000000" w:rsidRDefault="00E54EC0">
      <w:pPr>
        <w:ind w:hanging="360"/>
        <w:jc w:val="both"/>
        <w:textAlignment w:val="top"/>
        <w:divId w:val="1973830138"/>
        <w:rPr>
          <w:rFonts w:eastAsia="Times New Roman"/>
        </w:rPr>
      </w:pPr>
      <w:r>
        <w:rPr>
          <w:rFonts w:eastAsia="Times New Roman"/>
          <w:color w:val="000000"/>
          <w:sz w:val="20"/>
          <w:szCs w:val="20"/>
        </w:rPr>
        <w:t xml:space="preserve">•“Series C Preferred Stock” means Holdings’ </w:t>
      </w:r>
      <w:r>
        <w:rPr>
          <w:rFonts w:eastAsia="Times New Roman"/>
          <w:color w:val="000000"/>
          <w:sz w:val="20"/>
          <w:szCs w:val="20"/>
        </w:rPr>
        <w:t>Series C Fixed Rate Reset Noncumulative Perpetual Preferred Stock</w:t>
      </w:r>
    </w:p>
    <w:p w:rsidR="00000000" w:rsidRDefault="00E54EC0">
      <w:pPr>
        <w:ind w:hanging="360"/>
        <w:jc w:val="both"/>
        <w:textAlignment w:val="top"/>
        <w:divId w:val="759716800"/>
        <w:rPr>
          <w:rFonts w:eastAsia="Times New Roman"/>
        </w:rPr>
      </w:pPr>
      <w:r>
        <w:rPr>
          <w:rFonts w:eastAsia="Times New Roman"/>
          <w:color w:val="000000"/>
          <w:sz w:val="20"/>
          <w:szCs w:val="20"/>
        </w:rPr>
        <w:t>•“SIO” means structured investment option</w:t>
      </w:r>
    </w:p>
    <w:p w:rsidR="00000000" w:rsidRDefault="00E54EC0">
      <w:pPr>
        <w:ind w:hanging="360"/>
        <w:jc w:val="both"/>
        <w:textAlignment w:val="top"/>
        <w:divId w:val="1723670498"/>
        <w:rPr>
          <w:rFonts w:eastAsia="Times New Roman"/>
        </w:rPr>
      </w:pPr>
      <w:r>
        <w:rPr>
          <w:rFonts w:eastAsia="Times New Roman"/>
          <w:color w:val="000000"/>
          <w:sz w:val="20"/>
          <w:szCs w:val="20"/>
        </w:rPr>
        <w:t xml:space="preserve">•“SPE” means special purpose entity </w:t>
      </w:r>
    </w:p>
    <w:p w:rsidR="00000000" w:rsidRDefault="00E54EC0">
      <w:pPr>
        <w:ind w:hanging="360"/>
        <w:jc w:val="both"/>
        <w:textAlignment w:val="top"/>
        <w:divId w:val="1037855177"/>
        <w:rPr>
          <w:rFonts w:eastAsia="Times New Roman"/>
        </w:rPr>
      </w:pPr>
      <w:r>
        <w:rPr>
          <w:rFonts w:eastAsia="Times New Roman"/>
          <w:color w:val="000000"/>
          <w:sz w:val="20"/>
          <w:szCs w:val="20"/>
        </w:rPr>
        <w:t>•“SSAP” means Statements of Standard Accounting Practice</w:t>
      </w:r>
    </w:p>
    <w:p w:rsidR="00000000" w:rsidRDefault="00E54EC0">
      <w:pPr>
        <w:ind w:hanging="360"/>
        <w:jc w:val="both"/>
        <w:textAlignment w:val="top"/>
        <w:divId w:val="2104454964"/>
        <w:rPr>
          <w:rFonts w:eastAsia="Times New Roman"/>
        </w:rPr>
      </w:pPr>
      <w:r>
        <w:rPr>
          <w:rFonts w:eastAsia="Times New Roman"/>
          <w:color w:val="000000"/>
          <w:sz w:val="20"/>
          <w:szCs w:val="20"/>
        </w:rPr>
        <w:t xml:space="preserve">•“SVO” </w:t>
      </w:r>
      <w:r>
        <w:rPr>
          <w:rFonts w:eastAsia="Times New Roman"/>
          <w:color w:val="000000"/>
          <w:sz w:val="20"/>
          <w:szCs w:val="20"/>
        </w:rPr>
        <w:t>means Securities Valuation Office</w:t>
      </w:r>
    </w:p>
    <w:p w:rsidR="00000000" w:rsidRDefault="00E54EC0">
      <w:pPr>
        <w:ind w:hanging="360"/>
        <w:jc w:val="both"/>
        <w:textAlignment w:val="top"/>
        <w:divId w:val="1228538606"/>
        <w:rPr>
          <w:rFonts w:eastAsia="Times New Roman"/>
        </w:rPr>
      </w:pPr>
      <w:r>
        <w:rPr>
          <w:rFonts w:eastAsia="Times New Roman"/>
          <w:color w:val="000000"/>
          <w:sz w:val="20"/>
          <w:szCs w:val="20"/>
        </w:rPr>
        <w:t>•“TDRs” means troubled debt restructurings</w:t>
      </w:r>
    </w:p>
    <w:p w:rsidR="00000000" w:rsidRDefault="00E54EC0">
      <w:pPr>
        <w:ind w:hanging="360"/>
        <w:jc w:val="both"/>
        <w:textAlignment w:val="top"/>
        <w:divId w:val="1944726370"/>
        <w:rPr>
          <w:rFonts w:eastAsia="Times New Roman"/>
        </w:rPr>
      </w:pPr>
      <w:r>
        <w:rPr>
          <w:rFonts w:eastAsia="Times New Roman"/>
          <w:color w:val="000000"/>
          <w:sz w:val="20"/>
          <w:szCs w:val="20"/>
        </w:rPr>
        <w:t>•“TIPS” means treasury inflation-protected securities</w:t>
      </w:r>
    </w:p>
    <w:p w:rsidR="00000000" w:rsidRDefault="00E54EC0">
      <w:pPr>
        <w:ind w:hanging="360"/>
        <w:jc w:val="both"/>
        <w:textAlignment w:val="top"/>
        <w:divId w:val="1569074523"/>
        <w:rPr>
          <w:rFonts w:eastAsia="Times New Roman"/>
        </w:rPr>
      </w:pPr>
      <w:r>
        <w:rPr>
          <w:rFonts w:eastAsia="Times New Roman"/>
          <w:color w:val="000000"/>
          <w:sz w:val="20"/>
          <w:szCs w:val="20"/>
        </w:rPr>
        <w:t>•“Topix” means Tokyo Stock Price Index</w:t>
      </w:r>
    </w:p>
    <w:p w:rsidR="00000000" w:rsidRDefault="00E54EC0">
      <w:pPr>
        <w:ind w:hanging="360"/>
        <w:jc w:val="both"/>
        <w:textAlignment w:val="top"/>
        <w:divId w:val="362436492"/>
        <w:rPr>
          <w:rFonts w:eastAsia="Times New Roman"/>
        </w:rPr>
      </w:pPr>
      <w:r>
        <w:rPr>
          <w:rFonts w:eastAsia="Times New Roman"/>
          <w:color w:val="000000"/>
          <w:sz w:val="20"/>
          <w:szCs w:val="20"/>
        </w:rPr>
        <w:t>•“U.S.” means United States</w:t>
      </w:r>
    </w:p>
    <w:p w:rsidR="00000000" w:rsidRDefault="00E54EC0">
      <w:pPr>
        <w:ind w:hanging="360"/>
        <w:jc w:val="both"/>
        <w:textAlignment w:val="top"/>
        <w:divId w:val="664432483"/>
        <w:rPr>
          <w:rFonts w:eastAsia="Times New Roman"/>
        </w:rPr>
      </w:pPr>
      <w:r>
        <w:rPr>
          <w:rFonts w:eastAsia="Times New Roman"/>
          <w:color w:val="000000"/>
          <w:sz w:val="20"/>
          <w:szCs w:val="20"/>
        </w:rPr>
        <w:t>•“U.S. GAAP” means accounting principles generally accepte</w:t>
      </w:r>
      <w:r>
        <w:rPr>
          <w:rFonts w:eastAsia="Times New Roman"/>
          <w:color w:val="000000"/>
          <w:sz w:val="20"/>
          <w:szCs w:val="20"/>
        </w:rPr>
        <w:t>d in the United States of America</w:t>
      </w:r>
    </w:p>
    <w:p w:rsidR="00000000" w:rsidRDefault="00E54EC0">
      <w:pPr>
        <w:ind w:hanging="360"/>
        <w:jc w:val="both"/>
        <w:textAlignment w:val="top"/>
        <w:divId w:val="1589775479"/>
        <w:rPr>
          <w:rFonts w:eastAsia="Times New Roman"/>
        </w:rPr>
      </w:pPr>
      <w:r>
        <w:rPr>
          <w:rFonts w:eastAsia="Times New Roman"/>
          <w:color w:val="000000"/>
          <w:sz w:val="20"/>
          <w:szCs w:val="20"/>
        </w:rPr>
        <w:t>•“USD” means United States Dollar</w:t>
      </w:r>
    </w:p>
    <w:p w:rsidR="00000000" w:rsidRDefault="00E54EC0">
      <w:pPr>
        <w:ind w:hanging="360"/>
        <w:jc w:val="both"/>
        <w:textAlignment w:val="top"/>
        <w:divId w:val="1046493412"/>
        <w:rPr>
          <w:rFonts w:eastAsia="Times New Roman"/>
        </w:rPr>
      </w:pPr>
      <w:r>
        <w:rPr>
          <w:rFonts w:eastAsia="Times New Roman"/>
          <w:color w:val="000000"/>
          <w:sz w:val="20"/>
          <w:szCs w:val="20"/>
        </w:rPr>
        <w:t>•“ULSG” means universal life products with secondary guarantee</w:t>
      </w:r>
    </w:p>
    <w:p w:rsidR="00000000" w:rsidRDefault="00E54EC0">
      <w:pPr>
        <w:ind w:hanging="360"/>
        <w:jc w:val="both"/>
        <w:textAlignment w:val="top"/>
        <w:divId w:val="274944577"/>
        <w:rPr>
          <w:rFonts w:eastAsia="Times New Roman"/>
        </w:rPr>
      </w:pPr>
      <w:r>
        <w:rPr>
          <w:rFonts w:eastAsia="Times New Roman"/>
          <w:color w:val="000000"/>
          <w:sz w:val="20"/>
          <w:szCs w:val="20"/>
        </w:rPr>
        <w:t>•“Venerable” means Venerable Holdings, Inc., a Delaware corporation</w:t>
      </w:r>
    </w:p>
    <w:p w:rsidR="00000000" w:rsidRDefault="00E54EC0">
      <w:pPr>
        <w:ind w:hanging="360"/>
        <w:jc w:val="both"/>
        <w:textAlignment w:val="top"/>
        <w:divId w:val="613825319"/>
        <w:rPr>
          <w:rFonts w:eastAsia="Times New Roman"/>
        </w:rPr>
      </w:pPr>
      <w:r>
        <w:rPr>
          <w:rFonts w:eastAsia="Times New Roman"/>
          <w:color w:val="000000"/>
          <w:sz w:val="20"/>
          <w:szCs w:val="20"/>
        </w:rPr>
        <w:t>•“VIAC” means Venerable Insurance and Annuity Company</w:t>
      </w:r>
    </w:p>
    <w:p w:rsidR="00000000" w:rsidRDefault="00E54EC0">
      <w:pPr>
        <w:ind w:hanging="360"/>
        <w:jc w:val="both"/>
        <w:textAlignment w:val="top"/>
        <w:divId w:val="1651594900"/>
        <w:rPr>
          <w:rFonts w:eastAsia="Times New Roman"/>
        </w:rPr>
      </w:pPr>
      <w:r>
        <w:rPr>
          <w:rFonts w:eastAsia="Times New Roman"/>
          <w:color w:val="000000"/>
          <w:sz w:val="20"/>
          <w:szCs w:val="20"/>
        </w:rPr>
        <w:t>•“V</w:t>
      </w:r>
      <w:r>
        <w:rPr>
          <w:rFonts w:eastAsia="Times New Roman"/>
          <w:color w:val="000000"/>
          <w:sz w:val="20"/>
          <w:szCs w:val="20"/>
        </w:rPr>
        <w:t>IE” means variable interest entity</w:t>
      </w:r>
    </w:p>
    <w:p w:rsidR="00000000" w:rsidRDefault="00E54EC0">
      <w:pPr>
        <w:ind w:hanging="360"/>
        <w:jc w:val="both"/>
        <w:textAlignment w:val="top"/>
        <w:divId w:val="169177649"/>
        <w:rPr>
          <w:rFonts w:eastAsia="Times New Roman"/>
        </w:rPr>
      </w:pPr>
      <w:r>
        <w:rPr>
          <w:rFonts w:eastAsia="Times New Roman"/>
          <w:color w:val="000000"/>
          <w:sz w:val="20"/>
          <w:szCs w:val="20"/>
        </w:rPr>
        <w:t>•“VISL” means variable interest-sensitive life</w:t>
      </w:r>
    </w:p>
    <w:p w:rsidR="00000000" w:rsidRDefault="00E54EC0">
      <w:pPr>
        <w:ind w:hanging="360"/>
        <w:jc w:val="both"/>
        <w:textAlignment w:val="top"/>
        <w:divId w:val="2109808228"/>
        <w:rPr>
          <w:rFonts w:eastAsia="Times New Roman"/>
        </w:rPr>
      </w:pPr>
      <w:r>
        <w:rPr>
          <w:rFonts w:eastAsia="Times New Roman"/>
          <w:color w:val="000000"/>
          <w:sz w:val="20"/>
          <w:szCs w:val="20"/>
        </w:rPr>
        <w:t>•“VOE” means voting interest entity</w:t>
      </w:r>
    </w:p>
    <w:p w:rsidR="00000000" w:rsidRDefault="00E54EC0">
      <w:pPr>
        <w:jc w:val="center"/>
        <w:divId w:val="496195073"/>
        <w:rPr>
          <w:rFonts w:eastAsia="Times New Roman"/>
        </w:rPr>
      </w:pPr>
      <w:r>
        <w:rPr>
          <w:rFonts w:eastAsia="Times New Roman"/>
          <w:color w:val="000000"/>
          <w:sz w:val="20"/>
          <w:szCs w:val="20"/>
        </w:rPr>
        <w:t>248</w:t>
      </w:r>
    </w:p>
    <w:p w:rsidR="00000000" w:rsidRDefault="00E54EC0">
      <w:pPr>
        <w:rPr>
          <w:rFonts w:eastAsia="Times New Roman"/>
        </w:rPr>
      </w:pPr>
      <w:r>
        <w:rPr>
          <w:rFonts w:eastAsia="Times New Roman"/>
        </w:rPr>
        <w:pict>
          <v:rect id="_x0000_i1286" style="width:0;height:1.5pt" o:hralign="center" o:hrstd="t" o:hr="t" fillcolor="#a0a0a0" stroked="f"/>
        </w:pict>
      </w:r>
    </w:p>
    <w:p w:rsidR="00000000" w:rsidRDefault="00E54EC0">
      <w:pPr>
        <w:divId w:val="1168324205"/>
        <w:rPr>
          <w:rFonts w:eastAsia="Times New Roman"/>
        </w:rPr>
      </w:pPr>
      <w:hyperlink w:anchor="ifa77335c8c4046aba89b8098f04be9d1_508" w:history="1">
        <w:r>
          <w:rPr>
            <w:rStyle w:val="a3"/>
            <w:rFonts w:eastAsia="Times New Roman"/>
            <w:b/>
            <w:bCs/>
            <w:sz w:val="20"/>
            <w:szCs w:val="20"/>
          </w:rPr>
          <w:t>Table of Contents</w:t>
        </w:r>
      </w:hyperlink>
    </w:p>
    <w:p w:rsidR="00000000" w:rsidRDefault="00E54EC0">
      <w:pPr>
        <w:jc w:val="center"/>
        <w:divId w:val="609048660"/>
        <w:rPr>
          <w:rFonts w:eastAsia="Times New Roman"/>
        </w:rPr>
      </w:pPr>
      <w:r>
        <w:rPr>
          <w:rFonts w:eastAsia="Times New Roman"/>
          <w:b/>
          <w:bCs/>
          <w:color w:val="000000"/>
          <w:sz w:val="20"/>
          <w:szCs w:val="20"/>
        </w:rPr>
        <w:t>INDEX TO EXHIBITS</w:t>
      </w:r>
    </w:p>
    <w:tbl>
      <w:tblPr>
        <w:tblW w:w="4992" w:type="pct"/>
        <w:tblCellMar>
          <w:top w:w="15" w:type="dxa"/>
          <w:left w:w="15" w:type="dxa"/>
          <w:bottom w:w="15" w:type="dxa"/>
          <w:right w:w="15" w:type="dxa"/>
        </w:tblCellMar>
        <w:tblLook w:val="04A0" w:firstRow="1" w:lastRow="0" w:firstColumn="1" w:lastColumn="0" w:noHBand="0" w:noVBand="1"/>
      </w:tblPr>
      <w:tblGrid>
        <w:gridCol w:w="85"/>
        <w:gridCol w:w="659"/>
        <w:gridCol w:w="36"/>
        <w:gridCol w:w="36"/>
        <w:gridCol w:w="36"/>
        <w:gridCol w:w="36"/>
        <w:gridCol w:w="38"/>
        <w:gridCol w:w="7294"/>
        <w:gridCol w:w="37"/>
        <w:gridCol w:w="36"/>
      </w:tblGrid>
      <w:tr w:rsidR="00000000">
        <w:trPr>
          <w:divId w:val="947539785"/>
        </w:trPr>
        <w:tc>
          <w:tcPr>
            <w:tcW w:w="50" w:type="pct"/>
            <w:vAlign w:val="center"/>
            <w:hideMark/>
          </w:tcPr>
          <w:p w:rsidR="00000000" w:rsidRDefault="00E54EC0">
            <w:pPr>
              <w:jc w:val="center"/>
              <w:rPr>
                <w:rFonts w:eastAsia="Times New Roman"/>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20"/>
                <w:szCs w:val="20"/>
              </w:rPr>
              <w:t xml:space="preserve">Exhibit Number </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b/>
                <w:bCs/>
                <w:color w:val="000000"/>
                <w:sz w:val="20"/>
                <w:szCs w:val="20"/>
              </w:rPr>
              <w:t>Exhibit Description</w:t>
            </w:r>
          </w:p>
        </w:tc>
        <w:tc>
          <w:tcPr>
            <w:tcW w:w="0" w:type="auto"/>
            <w:vAlign w:val="center"/>
            <w:hideMark/>
          </w:tcPr>
          <w:p w:rsidR="00000000" w:rsidRDefault="00E54EC0">
            <w:pPr>
              <w:spacing w:after="100"/>
              <w:jc w:val="center"/>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8"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Second Amended and Restated Certificate of Incorporation of Equitable Holdings, Inc., effective May 19, 2022 (incorporated by reference to Exhibit 3.1 to our Form 8-K, filed on May 20, 2022). </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9"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54EC0">
            <w:pPr>
              <w:spacing w:after="100"/>
              <w:divId w:val="736786030"/>
              <w:rPr>
                <w:rFonts w:eastAsia="Times New Roman"/>
              </w:rPr>
            </w:pPr>
            <w:r>
              <w:rPr>
                <w:rFonts w:eastAsia="Times New Roman"/>
                <w:color w:val="000000"/>
                <w:sz w:val="20"/>
                <w:szCs w:val="20"/>
              </w:rPr>
              <w:t>Equit</w:t>
            </w:r>
            <w:r>
              <w:rPr>
                <w:rFonts w:eastAsia="Times New Roman"/>
                <w:color w:val="000000"/>
                <w:sz w:val="20"/>
                <w:szCs w:val="20"/>
              </w:rPr>
              <w:t>able Holdings, Inc. Sixth Amended and Restated By-laws, effective February 15, 2023.</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0" w:history="1">
              <w:r>
                <w:rPr>
                  <w:rStyle w:val="a3"/>
                  <w:rFonts w:eastAsia="Times New Roman"/>
                  <w:sz w:val="20"/>
                  <w:szCs w:val="20"/>
                </w:rPr>
                <w:t>3.3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Certificate of Designations with respect to the Series A Preferred Stock of the Company, dated November 21, 2019 (incorporated by reference to Exhib</w:t>
            </w:r>
            <w:r>
              <w:rPr>
                <w:rFonts w:eastAsia="Times New Roman"/>
                <w:color w:val="000000"/>
                <w:sz w:val="20"/>
                <w:szCs w:val="20"/>
              </w:rPr>
              <w:t>it 3.1 to our Form 8-K filed on November 21, 2019).</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1" w:history="1">
              <w:r>
                <w:rPr>
                  <w:rStyle w:val="a3"/>
                  <w:rFonts w:eastAsia="Times New Roman"/>
                  <w:sz w:val="20"/>
                  <w:szCs w:val="20"/>
                </w:rPr>
                <w:t>3.4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Certificate of Designations with respect to the Series B Preferred Stock of the Company, f</w:t>
            </w:r>
            <w:r>
              <w:rPr>
                <w:rFonts w:eastAsia="Times New Roman"/>
                <w:color w:val="000000"/>
                <w:sz w:val="20"/>
                <w:szCs w:val="20"/>
              </w:rPr>
              <w:t>iled August 7, 2020 (incorporated by reference to Exhibit 3.1 to our Form 8-K filed on August 11, 2020).</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2" w:history="1">
              <w:r>
                <w:rPr>
                  <w:rStyle w:val="a3"/>
                  <w:rFonts w:eastAsia="Times New Roman"/>
                  <w:sz w:val="20"/>
                  <w:szCs w:val="20"/>
                </w:rPr>
                <w:t>3.5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Certificate of Designation with respect to the Series C Preferred Stock of the Company, dated January 6, 2021 (incorporated by reference to Exhibit</w:t>
            </w:r>
            <w:r>
              <w:rPr>
                <w:rFonts w:eastAsia="Times New Roman"/>
                <w:color w:val="000000"/>
                <w:sz w:val="20"/>
                <w:szCs w:val="20"/>
              </w:rPr>
              <w:t xml:space="preserve"> 3.1 to our Form 8-K filed on January 6, 2021).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3"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Form of Common Stock Certificate (incorporated by reference to Exhibit 4.1 to our Registrat</w:t>
            </w:r>
            <w:r>
              <w:rPr>
                <w:rFonts w:eastAsia="Times New Roman"/>
                <w:color w:val="000000"/>
                <w:sz w:val="20"/>
                <w:szCs w:val="20"/>
              </w:rPr>
              <w:t>ion Statement on Form S-1, File No. 333-221521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4"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Indenture, dated as of December 1, 1993 from AXA Financial, Inc. to The Bank of NY Mellon Trust Company, N.A. (formerly known as Chemical Bank), as</w:t>
            </w:r>
            <w:r>
              <w:rPr>
                <w:rFonts w:eastAsia="Times New Roman"/>
                <w:color w:val="000000"/>
                <w:sz w:val="20"/>
                <w:szCs w:val="20"/>
              </w:rPr>
              <w:t xml:space="preserve"> Trustee (incorporated by reference to Exhibit 4.2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5"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Fourth Supplemental Indenture, dated April 1, 1998, from AXA Financial, Inc. to The Chase Manhattan Bank (formerly known as Chemical Bank), as Trustee, together with forms of global Senior Note and global Senior Indenture (incorporated by reference to Exhi</w:t>
            </w:r>
            <w:r>
              <w:rPr>
                <w:rFonts w:eastAsia="Times New Roman"/>
                <w:color w:val="000000"/>
                <w:sz w:val="20"/>
                <w:szCs w:val="20"/>
              </w:rPr>
              <w:t>bit 4.3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6" w:history="1">
              <w:r>
                <w:rPr>
                  <w:rStyle w:val="a3"/>
                  <w:rFonts w:eastAsia="Times New Roman"/>
                  <w:sz w:val="20"/>
                  <w:szCs w:val="20"/>
                </w:rPr>
                <w:t>4.4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Fifth Supplemental Indenture, dated October 1, 2018, among AXA Equitable Holdings, Inc. AXA Financial, Inc. and The Bank of NY Mellon Trust Company, N.A., as Trustee (incorporated by reference to Exhibit 4.1 to our Current Report on Form 8-K, filed on Octo</w:t>
            </w:r>
            <w:r>
              <w:rPr>
                <w:rFonts w:eastAsia="Times New Roman"/>
                <w:color w:val="000000"/>
                <w:sz w:val="20"/>
                <w:szCs w:val="20"/>
              </w:rPr>
              <w:t>ber 1, 2018).</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7" w:history="1">
              <w:r>
                <w:rPr>
                  <w:rStyle w:val="a3"/>
                  <w:rFonts w:eastAsia="Times New Roman"/>
                  <w:sz w:val="20"/>
                  <w:szCs w:val="20"/>
                </w:rPr>
                <w:t>4.5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Indenture, dated as of April </w:t>
            </w:r>
            <w:r>
              <w:rPr>
                <w:rFonts w:eastAsia="Times New Roman"/>
                <w:color w:val="000000"/>
                <w:sz w:val="20"/>
                <w:szCs w:val="20"/>
              </w:rPr>
              <w:t>20, 2018, among AXA Equitable Holdings, Inc., as issuer, Wilmington Saving Fund Society, FSB, as trustee, and Citibank, N.A., as security registrar and paying agent (incorporated by reference to Exhibit 4.4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8" w:history="1">
              <w:r>
                <w:rPr>
                  <w:rStyle w:val="a3"/>
                  <w:rFonts w:eastAsia="Times New Roman"/>
                  <w:sz w:val="20"/>
                  <w:szCs w:val="20"/>
                </w:rPr>
                <w:t>4.6</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First Supplemental Indenture, dated as of April 20, 2018, among AXA Equitable Holdings, Inc., as issuer, Wilmington Saving Fund Society, FSB, as trustee, and Citibank, N</w:t>
            </w:r>
            <w:r>
              <w:rPr>
                <w:rFonts w:eastAsia="Times New Roman"/>
                <w:color w:val="000000"/>
                <w:sz w:val="20"/>
                <w:szCs w:val="20"/>
              </w:rPr>
              <w:t>.A., as security registrar and paying agent (incorporated by reference to Exhibit 4.5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29" w:history="1">
              <w:r>
                <w:rPr>
                  <w:rStyle w:val="a3"/>
                  <w:rFonts w:eastAsia="Times New Roman"/>
                  <w:sz w:val="20"/>
                  <w:szCs w:val="20"/>
                </w:rPr>
                <w:t>4.7</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Second Supplemental Indenture, dated as of April 20, 2018, among AXA Equitable Holdings, Inc., as issuer, Wilmington Saving Fund Society, FSB, as trustee, and Citibank, N.A., as security registrar and paying agent (incorporated by reference to Exhibit 4.6 </w:t>
            </w:r>
            <w:r>
              <w:rPr>
                <w:rFonts w:eastAsia="Times New Roman"/>
                <w:color w:val="000000"/>
                <w:sz w:val="20"/>
                <w:szCs w:val="20"/>
              </w:rPr>
              <w:t>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0" w:history="1">
              <w:r>
                <w:rPr>
                  <w:rStyle w:val="a3"/>
                  <w:rFonts w:eastAsia="Times New Roman"/>
                  <w:sz w:val="20"/>
                  <w:szCs w:val="20"/>
                </w:rPr>
                <w:t>4.8</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Third Supplemental Indenture, dated as of April 20, 2018, among AXA Equitable Holdings, Inc., as issuer, Wilmington Savi</w:t>
            </w:r>
            <w:r>
              <w:rPr>
                <w:rFonts w:eastAsia="Times New Roman"/>
                <w:color w:val="000000"/>
                <w:sz w:val="20"/>
                <w:szCs w:val="20"/>
              </w:rPr>
              <w:t>ng Fund Society, FSB, as trustee, and Citibank, N.A., as security registrar and paying agent (incorporated by reference to Exhibit 4.7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1" w:history="1">
              <w:r>
                <w:rPr>
                  <w:rStyle w:val="a3"/>
                  <w:rFonts w:eastAsia="Times New Roman"/>
                  <w:sz w:val="20"/>
                  <w:szCs w:val="20"/>
                </w:rPr>
                <w:t>4.10</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Third Supplemental Indenture, dated January 11, 2023, between Equitable Holdings, Inc., as issuer, and The Bank of New York Trust Company, N.A., a</w:t>
            </w:r>
            <w:r>
              <w:rPr>
                <w:rFonts w:eastAsia="Times New Roman"/>
                <w:color w:val="000000"/>
                <w:sz w:val="20"/>
                <w:szCs w:val="20"/>
              </w:rPr>
              <w:t>s trustee (incorporated by reference to Exhibit 4.1 to our Current Report on Form 8-K, filed on January 11, 2023).</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2" w:history="1">
              <w:r>
                <w:rPr>
                  <w:rStyle w:val="a3"/>
                  <w:rFonts w:eastAsia="Times New Roman"/>
                  <w:sz w:val="20"/>
                  <w:szCs w:val="20"/>
                </w:rPr>
                <w:t>4.11#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Description of the Registrant’s Securities Registered Pursuant to Section 12 of t</w:t>
            </w:r>
            <w:r>
              <w:rPr>
                <w:rFonts w:eastAsia="Times New Roman"/>
                <w:color w:val="000000"/>
                <w:sz w:val="20"/>
                <w:szCs w:val="20"/>
              </w:rPr>
              <w:t>he Securities Exchange Act of 1934.</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3"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Master Agreement, dated as of April </w:t>
            </w:r>
            <w:r>
              <w:rPr>
                <w:rFonts w:eastAsia="Times New Roman"/>
                <w:color w:val="000000"/>
                <w:sz w:val="20"/>
                <w:szCs w:val="20"/>
              </w:rPr>
              <w:t>10, 2013, by and among AXA Equitable Financial Services, LLC, AXA Financial, Inc. and Protective Life Insurance Company (incorporated by reference to Exhibit 10.5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4" w:history="1">
              <w:r>
                <w:rPr>
                  <w:rStyle w:val="a3"/>
                  <w:rFonts w:eastAsia="Times New Roman"/>
                  <w:sz w:val="20"/>
                  <w:szCs w:val="20"/>
                </w:rPr>
                <w:t>10.2</w:t>
              </w:r>
            </w:hyperlink>
            <w:hyperlink r:id="rId35"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Employment Agreement, dated as of March 9, 2011, by and between AXA Financial, Inc. and Mark Pearson (incor</w:t>
            </w:r>
            <w:r>
              <w:rPr>
                <w:rFonts w:eastAsia="Times New Roman"/>
                <w:color w:val="000000"/>
                <w:sz w:val="20"/>
                <w:szCs w:val="20"/>
              </w:rPr>
              <w:t>porated by reference to Exhibit 10.7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 </w:t>
            </w:r>
            <w:r>
              <w:rPr>
                <w:rFonts w:eastAsia="Times New Roman"/>
                <w:color w:val="000000"/>
                <w:sz w:val="20"/>
                <w:szCs w:val="20"/>
              </w:rPr>
              <w:t> </w:t>
            </w:r>
            <w:hyperlink r:id="rId36"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Letter Agreement, dated February 19, 2013, between AXA Financial, Inc., AXA Equitable Life Insurance Company and Mark Pearson (incorporated b</w:t>
            </w:r>
            <w:r>
              <w:rPr>
                <w:rFonts w:eastAsia="Times New Roman"/>
                <w:color w:val="000000"/>
                <w:sz w:val="20"/>
                <w:szCs w:val="20"/>
              </w:rPr>
              <w:t>y reference to Exhibit 10.7.1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7"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Letter Agreement, dated May </w:t>
            </w:r>
            <w:r>
              <w:rPr>
                <w:rFonts w:eastAsia="Times New Roman"/>
                <w:color w:val="000000"/>
                <w:sz w:val="20"/>
                <w:szCs w:val="20"/>
              </w:rPr>
              <w:t>14, 2015, between AXA Financial, Inc., AXA Equitable Life Insurance Company and Mark Pearson (incorporated by reference to Exhibit 10.7.2 to the IPO Form S-1).</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8" w:history="1">
              <w:r>
                <w:rPr>
                  <w:rStyle w:val="a3"/>
                  <w:rFonts w:eastAsia="Times New Roman"/>
                  <w:sz w:val="20"/>
                  <w:szCs w:val="20"/>
                </w:rPr>
                <w:t>10.2.3†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Letter Agreement, dated February 27, 2019, between AXA Equitable Holdings, Inc., AXA Equitable Life Insurance Company and Mark Pearson. (incorporated by reference to Exhibit 10.7.3 to our Form 10-K for the fiscal year en</w:t>
            </w:r>
            <w:r>
              <w:rPr>
                <w:rFonts w:eastAsia="Times New Roman"/>
                <w:color w:val="000000"/>
                <w:sz w:val="20"/>
                <w:szCs w:val="20"/>
              </w:rPr>
              <w:t>ded December 31, 2018, (the “2018 Form 10-K”)).</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39" w:history="1">
              <w:r>
                <w:rPr>
                  <w:rStyle w:val="a3"/>
                  <w:rFonts w:eastAsia="Times New Roman"/>
                  <w:sz w:val="20"/>
                  <w:szCs w:val="20"/>
                </w:rPr>
                <w:t>10.2.4†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Waiver Agreement, dated May 9, 2019, to Mark Pearson’s Employment Agreement dated March 9, 2011 (incorporated by reference to Exhibit 10.1 to AXA Equitable Holdings, Inc.’s Form 10-Q for the quarterly period ending June 30, 2019.</w:t>
            </w:r>
          </w:p>
        </w:tc>
        <w:tc>
          <w:tcPr>
            <w:tcW w:w="0" w:type="auto"/>
            <w:vAlign w:val="center"/>
            <w:hideMark/>
          </w:tcPr>
          <w:p w:rsidR="00000000" w:rsidRDefault="00E54EC0">
            <w:pPr>
              <w:spacing w:after="100"/>
              <w:rPr>
                <w:rFonts w:eastAsia="Times New Roman"/>
              </w:rPr>
            </w:pPr>
          </w:p>
        </w:tc>
      </w:tr>
      <w:tr w:rsidR="00000000">
        <w:trPr>
          <w:divId w:val="94753978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0"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Letter Agreement, dated December 18, 2019, between AXA Equitable Holdings, Inc., AXA Equitable Life Insurance Company and Mark Pearson (incorporated by reference to </w:t>
            </w:r>
            <w:r>
              <w:rPr>
                <w:rFonts w:eastAsia="Times New Roman"/>
                <w:color w:val="000000"/>
                <w:sz w:val="20"/>
                <w:szCs w:val="20"/>
              </w:rPr>
              <w:t>Exhibit 10.1 to our Form 8-K filed on December 19, 2019).</w:t>
            </w:r>
          </w:p>
        </w:tc>
        <w:tc>
          <w:tcPr>
            <w:tcW w:w="0" w:type="auto"/>
            <w:vAlign w:val="center"/>
            <w:hideMark/>
          </w:tcPr>
          <w:p w:rsidR="00000000" w:rsidRDefault="00E54EC0">
            <w:pPr>
              <w:spacing w:after="100"/>
              <w:rPr>
                <w:rFonts w:eastAsia="Times New Roman"/>
              </w:rPr>
            </w:pPr>
          </w:p>
        </w:tc>
      </w:tr>
    </w:tbl>
    <w:p w:rsidR="00000000" w:rsidRDefault="00E54EC0">
      <w:pPr>
        <w:jc w:val="center"/>
        <w:divId w:val="1349987759"/>
        <w:rPr>
          <w:rFonts w:eastAsia="Times New Roman"/>
        </w:rPr>
      </w:pPr>
      <w:r>
        <w:rPr>
          <w:rFonts w:eastAsia="Times New Roman"/>
          <w:color w:val="000000"/>
          <w:sz w:val="20"/>
          <w:szCs w:val="20"/>
        </w:rPr>
        <w:t>249</w:t>
      </w:r>
    </w:p>
    <w:p w:rsidR="00000000" w:rsidRDefault="00E54EC0">
      <w:pPr>
        <w:rPr>
          <w:rFonts w:eastAsia="Times New Roman"/>
        </w:rPr>
      </w:pPr>
      <w:r>
        <w:rPr>
          <w:rFonts w:eastAsia="Times New Roman"/>
        </w:rPr>
        <w:pict>
          <v:rect id="_x0000_i1287" style="width:0;height:1.5pt" o:hralign="center" o:hrstd="t" o:hr="t" fillcolor="#a0a0a0" stroked="f"/>
        </w:pict>
      </w:r>
    </w:p>
    <w:p w:rsidR="00000000" w:rsidRDefault="00E54EC0">
      <w:pPr>
        <w:divId w:val="1302537723"/>
        <w:rPr>
          <w:rFonts w:eastAsia="Times New Roman"/>
        </w:rPr>
      </w:pPr>
      <w:hyperlink w:anchor="ifa77335c8c4046aba89b8098f04be9d1_508"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83"/>
        <w:gridCol w:w="649"/>
        <w:gridCol w:w="36"/>
        <w:gridCol w:w="36"/>
        <w:gridCol w:w="36"/>
        <w:gridCol w:w="36"/>
        <w:gridCol w:w="39"/>
        <w:gridCol w:w="7304"/>
        <w:gridCol w:w="38"/>
        <w:gridCol w:w="36"/>
      </w:tblGrid>
      <w:tr w:rsidR="00000000">
        <w:trPr>
          <w:divId w:val="599222839"/>
        </w:trPr>
        <w:tc>
          <w:tcPr>
            <w:tcW w:w="50" w:type="pct"/>
            <w:vAlign w:val="center"/>
            <w:hideMark/>
          </w:tcPr>
          <w:p w:rsidR="00000000" w:rsidRDefault="00E54EC0">
            <w:pPr>
              <w:rPr>
                <w:rFonts w:eastAsia="Times New Roman"/>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1"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Letter Agreement, dated February 14, 2023, between Equitable Holdings, Inc., Equitable Financial Life Insurance Company and Mark Pearson.</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2" w:history="1">
              <w:r>
                <w:rPr>
                  <w:rStyle w:val="a3"/>
                  <w:rFonts w:eastAsia="Times New Roman"/>
                  <w:sz w:val="20"/>
                  <w:szCs w:val="20"/>
                </w:rPr>
                <w:t>10.3†</w:t>
              </w:r>
            </w:hyperlink>
          </w:p>
        </w:tc>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Director Indemnification Agreement, dated May 4, 2018, between AXA Equitable Holdings, Inc. and each of its directors (incorporated by</w:t>
            </w:r>
            <w:r>
              <w:rPr>
                <w:rFonts w:eastAsia="Times New Roman"/>
                <w:color w:val="000000"/>
                <w:sz w:val="20"/>
                <w:szCs w:val="20"/>
              </w:rPr>
              <w:t xml:space="preserve"> reference to Exhibit 10.6 to our Form 10-Q for the quarterly period ending March 31, 2018).</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3"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Paper Dealer Agreement 4(a)(2) P</w:t>
            </w:r>
            <w:r>
              <w:rPr>
                <w:rFonts w:eastAsia="Times New Roman"/>
                <w:color w:val="000000"/>
                <w:sz w:val="20"/>
                <w:szCs w:val="20"/>
              </w:rPr>
              <w:t>rogram, dated as of June 1, 2015, between AllianceBernstein L.P., as Issuer, and Citigroup Global Markets Inc., as Dealer (incorporated by reference to Exhibit 10.08 to AB Holding’s Form 10-K for the fiscal year ended December 31, 2015).</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4"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Paper Dealer Agreement 4(a)(2) Program, dated as of June 1, 2015, between AllianceBernstein L.P., as Issuer, and Credit Suisse Secu</w:t>
            </w:r>
            <w:r>
              <w:rPr>
                <w:rFonts w:eastAsia="Times New Roman"/>
                <w:color w:val="000000"/>
                <w:sz w:val="20"/>
                <w:szCs w:val="20"/>
              </w:rPr>
              <w:t>rities (USA) LLC, as Dealer (incorporated by reference to Exhibit 10.09 to AB Holding’s Form 10-K for the fiscal year ended December 31, 2015).</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5"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Commercial Paper Dealer Agreement 4(a)(2) Program, dated as of June 1, 2015, between AllianceBernstein L.P., as Issuer, and Merrill Lynch, Pie</w:t>
            </w:r>
            <w:r>
              <w:rPr>
                <w:rFonts w:eastAsia="Times New Roman"/>
                <w:color w:val="000000"/>
                <w:sz w:val="20"/>
                <w:szCs w:val="20"/>
              </w:rPr>
              <w:t>rce, Fenner &amp; Smith Incorporated, as Dealer (incorporated by reference to Exhibit 10.10 to AB Holding’s Form 10-K for the fiscal year ended December 31, 2015).</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6"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Amended and Restated Revolving Credit Agreement, dated as of October 13, 2021 (incorporated by reference to Exhibit 10.01 of AB Hold</w:t>
            </w:r>
            <w:r>
              <w:rPr>
                <w:rFonts w:eastAsia="Times New Roman"/>
                <w:color w:val="000000"/>
                <w:sz w:val="20"/>
                <w:szCs w:val="20"/>
              </w:rPr>
              <w:t>ing’s Form 8-K).</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7" w:history="1">
              <w:r>
                <w:rPr>
                  <w:rStyle w:val="a3"/>
                  <w:rFonts w:eastAsia="Times New Roman"/>
                  <w:sz w:val="20"/>
                  <w:szCs w:val="20"/>
                </w:rPr>
                <w:t>10.8†</w:t>
              </w:r>
            </w:hyperlink>
          </w:p>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Profit Sharing Plan for Employees of AllianceBernstein L.P., as amended and restated as of January 1, 2015 and as further amended as of January 1, 2017 (incorporated by reference to Exhibit 10.05 to AB Holding’s Form 10-K for the fiscal year ended December</w:t>
            </w:r>
            <w:r>
              <w:rPr>
                <w:rFonts w:eastAsia="Times New Roman"/>
                <w:color w:val="000000"/>
                <w:sz w:val="20"/>
                <w:szCs w:val="20"/>
              </w:rPr>
              <w:t> 31, 2015).</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8" w:history="1">
              <w:r>
                <w:rPr>
                  <w:rStyle w:val="a3"/>
                  <w:rFonts w:eastAsia="Times New Roman"/>
                  <w:sz w:val="20"/>
                  <w:szCs w:val="20"/>
                </w:rPr>
                <w:t>10.8.1†</w:t>
              </w:r>
            </w:hyperlink>
          </w:p>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Amendment to the Profit Sharing Plan for Employees of AllianceBernstein L.P., dated as of October 20, 2016 and effe</w:t>
            </w:r>
            <w:r>
              <w:rPr>
                <w:rFonts w:eastAsia="Times New Roman"/>
                <w:color w:val="000000"/>
                <w:sz w:val="20"/>
                <w:szCs w:val="20"/>
              </w:rPr>
              <w:t>ctive as of January 1, 2017 (incorporated by reference to Exhibit 10.06 to AB Holding’s Form 10-K for the fiscal year ended December 31, 2017).</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49" w:history="1">
              <w:r>
                <w:rPr>
                  <w:rStyle w:val="a3"/>
                  <w:rFonts w:eastAsia="Times New Roman"/>
                  <w:sz w:val="20"/>
                  <w:szCs w:val="20"/>
                </w:rPr>
                <w:t>1</w:t>
              </w:r>
              <w:r>
                <w:rPr>
                  <w:rStyle w:val="a3"/>
                  <w:rFonts w:eastAsia="Times New Roman"/>
                  <w:sz w:val="20"/>
                  <w:szCs w:val="20"/>
                </w:rPr>
                <w:t>0.8.2†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Amendment to the Profit Sharing Plan for Employees of AllianceBernstein L.P., dated as of April 1, 2018 (incorporated by reference to Exhibit 10.12 to AB Holding’s Form 10-K for the fiscal year ended December 31, 2018).</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0"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Employment Agreement, dated as of April 28, 2017, among Seth Bernstein, AllianceBernstein Holding L.P., AllianceBernstein L.P. and AllianceBernstein Corporation (incorporated by r</w:t>
            </w:r>
            <w:r>
              <w:rPr>
                <w:rFonts w:eastAsia="Times New Roman"/>
                <w:color w:val="000000"/>
                <w:sz w:val="20"/>
                <w:szCs w:val="20"/>
              </w:rPr>
              <w:t>eference to Exhibit 10.3 to AB Holding’s Form 8-K  filed on May 1, 2017).</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1" w:history="1">
              <w:r>
                <w:rPr>
                  <w:rStyle w:val="a3"/>
                  <w:rFonts w:eastAsia="Times New Roman"/>
                  <w:sz w:val="20"/>
                  <w:szCs w:val="20"/>
                </w:rPr>
                <w:t>10.9.1†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Amendment to Seth P. Bernstein’s Employment Agreement (incorporated by reference to Exhibit 10.01 to AB Holding’s Form 10-K for the fiscal year ended December 31, 2018).</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2" w:history="1">
              <w:r>
                <w:rPr>
                  <w:rStyle w:val="a3"/>
                  <w:rFonts w:eastAsia="Times New Roman"/>
                  <w:sz w:val="20"/>
                  <w:szCs w:val="20"/>
                </w:rPr>
                <w:t>10.9.2†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Amendment No. 2 to Seth P. Bernstein’s Employment Agreement (incorporated by reference to Exhibit 10.2 to our Form 8-K filed on December 19, 2019). </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3"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AB 2017 Long Term Incentive Plan (incorporated by reference to Exhibit 10.06 to AB Holding’s Form 10-K for the fiscal year ended December 31,</w:t>
            </w:r>
            <w:r>
              <w:rPr>
                <w:rFonts w:eastAsia="Times New Roman"/>
                <w:color w:val="000000"/>
                <w:sz w:val="20"/>
                <w:szCs w:val="20"/>
              </w:rPr>
              <w:t xml:space="preserve"> 2017).</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4"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38939846"/>
              <w:rPr>
                <w:rFonts w:eastAsia="Times New Roman"/>
              </w:rPr>
            </w:pPr>
            <w:r>
              <w:rPr>
                <w:rFonts w:eastAsia="Times New Roman"/>
                <w:color w:val="000000"/>
                <w:sz w:val="20"/>
                <w:szCs w:val="20"/>
              </w:rPr>
              <w:t>Amended and Restated Revolving Credit Agreement, dated as of June 24, 2021, by and among the Company, the Subsidiary Account Partie</w:t>
            </w:r>
            <w:r>
              <w:rPr>
                <w:rFonts w:eastAsia="Times New Roman"/>
                <w:color w:val="000000"/>
                <w:sz w:val="20"/>
                <w:szCs w:val="20"/>
              </w:rPr>
              <w:t>s party thereto, the banks party thereto and JPMorgan Chase Bank, N.A., as Administrative Agent (incorporated by reference to Exhibit 10.1 to our Form 8-K filed on June 29, 2021).</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5"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Natixis,</w:t>
            </w:r>
            <w:r>
              <w:rPr>
                <w:rFonts w:eastAsia="Times New Roman"/>
                <w:color w:val="000000"/>
                <w:sz w:val="20"/>
                <w:szCs w:val="20"/>
              </w:rPr>
              <w:t xml:space="preserve"> New York Branch (incorporated by reference to Exhibit 10.25 to the IPO Form S-1 ).</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6" w:history="1">
              <w:r>
                <w:rPr>
                  <w:rStyle w:val="a3"/>
                  <w:rFonts w:eastAsia="Times New Roman"/>
                  <w:sz w:val="20"/>
                  <w:szCs w:val="20"/>
                </w:rPr>
                <w:t>10.12.1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839852346"/>
              <w:rPr>
                <w:rFonts w:eastAsia="Times New Roman"/>
              </w:rPr>
            </w:pPr>
            <w:r>
              <w:rPr>
                <w:rFonts w:eastAsia="Times New Roman"/>
                <w:color w:val="000000"/>
                <w:sz w:val="20"/>
                <w:szCs w:val="20"/>
              </w:rPr>
              <w:t>Amendment No. 1 to Reimbursement Agreement by and amo</w:t>
            </w:r>
            <w:r>
              <w:rPr>
                <w:rFonts w:eastAsia="Times New Roman"/>
                <w:color w:val="000000"/>
                <w:sz w:val="20"/>
                <w:szCs w:val="20"/>
              </w:rPr>
              <w:t>ng Equitable Holdings, Inc., the Subsidiary Account Parties (as defined therein) party thereto and Natixis, New York Branch (incorporated by reference to Exhibit 10.2 to our Form 8-K filed on March 26, 2021).</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7" w:history="1">
              <w:r>
                <w:rPr>
                  <w:rStyle w:val="a3"/>
                  <w:rFonts w:eastAsia="Times New Roman"/>
                  <w:sz w:val="20"/>
                  <w:szCs w:val="20"/>
                </w:rPr>
                <w:t>10.12.2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1257012924"/>
              <w:rPr>
                <w:rFonts w:eastAsia="Times New Roman"/>
              </w:rPr>
            </w:pPr>
            <w:r>
              <w:rPr>
                <w:rFonts w:eastAsia="Times New Roman"/>
                <w:color w:val="000000"/>
                <w:sz w:val="20"/>
                <w:szCs w:val="20"/>
              </w:rPr>
              <w:t>Amendment No. 2 to Reimbursement Agreement by and among Equitable Holdings, Inc., the Subsidiary Account Parties (as defined therein) party the</w:t>
            </w:r>
            <w:r>
              <w:rPr>
                <w:rFonts w:eastAsia="Times New Roman"/>
                <w:color w:val="000000"/>
                <w:sz w:val="20"/>
                <w:szCs w:val="20"/>
              </w:rPr>
              <w:t>reto and Natixis, New York Branch (incorporated by reference to Exhibit 10.2 to our Form 8-K filed on June 29, 2021).</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8"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HSBC Bank USA, National Association (incorporated by reference to Exhibit 10.26 to the IPO Form S-1).</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59" w:history="1">
              <w:r>
                <w:rPr>
                  <w:rStyle w:val="a3"/>
                  <w:rFonts w:eastAsia="Times New Roman"/>
                  <w:sz w:val="20"/>
                  <w:szCs w:val="20"/>
                </w:rPr>
                <w:t>10.13.1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746194387"/>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HSB</w:t>
            </w:r>
            <w:r>
              <w:rPr>
                <w:rFonts w:eastAsia="Times New Roman"/>
                <w:color w:val="000000"/>
                <w:sz w:val="20"/>
                <w:szCs w:val="20"/>
              </w:rPr>
              <w:t>C Bank USA, National Association (incorporated by reference to Exhibit 10.3 to our Form 8-K filed on March 26, 2021).</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0" w:history="1">
              <w:r>
                <w:rPr>
                  <w:rStyle w:val="a3"/>
                  <w:rFonts w:eastAsia="Times New Roman"/>
                  <w:sz w:val="20"/>
                  <w:szCs w:val="20"/>
                </w:rPr>
                <w:t>10.13.2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2118788829"/>
              <w:rPr>
                <w:rFonts w:eastAsia="Times New Roman"/>
              </w:rPr>
            </w:pPr>
            <w:r>
              <w:rPr>
                <w:rFonts w:eastAsia="Times New Roman"/>
                <w:color w:val="000000"/>
                <w:sz w:val="20"/>
                <w:szCs w:val="20"/>
              </w:rPr>
              <w:t xml:space="preserve">Amendment No. 2 to Reimbursement Agreement by and among Equitable Holdings, Inc., the Subsidiary Account Parties (as defined therein) party thereto and HSBC Bank USA, National Association (incorporated by reference to Exhibit 10.3 to our Form 8-K filed on </w:t>
            </w:r>
            <w:r>
              <w:rPr>
                <w:rFonts w:eastAsia="Times New Roman"/>
                <w:color w:val="000000"/>
                <w:sz w:val="20"/>
                <w:szCs w:val="20"/>
              </w:rPr>
              <w:t>June 29, 2021).</w:t>
            </w:r>
          </w:p>
        </w:tc>
        <w:tc>
          <w:tcPr>
            <w:tcW w:w="0" w:type="auto"/>
            <w:vAlign w:val="center"/>
            <w:hideMark/>
          </w:tcPr>
          <w:p w:rsidR="00000000" w:rsidRDefault="00E54EC0">
            <w:pPr>
              <w:spacing w:after="100"/>
              <w:rPr>
                <w:rFonts w:eastAsia="Times New Roman"/>
              </w:rPr>
            </w:pPr>
          </w:p>
        </w:tc>
      </w:tr>
      <w:tr w:rsidR="00000000">
        <w:trPr>
          <w:divId w:val="599222839"/>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1"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w:t>
            </w:r>
            <w:r>
              <w:rPr>
                <w:rFonts w:eastAsia="Times New Roman"/>
                <w:color w:val="000000"/>
                <w:sz w:val="20"/>
                <w:szCs w:val="20"/>
              </w:rPr>
              <w:t>y thereto and Citibank Europe PLC (incorporated by reference to Exhibit 10.27 to the IPO Form S-1).</w:t>
            </w:r>
          </w:p>
        </w:tc>
        <w:tc>
          <w:tcPr>
            <w:tcW w:w="0" w:type="auto"/>
            <w:vAlign w:val="center"/>
            <w:hideMark/>
          </w:tcPr>
          <w:p w:rsidR="00000000" w:rsidRDefault="00E54EC0">
            <w:pPr>
              <w:spacing w:after="100"/>
              <w:rPr>
                <w:rFonts w:eastAsia="Times New Roman"/>
              </w:rPr>
            </w:pPr>
          </w:p>
        </w:tc>
      </w:tr>
    </w:tbl>
    <w:p w:rsidR="00000000" w:rsidRDefault="00E54EC0">
      <w:pPr>
        <w:jc w:val="center"/>
        <w:divId w:val="1727798603"/>
        <w:rPr>
          <w:rFonts w:eastAsia="Times New Roman"/>
        </w:rPr>
      </w:pPr>
      <w:r>
        <w:rPr>
          <w:rFonts w:eastAsia="Times New Roman"/>
          <w:color w:val="000000"/>
          <w:sz w:val="20"/>
          <w:szCs w:val="20"/>
        </w:rPr>
        <w:t>250</w:t>
      </w:r>
    </w:p>
    <w:p w:rsidR="00000000" w:rsidRDefault="00E54EC0">
      <w:pPr>
        <w:rPr>
          <w:rFonts w:eastAsia="Times New Roman"/>
        </w:rPr>
      </w:pPr>
      <w:r>
        <w:rPr>
          <w:rFonts w:eastAsia="Times New Roman"/>
        </w:rPr>
        <w:pict>
          <v:rect id="_x0000_i1288" style="width:0;height:1.5pt" o:hralign="center" o:hrstd="t" o:hr="t" fillcolor="#a0a0a0" stroked="f"/>
        </w:pict>
      </w:r>
    </w:p>
    <w:p w:rsidR="00000000" w:rsidRDefault="00E54EC0">
      <w:pPr>
        <w:divId w:val="1289238301"/>
        <w:rPr>
          <w:rFonts w:eastAsia="Times New Roman"/>
        </w:rPr>
      </w:pPr>
      <w:hyperlink w:anchor="ifa77335c8c4046aba89b8098f04be9d1_508"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2"/>
        <w:gridCol w:w="611"/>
        <w:gridCol w:w="36"/>
        <w:gridCol w:w="36"/>
        <w:gridCol w:w="36"/>
        <w:gridCol w:w="36"/>
        <w:gridCol w:w="46"/>
        <w:gridCol w:w="7347"/>
        <w:gridCol w:w="37"/>
        <w:gridCol w:w="36"/>
      </w:tblGrid>
      <w:tr w:rsidR="00000000">
        <w:trPr>
          <w:divId w:val="1683821462"/>
        </w:trPr>
        <w:tc>
          <w:tcPr>
            <w:tcW w:w="50" w:type="pct"/>
            <w:vAlign w:val="center"/>
            <w:hideMark/>
          </w:tcPr>
          <w:p w:rsidR="00000000" w:rsidRDefault="00E54EC0">
            <w:pPr>
              <w:rPr>
                <w:rFonts w:eastAsia="Times New Roman"/>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2" w:history="1">
              <w:r>
                <w:rPr>
                  <w:rStyle w:val="a3"/>
                  <w:rFonts w:eastAsia="Times New Roman"/>
                  <w:sz w:val="20"/>
                  <w:szCs w:val="20"/>
                </w:rPr>
                <w:t>10.14.1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885877781"/>
              <w:rPr>
                <w:rFonts w:eastAsia="Times New Roman"/>
              </w:rPr>
            </w:pPr>
            <w:r>
              <w:rPr>
                <w:rFonts w:eastAsia="Times New Roman"/>
                <w:color w:val="000000"/>
                <w:sz w:val="20"/>
                <w:szCs w:val="20"/>
              </w:rPr>
              <w:t>Amendment No. 1 to Reimbursement Agreement by and among Equitable Holdings, Inc., the Subsidiary Account Parties (as defined therein) party the</w:t>
            </w:r>
            <w:r>
              <w:rPr>
                <w:rFonts w:eastAsia="Times New Roman"/>
                <w:color w:val="000000"/>
                <w:sz w:val="20"/>
                <w:szCs w:val="20"/>
              </w:rPr>
              <w:t>reto and Citibank Europe PLC (incorporated by reference to Exhibit 10.4 to our Form 8-K filed on March 26,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3" w:history="1">
              <w:r>
                <w:rPr>
                  <w:rStyle w:val="a3"/>
                  <w:rFonts w:eastAsia="Times New Roman"/>
                  <w:sz w:val="20"/>
                  <w:szCs w:val="20"/>
                </w:rPr>
                <w:t>10.14.2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383023038"/>
              <w:rPr>
                <w:rFonts w:eastAsia="Times New Roman"/>
              </w:rPr>
            </w:pPr>
            <w:r>
              <w:rPr>
                <w:rFonts w:eastAsia="Times New Roman"/>
                <w:color w:val="000000"/>
                <w:sz w:val="20"/>
                <w:szCs w:val="20"/>
              </w:rPr>
              <w:t>Amendment No. 2 to Reimbursement Agreement by and among Equitable Holdings, Inc., the Subsidiary Account Parties (as defined therein) party thereto and Citibank Europe PLC (incorporated by reference to Exhibit 10.4 to our Form 8-K filed on June 29,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4"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Credit Agricole Corporate and Investment Bank (incorporated by reference to Exhibit 10.28 to the IPO Form S-1).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5" w:history="1">
              <w:r>
                <w:rPr>
                  <w:rStyle w:val="a3"/>
                  <w:rFonts w:eastAsia="Times New Roman"/>
                  <w:sz w:val="20"/>
                  <w:szCs w:val="20"/>
                </w:rPr>
                <w:t>10.15.1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1822501380"/>
              <w:rPr>
                <w:rFonts w:eastAsia="Times New Roman"/>
              </w:rPr>
            </w:pPr>
            <w:r>
              <w:rPr>
                <w:rFonts w:eastAsia="Times New Roman"/>
                <w:color w:val="000000"/>
                <w:sz w:val="20"/>
                <w:szCs w:val="20"/>
              </w:rPr>
              <w:t>Amendment No. 1 to Reimbursement Agreement by and among Equitable Holdings, Inc., the Subsidiary Account Parties (as defined therein) party the</w:t>
            </w:r>
            <w:r>
              <w:rPr>
                <w:rFonts w:eastAsia="Times New Roman"/>
                <w:color w:val="000000"/>
                <w:sz w:val="20"/>
                <w:szCs w:val="20"/>
              </w:rPr>
              <w:t>reto and Credit Agricole Corporate and Investment Bank (incorporated by reference to Exhibit 10.5 to our Form 8-K filed on March 26,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6" w:history="1">
              <w:r>
                <w:rPr>
                  <w:rStyle w:val="a3"/>
                  <w:rFonts w:eastAsia="Times New Roman"/>
                  <w:sz w:val="20"/>
                  <w:szCs w:val="20"/>
                </w:rPr>
                <w:t>10.15.2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2044017355"/>
              <w:rPr>
                <w:rFonts w:eastAsia="Times New Roman"/>
              </w:rPr>
            </w:pPr>
            <w:r>
              <w:rPr>
                <w:rFonts w:eastAsia="Times New Roman"/>
                <w:color w:val="000000"/>
                <w:sz w:val="20"/>
                <w:szCs w:val="20"/>
              </w:rPr>
              <w:t xml:space="preserve">Amendment No. 2 to Reimbursement Agreement by and among Equitable Holdings, Inc., the Subsidiary Account Parties (as defined therein) party thereto and Credit Agricole Corporate and Investment Bank (incorporated by reference to Exhibit 10.5 to our Form </w:t>
            </w:r>
            <w:r>
              <w:rPr>
                <w:rFonts w:eastAsia="Times New Roman"/>
                <w:color w:val="000000"/>
                <w:sz w:val="20"/>
                <w:szCs w:val="20"/>
              </w:rPr>
              <w:t>8-K filed on June 29,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7"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Barclays Bank PLC (incorporated by reference to Exhibit 10.29 to the IPO Form S-1).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8" w:history="1">
              <w:r>
                <w:rPr>
                  <w:rStyle w:val="a3"/>
                  <w:rFonts w:eastAsia="Times New Roman"/>
                  <w:sz w:val="20"/>
                  <w:szCs w:val="20"/>
                </w:rPr>
                <w:t>10.16.1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553809899"/>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Barclays Bank PLC (in</w:t>
            </w:r>
            <w:r>
              <w:rPr>
                <w:rFonts w:eastAsia="Times New Roman"/>
                <w:color w:val="000000"/>
                <w:sz w:val="20"/>
                <w:szCs w:val="20"/>
              </w:rPr>
              <w:t>corporated by reference to Exhibit 10.6 to our Form 8-K filed on March 26,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69" w:history="1">
              <w:r>
                <w:rPr>
                  <w:rStyle w:val="a3"/>
                  <w:rFonts w:eastAsia="Times New Roman"/>
                  <w:sz w:val="20"/>
                  <w:szCs w:val="20"/>
                </w:rPr>
                <w:t>10.16.2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360016610"/>
              <w:rPr>
                <w:rFonts w:eastAsia="Times New Roman"/>
              </w:rPr>
            </w:pPr>
            <w:r>
              <w:rPr>
                <w:rFonts w:eastAsia="Times New Roman"/>
                <w:color w:val="000000"/>
                <w:sz w:val="20"/>
                <w:szCs w:val="20"/>
              </w:rPr>
              <w:t>Amendment No. 2 to Reimbursement Agreement by and among Equitable Holdings, Inc., the Subsidiary Account Parties (as defined therein) party the</w:t>
            </w:r>
            <w:r>
              <w:rPr>
                <w:rFonts w:eastAsia="Times New Roman"/>
                <w:color w:val="000000"/>
                <w:sz w:val="20"/>
                <w:szCs w:val="20"/>
              </w:rPr>
              <w:t>reto and Barclays Bank PLC (incorporated by reference to Exhibit 10.6 to our Form 8-K filed on June 29,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0"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Reimbursement Agreement by </w:t>
            </w:r>
            <w:r>
              <w:rPr>
                <w:rFonts w:eastAsia="Times New Roman"/>
                <w:color w:val="000000"/>
                <w:sz w:val="20"/>
                <w:szCs w:val="20"/>
              </w:rPr>
              <w:t>and among AXA Equitable Holdings, Inc. the Subsidiary Account Parties (as defined therein) party thereto and JPMorgan Chase Bank, N.A (incorporated by reference to Exhibit 10.30 to the IPO Form S-1).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1" w:history="1">
              <w:r>
                <w:rPr>
                  <w:rStyle w:val="a3"/>
                  <w:rFonts w:eastAsia="Times New Roman"/>
                  <w:sz w:val="20"/>
                  <w:szCs w:val="20"/>
                </w:rPr>
                <w:t>10.17.1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411853809"/>
              <w:rPr>
                <w:rFonts w:eastAsia="Times New Roman"/>
              </w:rPr>
            </w:pPr>
            <w:r>
              <w:rPr>
                <w:rFonts w:eastAsia="Times New Roman"/>
                <w:color w:val="000000"/>
                <w:sz w:val="20"/>
                <w:szCs w:val="20"/>
              </w:rPr>
              <w:t>Amendment No. 1 to Reimbursement Agreement by and among Equitable Holdings, Inc., the Subsidiary Account Parties (as defined therein) party the</w:t>
            </w:r>
            <w:r>
              <w:rPr>
                <w:rFonts w:eastAsia="Times New Roman"/>
                <w:color w:val="000000"/>
                <w:sz w:val="20"/>
                <w:szCs w:val="20"/>
              </w:rPr>
              <w:t>reto and JPMorgan Chase Bank, N.A (incorporated by reference to Exhibit 10.7 to our Form 8-K filed on March 26,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2" w:history="1">
              <w:r>
                <w:rPr>
                  <w:rStyle w:val="a3"/>
                  <w:rFonts w:eastAsia="Times New Roman"/>
                  <w:sz w:val="20"/>
                  <w:szCs w:val="20"/>
                </w:rPr>
                <w:t>10.17.2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722601872"/>
              <w:rPr>
                <w:rFonts w:eastAsia="Times New Roman"/>
              </w:rPr>
            </w:pPr>
            <w:r>
              <w:rPr>
                <w:rFonts w:eastAsia="Times New Roman"/>
                <w:color w:val="000000"/>
                <w:sz w:val="20"/>
                <w:szCs w:val="20"/>
              </w:rPr>
              <w:t>Amendment No. 2 to Reimbursement Agreement by and among Equitable Holdings, Inc., the Subsidiary Account Parties (as defined therein) party thereto and JPMorgan Chase Bank, N.A. (incorporated by reference to Exhibit 10.7 to our Form 8-K filed on June 29, 2</w:t>
            </w:r>
            <w:r>
              <w:rPr>
                <w:rFonts w:eastAsia="Times New Roman"/>
                <w:color w:val="000000"/>
                <w:sz w:val="20"/>
                <w:szCs w:val="20"/>
              </w:rPr>
              <w:t>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3"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Reimbursement Agreement by and among AXA Equitable Holdings, Inc. the Subsidiary Account Parties (as defined therein) party thereto </w:t>
            </w:r>
            <w:r>
              <w:rPr>
                <w:rFonts w:eastAsia="Times New Roman"/>
                <w:color w:val="000000"/>
                <w:sz w:val="20"/>
                <w:szCs w:val="20"/>
              </w:rPr>
              <w:t>and Landesbank Hessen-Thüringen Girozentrale, acting through its New York Branch (incorporated by reference to Exhibit 10.31 to the IPO Form S-1).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4" w:history="1">
              <w:r>
                <w:rPr>
                  <w:rStyle w:val="a3"/>
                  <w:rFonts w:eastAsia="Times New Roman"/>
                  <w:sz w:val="20"/>
                  <w:szCs w:val="20"/>
                </w:rPr>
                <w:t>10.</w:t>
              </w:r>
              <w:r>
                <w:rPr>
                  <w:rStyle w:val="a3"/>
                  <w:rFonts w:eastAsia="Times New Roman"/>
                  <w:sz w:val="20"/>
                  <w:szCs w:val="20"/>
                </w:rPr>
                <w:t>18.1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772550015"/>
              <w:rPr>
                <w:rFonts w:eastAsia="Times New Roman"/>
              </w:rPr>
            </w:pPr>
            <w:r>
              <w:rPr>
                <w:rFonts w:eastAsia="Times New Roman"/>
                <w:color w:val="000000"/>
                <w:sz w:val="20"/>
                <w:szCs w:val="20"/>
              </w:rPr>
              <w:t>Second Amendment to Reimbursement Agreement by and among Equitable Holdings, Inc., the Subsidiary Account Parties (as defined therein) party thereto and Landesbank Hessen-Thüringen Girozentrale, acting through its New York Branch (incorporated by reference</w:t>
            </w:r>
            <w:r>
              <w:rPr>
                <w:rFonts w:eastAsia="Times New Roman"/>
                <w:color w:val="000000"/>
                <w:sz w:val="20"/>
                <w:szCs w:val="20"/>
              </w:rPr>
              <w:t xml:space="preserve"> to Exhibit 10.8 to our Form 8-K filed on March 26,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5" w:history="1">
              <w:r>
                <w:rPr>
                  <w:rStyle w:val="a3"/>
                  <w:rFonts w:eastAsia="Times New Roman"/>
                  <w:sz w:val="20"/>
                  <w:szCs w:val="20"/>
                </w:rPr>
                <w:t>10.18.2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1972396231"/>
              <w:rPr>
                <w:rFonts w:eastAsia="Times New Roman"/>
              </w:rPr>
            </w:pPr>
            <w:r>
              <w:rPr>
                <w:rFonts w:eastAsia="Times New Roman"/>
                <w:color w:val="000000"/>
                <w:sz w:val="20"/>
                <w:szCs w:val="20"/>
              </w:rPr>
              <w:t>Third Amendment to Reimbursement Agreement by and among Equitable Holdings, In</w:t>
            </w:r>
            <w:r>
              <w:rPr>
                <w:rFonts w:eastAsia="Times New Roman"/>
                <w:color w:val="000000"/>
                <w:sz w:val="20"/>
                <w:szCs w:val="20"/>
              </w:rPr>
              <w:t>c., the Subsidiary Account Parties (as defined therein) party thereto and Landesbank Hessen-Thüringen Girozentrale, acting through its New York Branch (incorporated by reference to Exhibit 10.8 to our Form 8-K filed on June 29,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6" w:history="1">
              <w:r>
                <w:rPr>
                  <w:rStyle w:val="a3"/>
                  <w:rFonts w:eastAsia="Times New Roman"/>
                  <w:sz w:val="20"/>
                  <w:szCs w:val="20"/>
                </w:rPr>
                <w:t>10.18.3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1521384978"/>
              <w:rPr>
                <w:rFonts w:eastAsia="Times New Roman"/>
              </w:rPr>
            </w:pPr>
            <w:r>
              <w:rPr>
                <w:rFonts w:eastAsia="Times New Roman"/>
                <w:color w:val="000000"/>
                <w:sz w:val="20"/>
                <w:szCs w:val="20"/>
              </w:rPr>
              <w:t>Fourth Amendment to Reimbursement Agreement by and among Equitable Holdings, Inc., the Subsidiary Account Parties (as defined therein) party thereto and Landesbank Hessen-Thüringen Girozentrale, acting through its New York Branch (incorporated by reference</w:t>
            </w:r>
            <w:r>
              <w:rPr>
                <w:rFonts w:eastAsia="Times New Roman"/>
                <w:color w:val="000000"/>
                <w:sz w:val="20"/>
                <w:szCs w:val="20"/>
              </w:rPr>
              <w:t xml:space="preserve"> to Exhibit 10.1 to our Form 8-K filed on December 16,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7"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Reimbursement Agreement by and among AXA Equitable Holdings, Inc. the Subsid</w:t>
            </w:r>
            <w:r>
              <w:rPr>
                <w:rFonts w:eastAsia="Times New Roman"/>
                <w:color w:val="000000"/>
                <w:sz w:val="20"/>
                <w:szCs w:val="20"/>
              </w:rPr>
              <w:t>iary Account Parties (as defined therein) party thereto and Commerzbank AG, New York Branch (incorporated by reference to Exhibit 10.32 to the IPO Form S-1).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8" w:history="1">
              <w:r>
                <w:rPr>
                  <w:rStyle w:val="a3"/>
                  <w:rFonts w:eastAsia="Times New Roman"/>
                  <w:sz w:val="20"/>
                  <w:szCs w:val="20"/>
                </w:rPr>
                <w:t>10.19.1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955254406"/>
              <w:rPr>
                <w:rFonts w:eastAsia="Times New Roman"/>
              </w:rPr>
            </w:pPr>
            <w:r>
              <w:rPr>
                <w:rFonts w:eastAsia="Times New Roman"/>
                <w:color w:val="000000"/>
                <w:sz w:val="20"/>
                <w:szCs w:val="20"/>
              </w:rPr>
              <w:t>Amendment No. 1 to Reimbursement Agreement by and among Equitable Holdings, Inc., the Subsidiary Account Parties (as defined therein) party the</w:t>
            </w:r>
            <w:r>
              <w:rPr>
                <w:rFonts w:eastAsia="Times New Roman"/>
                <w:color w:val="000000"/>
                <w:sz w:val="20"/>
                <w:szCs w:val="20"/>
              </w:rPr>
              <w:t>reto and Commerzbank AG, New York Branch (incorporated by reference to Exhibit 10.9 to our Form 8-K filed on March 26,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79" w:history="1">
              <w:r>
                <w:rPr>
                  <w:rStyle w:val="a3"/>
                  <w:rFonts w:eastAsia="Times New Roman"/>
                  <w:sz w:val="20"/>
                  <w:szCs w:val="20"/>
                </w:rPr>
                <w:t>10.19.2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992948562"/>
              <w:rPr>
                <w:rFonts w:eastAsia="Times New Roman"/>
              </w:rPr>
            </w:pPr>
            <w:r>
              <w:rPr>
                <w:rFonts w:eastAsia="Times New Roman"/>
                <w:color w:val="000000"/>
                <w:sz w:val="20"/>
                <w:szCs w:val="20"/>
              </w:rPr>
              <w:t>Amendment N</w:t>
            </w:r>
            <w:r>
              <w:rPr>
                <w:rFonts w:eastAsia="Times New Roman"/>
                <w:color w:val="000000"/>
                <w:sz w:val="20"/>
                <w:szCs w:val="20"/>
              </w:rPr>
              <w:t>o. 2 to Reimbursement Agreement by and among Equitable Holdings, Inc., the Subsidiary Account Parties (as defined therein) party thereto and Commerzbank AG, New York Branch (incorporated by reference to Exhibit 10.9 to our Form 8-K filed on June 29, 2021).</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0" w:history="1">
              <w:r>
                <w:rPr>
                  <w:rStyle w:val="a3"/>
                  <w:rFonts w:eastAsia="Times New Roman"/>
                  <w:sz w:val="20"/>
                  <w:szCs w:val="20"/>
                </w:rPr>
                <w:t>10.19.3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Amendment No. 3 to Reimbursement Agreement by and among Equitable Holdings, Inc., the Subsidiary Account Parties (as defined therein) party thereto and Commerzbank AG, New York Branch (incorporated by reference to Exhibit 10.1 to our Form 8-K filed on June</w:t>
            </w:r>
            <w:r>
              <w:rPr>
                <w:rFonts w:eastAsia="Times New Roman"/>
                <w:color w:val="000000"/>
                <w:sz w:val="20"/>
                <w:szCs w:val="20"/>
              </w:rPr>
              <w:t xml:space="preserve"> 10, 2022).</w:t>
            </w:r>
          </w:p>
        </w:tc>
        <w:tc>
          <w:tcPr>
            <w:tcW w:w="0" w:type="auto"/>
            <w:vAlign w:val="center"/>
            <w:hideMark/>
          </w:tcPr>
          <w:p w:rsidR="00000000" w:rsidRDefault="00E54EC0">
            <w:pPr>
              <w:spacing w:after="100"/>
              <w:rPr>
                <w:rFonts w:eastAsia="Times New Roman"/>
              </w:rPr>
            </w:pPr>
          </w:p>
        </w:tc>
      </w:tr>
      <w:tr w:rsidR="00000000">
        <w:trPr>
          <w:divId w:val="1683821462"/>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1" w:history="1">
              <w:r>
                <w:rPr>
                  <w:rStyle w:val="a3"/>
                  <w:rFonts w:eastAsia="Times New Roman"/>
                  <w:sz w:val="20"/>
                  <w:szCs w:val="20"/>
                </w:rPr>
                <w:t>10.20†</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Severance Benefit Plan (incorporated by reference to Exhibit 10.45 to the IPO Form S-1).</w:t>
            </w:r>
          </w:p>
        </w:tc>
        <w:tc>
          <w:tcPr>
            <w:tcW w:w="0" w:type="auto"/>
            <w:vAlign w:val="center"/>
            <w:hideMark/>
          </w:tcPr>
          <w:p w:rsidR="00000000" w:rsidRDefault="00E54EC0">
            <w:pPr>
              <w:spacing w:after="100"/>
              <w:rPr>
                <w:rFonts w:eastAsia="Times New Roman"/>
              </w:rPr>
            </w:pPr>
          </w:p>
        </w:tc>
      </w:tr>
    </w:tbl>
    <w:p w:rsidR="00000000" w:rsidRDefault="00E54EC0">
      <w:pPr>
        <w:jc w:val="center"/>
        <w:divId w:val="1699164369"/>
        <w:rPr>
          <w:rFonts w:eastAsia="Times New Roman"/>
        </w:rPr>
      </w:pPr>
      <w:r>
        <w:rPr>
          <w:rFonts w:eastAsia="Times New Roman"/>
          <w:color w:val="000000"/>
          <w:sz w:val="20"/>
          <w:szCs w:val="20"/>
        </w:rPr>
        <w:t>251</w:t>
      </w:r>
    </w:p>
    <w:p w:rsidR="00000000" w:rsidRDefault="00E54EC0">
      <w:pPr>
        <w:rPr>
          <w:rFonts w:eastAsia="Times New Roman"/>
        </w:rPr>
      </w:pPr>
      <w:r>
        <w:rPr>
          <w:rFonts w:eastAsia="Times New Roman"/>
        </w:rPr>
        <w:pict>
          <v:rect id="_x0000_i1289" style="width:0;height:1.5pt" o:hralign="center" o:hrstd="t" o:hr="t" fillcolor="#a0a0a0" stroked="f"/>
        </w:pict>
      </w:r>
    </w:p>
    <w:p w:rsidR="00000000" w:rsidRDefault="00E54EC0">
      <w:pPr>
        <w:divId w:val="1563520036"/>
        <w:rPr>
          <w:rFonts w:eastAsia="Times New Roman"/>
        </w:rPr>
      </w:pPr>
      <w:hyperlink w:anchor="ifa77335c8c4046aba89b8098f04be9d1_508"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8"/>
        <w:gridCol w:w="605"/>
        <w:gridCol w:w="36"/>
        <w:gridCol w:w="36"/>
        <w:gridCol w:w="36"/>
        <w:gridCol w:w="36"/>
        <w:gridCol w:w="46"/>
        <w:gridCol w:w="7347"/>
        <w:gridCol w:w="37"/>
        <w:gridCol w:w="36"/>
      </w:tblGrid>
      <w:tr w:rsidR="00000000">
        <w:trPr>
          <w:divId w:val="141194333"/>
        </w:trPr>
        <w:tc>
          <w:tcPr>
            <w:tcW w:w="50" w:type="pct"/>
            <w:vAlign w:val="center"/>
            <w:hideMark/>
          </w:tcPr>
          <w:p w:rsidR="00000000" w:rsidRDefault="00E54EC0">
            <w:pPr>
              <w:rPr>
                <w:rFonts w:eastAsia="Times New Roman"/>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2"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w:t>
            </w:r>
            <w:r>
              <w:rPr>
                <w:rFonts w:eastAsia="Times New Roman"/>
                <w:color w:val="000000"/>
                <w:sz w:val="20"/>
                <w:szCs w:val="20"/>
              </w:rPr>
              <w:t>ble Supplemental Severance Plan for Executives (incorporated by reference to Exhibit 10.25 to our Form 10-Q for the quarterly period ending March 31, 2018).</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3"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Equitable Supplemental Severance Plan for Executives, as amended and restated as of August 9, 2019 (incorporated by reference to Exhibit </w:t>
            </w:r>
            <w:r>
              <w:rPr>
                <w:rFonts w:eastAsia="Times New Roman"/>
                <w:color w:val="000000"/>
                <w:sz w:val="20"/>
                <w:szCs w:val="20"/>
              </w:rPr>
              <w:t>10.2 to our Form 10-Q for the quarterly period ending June 30, 2019).</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4" w:history="1">
              <w:r>
                <w:rPr>
                  <w:rStyle w:val="a3"/>
                  <w:rFonts w:eastAsia="Times New Roman"/>
                  <w:sz w:val="20"/>
                  <w:szCs w:val="20"/>
                </w:rPr>
                <w:t>10.23†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Executive Survivor Benefits Plan (incorporated by reference to Exhibit 10.47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5" w:history="1">
              <w:r>
                <w:rPr>
                  <w:rStyle w:val="a3"/>
                  <w:rFonts w:eastAsia="Times New Roman"/>
                  <w:sz w:val="20"/>
                  <w:szCs w:val="20"/>
                </w:rPr>
                <w:t>10.24†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Amended and Restated Variabl</w:t>
            </w:r>
            <w:r>
              <w:rPr>
                <w:rFonts w:eastAsia="Times New Roman"/>
                <w:color w:val="000000"/>
                <w:sz w:val="20"/>
                <w:szCs w:val="20"/>
              </w:rPr>
              <w:t>e Deferred Compensation Plan for Executives (incorporated by reference to Exhibit 10.48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6"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Amended and Restated Equitable Post-2004 Variable Deferred Compensation Plan for Executives (incorporated by reference to Exhibit 10.49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7"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Amendment to the Equitable Post-2004 Variable Deferred Compensation Plan for Executives, effective as of January 1, 2019 (incorporated by reference to Exhibit 10.69 to the 2018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8" w:history="1">
              <w:r>
                <w:rPr>
                  <w:rStyle w:val="a3"/>
                  <w:rFonts w:eastAsia="Times New Roman"/>
                  <w:sz w:val="20"/>
                  <w:szCs w:val="20"/>
                </w:rPr>
                <w:t>10.27†</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Excess Retirement Plan (incorporated by reference to Exhibit 10.50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89" w:history="1">
              <w:r>
                <w:rPr>
                  <w:rStyle w:val="a3"/>
                  <w:rFonts w:eastAsia="Times New Roman"/>
                  <w:sz w:val="20"/>
                  <w:szCs w:val="20"/>
                </w:rPr>
                <w:t>10.28†</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Holdings, Inc. Equity Plan f</w:t>
            </w:r>
            <w:r>
              <w:rPr>
                <w:rFonts w:eastAsia="Times New Roman"/>
                <w:color w:val="000000"/>
                <w:sz w:val="20"/>
                <w:szCs w:val="20"/>
              </w:rPr>
              <w:t>or Directors (incorporated by reference to Exhibit 10.51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0" w:history="1">
              <w:r>
                <w:rPr>
                  <w:rStyle w:val="a3"/>
                  <w:rFonts w:eastAsia="Times New Roman"/>
                  <w:sz w:val="20"/>
                  <w:szCs w:val="20"/>
                </w:rPr>
                <w:t>10.29†</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Form of Stock Option Agreement under the Equitable Holdings, Inc. Equity Plan for Directors (incorporated by reference to Exhibit 10.52 to the </w:t>
            </w:r>
            <w:r>
              <w:rPr>
                <w:rFonts w:eastAsia="Times New Roman"/>
                <w:color w:val="000000"/>
                <w:sz w:val="20"/>
                <w:szCs w:val="20"/>
              </w:rPr>
              <w:t>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1" w:history="1">
              <w:r>
                <w:rPr>
                  <w:rStyle w:val="a3"/>
                  <w:rFonts w:eastAsia="Times New Roman"/>
                  <w:sz w:val="20"/>
                  <w:szCs w:val="20"/>
                </w:rPr>
                <w:t>10.30†</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Form of Restricted Stock Agreement under the Equitable Holdings, Inc. Equity Plan for Directors (incorporated by reference</w:t>
            </w:r>
            <w:r>
              <w:rPr>
                <w:rFonts w:eastAsia="Times New Roman"/>
                <w:color w:val="000000"/>
                <w:sz w:val="20"/>
                <w:szCs w:val="20"/>
              </w:rPr>
              <w:t xml:space="preserve"> to Exhibit 10.53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2" w:history="1">
              <w:r>
                <w:rPr>
                  <w:rStyle w:val="a3"/>
                  <w:rFonts w:eastAsia="Times New Roman"/>
                  <w:sz w:val="20"/>
                  <w:szCs w:val="20"/>
                </w:rPr>
                <w:t>10.31†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Post-2004 Variable Deferred Compensation Plan for Directors (incorporated by reference to Exhibit 10.54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3" w:history="1">
              <w:r>
                <w:rPr>
                  <w:rStyle w:val="a3"/>
                  <w:rFonts w:eastAsia="Times New Roman"/>
                  <w:sz w:val="20"/>
                  <w:szCs w:val="20"/>
                </w:rPr>
                <w:t>10.32†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w:t>
            </w:r>
            <w:r>
              <w:rPr>
                <w:rFonts w:eastAsia="Times New Roman"/>
                <w:color w:val="000000"/>
                <w:sz w:val="20"/>
                <w:szCs w:val="20"/>
              </w:rPr>
              <w:t>quitable Holdings, Inc. Charitable Award Program for Directors (incorporated by reference to Exhibit 10.55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4" w:history="1">
              <w:r>
                <w:rPr>
                  <w:rStyle w:val="a3"/>
                  <w:rFonts w:eastAsia="Times New Roman"/>
                  <w:sz w:val="20"/>
                  <w:szCs w:val="20"/>
                </w:rPr>
                <w:t>10.33†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Holdings, Inc. Short-Term Incentive Compensation Plan (incorporated by reference to Exhibit 10.56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5" w:history="1">
              <w:r>
                <w:rPr>
                  <w:rStyle w:val="a3"/>
                  <w:rFonts w:eastAsia="Times New Roman"/>
                  <w:sz w:val="20"/>
                  <w:szCs w:val="20"/>
                </w:rPr>
                <w:t>10.34†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AXA Equitable Holdings, Inc. 2018 Omnibus Incentive Plan (incorporated by reference to Exhibit 10.57 to the IPO Form S-1).</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6" w:history="1">
              <w:r>
                <w:rPr>
                  <w:rStyle w:val="a3"/>
                  <w:rFonts w:eastAsia="Times New Roman"/>
                  <w:sz w:val="20"/>
                  <w:szCs w:val="20"/>
                </w:rPr>
                <w:t>10.35†</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1704013499"/>
              <w:rPr>
                <w:rFonts w:eastAsia="Times New Roman"/>
              </w:rPr>
            </w:pPr>
            <w:r>
              <w:rPr>
                <w:rFonts w:eastAsia="Times New Roman"/>
                <w:color w:val="000000"/>
                <w:sz w:val="20"/>
                <w:szCs w:val="20"/>
              </w:rPr>
              <w:t>Equitabl</w:t>
            </w:r>
            <w:r>
              <w:rPr>
                <w:rFonts w:eastAsia="Times New Roman"/>
                <w:color w:val="000000"/>
                <w:sz w:val="20"/>
                <w:szCs w:val="20"/>
              </w:rPr>
              <w:t>e Holdings, Inc. 2019 Omnibus Incentive Plan (incorporated by reference to Appendix B of the Equitable Holdings, Inc. DEF 14A, as filed on April 8, 2020).</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7" w:history="1">
              <w:r>
                <w:rPr>
                  <w:rStyle w:val="a3"/>
                  <w:rFonts w:eastAsia="Times New Roman"/>
                  <w:sz w:val="20"/>
                  <w:szCs w:val="20"/>
                </w:rPr>
                <w:t>10.36†</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Holdings, Inc. Stock Purchase Plan (incorporated by reference to Exhibit 10.62 to the 2018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8" w:history="1">
              <w:r>
                <w:rPr>
                  <w:rStyle w:val="a3"/>
                  <w:rFonts w:eastAsia="Times New Roman"/>
                  <w:sz w:val="20"/>
                  <w:szCs w:val="20"/>
                </w:rPr>
                <w:t>10.37†</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Form of 2022 Performance Shares Award Agreement under the 2019 Omnibus Incentive Plan, effective February 16, 2022 (incorporated by r</w:t>
            </w:r>
            <w:r>
              <w:rPr>
                <w:rFonts w:eastAsia="Times New Roman"/>
                <w:color w:val="000000"/>
                <w:sz w:val="20"/>
                <w:szCs w:val="20"/>
              </w:rPr>
              <w:t>eference to Exhibit 10.37 to our Form 10-K for the fiscal period ended December 31, 2021 (the “2021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99" w:history="1">
              <w:r>
                <w:rPr>
                  <w:rStyle w:val="a3"/>
                  <w:rFonts w:eastAsia="Times New Roman"/>
                  <w:sz w:val="20"/>
                  <w:szCs w:val="20"/>
                </w:rPr>
                <w:t>10.38†</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Form of 2022 Restricted Stock Unit Award Agreement under the 2019 Omnibus Incentive Plan, effective February 16, 2022 (incorporated by reference to Exhibit 10.38 to the 2021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0" w:history="1">
              <w:r>
                <w:rPr>
                  <w:rStyle w:val="a3"/>
                  <w:rFonts w:eastAsia="Times New Roman"/>
                  <w:sz w:val="20"/>
                  <w:szCs w:val="20"/>
                </w:rPr>
                <w:t>10.39†#</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Form of 2023 Performance Share Award Agreement under the 2019 Omnibus Incentive Plan, effective February 15, 2023.</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1" w:history="1">
              <w:r>
                <w:rPr>
                  <w:rStyle w:val="a3"/>
                  <w:rFonts w:eastAsia="Times New Roman"/>
                  <w:sz w:val="20"/>
                  <w:szCs w:val="20"/>
                </w:rPr>
                <w:t>10.40† #</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Form of 2023 Restricted Stock Unit Award Agreement under the 2019 Omnibus Incentive Plan, effective February 15, 2023.</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2" w:history="1">
              <w:r>
                <w:rPr>
                  <w:rStyle w:val="a3"/>
                  <w:rFonts w:eastAsia="Times New Roman"/>
                  <w:sz w:val="20"/>
                  <w:szCs w:val="20"/>
                </w:rPr>
                <w:t>10.41†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Form of St</w:t>
            </w:r>
            <w:r>
              <w:rPr>
                <w:rFonts w:eastAsia="Times New Roman"/>
                <w:color w:val="000000"/>
                <w:sz w:val="20"/>
                <w:szCs w:val="20"/>
              </w:rPr>
              <w:t>ock Option Award Agreement under the 2019 Omnibus Incentive Plan for awards granted before February 16, 2022 (incorporated by reference to Exhibit 10.58 to our Form 10-K for the fiscal period ended December 31, 2020 (the “2020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3" w:history="1">
              <w:r>
                <w:rPr>
                  <w:rStyle w:val="a3"/>
                  <w:rFonts w:eastAsia="Times New Roman"/>
                  <w:sz w:val="20"/>
                  <w:szCs w:val="20"/>
                </w:rPr>
                <w:t>10.42†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AllianceBernstein 2021 Incentive Compensation Award Program (incorporated by reference to Exhibit 10.01 to AB Holding’s Form 10-K for th</w:t>
            </w:r>
            <w:r>
              <w:rPr>
                <w:rFonts w:eastAsia="Times New Roman"/>
                <w:color w:val="000000"/>
                <w:sz w:val="20"/>
                <w:szCs w:val="20"/>
              </w:rPr>
              <w:t>e fiscal year ended December 31, 2021, (the “AB 2021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vAlign w:val="center"/>
            <w:hideMark/>
          </w:tcPr>
          <w:p w:rsidR="00000000" w:rsidRDefault="00E54EC0">
            <w:pPr>
              <w:spacing w:after="100"/>
              <w:jc w:val="center"/>
              <w:rPr>
                <w:rFonts w:eastAsia="Times New Roman"/>
              </w:rPr>
            </w:pPr>
            <w:hyperlink r:id="rId104" w:history="1">
              <w:r>
                <w:rPr>
                  <w:rStyle w:val="a3"/>
                  <w:rFonts w:eastAsia="Times New Roman"/>
                  <w:sz w:val="20"/>
                  <w:szCs w:val="20"/>
                </w:rPr>
                <w:t>10.43†</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AllianceBernstein 2021 Deferred Cash Compensation Program (incor</w:t>
            </w:r>
            <w:r>
              <w:rPr>
                <w:rFonts w:eastAsia="Times New Roman"/>
                <w:color w:val="000000"/>
                <w:sz w:val="20"/>
                <w:szCs w:val="20"/>
              </w:rPr>
              <w:t>porated by reference to Exhibit 10.02 of the AB 2021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5" w:history="1">
              <w:r>
                <w:rPr>
                  <w:rStyle w:val="a3"/>
                  <w:rFonts w:eastAsia="Times New Roman"/>
                  <w:sz w:val="20"/>
                  <w:szCs w:val="20"/>
                </w:rPr>
                <w:t>10.44†</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Form of Award Agreement, dated as of December 31, 2021, under Incentive Compensation Award Program, Deferred Cash Compensation Program a</w:t>
            </w:r>
            <w:r>
              <w:rPr>
                <w:rFonts w:eastAsia="Times New Roman"/>
                <w:color w:val="000000"/>
                <w:sz w:val="20"/>
                <w:szCs w:val="20"/>
              </w:rPr>
              <w:t>nd AB 2017 Long Term Incentive Plan (incorporated by reference to Exhibit 10.03 of the AB 2021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6" w:history="1">
              <w:r>
                <w:rPr>
                  <w:rStyle w:val="a3"/>
                  <w:rFonts w:eastAsia="Times New Roman"/>
                  <w:sz w:val="20"/>
                  <w:szCs w:val="20"/>
                </w:rPr>
                <w:t>10.45</w:t>
              </w:r>
            </w:hyperlink>
            <w:hyperlink r:id="rId107"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 xml:space="preserve">Form of Award Agreement under AB 2017 Long Term Incentive Plan relating to equity compensation awards to Independent Directors (incorporated by reference to Exhibit 10.04 of </w:t>
            </w:r>
            <w:r>
              <w:rPr>
                <w:rFonts w:eastAsia="Times New Roman"/>
                <w:color w:val="000000"/>
                <w:sz w:val="20"/>
                <w:szCs w:val="20"/>
              </w:rPr>
              <w:t>the AB 2021 Form 10-K).</w:t>
            </w:r>
          </w:p>
        </w:tc>
        <w:tc>
          <w:tcPr>
            <w:tcW w:w="0" w:type="auto"/>
            <w:vAlign w:val="center"/>
            <w:hideMark/>
          </w:tcPr>
          <w:p w:rsidR="00000000" w:rsidRDefault="00E54EC0">
            <w:pPr>
              <w:spacing w:after="100"/>
              <w:rPr>
                <w:rFonts w:eastAsia="Times New Roman"/>
              </w:rPr>
            </w:pPr>
          </w:p>
        </w:tc>
      </w:tr>
      <w:tr w:rsidR="00000000">
        <w:trPr>
          <w:divId w:val="141194333"/>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08" w:history="1">
              <w:r>
                <w:rPr>
                  <w:rStyle w:val="a3"/>
                  <w:rFonts w:eastAsia="Times New Roman"/>
                  <w:sz w:val="20"/>
                  <w:szCs w:val="20"/>
                </w:rPr>
                <w:t>10.46</w:t>
              </w:r>
            </w:hyperlink>
            <w:hyperlink r:id="rId109"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rPr>
                <w:rFonts w:eastAsia="Times New Roman"/>
              </w:rPr>
            </w:pPr>
            <w:r>
              <w:rPr>
                <w:rFonts w:eastAsia="Times New Roman"/>
                <w:color w:val="000000"/>
                <w:sz w:val="20"/>
                <w:szCs w:val="20"/>
              </w:rPr>
              <w:t>AllianceBernstein Change in Control Plan for Executive Officers (incorporated by reference to Exhibit 99.01 to AB Holding’s Form 8-K, as file</w:t>
            </w:r>
            <w:r>
              <w:rPr>
                <w:rFonts w:eastAsia="Times New Roman"/>
                <w:color w:val="000000"/>
                <w:sz w:val="20"/>
                <w:szCs w:val="20"/>
              </w:rPr>
              <w:t>d December 14, 2020).</w:t>
            </w:r>
          </w:p>
        </w:tc>
        <w:tc>
          <w:tcPr>
            <w:tcW w:w="0" w:type="auto"/>
            <w:vAlign w:val="center"/>
            <w:hideMark/>
          </w:tcPr>
          <w:p w:rsidR="00000000" w:rsidRDefault="00E54EC0">
            <w:pPr>
              <w:spacing w:after="100"/>
              <w:rPr>
                <w:rFonts w:eastAsia="Times New Roman"/>
              </w:rPr>
            </w:pPr>
          </w:p>
        </w:tc>
      </w:tr>
    </w:tbl>
    <w:p w:rsidR="00000000" w:rsidRDefault="00E54EC0">
      <w:pPr>
        <w:jc w:val="center"/>
        <w:divId w:val="1315141819"/>
        <w:rPr>
          <w:rFonts w:eastAsia="Times New Roman"/>
        </w:rPr>
      </w:pPr>
      <w:r>
        <w:rPr>
          <w:rFonts w:eastAsia="Times New Roman"/>
          <w:color w:val="000000"/>
          <w:sz w:val="20"/>
          <w:szCs w:val="20"/>
        </w:rPr>
        <w:t>252</w:t>
      </w:r>
    </w:p>
    <w:p w:rsidR="00000000" w:rsidRDefault="00E54EC0">
      <w:pPr>
        <w:rPr>
          <w:rFonts w:eastAsia="Times New Roman"/>
        </w:rPr>
      </w:pPr>
      <w:r>
        <w:rPr>
          <w:rFonts w:eastAsia="Times New Roman"/>
        </w:rPr>
        <w:pict>
          <v:rect id="_x0000_i1290" style="width:0;height:1.5pt" o:hralign="center" o:hrstd="t" o:hr="t" fillcolor="#a0a0a0" stroked="f"/>
        </w:pict>
      </w:r>
    </w:p>
    <w:p w:rsidR="00000000" w:rsidRDefault="00E54EC0">
      <w:pPr>
        <w:divId w:val="70936059"/>
        <w:rPr>
          <w:rFonts w:eastAsia="Times New Roman"/>
        </w:rPr>
      </w:pPr>
      <w:hyperlink w:anchor="ifa77335c8c4046aba89b8098f04be9d1_508"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8"/>
        <w:gridCol w:w="7266"/>
        <w:gridCol w:w="37"/>
        <w:gridCol w:w="36"/>
      </w:tblGrid>
      <w:tr w:rsidR="00000000">
        <w:trPr>
          <w:divId w:val="24333905"/>
        </w:trPr>
        <w:tc>
          <w:tcPr>
            <w:tcW w:w="50" w:type="pct"/>
            <w:vAlign w:val="center"/>
            <w:hideMark/>
          </w:tcPr>
          <w:p w:rsidR="00000000" w:rsidRDefault="00E54EC0">
            <w:pPr>
              <w:rPr>
                <w:rFonts w:eastAsia="Times New Roman"/>
              </w:rPr>
            </w:pPr>
          </w:p>
        </w:tc>
        <w:tc>
          <w:tcPr>
            <w:tcW w:w="39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26"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44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0" w:history="1">
              <w:r>
                <w:rPr>
                  <w:rStyle w:val="a3"/>
                  <w:rFonts w:eastAsia="Times New Roman"/>
                  <w:sz w:val="20"/>
                  <w:szCs w:val="20"/>
                </w:rPr>
                <w:t>10.47</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Master Transaction Agreement, dated as of October 27, 2020 among Equitable Holdings, Inc., Venerable Insurance and Annuity Company an</w:t>
            </w:r>
            <w:r>
              <w:rPr>
                <w:rFonts w:eastAsia="Times New Roman"/>
                <w:color w:val="000000"/>
                <w:sz w:val="20"/>
                <w:szCs w:val="20"/>
              </w:rPr>
              <w:t>d solely with respect to Article XIV, Venerable Holdings, Inc. (incorporated by reference to Exhibit 10.64 to the 2020 Form 10-K).</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1" w:history="1">
              <w:r>
                <w:rPr>
                  <w:rStyle w:val="a3"/>
                  <w:rFonts w:eastAsia="Times New Roman"/>
                  <w:sz w:val="20"/>
                  <w:szCs w:val="20"/>
                </w:rPr>
                <w:t>10.48</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divId w:val="1654680027"/>
              <w:rPr>
                <w:rFonts w:eastAsia="Times New Roman"/>
              </w:rPr>
            </w:pPr>
            <w:r>
              <w:rPr>
                <w:rFonts w:eastAsia="Times New Roman"/>
                <w:color w:val="000000"/>
                <w:sz w:val="20"/>
                <w:szCs w:val="20"/>
              </w:rPr>
              <w:t>Coinsurance and Modified Coinsurance Agreement, dated as of June 1, 2021, between Equitable Financial Life Insurance Company and Corporate Soluti</w:t>
            </w:r>
            <w:r>
              <w:rPr>
                <w:rFonts w:eastAsia="Times New Roman"/>
                <w:color w:val="000000"/>
                <w:sz w:val="20"/>
                <w:szCs w:val="20"/>
              </w:rPr>
              <w:t>ons Life Reinsurance Company (redacted) (incorporated by reference to Exhibit 10.1 to the on Form 8-K filed by Equitable Financial Life Insurance Company on June 1, 2021).</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2" w:history="1">
              <w:r>
                <w:rPr>
                  <w:rStyle w:val="a3"/>
                  <w:rFonts w:eastAsia="Times New Roman"/>
                  <w:sz w:val="20"/>
                  <w:szCs w:val="20"/>
                </w:rPr>
                <w:t>10.49</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Master Transaction Agreement, dated as of August 16, 2022 among Equitable Financial Life Insurance Company and First Allmerica Financial Life Insurance Company (redacted) (incorporated by reference to Exhibit 10.1 to</w:t>
            </w:r>
            <w:r>
              <w:rPr>
                <w:rFonts w:eastAsia="Times New Roman"/>
                <w:color w:val="000000"/>
                <w:sz w:val="20"/>
                <w:szCs w:val="20"/>
              </w:rPr>
              <w:t xml:space="preserve"> our Form 10-Q for the quarterly period ending September 30, 2022).</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3" w:history="1">
              <w:r>
                <w:rPr>
                  <w:rStyle w:val="a3"/>
                  <w:rFonts w:eastAsia="Times New Roman"/>
                  <w:sz w:val="20"/>
                  <w:szCs w:val="20"/>
                </w:rPr>
                <w:t>10.50</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Coinsurance and Modified Coinsurance Agreement, dated as of October 3, 2022, between Equitable Financial Life Insurance Company and First </w:t>
            </w:r>
            <w:r>
              <w:rPr>
                <w:rFonts w:eastAsia="Times New Roman"/>
                <w:color w:val="000000"/>
                <w:sz w:val="20"/>
                <w:szCs w:val="20"/>
              </w:rPr>
              <w:t>Allmerica Financial Life Insurance Company (redacted) (incorporated by reference to Exhibit 10.2 to our Form 10-Q for the quarterly period ending September 30, 2022).</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4" w:history="1">
              <w:r>
                <w:rPr>
                  <w:rStyle w:val="a3"/>
                  <w:rFonts w:eastAsia="Times New Roman"/>
                  <w:sz w:val="20"/>
                  <w:szCs w:val="20"/>
                </w:rPr>
                <w:t>21.1#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List of Subsidiaries of Equitab</w:t>
            </w:r>
            <w:r>
              <w:rPr>
                <w:rFonts w:eastAsia="Times New Roman"/>
                <w:color w:val="000000"/>
                <w:sz w:val="20"/>
                <w:szCs w:val="20"/>
              </w:rPr>
              <w:t>le Holdings, Inc.</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5"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Consent of PricewaterhouseCoopers LLP.</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6"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302 of the Sarbanes-Oxley Act of 2002.</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Certification of the Registrant’s Chief Financial Officer pursuant to Section 302 of the Sarbanes-Oxley Act of </w:t>
            </w:r>
            <w:r>
              <w:rPr>
                <w:rFonts w:eastAsia="Times New Roman"/>
                <w:color w:val="000000"/>
                <w:sz w:val="20"/>
                <w:szCs w:val="20"/>
              </w:rPr>
              <w:t>2002.</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8"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hyperlink r:id="rId119"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 xml:space="preserve">Certification of the Registrant’s Chief Financial Officer pursuant to Section 906 of the Sarbanes-Oxley Act of </w:t>
            </w:r>
            <w:r>
              <w:rPr>
                <w:rFonts w:eastAsia="Times New Roman"/>
                <w:color w:val="000000"/>
                <w:sz w:val="20"/>
                <w:szCs w:val="20"/>
              </w:rPr>
              <w:t>2002.</w:t>
            </w:r>
          </w:p>
        </w:tc>
        <w:tc>
          <w:tcPr>
            <w:tcW w:w="0" w:type="auto"/>
            <w:vAlign w:val="center"/>
            <w:hideMark/>
          </w:tcPr>
          <w:p w:rsidR="00000000" w:rsidRDefault="00E54EC0">
            <w:pPr>
              <w:spacing w:after="100"/>
              <w:rPr>
                <w:rFonts w:eastAsia="Times New Roman"/>
              </w:rPr>
            </w:pPr>
          </w:p>
        </w:tc>
      </w:tr>
      <w:tr w:rsidR="00000000">
        <w:trPr>
          <w:divId w:val="24333905"/>
          <w:trHeight w:val="18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XBRL Instance Document</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XBRL Taxonomy Extension Schema Document</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XBRL Taxonomy Extension Calculation Linkbase Document</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XBRL Taxonomy Extension Label Linkbase Document</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XBRL Taxonomy Extension Presentation Linkbase Document</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XBRL Taxonomy Extension Definition Linkbase Document</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rsidR="00000000" w:rsidRDefault="00E54EC0">
            <w:pPr>
              <w:spacing w:after="100"/>
              <w:rPr>
                <w:rFonts w:eastAsia="Times New Roman"/>
              </w:rPr>
            </w:pPr>
          </w:p>
        </w:tc>
      </w:tr>
      <w:tr w:rsidR="00000000">
        <w:trPr>
          <w:divId w:val="24333905"/>
          <w:trHeight w:val="2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vAlign w:val="center"/>
            <w:hideMark/>
          </w:tcPr>
          <w:p w:rsidR="00000000" w:rsidRDefault="00E54EC0">
            <w:pPr>
              <w:spacing w:after="100"/>
              <w:rPr>
                <w:rFonts w:eastAsia="Times New Roman"/>
                <w:sz w:val="20"/>
                <w:szCs w:val="20"/>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Filed herewith.</w:t>
            </w:r>
          </w:p>
        </w:tc>
        <w:tc>
          <w:tcPr>
            <w:tcW w:w="0" w:type="auto"/>
            <w:vAlign w:val="center"/>
            <w:hideMark/>
          </w:tcPr>
          <w:p w:rsidR="00000000" w:rsidRDefault="00E54EC0">
            <w:pPr>
              <w:spacing w:after="100"/>
              <w:rPr>
                <w:rFonts w:eastAsia="Times New Roman"/>
              </w:rPr>
            </w:pPr>
          </w:p>
        </w:tc>
      </w:tr>
      <w:tr w:rsidR="00000000">
        <w:trPr>
          <w:divId w:val="24333905"/>
        </w:trPr>
        <w:tc>
          <w:tcPr>
            <w:tcW w:w="0" w:type="auto"/>
            <w:gridSpan w:val="3"/>
            <w:tcMar>
              <w:top w:w="30" w:type="dxa"/>
              <w:left w:w="20" w:type="dxa"/>
              <w:bottom w:w="30" w:type="dxa"/>
              <w:right w:w="20" w:type="dxa"/>
            </w:tcMar>
            <w:hideMark/>
          </w:tcPr>
          <w:p w:rsidR="00000000" w:rsidRDefault="00E54EC0">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Identifies each management contract or compensatory plan or arrangement.</w:t>
            </w:r>
          </w:p>
        </w:tc>
        <w:tc>
          <w:tcPr>
            <w:tcW w:w="0" w:type="auto"/>
            <w:vAlign w:val="center"/>
            <w:hideMark/>
          </w:tcPr>
          <w:p w:rsidR="00000000" w:rsidRDefault="00E54EC0">
            <w:pPr>
              <w:spacing w:after="100"/>
              <w:rPr>
                <w:rFonts w:eastAsia="Times New Roman"/>
              </w:rPr>
            </w:pPr>
          </w:p>
        </w:tc>
      </w:tr>
    </w:tbl>
    <w:p w:rsidR="00000000" w:rsidRDefault="00E54EC0">
      <w:pPr>
        <w:jc w:val="center"/>
        <w:divId w:val="517349358"/>
        <w:rPr>
          <w:rFonts w:eastAsia="Times New Roman"/>
        </w:rPr>
      </w:pPr>
      <w:r>
        <w:rPr>
          <w:rFonts w:eastAsia="Times New Roman"/>
          <w:b/>
          <w:bCs/>
          <w:color w:val="000000"/>
          <w:sz w:val="20"/>
          <w:szCs w:val="20"/>
        </w:rPr>
        <w:t xml:space="preserve">SIGNATURES </w:t>
      </w:r>
    </w:p>
    <w:p w:rsidR="00000000" w:rsidRDefault="00E54EC0">
      <w:pPr>
        <w:divId w:val="242569098"/>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Equitable Holdings, Inc. has duly caused this report to be signed on its behalf by the undersigned, thereunto duly authorized, on February 21, 2023.</w:t>
      </w:r>
    </w:p>
    <w:tbl>
      <w:tblPr>
        <w:tblW w:w="5000" w:type="pct"/>
        <w:tblCellMar>
          <w:top w:w="15" w:type="dxa"/>
          <w:left w:w="15" w:type="dxa"/>
          <w:bottom w:w="15" w:type="dxa"/>
          <w:right w:w="15" w:type="dxa"/>
        </w:tblCellMar>
        <w:tblLook w:val="04A0" w:firstRow="1" w:lastRow="0" w:firstColumn="1" w:lastColumn="0" w:noHBand="0" w:noVBand="1"/>
      </w:tblPr>
      <w:tblGrid>
        <w:gridCol w:w="68"/>
        <w:gridCol w:w="3343"/>
        <w:gridCol w:w="36"/>
        <w:gridCol w:w="69"/>
        <w:gridCol w:w="332"/>
        <w:gridCol w:w="38"/>
        <w:gridCol w:w="69"/>
        <w:gridCol w:w="4315"/>
        <w:gridCol w:w="36"/>
      </w:tblGrid>
      <w:tr w:rsidR="00000000">
        <w:trPr>
          <w:divId w:val="1115520063"/>
        </w:trPr>
        <w:tc>
          <w:tcPr>
            <w:tcW w:w="50" w:type="pct"/>
            <w:vAlign w:val="center"/>
            <w:hideMark/>
          </w:tcPr>
          <w:p w:rsidR="00000000" w:rsidRDefault="00E54EC0">
            <w:pPr>
              <w:rPr>
                <w:rFonts w:eastAsia="Times New Roman"/>
              </w:rPr>
            </w:pPr>
          </w:p>
        </w:tc>
        <w:tc>
          <w:tcPr>
            <w:tcW w:w="202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0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60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11552006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EQUITABLE HOLDINGS, INC.</w:t>
            </w:r>
          </w:p>
        </w:tc>
      </w:tr>
      <w:tr w:rsidR="00000000">
        <w:trPr>
          <w:divId w:val="1115520063"/>
          <w:trHeight w:val="24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11552006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54EC0">
            <w:pPr>
              <w:spacing w:after="100"/>
              <w:jc w:val="both"/>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/s/ Mark Pearson</w:t>
            </w:r>
          </w:p>
        </w:tc>
      </w:tr>
      <w:tr w:rsidR="00000000">
        <w:trPr>
          <w:divId w:val="111552006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Name: Mark Pearson</w:t>
            </w:r>
          </w:p>
        </w:tc>
      </w:tr>
      <w:tr w:rsidR="00000000">
        <w:trPr>
          <w:divId w:val="1115520063"/>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E54EC0">
            <w:pPr>
              <w:spacing w:after="100"/>
              <w:rPr>
                <w:rFonts w:eastAsia="Times New Roman"/>
              </w:rPr>
            </w:pPr>
            <w:r>
              <w:rPr>
                <w:rFonts w:eastAsia="Times New Roman"/>
                <w:color w:val="000000"/>
                <w:sz w:val="20"/>
                <w:szCs w:val="20"/>
              </w:rPr>
              <w:t>Title: President and Chief Executive Officer</w:t>
            </w:r>
          </w:p>
        </w:tc>
      </w:tr>
    </w:tbl>
    <w:p w:rsidR="00000000" w:rsidRDefault="00E54EC0">
      <w:pPr>
        <w:divId w:val="512258358"/>
        <w:rPr>
          <w:rFonts w:eastAsia="Times New Roman"/>
        </w:rPr>
      </w:pPr>
    </w:p>
    <w:p w:rsidR="00000000" w:rsidRDefault="00E54EC0">
      <w:pPr>
        <w:divId w:val="1611206818"/>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indicated, on February 21, 2023.</w:t>
      </w:r>
    </w:p>
    <w:p w:rsidR="00000000" w:rsidRDefault="00E54EC0">
      <w:pPr>
        <w:jc w:val="center"/>
        <w:divId w:val="468976543"/>
        <w:rPr>
          <w:rFonts w:eastAsia="Times New Roman"/>
        </w:rPr>
      </w:pPr>
      <w:r>
        <w:rPr>
          <w:rFonts w:eastAsia="Times New Roman"/>
          <w:color w:val="000000"/>
          <w:sz w:val="20"/>
          <w:szCs w:val="20"/>
        </w:rPr>
        <w:t>253</w:t>
      </w:r>
    </w:p>
    <w:p w:rsidR="00000000" w:rsidRDefault="00E54EC0">
      <w:pPr>
        <w:rPr>
          <w:rFonts w:eastAsia="Times New Roman"/>
        </w:rPr>
      </w:pPr>
      <w:r>
        <w:rPr>
          <w:rFonts w:eastAsia="Times New Roman"/>
        </w:rPr>
        <w:pict>
          <v:rect id="_x0000_i1291" style="width:0;height:1.5pt" o:hralign="center" o:hrstd="t" o:hr="t" fillcolor="#a0a0a0" stroked="f"/>
        </w:pict>
      </w:r>
    </w:p>
    <w:p w:rsidR="00000000" w:rsidRDefault="00E54EC0">
      <w:pPr>
        <w:divId w:val="1351683747"/>
        <w:rPr>
          <w:rFonts w:eastAsia="Times New Roman"/>
        </w:rPr>
      </w:pPr>
      <w:hyperlink w:anchor="ifa77335c8c4046aba89b8098f04be9d1_508"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3250"/>
        <w:gridCol w:w="36"/>
        <w:gridCol w:w="36"/>
        <w:gridCol w:w="58"/>
        <w:gridCol w:w="36"/>
        <w:gridCol w:w="61"/>
        <w:gridCol w:w="4732"/>
        <w:gridCol w:w="37"/>
      </w:tblGrid>
      <w:tr w:rsidR="00000000">
        <w:trPr>
          <w:divId w:val="1230463413"/>
        </w:trPr>
        <w:tc>
          <w:tcPr>
            <w:tcW w:w="50" w:type="pct"/>
            <w:vAlign w:val="center"/>
            <w:hideMark/>
          </w:tcPr>
          <w:p w:rsidR="00000000" w:rsidRDefault="00E54EC0">
            <w:pPr>
              <w:rPr>
                <w:rFonts w:eastAsia="Times New Roman"/>
              </w:rPr>
            </w:pPr>
          </w:p>
        </w:tc>
        <w:tc>
          <w:tcPr>
            <w:tcW w:w="1969"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48"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c>
          <w:tcPr>
            <w:tcW w:w="50" w:type="pct"/>
            <w:vAlign w:val="center"/>
            <w:hideMark/>
          </w:tcPr>
          <w:p w:rsidR="00000000" w:rsidRDefault="00E54EC0">
            <w:pPr>
              <w:spacing w:after="100"/>
              <w:rPr>
                <w:rFonts w:eastAsia="Times New Roman"/>
                <w:sz w:val="20"/>
                <w:szCs w:val="20"/>
              </w:rPr>
            </w:pPr>
          </w:p>
        </w:tc>
        <w:tc>
          <w:tcPr>
            <w:tcW w:w="2861" w:type="pct"/>
            <w:vAlign w:val="center"/>
            <w:hideMark/>
          </w:tcPr>
          <w:p w:rsidR="00000000" w:rsidRDefault="00E54EC0">
            <w:pPr>
              <w:spacing w:after="100"/>
              <w:rPr>
                <w:rFonts w:eastAsia="Times New Roman"/>
                <w:sz w:val="20"/>
                <w:szCs w:val="20"/>
              </w:rPr>
            </w:pPr>
          </w:p>
        </w:tc>
        <w:tc>
          <w:tcPr>
            <w:tcW w:w="5" w:type="pct"/>
            <w:vAlign w:val="center"/>
            <w:hideMark/>
          </w:tcPr>
          <w:p w:rsidR="00000000" w:rsidRDefault="00E54EC0">
            <w:pPr>
              <w:spacing w:after="100"/>
              <w:rPr>
                <w:rFonts w:eastAsia="Times New Roman"/>
                <w:sz w:val="20"/>
                <w:szCs w:val="20"/>
              </w:rPr>
            </w:pPr>
          </w:p>
        </w:tc>
      </w:tr>
      <w:tr w:rsidR="00000000">
        <w:trPr>
          <w:divId w:val="1230463413"/>
        </w:trPr>
        <w:tc>
          <w:tcPr>
            <w:tcW w:w="0" w:type="auto"/>
            <w:gridSpan w:val="3"/>
            <w:tcMar>
              <w:top w:w="30" w:type="dxa"/>
              <w:left w:w="20" w:type="dxa"/>
              <w:bottom w:w="30" w:type="dxa"/>
              <w:right w:w="20" w:type="dxa"/>
            </w:tcMar>
            <w:vAlign w:val="bottom"/>
            <w:hideMark/>
          </w:tcPr>
          <w:p w:rsidR="00000000" w:rsidRDefault="00E54EC0">
            <w:pPr>
              <w:spacing w:after="100"/>
              <w:jc w:val="center"/>
              <w:divId w:val="1690834985"/>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54EC0">
            <w:pPr>
              <w:spacing w:after="100"/>
              <w:jc w:val="center"/>
              <w:divId w:val="1818640924"/>
              <w:rPr>
                <w:rFonts w:eastAsia="Times New Roman"/>
              </w:rPr>
            </w:pPr>
            <w:r>
              <w:rPr>
                <w:rFonts w:eastAsia="Times New Roman"/>
                <w:b/>
                <w:bCs/>
                <w:color w:val="000000"/>
                <w:sz w:val="20"/>
                <w:szCs w:val="20"/>
                <w:u w:val="single"/>
              </w:rPr>
              <w:t>Title</w:t>
            </w:r>
          </w:p>
        </w:tc>
      </w:tr>
      <w:tr w:rsidR="00000000">
        <w:trPr>
          <w:divId w:val="1230463413"/>
          <w:trHeight w:val="180"/>
        </w:trPr>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Mark Pearson</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President and Chief Executive Officer and Director</w:t>
            </w:r>
            <w:r>
              <w:rPr>
                <w:rFonts w:eastAsia="Times New Roman"/>
                <w:color w:val="000000"/>
                <w:sz w:val="20"/>
                <w:szCs w:val="20"/>
              </w:rPr>
              <w:br/>
              <w:t>(Principal Executive Officer)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 Mark Pearson</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Robin M. Raju</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Chief Financial Officer</w:t>
            </w:r>
            <w:r>
              <w:rPr>
                <w:rFonts w:eastAsia="Times New Roman"/>
                <w:color w:val="000000"/>
                <w:sz w:val="20"/>
                <w:szCs w:val="20"/>
              </w:rPr>
              <w:br/>
              <w:t>(Principal Financial Officer)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Robin M. Raju</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William Eckert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Chief Accounting Officer</w:t>
            </w:r>
            <w:r>
              <w:rPr>
                <w:rFonts w:eastAsia="Times New Roman"/>
                <w:color w:val="000000"/>
                <w:sz w:val="20"/>
                <w:szCs w:val="20"/>
              </w:rPr>
              <w:br/>
              <w:t>(Principal Accounting Officer)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 William Eckert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Francis Hondal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Francis Hondal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Arlene Isaacs-Lowe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Arlene Isaacs-Lowe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Daniel G. Kaye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Daniel G. Kaye</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Joan M. Lamm-Tennant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Chair of the Board</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Joan M. Lamm-Tennant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Craig MacKay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Craig MacKay</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Kristi A. Matus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Kristi A. Matus</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Bertram L. Scott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Bertram L. Scott</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12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George H. Stansfield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George H. Stansfield</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r w:rsidR="00000000">
        <w:trPr>
          <w:divId w:val="1230463413"/>
          <w:trHeight w:val="60"/>
        </w:trPr>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54EC0">
            <w:pPr>
              <w:spacing w:after="100"/>
              <w:rPr>
                <w:rFonts w:eastAsia="Times New Roman"/>
                <w:sz w:val="20"/>
                <w:szCs w:val="20"/>
              </w:rPr>
            </w:pPr>
          </w:p>
        </w:tc>
      </w:tr>
      <w:tr w:rsidR="00000000">
        <w:trPr>
          <w:divId w:val="1230463413"/>
          <w:trHeight w:val="280"/>
        </w:trPr>
        <w:tc>
          <w:tcPr>
            <w:tcW w:w="0" w:type="auto"/>
            <w:gridSpan w:val="3"/>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/s/ Charles G. T. Stonehill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54EC0">
            <w:pPr>
              <w:spacing w:after="100"/>
              <w:rPr>
                <w:rFonts w:eastAsia="Times New Roman"/>
              </w:rPr>
            </w:pPr>
            <w:r>
              <w:rPr>
                <w:rFonts w:eastAsia="Times New Roman"/>
                <w:color w:val="000000"/>
                <w:sz w:val="20"/>
                <w:szCs w:val="20"/>
              </w:rPr>
              <w:t>Director</w:t>
            </w:r>
          </w:p>
        </w:tc>
      </w:tr>
      <w:tr w:rsidR="00000000">
        <w:trPr>
          <w:divId w:val="1230463413"/>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54EC0">
            <w:pPr>
              <w:spacing w:after="100"/>
              <w:jc w:val="center"/>
              <w:rPr>
                <w:rFonts w:eastAsia="Times New Roman"/>
              </w:rPr>
            </w:pPr>
            <w:r>
              <w:rPr>
                <w:rFonts w:eastAsia="Times New Roman"/>
                <w:color w:val="000000"/>
                <w:sz w:val="20"/>
                <w:szCs w:val="20"/>
              </w:rPr>
              <w:t>Charles G. T. Stonehill</w:t>
            </w:r>
          </w:p>
        </w:tc>
        <w:tc>
          <w:tcPr>
            <w:tcW w:w="0" w:type="auto"/>
            <w:gridSpan w:val="3"/>
            <w:tcMar>
              <w:top w:w="0" w:type="dxa"/>
              <w:left w:w="20" w:type="dxa"/>
              <w:bottom w:w="0" w:type="dxa"/>
              <w:right w:w="20" w:type="dxa"/>
            </w:tcMar>
            <w:vAlign w:val="center"/>
            <w:hideMark/>
          </w:tcPr>
          <w:p w:rsidR="00000000" w:rsidRDefault="00E54EC0">
            <w:pPr>
              <w:spacing w:after="100"/>
              <w:jc w:val="center"/>
              <w:rPr>
                <w:rFonts w:eastAsia="Times New Roman"/>
              </w:rPr>
            </w:pPr>
          </w:p>
        </w:tc>
        <w:tc>
          <w:tcPr>
            <w:tcW w:w="0" w:type="auto"/>
            <w:gridSpan w:val="3"/>
            <w:vMerge/>
            <w:vAlign w:val="center"/>
            <w:hideMark/>
          </w:tcPr>
          <w:p w:rsidR="00000000" w:rsidRDefault="00E54EC0">
            <w:pPr>
              <w:spacing w:after="100"/>
              <w:rPr>
                <w:rFonts w:eastAsia="Times New Roman"/>
              </w:rPr>
            </w:pPr>
          </w:p>
        </w:tc>
      </w:tr>
    </w:tbl>
    <w:p w:rsidR="00E54EC0" w:rsidRDefault="00E54EC0">
      <w:pPr>
        <w:jc w:val="center"/>
        <w:divId w:val="2099666619"/>
        <w:rPr>
          <w:rFonts w:eastAsia="Times New Roman"/>
        </w:rPr>
      </w:pPr>
      <w:r>
        <w:rPr>
          <w:rFonts w:eastAsia="Times New Roman"/>
          <w:color w:val="000000"/>
          <w:sz w:val="20"/>
          <w:szCs w:val="20"/>
        </w:rPr>
        <w:t>254</w:t>
      </w:r>
    </w:p>
    <w:sectPr w:rsidR="00E54EC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54EC0"/>
    <w:rsid w:val="00E54EC0"/>
  </w:rsids>
  <m:mathPr>
    <m:mathFont m:val="Cambria Math"/>
    <m:brkBin m:val="before"/>
    <m:brkBinSub m:val="--"/>
    <m:smallFrac m:val="0"/>
    <m:dispDef/>
    <m:lMargin m:val="0"/>
    <m:rMargin m:val="0"/>
    <m:defJc m:val="centerGroup"/>
    <m:wrapIndent m:val="1440"/>
    <m:intLim m:val="subSup"/>
    <m:naryLim m:val="undOvr"/>
  </m:mathPr>
  <w:attachedSchema w:val="http://xbrl.sec.gov/dei/2022"/>
  <w:attachedSchema w:val="http://www.sec.gov/inlineXBRL/transformation/2015-08-31"/>
  <w:attachedSchema w:val="http://www.xbrl.org/2003/instance"/>
  <w:attachedSchema w:val="http://xbrl.sec.gov/exch/2022"/>
  <w:attachedSchema w:val="http://fasb.org/srt/2022"/>
  <w:attachedSchema w:val="http://www.w3.org/1999/xlink"/>
  <w:attachedSchema w:val="http://fasb.org/us-gaap/2022"/>
  <w:attachedSchema w:val="http://www.equitable.com/20221231"/>
  <w:attachedSchema w:val="http://xbrl.sec.gov/stpr/2022"/>
  <w:attachedSchema w:val="http://xbrl.org/2006/xbrldi"/>
  <w:attachedSchema w:val="http://www.xbrl.org/inlineXBRL/transformation/2020-02-12"/>
  <w:attachedSchema w:val="http://www.xbrl.org/2013/inlineXBRL"/>
  <w:attachedSchema w:val="http://www.xbrl.org/2003/iso4217"/>
  <w:attachedSchema w:val="http://www.xbrl.org/2003/linkbase"/>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62">
      <w:marLeft w:val="0"/>
      <w:marRight w:val="0"/>
      <w:marTop w:val="0"/>
      <w:marBottom w:val="0"/>
      <w:divBdr>
        <w:top w:val="none" w:sz="0" w:space="0" w:color="auto"/>
        <w:left w:val="none" w:sz="0" w:space="0" w:color="auto"/>
        <w:bottom w:val="none" w:sz="0" w:space="0" w:color="auto"/>
        <w:right w:val="none" w:sz="0" w:space="0" w:color="auto"/>
      </w:divBdr>
    </w:div>
    <w:div w:id="2707630">
      <w:marLeft w:val="0"/>
      <w:marRight w:val="0"/>
      <w:marTop w:val="0"/>
      <w:marBottom w:val="180"/>
      <w:divBdr>
        <w:top w:val="none" w:sz="0" w:space="0" w:color="auto"/>
        <w:left w:val="none" w:sz="0" w:space="0" w:color="auto"/>
        <w:bottom w:val="none" w:sz="0" w:space="0" w:color="auto"/>
        <w:right w:val="none" w:sz="0" w:space="0" w:color="auto"/>
      </w:divBdr>
    </w:div>
    <w:div w:id="3022106">
      <w:marLeft w:val="0"/>
      <w:marRight w:val="0"/>
      <w:marTop w:val="0"/>
      <w:marBottom w:val="180"/>
      <w:divBdr>
        <w:top w:val="none" w:sz="0" w:space="0" w:color="auto"/>
        <w:left w:val="none" w:sz="0" w:space="0" w:color="auto"/>
        <w:bottom w:val="none" w:sz="0" w:space="0" w:color="auto"/>
        <w:right w:val="none" w:sz="0" w:space="0" w:color="auto"/>
      </w:divBdr>
    </w:div>
    <w:div w:id="3555939">
      <w:marLeft w:val="0"/>
      <w:marRight w:val="0"/>
      <w:marTop w:val="180"/>
      <w:marBottom w:val="180"/>
      <w:divBdr>
        <w:top w:val="none" w:sz="0" w:space="0" w:color="auto"/>
        <w:left w:val="none" w:sz="0" w:space="0" w:color="auto"/>
        <w:bottom w:val="none" w:sz="0" w:space="0" w:color="auto"/>
        <w:right w:val="none" w:sz="0" w:space="0" w:color="auto"/>
      </w:divBdr>
    </w:div>
    <w:div w:id="3821750">
      <w:marLeft w:val="0"/>
      <w:marRight w:val="0"/>
      <w:marTop w:val="0"/>
      <w:marBottom w:val="240"/>
      <w:divBdr>
        <w:top w:val="none" w:sz="0" w:space="0" w:color="auto"/>
        <w:left w:val="none" w:sz="0" w:space="0" w:color="auto"/>
        <w:bottom w:val="none" w:sz="0" w:space="0" w:color="auto"/>
        <w:right w:val="none" w:sz="0" w:space="0" w:color="auto"/>
      </w:divBdr>
    </w:div>
    <w:div w:id="4408784">
      <w:marLeft w:val="0"/>
      <w:marRight w:val="0"/>
      <w:marTop w:val="180"/>
      <w:marBottom w:val="180"/>
      <w:divBdr>
        <w:top w:val="none" w:sz="0" w:space="0" w:color="auto"/>
        <w:left w:val="none" w:sz="0" w:space="0" w:color="auto"/>
        <w:bottom w:val="none" w:sz="0" w:space="0" w:color="auto"/>
        <w:right w:val="none" w:sz="0" w:space="0" w:color="auto"/>
      </w:divBdr>
    </w:div>
    <w:div w:id="7176106">
      <w:marLeft w:val="0"/>
      <w:marRight w:val="0"/>
      <w:marTop w:val="180"/>
      <w:marBottom w:val="180"/>
      <w:divBdr>
        <w:top w:val="none" w:sz="0" w:space="0" w:color="auto"/>
        <w:left w:val="none" w:sz="0" w:space="0" w:color="auto"/>
        <w:bottom w:val="none" w:sz="0" w:space="0" w:color="auto"/>
        <w:right w:val="none" w:sz="0" w:space="0" w:color="auto"/>
      </w:divBdr>
    </w:div>
    <w:div w:id="7290389">
      <w:marLeft w:val="0"/>
      <w:marRight w:val="0"/>
      <w:marTop w:val="0"/>
      <w:marBottom w:val="240"/>
      <w:divBdr>
        <w:top w:val="none" w:sz="0" w:space="0" w:color="auto"/>
        <w:left w:val="none" w:sz="0" w:space="0" w:color="auto"/>
        <w:bottom w:val="none" w:sz="0" w:space="0" w:color="auto"/>
        <w:right w:val="none" w:sz="0" w:space="0" w:color="auto"/>
      </w:divBdr>
    </w:div>
    <w:div w:id="7562865">
      <w:marLeft w:val="0"/>
      <w:marRight w:val="0"/>
      <w:marTop w:val="120"/>
      <w:marBottom w:val="120"/>
      <w:divBdr>
        <w:top w:val="none" w:sz="0" w:space="0" w:color="auto"/>
        <w:left w:val="none" w:sz="0" w:space="0" w:color="auto"/>
        <w:bottom w:val="none" w:sz="0" w:space="0" w:color="auto"/>
        <w:right w:val="none" w:sz="0" w:space="0" w:color="auto"/>
      </w:divBdr>
    </w:div>
    <w:div w:id="7603454">
      <w:marLeft w:val="0"/>
      <w:marRight w:val="0"/>
      <w:marTop w:val="240"/>
      <w:marBottom w:val="140"/>
      <w:divBdr>
        <w:top w:val="none" w:sz="0" w:space="0" w:color="auto"/>
        <w:left w:val="none" w:sz="0" w:space="0" w:color="auto"/>
        <w:bottom w:val="none" w:sz="0" w:space="0" w:color="auto"/>
        <w:right w:val="none" w:sz="0" w:space="0" w:color="auto"/>
      </w:divBdr>
    </w:div>
    <w:div w:id="7875160">
      <w:marLeft w:val="0"/>
      <w:marRight w:val="0"/>
      <w:marTop w:val="0"/>
      <w:marBottom w:val="240"/>
      <w:divBdr>
        <w:top w:val="none" w:sz="0" w:space="0" w:color="auto"/>
        <w:left w:val="none" w:sz="0" w:space="0" w:color="auto"/>
        <w:bottom w:val="none" w:sz="0" w:space="0" w:color="auto"/>
        <w:right w:val="none" w:sz="0" w:space="0" w:color="auto"/>
      </w:divBdr>
    </w:div>
    <w:div w:id="7949896">
      <w:marLeft w:val="0"/>
      <w:marRight w:val="0"/>
      <w:marTop w:val="0"/>
      <w:marBottom w:val="240"/>
      <w:divBdr>
        <w:top w:val="none" w:sz="0" w:space="0" w:color="auto"/>
        <w:left w:val="none" w:sz="0" w:space="0" w:color="auto"/>
        <w:bottom w:val="none" w:sz="0" w:space="0" w:color="auto"/>
        <w:right w:val="none" w:sz="0" w:space="0" w:color="auto"/>
      </w:divBdr>
    </w:div>
    <w:div w:id="8022268">
      <w:marLeft w:val="0"/>
      <w:marRight w:val="0"/>
      <w:marTop w:val="0"/>
      <w:marBottom w:val="240"/>
      <w:divBdr>
        <w:top w:val="none" w:sz="0" w:space="0" w:color="auto"/>
        <w:left w:val="none" w:sz="0" w:space="0" w:color="auto"/>
        <w:bottom w:val="none" w:sz="0" w:space="0" w:color="auto"/>
        <w:right w:val="none" w:sz="0" w:space="0" w:color="auto"/>
      </w:divBdr>
    </w:div>
    <w:div w:id="8263223">
      <w:marLeft w:val="0"/>
      <w:marRight w:val="0"/>
      <w:marTop w:val="0"/>
      <w:marBottom w:val="0"/>
      <w:divBdr>
        <w:top w:val="none" w:sz="0" w:space="0" w:color="auto"/>
        <w:left w:val="none" w:sz="0" w:space="0" w:color="auto"/>
        <w:bottom w:val="none" w:sz="0" w:space="0" w:color="auto"/>
        <w:right w:val="none" w:sz="0" w:space="0" w:color="auto"/>
      </w:divBdr>
      <w:divsChild>
        <w:div w:id="608053030">
          <w:marLeft w:val="0"/>
          <w:marRight w:val="0"/>
          <w:marTop w:val="0"/>
          <w:marBottom w:val="0"/>
          <w:divBdr>
            <w:top w:val="none" w:sz="0" w:space="0" w:color="auto"/>
            <w:left w:val="none" w:sz="0" w:space="0" w:color="auto"/>
            <w:bottom w:val="none" w:sz="0" w:space="0" w:color="auto"/>
            <w:right w:val="none" w:sz="0" w:space="0" w:color="auto"/>
          </w:divBdr>
        </w:div>
      </w:divsChild>
    </w:div>
    <w:div w:id="9189710">
      <w:marLeft w:val="0"/>
      <w:marRight w:val="0"/>
      <w:marTop w:val="0"/>
      <w:marBottom w:val="180"/>
      <w:divBdr>
        <w:top w:val="none" w:sz="0" w:space="0" w:color="auto"/>
        <w:left w:val="none" w:sz="0" w:space="0" w:color="auto"/>
        <w:bottom w:val="none" w:sz="0" w:space="0" w:color="auto"/>
        <w:right w:val="none" w:sz="0" w:space="0" w:color="auto"/>
      </w:divBdr>
    </w:div>
    <w:div w:id="9378705">
      <w:marLeft w:val="0"/>
      <w:marRight w:val="0"/>
      <w:marTop w:val="0"/>
      <w:marBottom w:val="0"/>
      <w:divBdr>
        <w:top w:val="none" w:sz="0" w:space="0" w:color="auto"/>
        <w:left w:val="none" w:sz="0" w:space="0" w:color="auto"/>
        <w:bottom w:val="none" w:sz="0" w:space="0" w:color="auto"/>
        <w:right w:val="none" w:sz="0" w:space="0" w:color="auto"/>
      </w:divBdr>
    </w:div>
    <w:div w:id="9600428">
      <w:marLeft w:val="0"/>
      <w:marRight w:val="0"/>
      <w:marTop w:val="0"/>
      <w:marBottom w:val="240"/>
      <w:divBdr>
        <w:top w:val="none" w:sz="0" w:space="0" w:color="auto"/>
        <w:left w:val="none" w:sz="0" w:space="0" w:color="auto"/>
        <w:bottom w:val="none" w:sz="0" w:space="0" w:color="auto"/>
        <w:right w:val="none" w:sz="0" w:space="0" w:color="auto"/>
      </w:divBdr>
    </w:div>
    <w:div w:id="10689391">
      <w:marLeft w:val="0"/>
      <w:marRight w:val="0"/>
      <w:marTop w:val="0"/>
      <w:marBottom w:val="240"/>
      <w:divBdr>
        <w:top w:val="none" w:sz="0" w:space="0" w:color="auto"/>
        <w:left w:val="none" w:sz="0" w:space="0" w:color="auto"/>
        <w:bottom w:val="none" w:sz="0" w:space="0" w:color="auto"/>
        <w:right w:val="none" w:sz="0" w:space="0" w:color="auto"/>
      </w:divBdr>
    </w:div>
    <w:div w:id="11537757">
      <w:marLeft w:val="0"/>
      <w:marRight w:val="0"/>
      <w:marTop w:val="0"/>
      <w:marBottom w:val="180"/>
      <w:divBdr>
        <w:top w:val="none" w:sz="0" w:space="0" w:color="auto"/>
        <w:left w:val="none" w:sz="0" w:space="0" w:color="auto"/>
        <w:bottom w:val="none" w:sz="0" w:space="0" w:color="auto"/>
        <w:right w:val="none" w:sz="0" w:space="0" w:color="auto"/>
      </w:divBdr>
    </w:div>
    <w:div w:id="11760102">
      <w:marLeft w:val="0"/>
      <w:marRight w:val="0"/>
      <w:marTop w:val="0"/>
      <w:marBottom w:val="240"/>
      <w:divBdr>
        <w:top w:val="none" w:sz="0" w:space="0" w:color="auto"/>
        <w:left w:val="none" w:sz="0" w:space="0" w:color="auto"/>
        <w:bottom w:val="none" w:sz="0" w:space="0" w:color="auto"/>
        <w:right w:val="none" w:sz="0" w:space="0" w:color="auto"/>
      </w:divBdr>
      <w:divsChild>
        <w:div w:id="369915240">
          <w:marLeft w:val="0"/>
          <w:marRight w:val="0"/>
          <w:marTop w:val="0"/>
          <w:marBottom w:val="0"/>
          <w:divBdr>
            <w:top w:val="none" w:sz="0" w:space="0" w:color="auto"/>
            <w:left w:val="none" w:sz="0" w:space="0" w:color="auto"/>
            <w:bottom w:val="none" w:sz="0" w:space="0" w:color="auto"/>
            <w:right w:val="none" w:sz="0" w:space="0" w:color="auto"/>
          </w:divBdr>
        </w:div>
        <w:div w:id="1244802481">
          <w:marLeft w:val="0"/>
          <w:marRight w:val="0"/>
          <w:marTop w:val="0"/>
          <w:marBottom w:val="0"/>
          <w:divBdr>
            <w:top w:val="none" w:sz="0" w:space="0" w:color="auto"/>
            <w:left w:val="none" w:sz="0" w:space="0" w:color="auto"/>
            <w:bottom w:val="none" w:sz="0" w:space="0" w:color="auto"/>
            <w:right w:val="none" w:sz="0" w:space="0" w:color="auto"/>
          </w:divBdr>
        </w:div>
      </w:divsChild>
    </w:div>
    <w:div w:id="12151821">
      <w:marLeft w:val="0"/>
      <w:marRight w:val="0"/>
      <w:marTop w:val="0"/>
      <w:marBottom w:val="0"/>
      <w:divBdr>
        <w:top w:val="none" w:sz="0" w:space="0" w:color="auto"/>
        <w:left w:val="none" w:sz="0" w:space="0" w:color="auto"/>
        <w:bottom w:val="none" w:sz="0" w:space="0" w:color="auto"/>
        <w:right w:val="none" w:sz="0" w:space="0" w:color="auto"/>
      </w:divBdr>
    </w:div>
    <w:div w:id="13309074">
      <w:marLeft w:val="0"/>
      <w:marRight w:val="0"/>
      <w:marTop w:val="0"/>
      <w:marBottom w:val="240"/>
      <w:divBdr>
        <w:top w:val="none" w:sz="0" w:space="0" w:color="auto"/>
        <w:left w:val="none" w:sz="0" w:space="0" w:color="auto"/>
        <w:bottom w:val="none" w:sz="0" w:space="0" w:color="auto"/>
        <w:right w:val="none" w:sz="0" w:space="0" w:color="auto"/>
      </w:divBdr>
    </w:div>
    <w:div w:id="15735972">
      <w:marLeft w:val="0"/>
      <w:marRight w:val="0"/>
      <w:marTop w:val="0"/>
      <w:marBottom w:val="240"/>
      <w:divBdr>
        <w:top w:val="none" w:sz="0" w:space="0" w:color="auto"/>
        <w:left w:val="none" w:sz="0" w:space="0" w:color="auto"/>
        <w:bottom w:val="none" w:sz="0" w:space="0" w:color="auto"/>
        <w:right w:val="none" w:sz="0" w:space="0" w:color="auto"/>
      </w:divBdr>
    </w:div>
    <w:div w:id="16472583">
      <w:marLeft w:val="0"/>
      <w:marRight w:val="0"/>
      <w:marTop w:val="0"/>
      <w:marBottom w:val="0"/>
      <w:divBdr>
        <w:top w:val="none" w:sz="0" w:space="0" w:color="auto"/>
        <w:left w:val="none" w:sz="0" w:space="0" w:color="auto"/>
        <w:bottom w:val="none" w:sz="0" w:space="0" w:color="auto"/>
        <w:right w:val="none" w:sz="0" w:space="0" w:color="auto"/>
      </w:divBdr>
      <w:divsChild>
        <w:div w:id="130365327">
          <w:marLeft w:val="0"/>
          <w:marRight w:val="0"/>
          <w:marTop w:val="0"/>
          <w:marBottom w:val="0"/>
          <w:divBdr>
            <w:top w:val="none" w:sz="0" w:space="0" w:color="auto"/>
            <w:left w:val="none" w:sz="0" w:space="0" w:color="auto"/>
            <w:bottom w:val="none" w:sz="0" w:space="0" w:color="auto"/>
            <w:right w:val="none" w:sz="0" w:space="0" w:color="auto"/>
          </w:divBdr>
        </w:div>
      </w:divsChild>
    </w:div>
    <w:div w:id="16808210">
      <w:marLeft w:val="0"/>
      <w:marRight w:val="0"/>
      <w:marTop w:val="0"/>
      <w:marBottom w:val="0"/>
      <w:divBdr>
        <w:top w:val="none" w:sz="0" w:space="0" w:color="auto"/>
        <w:left w:val="none" w:sz="0" w:space="0" w:color="auto"/>
        <w:bottom w:val="none" w:sz="0" w:space="0" w:color="auto"/>
        <w:right w:val="none" w:sz="0" w:space="0" w:color="auto"/>
      </w:divBdr>
    </w:div>
    <w:div w:id="17778162">
      <w:marLeft w:val="0"/>
      <w:marRight w:val="0"/>
      <w:marTop w:val="0"/>
      <w:marBottom w:val="180"/>
      <w:divBdr>
        <w:top w:val="none" w:sz="0" w:space="0" w:color="auto"/>
        <w:left w:val="none" w:sz="0" w:space="0" w:color="auto"/>
        <w:bottom w:val="none" w:sz="0" w:space="0" w:color="auto"/>
        <w:right w:val="none" w:sz="0" w:space="0" w:color="auto"/>
      </w:divBdr>
    </w:div>
    <w:div w:id="18506345">
      <w:marLeft w:val="0"/>
      <w:marRight w:val="0"/>
      <w:marTop w:val="120"/>
      <w:marBottom w:val="120"/>
      <w:divBdr>
        <w:top w:val="none" w:sz="0" w:space="0" w:color="auto"/>
        <w:left w:val="none" w:sz="0" w:space="0" w:color="auto"/>
        <w:bottom w:val="none" w:sz="0" w:space="0" w:color="auto"/>
        <w:right w:val="none" w:sz="0" w:space="0" w:color="auto"/>
      </w:divBdr>
    </w:div>
    <w:div w:id="18820901">
      <w:marLeft w:val="0"/>
      <w:marRight w:val="0"/>
      <w:marTop w:val="0"/>
      <w:marBottom w:val="0"/>
      <w:divBdr>
        <w:top w:val="none" w:sz="0" w:space="0" w:color="auto"/>
        <w:left w:val="none" w:sz="0" w:space="0" w:color="auto"/>
        <w:bottom w:val="none" w:sz="0" w:space="0" w:color="auto"/>
        <w:right w:val="none" w:sz="0" w:space="0" w:color="auto"/>
      </w:divBdr>
      <w:divsChild>
        <w:div w:id="1769692710">
          <w:marLeft w:val="0"/>
          <w:marRight w:val="0"/>
          <w:marTop w:val="0"/>
          <w:marBottom w:val="0"/>
          <w:divBdr>
            <w:top w:val="none" w:sz="0" w:space="0" w:color="auto"/>
            <w:left w:val="none" w:sz="0" w:space="0" w:color="auto"/>
            <w:bottom w:val="none" w:sz="0" w:space="0" w:color="auto"/>
            <w:right w:val="none" w:sz="0" w:space="0" w:color="auto"/>
          </w:divBdr>
        </w:div>
      </w:divsChild>
    </w:div>
    <w:div w:id="18970753">
      <w:marLeft w:val="0"/>
      <w:marRight w:val="0"/>
      <w:marTop w:val="100"/>
      <w:marBottom w:val="0"/>
      <w:divBdr>
        <w:top w:val="none" w:sz="0" w:space="0" w:color="auto"/>
        <w:left w:val="none" w:sz="0" w:space="0" w:color="auto"/>
        <w:bottom w:val="none" w:sz="0" w:space="0" w:color="auto"/>
        <w:right w:val="none" w:sz="0" w:space="0" w:color="auto"/>
      </w:divBdr>
    </w:div>
    <w:div w:id="20977948">
      <w:marLeft w:val="0"/>
      <w:marRight w:val="0"/>
      <w:marTop w:val="100"/>
      <w:marBottom w:val="180"/>
      <w:divBdr>
        <w:top w:val="none" w:sz="0" w:space="0" w:color="auto"/>
        <w:left w:val="none" w:sz="0" w:space="0" w:color="auto"/>
        <w:bottom w:val="none" w:sz="0" w:space="0" w:color="auto"/>
        <w:right w:val="none" w:sz="0" w:space="0" w:color="auto"/>
      </w:divBdr>
    </w:div>
    <w:div w:id="21445844">
      <w:marLeft w:val="0"/>
      <w:marRight w:val="0"/>
      <w:marTop w:val="0"/>
      <w:marBottom w:val="0"/>
      <w:divBdr>
        <w:top w:val="none" w:sz="0" w:space="0" w:color="auto"/>
        <w:left w:val="none" w:sz="0" w:space="0" w:color="auto"/>
        <w:bottom w:val="none" w:sz="0" w:space="0" w:color="auto"/>
        <w:right w:val="none" w:sz="0" w:space="0" w:color="auto"/>
      </w:divBdr>
      <w:divsChild>
        <w:div w:id="532773066">
          <w:marLeft w:val="0"/>
          <w:marRight w:val="0"/>
          <w:marTop w:val="0"/>
          <w:marBottom w:val="0"/>
          <w:divBdr>
            <w:top w:val="none" w:sz="0" w:space="0" w:color="auto"/>
            <w:left w:val="none" w:sz="0" w:space="0" w:color="auto"/>
            <w:bottom w:val="none" w:sz="0" w:space="0" w:color="auto"/>
            <w:right w:val="none" w:sz="0" w:space="0" w:color="auto"/>
          </w:divBdr>
        </w:div>
      </w:divsChild>
    </w:div>
    <w:div w:id="21592188">
      <w:marLeft w:val="0"/>
      <w:marRight w:val="0"/>
      <w:marTop w:val="180"/>
      <w:marBottom w:val="180"/>
      <w:divBdr>
        <w:top w:val="none" w:sz="0" w:space="0" w:color="auto"/>
        <w:left w:val="none" w:sz="0" w:space="0" w:color="auto"/>
        <w:bottom w:val="none" w:sz="0" w:space="0" w:color="auto"/>
        <w:right w:val="none" w:sz="0" w:space="0" w:color="auto"/>
      </w:divBdr>
    </w:div>
    <w:div w:id="21790265">
      <w:marLeft w:val="0"/>
      <w:marRight w:val="0"/>
      <w:marTop w:val="180"/>
      <w:marBottom w:val="180"/>
      <w:divBdr>
        <w:top w:val="none" w:sz="0" w:space="0" w:color="auto"/>
        <w:left w:val="none" w:sz="0" w:space="0" w:color="auto"/>
        <w:bottom w:val="none" w:sz="0" w:space="0" w:color="auto"/>
        <w:right w:val="none" w:sz="0" w:space="0" w:color="auto"/>
      </w:divBdr>
    </w:div>
    <w:div w:id="24134981">
      <w:marLeft w:val="0"/>
      <w:marRight w:val="0"/>
      <w:marTop w:val="0"/>
      <w:marBottom w:val="240"/>
      <w:divBdr>
        <w:top w:val="none" w:sz="0" w:space="0" w:color="auto"/>
        <w:left w:val="none" w:sz="0" w:space="0" w:color="auto"/>
        <w:bottom w:val="none" w:sz="0" w:space="0" w:color="auto"/>
        <w:right w:val="none" w:sz="0" w:space="0" w:color="auto"/>
      </w:divBdr>
    </w:div>
    <w:div w:id="24333905">
      <w:marLeft w:val="0"/>
      <w:marRight w:val="0"/>
      <w:marTop w:val="100"/>
      <w:marBottom w:val="0"/>
      <w:divBdr>
        <w:top w:val="none" w:sz="0" w:space="0" w:color="auto"/>
        <w:left w:val="none" w:sz="0" w:space="0" w:color="auto"/>
        <w:bottom w:val="none" w:sz="0" w:space="0" w:color="auto"/>
        <w:right w:val="none" w:sz="0" w:space="0" w:color="auto"/>
      </w:divBdr>
      <w:divsChild>
        <w:div w:id="1654680027">
          <w:marLeft w:val="0"/>
          <w:marRight w:val="0"/>
          <w:marTop w:val="0"/>
          <w:marBottom w:val="0"/>
          <w:divBdr>
            <w:top w:val="none" w:sz="0" w:space="0" w:color="auto"/>
            <w:left w:val="none" w:sz="0" w:space="0" w:color="auto"/>
            <w:bottom w:val="none" w:sz="0" w:space="0" w:color="auto"/>
            <w:right w:val="none" w:sz="0" w:space="0" w:color="auto"/>
          </w:divBdr>
        </w:div>
      </w:divsChild>
    </w:div>
    <w:div w:id="25521157">
      <w:marLeft w:val="0"/>
      <w:marRight w:val="0"/>
      <w:marTop w:val="0"/>
      <w:marBottom w:val="180"/>
      <w:divBdr>
        <w:top w:val="none" w:sz="0" w:space="0" w:color="auto"/>
        <w:left w:val="none" w:sz="0" w:space="0" w:color="auto"/>
        <w:bottom w:val="none" w:sz="0" w:space="0" w:color="auto"/>
        <w:right w:val="none" w:sz="0" w:space="0" w:color="auto"/>
      </w:divBdr>
    </w:div>
    <w:div w:id="25906947">
      <w:marLeft w:val="0"/>
      <w:marRight w:val="0"/>
      <w:marTop w:val="0"/>
      <w:marBottom w:val="180"/>
      <w:divBdr>
        <w:top w:val="none" w:sz="0" w:space="0" w:color="auto"/>
        <w:left w:val="none" w:sz="0" w:space="0" w:color="auto"/>
        <w:bottom w:val="none" w:sz="0" w:space="0" w:color="auto"/>
        <w:right w:val="none" w:sz="0" w:space="0" w:color="auto"/>
      </w:divBdr>
    </w:div>
    <w:div w:id="28115153">
      <w:marLeft w:val="0"/>
      <w:marRight w:val="0"/>
      <w:marTop w:val="0"/>
      <w:marBottom w:val="240"/>
      <w:divBdr>
        <w:top w:val="none" w:sz="0" w:space="0" w:color="auto"/>
        <w:left w:val="none" w:sz="0" w:space="0" w:color="auto"/>
        <w:bottom w:val="none" w:sz="0" w:space="0" w:color="auto"/>
        <w:right w:val="none" w:sz="0" w:space="0" w:color="auto"/>
      </w:divBdr>
    </w:div>
    <w:div w:id="28378995">
      <w:marLeft w:val="0"/>
      <w:marRight w:val="0"/>
      <w:marTop w:val="0"/>
      <w:marBottom w:val="240"/>
      <w:divBdr>
        <w:top w:val="none" w:sz="0" w:space="0" w:color="auto"/>
        <w:left w:val="none" w:sz="0" w:space="0" w:color="auto"/>
        <w:bottom w:val="none" w:sz="0" w:space="0" w:color="auto"/>
        <w:right w:val="none" w:sz="0" w:space="0" w:color="auto"/>
      </w:divBdr>
    </w:div>
    <w:div w:id="28800442">
      <w:marLeft w:val="0"/>
      <w:marRight w:val="0"/>
      <w:marTop w:val="0"/>
      <w:marBottom w:val="180"/>
      <w:divBdr>
        <w:top w:val="none" w:sz="0" w:space="0" w:color="auto"/>
        <w:left w:val="none" w:sz="0" w:space="0" w:color="auto"/>
        <w:bottom w:val="none" w:sz="0" w:space="0" w:color="auto"/>
        <w:right w:val="none" w:sz="0" w:space="0" w:color="auto"/>
      </w:divBdr>
    </w:div>
    <w:div w:id="30570863">
      <w:marLeft w:val="0"/>
      <w:marRight w:val="0"/>
      <w:marTop w:val="0"/>
      <w:marBottom w:val="0"/>
      <w:divBdr>
        <w:top w:val="none" w:sz="0" w:space="0" w:color="auto"/>
        <w:left w:val="none" w:sz="0" w:space="0" w:color="auto"/>
        <w:bottom w:val="none" w:sz="0" w:space="0" w:color="auto"/>
        <w:right w:val="none" w:sz="0" w:space="0" w:color="auto"/>
      </w:divBdr>
      <w:divsChild>
        <w:div w:id="1177427229">
          <w:marLeft w:val="0"/>
          <w:marRight w:val="0"/>
          <w:marTop w:val="0"/>
          <w:marBottom w:val="0"/>
          <w:divBdr>
            <w:top w:val="none" w:sz="0" w:space="0" w:color="auto"/>
            <w:left w:val="none" w:sz="0" w:space="0" w:color="auto"/>
            <w:bottom w:val="none" w:sz="0" w:space="0" w:color="auto"/>
            <w:right w:val="none" w:sz="0" w:space="0" w:color="auto"/>
          </w:divBdr>
        </w:div>
      </w:divsChild>
    </w:div>
    <w:div w:id="30880961">
      <w:marLeft w:val="0"/>
      <w:marRight w:val="0"/>
      <w:marTop w:val="0"/>
      <w:marBottom w:val="0"/>
      <w:divBdr>
        <w:top w:val="none" w:sz="0" w:space="0" w:color="auto"/>
        <w:left w:val="none" w:sz="0" w:space="0" w:color="auto"/>
        <w:bottom w:val="none" w:sz="0" w:space="0" w:color="auto"/>
        <w:right w:val="none" w:sz="0" w:space="0" w:color="auto"/>
      </w:divBdr>
    </w:div>
    <w:div w:id="32389892">
      <w:marLeft w:val="0"/>
      <w:marRight w:val="0"/>
      <w:marTop w:val="0"/>
      <w:marBottom w:val="0"/>
      <w:divBdr>
        <w:top w:val="none" w:sz="0" w:space="0" w:color="auto"/>
        <w:left w:val="none" w:sz="0" w:space="0" w:color="auto"/>
        <w:bottom w:val="none" w:sz="0" w:space="0" w:color="auto"/>
        <w:right w:val="none" w:sz="0" w:space="0" w:color="auto"/>
      </w:divBdr>
      <w:divsChild>
        <w:div w:id="660622772">
          <w:marLeft w:val="0"/>
          <w:marRight w:val="0"/>
          <w:marTop w:val="0"/>
          <w:marBottom w:val="0"/>
          <w:divBdr>
            <w:top w:val="none" w:sz="0" w:space="0" w:color="auto"/>
            <w:left w:val="none" w:sz="0" w:space="0" w:color="auto"/>
            <w:bottom w:val="none" w:sz="0" w:space="0" w:color="auto"/>
            <w:right w:val="none" w:sz="0" w:space="0" w:color="auto"/>
          </w:divBdr>
        </w:div>
      </w:divsChild>
    </w:div>
    <w:div w:id="32506185">
      <w:marLeft w:val="0"/>
      <w:marRight w:val="0"/>
      <w:marTop w:val="180"/>
      <w:marBottom w:val="180"/>
      <w:divBdr>
        <w:top w:val="none" w:sz="0" w:space="0" w:color="auto"/>
        <w:left w:val="none" w:sz="0" w:space="0" w:color="auto"/>
        <w:bottom w:val="none" w:sz="0" w:space="0" w:color="auto"/>
        <w:right w:val="none" w:sz="0" w:space="0" w:color="auto"/>
      </w:divBdr>
    </w:div>
    <w:div w:id="32579986">
      <w:marLeft w:val="0"/>
      <w:marRight w:val="0"/>
      <w:marTop w:val="0"/>
      <w:marBottom w:val="240"/>
      <w:divBdr>
        <w:top w:val="none" w:sz="0" w:space="0" w:color="auto"/>
        <w:left w:val="none" w:sz="0" w:space="0" w:color="auto"/>
        <w:bottom w:val="none" w:sz="0" w:space="0" w:color="auto"/>
        <w:right w:val="none" w:sz="0" w:space="0" w:color="auto"/>
      </w:divBdr>
    </w:div>
    <w:div w:id="32659259">
      <w:marLeft w:val="0"/>
      <w:marRight w:val="0"/>
      <w:marTop w:val="180"/>
      <w:marBottom w:val="180"/>
      <w:divBdr>
        <w:top w:val="none" w:sz="0" w:space="0" w:color="auto"/>
        <w:left w:val="none" w:sz="0" w:space="0" w:color="auto"/>
        <w:bottom w:val="none" w:sz="0" w:space="0" w:color="auto"/>
        <w:right w:val="none" w:sz="0" w:space="0" w:color="auto"/>
      </w:divBdr>
    </w:div>
    <w:div w:id="33387792">
      <w:marLeft w:val="0"/>
      <w:marRight w:val="0"/>
      <w:marTop w:val="0"/>
      <w:marBottom w:val="60"/>
      <w:divBdr>
        <w:top w:val="none" w:sz="0" w:space="0" w:color="auto"/>
        <w:left w:val="none" w:sz="0" w:space="0" w:color="auto"/>
        <w:bottom w:val="none" w:sz="0" w:space="0" w:color="auto"/>
        <w:right w:val="none" w:sz="0" w:space="0" w:color="auto"/>
      </w:divBdr>
    </w:div>
    <w:div w:id="33889945">
      <w:marLeft w:val="0"/>
      <w:marRight w:val="0"/>
      <w:marTop w:val="0"/>
      <w:marBottom w:val="240"/>
      <w:divBdr>
        <w:top w:val="none" w:sz="0" w:space="0" w:color="auto"/>
        <w:left w:val="none" w:sz="0" w:space="0" w:color="auto"/>
        <w:bottom w:val="none" w:sz="0" w:space="0" w:color="auto"/>
        <w:right w:val="none" w:sz="0" w:space="0" w:color="auto"/>
      </w:divBdr>
    </w:div>
    <w:div w:id="34432376">
      <w:marLeft w:val="0"/>
      <w:marRight w:val="0"/>
      <w:marTop w:val="0"/>
      <w:marBottom w:val="180"/>
      <w:divBdr>
        <w:top w:val="none" w:sz="0" w:space="0" w:color="auto"/>
        <w:left w:val="none" w:sz="0" w:space="0" w:color="auto"/>
        <w:bottom w:val="none" w:sz="0" w:space="0" w:color="auto"/>
        <w:right w:val="none" w:sz="0" w:space="0" w:color="auto"/>
      </w:divBdr>
    </w:div>
    <w:div w:id="34547084">
      <w:marLeft w:val="0"/>
      <w:marRight w:val="0"/>
      <w:marTop w:val="100"/>
      <w:marBottom w:val="140"/>
      <w:divBdr>
        <w:top w:val="none" w:sz="0" w:space="0" w:color="auto"/>
        <w:left w:val="none" w:sz="0" w:space="0" w:color="auto"/>
        <w:bottom w:val="none" w:sz="0" w:space="0" w:color="auto"/>
        <w:right w:val="none" w:sz="0" w:space="0" w:color="auto"/>
      </w:divBdr>
    </w:div>
    <w:div w:id="35395808">
      <w:marLeft w:val="0"/>
      <w:marRight w:val="0"/>
      <w:marTop w:val="0"/>
      <w:marBottom w:val="180"/>
      <w:divBdr>
        <w:top w:val="none" w:sz="0" w:space="0" w:color="auto"/>
        <w:left w:val="none" w:sz="0" w:space="0" w:color="auto"/>
        <w:bottom w:val="none" w:sz="0" w:space="0" w:color="auto"/>
        <w:right w:val="none" w:sz="0" w:space="0" w:color="auto"/>
      </w:divBdr>
    </w:div>
    <w:div w:id="35474198">
      <w:marLeft w:val="0"/>
      <w:marRight w:val="0"/>
      <w:marTop w:val="0"/>
      <w:marBottom w:val="180"/>
      <w:divBdr>
        <w:top w:val="none" w:sz="0" w:space="0" w:color="auto"/>
        <w:left w:val="none" w:sz="0" w:space="0" w:color="auto"/>
        <w:bottom w:val="none" w:sz="0" w:space="0" w:color="auto"/>
        <w:right w:val="none" w:sz="0" w:space="0" w:color="auto"/>
      </w:divBdr>
    </w:div>
    <w:div w:id="35744040">
      <w:marLeft w:val="0"/>
      <w:marRight w:val="0"/>
      <w:marTop w:val="0"/>
      <w:marBottom w:val="180"/>
      <w:divBdr>
        <w:top w:val="none" w:sz="0" w:space="0" w:color="auto"/>
        <w:left w:val="none" w:sz="0" w:space="0" w:color="auto"/>
        <w:bottom w:val="none" w:sz="0" w:space="0" w:color="auto"/>
        <w:right w:val="none" w:sz="0" w:space="0" w:color="auto"/>
      </w:divBdr>
    </w:div>
    <w:div w:id="36664139">
      <w:marLeft w:val="0"/>
      <w:marRight w:val="0"/>
      <w:marTop w:val="0"/>
      <w:marBottom w:val="240"/>
      <w:divBdr>
        <w:top w:val="none" w:sz="0" w:space="0" w:color="auto"/>
        <w:left w:val="none" w:sz="0" w:space="0" w:color="auto"/>
        <w:bottom w:val="none" w:sz="0" w:space="0" w:color="auto"/>
        <w:right w:val="none" w:sz="0" w:space="0" w:color="auto"/>
      </w:divBdr>
    </w:div>
    <w:div w:id="36928544">
      <w:marLeft w:val="0"/>
      <w:marRight w:val="0"/>
      <w:marTop w:val="0"/>
      <w:marBottom w:val="180"/>
      <w:divBdr>
        <w:top w:val="none" w:sz="0" w:space="0" w:color="auto"/>
        <w:left w:val="none" w:sz="0" w:space="0" w:color="auto"/>
        <w:bottom w:val="none" w:sz="0" w:space="0" w:color="auto"/>
        <w:right w:val="none" w:sz="0" w:space="0" w:color="auto"/>
      </w:divBdr>
    </w:div>
    <w:div w:id="36976502">
      <w:marLeft w:val="0"/>
      <w:marRight w:val="0"/>
      <w:marTop w:val="0"/>
      <w:marBottom w:val="180"/>
      <w:divBdr>
        <w:top w:val="none" w:sz="0" w:space="0" w:color="auto"/>
        <w:left w:val="none" w:sz="0" w:space="0" w:color="auto"/>
        <w:bottom w:val="none" w:sz="0" w:space="0" w:color="auto"/>
        <w:right w:val="none" w:sz="0" w:space="0" w:color="auto"/>
      </w:divBdr>
    </w:div>
    <w:div w:id="37359188">
      <w:marLeft w:val="0"/>
      <w:marRight w:val="0"/>
      <w:marTop w:val="0"/>
      <w:marBottom w:val="0"/>
      <w:divBdr>
        <w:top w:val="none" w:sz="0" w:space="0" w:color="auto"/>
        <w:left w:val="none" w:sz="0" w:space="0" w:color="auto"/>
        <w:bottom w:val="none" w:sz="0" w:space="0" w:color="auto"/>
        <w:right w:val="none" w:sz="0" w:space="0" w:color="auto"/>
      </w:divBdr>
    </w:div>
    <w:div w:id="37366378">
      <w:marLeft w:val="0"/>
      <w:marRight w:val="0"/>
      <w:marTop w:val="0"/>
      <w:marBottom w:val="180"/>
      <w:divBdr>
        <w:top w:val="none" w:sz="0" w:space="0" w:color="auto"/>
        <w:left w:val="none" w:sz="0" w:space="0" w:color="auto"/>
        <w:bottom w:val="none" w:sz="0" w:space="0" w:color="auto"/>
        <w:right w:val="none" w:sz="0" w:space="0" w:color="auto"/>
      </w:divBdr>
    </w:div>
    <w:div w:id="39483302">
      <w:marLeft w:val="0"/>
      <w:marRight w:val="0"/>
      <w:marTop w:val="100"/>
      <w:marBottom w:val="0"/>
      <w:divBdr>
        <w:top w:val="none" w:sz="0" w:space="0" w:color="auto"/>
        <w:left w:val="none" w:sz="0" w:space="0" w:color="auto"/>
        <w:bottom w:val="none" w:sz="0" w:space="0" w:color="auto"/>
        <w:right w:val="none" w:sz="0" w:space="0" w:color="auto"/>
      </w:divBdr>
    </w:div>
    <w:div w:id="39524925">
      <w:marLeft w:val="0"/>
      <w:marRight w:val="0"/>
      <w:marTop w:val="0"/>
      <w:marBottom w:val="240"/>
      <w:divBdr>
        <w:top w:val="none" w:sz="0" w:space="0" w:color="auto"/>
        <w:left w:val="none" w:sz="0" w:space="0" w:color="auto"/>
        <w:bottom w:val="none" w:sz="0" w:space="0" w:color="auto"/>
        <w:right w:val="none" w:sz="0" w:space="0" w:color="auto"/>
      </w:divBdr>
    </w:div>
    <w:div w:id="40253459">
      <w:marLeft w:val="0"/>
      <w:marRight w:val="0"/>
      <w:marTop w:val="0"/>
      <w:marBottom w:val="240"/>
      <w:divBdr>
        <w:top w:val="none" w:sz="0" w:space="0" w:color="auto"/>
        <w:left w:val="none" w:sz="0" w:space="0" w:color="auto"/>
        <w:bottom w:val="none" w:sz="0" w:space="0" w:color="auto"/>
        <w:right w:val="none" w:sz="0" w:space="0" w:color="auto"/>
      </w:divBdr>
    </w:div>
    <w:div w:id="40597085">
      <w:marLeft w:val="0"/>
      <w:marRight w:val="0"/>
      <w:marTop w:val="0"/>
      <w:marBottom w:val="240"/>
      <w:divBdr>
        <w:top w:val="none" w:sz="0" w:space="0" w:color="auto"/>
        <w:left w:val="none" w:sz="0" w:space="0" w:color="auto"/>
        <w:bottom w:val="none" w:sz="0" w:space="0" w:color="auto"/>
        <w:right w:val="none" w:sz="0" w:space="0" w:color="auto"/>
      </w:divBdr>
    </w:div>
    <w:div w:id="40906821">
      <w:marLeft w:val="0"/>
      <w:marRight w:val="0"/>
      <w:marTop w:val="0"/>
      <w:marBottom w:val="180"/>
      <w:divBdr>
        <w:top w:val="none" w:sz="0" w:space="0" w:color="auto"/>
        <w:left w:val="none" w:sz="0" w:space="0" w:color="auto"/>
        <w:bottom w:val="none" w:sz="0" w:space="0" w:color="auto"/>
        <w:right w:val="none" w:sz="0" w:space="0" w:color="auto"/>
      </w:divBdr>
    </w:div>
    <w:div w:id="41367145">
      <w:marLeft w:val="0"/>
      <w:marRight w:val="0"/>
      <w:marTop w:val="0"/>
      <w:marBottom w:val="180"/>
      <w:divBdr>
        <w:top w:val="none" w:sz="0" w:space="0" w:color="auto"/>
        <w:left w:val="none" w:sz="0" w:space="0" w:color="auto"/>
        <w:bottom w:val="none" w:sz="0" w:space="0" w:color="auto"/>
        <w:right w:val="none" w:sz="0" w:space="0" w:color="auto"/>
      </w:divBdr>
    </w:div>
    <w:div w:id="41560908">
      <w:marLeft w:val="0"/>
      <w:marRight w:val="0"/>
      <w:marTop w:val="0"/>
      <w:marBottom w:val="180"/>
      <w:divBdr>
        <w:top w:val="none" w:sz="0" w:space="0" w:color="auto"/>
        <w:left w:val="none" w:sz="0" w:space="0" w:color="auto"/>
        <w:bottom w:val="none" w:sz="0" w:space="0" w:color="auto"/>
        <w:right w:val="none" w:sz="0" w:space="0" w:color="auto"/>
      </w:divBdr>
    </w:div>
    <w:div w:id="41757879">
      <w:marLeft w:val="0"/>
      <w:marRight w:val="0"/>
      <w:marTop w:val="0"/>
      <w:marBottom w:val="240"/>
      <w:divBdr>
        <w:top w:val="none" w:sz="0" w:space="0" w:color="auto"/>
        <w:left w:val="none" w:sz="0" w:space="0" w:color="auto"/>
        <w:bottom w:val="none" w:sz="0" w:space="0" w:color="auto"/>
        <w:right w:val="none" w:sz="0" w:space="0" w:color="auto"/>
      </w:divBdr>
    </w:div>
    <w:div w:id="42759668">
      <w:marLeft w:val="0"/>
      <w:marRight w:val="0"/>
      <w:marTop w:val="0"/>
      <w:marBottom w:val="0"/>
      <w:divBdr>
        <w:top w:val="none" w:sz="0" w:space="0" w:color="auto"/>
        <w:left w:val="none" w:sz="0" w:space="0" w:color="auto"/>
        <w:bottom w:val="none" w:sz="0" w:space="0" w:color="auto"/>
        <w:right w:val="none" w:sz="0" w:space="0" w:color="auto"/>
      </w:divBdr>
    </w:div>
    <w:div w:id="42868353">
      <w:marLeft w:val="0"/>
      <w:marRight w:val="0"/>
      <w:marTop w:val="0"/>
      <w:marBottom w:val="240"/>
      <w:divBdr>
        <w:top w:val="none" w:sz="0" w:space="0" w:color="auto"/>
        <w:left w:val="none" w:sz="0" w:space="0" w:color="auto"/>
        <w:bottom w:val="none" w:sz="0" w:space="0" w:color="auto"/>
        <w:right w:val="none" w:sz="0" w:space="0" w:color="auto"/>
      </w:divBdr>
    </w:div>
    <w:div w:id="43019309">
      <w:marLeft w:val="0"/>
      <w:marRight w:val="0"/>
      <w:marTop w:val="0"/>
      <w:marBottom w:val="180"/>
      <w:divBdr>
        <w:top w:val="none" w:sz="0" w:space="0" w:color="auto"/>
        <w:left w:val="none" w:sz="0" w:space="0" w:color="auto"/>
        <w:bottom w:val="none" w:sz="0" w:space="0" w:color="auto"/>
        <w:right w:val="none" w:sz="0" w:space="0" w:color="auto"/>
      </w:divBdr>
    </w:div>
    <w:div w:id="43256712">
      <w:marLeft w:val="0"/>
      <w:marRight w:val="0"/>
      <w:marTop w:val="0"/>
      <w:marBottom w:val="0"/>
      <w:divBdr>
        <w:top w:val="none" w:sz="0" w:space="0" w:color="auto"/>
        <w:left w:val="none" w:sz="0" w:space="0" w:color="auto"/>
        <w:bottom w:val="none" w:sz="0" w:space="0" w:color="auto"/>
        <w:right w:val="none" w:sz="0" w:space="0" w:color="auto"/>
      </w:divBdr>
      <w:divsChild>
        <w:div w:id="1030033452">
          <w:marLeft w:val="0"/>
          <w:marRight w:val="0"/>
          <w:marTop w:val="0"/>
          <w:marBottom w:val="0"/>
          <w:divBdr>
            <w:top w:val="none" w:sz="0" w:space="0" w:color="auto"/>
            <w:left w:val="none" w:sz="0" w:space="0" w:color="auto"/>
            <w:bottom w:val="none" w:sz="0" w:space="0" w:color="auto"/>
            <w:right w:val="none" w:sz="0" w:space="0" w:color="auto"/>
          </w:divBdr>
        </w:div>
      </w:divsChild>
    </w:div>
    <w:div w:id="44649306">
      <w:marLeft w:val="0"/>
      <w:marRight w:val="0"/>
      <w:marTop w:val="0"/>
      <w:marBottom w:val="0"/>
      <w:divBdr>
        <w:top w:val="none" w:sz="0" w:space="0" w:color="auto"/>
        <w:left w:val="none" w:sz="0" w:space="0" w:color="auto"/>
        <w:bottom w:val="none" w:sz="0" w:space="0" w:color="auto"/>
        <w:right w:val="none" w:sz="0" w:space="0" w:color="auto"/>
      </w:divBdr>
    </w:div>
    <w:div w:id="45182911">
      <w:marLeft w:val="0"/>
      <w:marRight w:val="0"/>
      <w:marTop w:val="0"/>
      <w:marBottom w:val="0"/>
      <w:divBdr>
        <w:top w:val="none" w:sz="0" w:space="0" w:color="auto"/>
        <w:left w:val="none" w:sz="0" w:space="0" w:color="auto"/>
        <w:bottom w:val="none" w:sz="0" w:space="0" w:color="auto"/>
        <w:right w:val="none" w:sz="0" w:space="0" w:color="auto"/>
      </w:divBdr>
    </w:div>
    <w:div w:id="45765684">
      <w:marLeft w:val="0"/>
      <w:marRight w:val="0"/>
      <w:marTop w:val="0"/>
      <w:marBottom w:val="240"/>
      <w:divBdr>
        <w:top w:val="none" w:sz="0" w:space="0" w:color="auto"/>
        <w:left w:val="none" w:sz="0" w:space="0" w:color="auto"/>
        <w:bottom w:val="none" w:sz="0" w:space="0" w:color="auto"/>
        <w:right w:val="none" w:sz="0" w:space="0" w:color="auto"/>
      </w:divBdr>
    </w:div>
    <w:div w:id="45878436">
      <w:marLeft w:val="0"/>
      <w:marRight w:val="0"/>
      <w:marTop w:val="0"/>
      <w:marBottom w:val="0"/>
      <w:divBdr>
        <w:top w:val="none" w:sz="0" w:space="0" w:color="auto"/>
        <w:left w:val="none" w:sz="0" w:space="0" w:color="auto"/>
        <w:bottom w:val="none" w:sz="0" w:space="0" w:color="auto"/>
        <w:right w:val="none" w:sz="0" w:space="0" w:color="auto"/>
      </w:divBdr>
    </w:div>
    <w:div w:id="46799924">
      <w:marLeft w:val="0"/>
      <w:marRight w:val="0"/>
      <w:marTop w:val="0"/>
      <w:marBottom w:val="0"/>
      <w:divBdr>
        <w:top w:val="none" w:sz="0" w:space="0" w:color="auto"/>
        <w:left w:val="none" w:sz="0" w:space="0" w:color="auto"/>
        <w:bottom w:val="none" w:sz="0" w:space="0" w:color="auto"/>
        <w:right w:val="none" w:sz="0" w:space="0" w:color="auto"/>
      </w:divBdr>
    </w:div>
    <w:div w:id="46876145">
      <w:marLeft w:val="0"/>
      <w:marRight w:val="0"/>
      <w:marTop w:val="0"/>
      <w:marBottom w:val="240"/>
      <w:divBdr>
        <w:top w:val="none" w:sz="0" w:space="0" w:color="auto"/>
        <w:left w:val="none" w:sz="0" w:space="0" w:color="auto"/>
        <w:bottom w:val="none" w:sz="0" w:space="0" w:color="auto"/>
        <w:right w:val="none" w:sz="0" w:space="0" w:color="auto"/>
      </w:divBdr>
    </w:div>
    <w:div w:id="46923903">
      <w:marLeft w:val="0"/>
      <w:marRight w:val="0"/>
      <w:marTop w:val="0"/>
      <w:marBottom w:val="240"/>
      <w:divBdr>
        <w:top w:val="none" w:sz="0" w:space="0" w:color="auto"/>
        <w:left w:val="none" w:sz="0" w:space="0" w:color="auto"/>
        <w:bottom w:val="none" w:sz="0" w:space="0" w:color="auto"/>
        <w:right w:val="none" w:sz="0" w:space="0" w:color="auto"/>
      </w:divBdr>
    </w:div>
    <w:div w:id="48457108">
      <w:marLeft w:val="0"/>
      <w:marRight w:val="0"/>
      <w:marTop w:val="0"/>
      <w:marBottom w:val="240"/>
      <w:divBdr>
        <w:top w:val="none" w:sz="0" w:space="0" w:color="auto"/>
        <w:left w:val="none" w:sz="0" w:space="0" w:color="auto"/>
        <w:bottom w:val="none" w:sz="0" w:space="0" w:color="auto"/>
        <w:right w:val="none" w:sz="0" w:space="0" w:color="auto"/>
      </w:divBdr>
    </w:div>
    <w:div w:id="48653412">
      <w:marLeft w:val="0"/>
      <w:marRight w:val="0"/>
      <w:marTop w:val="100"/>
      <w:marBottom w:val="180"/>
      <w:divBdr>
        <w:top w:val="none" w:sz="0" w:space="0" w:color="auto"/>
        <w:left w:val="none" w:sz="0" w:space="0" w:color="auto"/>
        <w:bottom w:val="none" w:sz="0" w:space="0" w:color="auto"/>
        <w:right w:val="none" w:sz="0" w:space="0" w:color="auto"/>
      </w:divBdr>
    </w:div>
    <w:div w:id="48844383">
      <w:marLeft w:val="0"/>
      <w:marRight w:val="0"/>
      <w:marTop w:val="60"/>
      <w:marBottom w:val="0"/>
      <w:divBdr>
        <w:top w:val="none" w:sz="0" w:space="0" w:color="auto"/>
        <w:left w:val="none" w:sz="0" w:space="0" w:color="auto"/>
        <w:bottom w:val="none" w:sz="0" w:space="0" w:color="auto"/>
        <w:right w:val="none" w:sz="0" w:space="0" w:color="auto"/>
      </w:divBdr>
    </w:div>
    <w:div w:id="49575125">
      <w:marLeft w:val="0"/>
      <w:marRight w:val="0"/>
      <w:marTop w:val="0"/>
      <w:marBottom w:val="240"/>
      <w:divBdr>
        <w:top w:val="none" w:sz="0" w:space="0" w:color="auto"/>
        <w:left w:val="none" w:sz="0" w:space="0" w:color="auto"/>
        <w:bottom w:val="none" w:sz="0" w:space="0" w:color="auto"/>
        <w:right w:val="none" w:sz="0" w:space="0" w:color="auto"/>
      </w:divBdr>
    </w:div>
    <w:div w:id="51390169">
      <w:marLeft w:val="0"/>
      <w:marRight w:val="0"/>
      <w:marTop w:val="0"/>
      <w:marBottom w:val="0"/>
      <w:divBdr>
        <w:top w:val="none" w:sz="0" w:space="0" w:color="auto"/>
        <w:left w:val="none" w:sz="0" w:space="0" w:color="auto"/>
        <w:bottom w:val="none" w:sz="0" w:space="0" w:color="auto"/>
        <w:right w:val="none" w:sz="0" w:space="0" w:color="auto"/>
      </w:divBdr>
    </w:div>
    <w:div w:id="51396046">
      <w:marLeft w:val="0"/>
      <w:marRight w:val="0"/>
      <w:marTop w:val="0"/>
      <w:marBottom w:val="240"/>
      <w:divBdr>
        <w:top w:val="none" w:sz="0" w:space="0" w:color="auto"/>
        <w:left w:val="none" w:sz="0" w:space="0" w:color="auto"/>
        <w:bottom w:val="none" w:sz="0" w:space="0" w:color="auto"/>
        <w:right w:val="none" w:sz="0" w:space="0" w:color="auto"/>
      </w:divBdr>
    </w:div>
    <w:div w:id="51655265">
      <w:marLeft w:val="0"/>
      <w:marRight w:val="0"/>
      <w:marTop w:val="0"/>
      <w:marBottom w:val="0"/>
      <w:divBdr>
        <w:top w:val="none" w:sz="0" w:space="0" w:color="auto"/>
        <w:left w:val="none" w:sz="0" w:space="0" w:color="auto"/>
        <w:bottom w:val="none" w:sz="0" w:space="0" w:color="auto"/>
        <w:right w:val="none" w:sz="0" w:space="0" w:color="auto"/>
      </w:divBdr>
      <w:divsChild>
        <w:div w:id="1583372357">
          <w:marLeft w:val="0"/>
          <w:marRight w:val="0"/>
          <w:marTop w:val="0"/>
          <w:marBottom w:val="0"/>
          <w:divBdr>
            <w:top w:val="none" w:sz="0" w:space="0" w:color="auto"/>
            <w:left w:val="none" w:sz="0" w:space="0" w:color="auto"/>
            <w:bottom w:val="none" w:sz="0" w:space="0" w:color="auto"/>
            <w:right w:val="none" w:sz="0" w:space="0" w:color="auto"/>
          </w:divBdr>
        </w:div>
      </w:divsChild>
    </w:div>
    <w:div w:id="51925663">
      <w:marLeft w:val="0"/>
      <w:marRight w:val="0"/>
      <w:marTop w:val="0"/>
      <w:marBottom w:val="240"/>
      <w:divBdr>
        <w:top w:val="none" w:sz="0" w:space="0" w:color="auto"/>
        <w:left w:val="none" w:sz="0" w:space="0" w:color="auto"/>
        <w:bottom w:val="none" w:sz="0" w:space="0" w:color="auto"/>
        <w:right w:val="none" w:sz="0" w:space="0" w:color="auto"/>
      </w:divBdr>
    </w:div>
    <w:div w:id="54210687">
      <w:marLeft w:val="0"/>
      <w:marRight w:val="0"/>
      <w:marTop w:val="0"/>
      <w:marBottom w:val="180"/>
      <w:divBdr>
        <w:top w:val="none" w:sz="0" w:space="0" w:color="auto"/>
        <w:left w:val="none" w:sz="0" w:space="0" w:color="auto"/>
        <w:bottom w:val="none" w:sz="0" w:space="0" w:color="auto"/>
        <w:right w:val="none" w:sz="0" w:space="0" w:color="auto"/>
      </w:divBdr>
    </w:div>
    <w:div w:id="55586912">
      <w:marLeft w:val="0"/>
      <w:marRight w:val="0"/>
      <w:marTop w:val="180"/>
      <w:marBottom w:val="180"/>
      <w:divBdr>
        <w:top w:val="none" w:sz="0" w:space="0" w:color="auto"/>
        <w:left w:val="none" w:sz="0" w:space="0" w:color="auto"/>
        <w:bottom w:val="none" w:sz="0" w:space="0" w:color="auto"/>
        <w:right w:val="none" w:sz="0" w:space="0" w:color="auto"/>
      </w:divBdr>
    </w:div>
    <w:div w:id="55904409">
      <w:marLeft w:val="0"/>
      <w:marRight w:val="0"/>
      <w:marTop w:val="120"/>
      <w:marBottom w:val="120"/>
      <w:divBdr>
        <w:top w:val="none" w:sz="0" w:space="0" w:color="auto"/>
        <w:left w:val="none" w:sz="0" w:space="0" w:color="auto"/>
        <w:bottom w:val="none" w:sz="0" w:space="0" w:color="auto"/>
        <w:right w:val="none" w:sz="0" w:space="0" w:color="auto"/>
      </w:divBdr>
    </w:div>
    <w:div w:id="55933813">
      <w:marLeft w:val="0"/>
      <w:marRight w:val="0"/>
      <w:marTop w:val="120"/>
      <w:marBottom w:val="240"/>
      <w:divBdr>
        <w:top w:val="none" w:sz="0" w:space="0" w:color="auto"/>
        <w:left w:val="none" w:sz="0" w:space="0" w:color="auto"/>
        <w:bottom w:val="none" w:sz="0" w:space="0" w:color="auto"/>
        <w:right w:val="none" w:sz="0" w:space="0" w:color="auto"/>
      </w:divBdr>
    </w:div>
    <w:div w:id="55981524">
      <w:marLeft w:val="0"/>
      <w:marRight w:val="0"/>
      <w:marTop w:val="0"/>
      <w:marBottom w:val="180"/>
      <w:divBdr>
        <w:top w:val="none" w:sz="0" w:space="0" w:color="auto"/>
        <w:left w:val="none" w:sz="0" w:space="0" w:color="auto"/>
        <w:bottom w:val="none" w:sz="0" w:space="0" w:color="auto"/>
        <w:right w:val="none" w:sz="0" w:space="0" w:color="auto"/>
      </w:divBdr>
    </w:div>
    <w:div w:id="57094402">
      <w:marLeft w:val="0"/>
      <w:marRight w:val="0"/>
      <w:marTop w:val="0"/>
      <w:marBottom w:val="240"/>
      <w:divBdr>
        <w:top w:val="none" w:sz="0" w:space="0" w:color="auto"/>
        <w:left w:val="none" w:sz="0" w:space="0" w:color="auto"/>
        <w:bottom w:val="none" w:sz="0" w:space="0" w:color="auto"/>
        <w:right w:val="none" w:sz="0" w:space="0" w:color="auto"/>
      </w:divBdr>
    </w:div>
    <w:div w:id="57100408">
      <w:marLeft w:val="0"/>
      <w:marRight w:val="0"/>
      <w:marTop w:val="0"/>
      <w:marBottom w:val="180"/>
      <w:divBdr>
        <w:top w:val="none" w:sz="0" w:space="0" w:color="auto"/>
        <w:left w:val="none" w:sz="0" w:space="0" w:color="auto"/>
        <w:bottom w:val="none" w:sz="0" w:space="0" w:color="auto"/>
        <w:right w:val="none" w:sz="0" w:space="0" w:color="auto"/>
      </w:divBdr>
    </w:div>
    <w:div w:id="57242401">
      <w:marLeft w:val="0"/>
      <w:marRight w:val="0"/>
      <w:marTop w:val="0"/>
      <w:marBottom w:val="240"/>
      <w:divBdr>
        <w:top w:val="none" w:sz="0" w:space="0" w:color="auto"/>
        <w:left w:val="none" w:sz="0" w:space="0" w:color="auto"/>
        <w:bottom w:val="none" w:sz="0" w:space="0" w:color="auto"/>
        <w:right w:val="none" w:sz="0" w:space="0" w:color="auto"/>
      </w:divBdr>
    </w:div>
    <w:div w:id="57363492">
      <w:marLeft w:val="0"/>
      <w:marRight w:val="0"/>
      <w:marTop w:val="0"/>
      <w:marBottom w:val="0"/>
      <w:divBdr>
        <w:top w:val="none" w:sz="0" w:space="0" w:color="auto"/>
        <w:left w:val="none" w:sz="0" w:space="0" w:color="auto"/>
        <w:bottom w:val="none" w:sz="0" w:space="0" w:color="auto"/>
        <w:right w:val="none" w:sz="0" w:space="0" w:color="auto"/>
      </w:divBdr>
      <w:divsChild>
        <w:div w:id="1357192801">
          <w:marLeft w:val="0"/>
          <w:marRight w:val="0"/>
          <w:marTop w:val="0"/>
          <w:marBottom w:val="0"/>
          <w:divBdr>
            <w:top w:val="none" w:sz="0" w:space="0" w:color="auto"/>
            <w:left w:val="none" w:sz="0" w:space="0" w:color="auto"/>
            <w:bottom w:val="none" w:sz="0" w:space="0" w:color="auto"/>
            <w:right w:val="none" w:sz="0" w:space="0" w:color="auto"/>
          </w:divBdr>
        </w:div>
      </w:divsChild>
    </w:div>
    <w:div w:id="58401374">
      <w:marLeft w:val="0"/>
      <w:marRight w:val="0"/>
      <w:marTop w:val="0"/>
      <w:marBottom w:val="240"/>
      <w:divBdr>
        <w:top w:val="none" w:sz="0" w:space="0" w:color="auto"/>
        <w:left w:val="none" w:sz="0" w:space="0" w:color="auto"/>
        <w:bottom w:val="none" w:sz="0" w:space="0" w:color="auto"/>
        <w:right w:val="none" w:sz="0" w:space="0" w:color="auto"/>
      </w:divBdr>
    </w:div>
    <w:div w:id="58752113">
      <w:marLeft w:val="0"/>
      <w:marRight w:val="0"/>
      <w:marTop w:val="0"/>
      <w:marBottom w:val="0"/>
      <w:divBdr>
        <w:top w:val="none" w:sz="0" w:space="0" w:color="auto"/>
        <w:left w:val="none" w:sz="0" w:space="0" w:color="auto"/>
        <w:bottom w:val="none" w:sz="0" w:space="0" w:color="auto"/>
        <w:right w:val="none" w:sz="0" w:space="0" w:color="auto"/>
      </w:divBdr>
      <w:divsChild>
        <w:div w:id="1304577646">
          <w:marLeft w:val="0"/>
          <w:marRight w:val="0"/>
          <w:marTop w:val="0"/>
          <w:marBottom w:val="0"/>
          <w:divBdr>
            <w:top w:val="none" w:sz="0" w:space="0" w:color="auto"/>
            <w:left w:val="none" w:sz="0" w:space="0" w:color="auto"/>
            <w:bottom w:val="none" w:sz="0" w:space="0" w:color="auto"/>
            <w:right w:val="none" w:sz="0" w:space="0" w:color="auto"/>
          </w:divBdr>
        </w:div>
      </w:divsChild>
    </w:div>
    <w:div w:id="59251903">
      <w:marLeft w:val="0"/>
      <w:marRight w:val="0"/>
      <w:marTop w:val="180"/>
      <w:marBottom w:val="180"/>
      <w:divBdr>
        <w:top w:val="none" w:sz="0" w:space="0" w:color="auto"/>
        <w:left w:val="none" w:sz="0" w:space="0" w:color="auto"/>
        <w:bottom w:val="none" w:sz="0" w:space="0" w:color="auto"/>
        <w:right w:val="none" w:sz="0" w:space="0" w:color="auto"/>
      </w:divBdr>
    </w:div>
    <w:div w:id="61611324">
      <w:marLeft w:val="0"/>
      <w:marRight w:val="0"/>
      <w:marTop w:val="0"/>
      <w:marBottom w:val="0"/>
      <w:divBdr>
        <w:top w:val="none" w:sz="0" w:space="0" w:color="auto"/>
        <w:left w:val="none" w:sz="0" w:space="0" w:color="auto"/>
        <w:bottom w:val="none" w:sz="0" w:space="0" w:color="auto"/>
        <w:right w:val="none" w:sz="0" w:space="0" w:color="auto"/>
      </w:divBdr>
    </w:div>
    <w:div w:id="62799488">
      <w:marLeft w:val="0"/>
      <w:marRight w:val="0"/>
      <w:marTop w:val="0"/>
      <w:marBottom w:val="180"/>
      <w:divBdr>
        <w:top w:val="none" w:sz="0" w:space="0" w:color="auto"/>
        <w:left w:val="none" w:sz="0" w:space="0" w:color="auto"/>
        <w:bottom w:val="none" w:sz="0" w:space="0" w:color="auto"/>
        <w:right w:val="none" w:sz="0" w:space="0" w:color="auto"/>
      </w:divBdr>
    </w:div>
    <w:div w:id="63069052">
      <w:marLeft w:val="0"/>
      <w:marRight w:val="0"/>
      <w:marTop w:val="180"/>
      <w:marBottom w:val="180"/>
      <w:divBdr>
        <w:top w:val="none" w:sz="0" w:space="0" w:color="auto"/>
        <w:left w:val="none" w:sz="0" w:space="0" w:color="auto"/>
        <w:bottom w:val="none" w:sz="0" w:space="0" w:color="auto"/>
        <w:right w:val="none" w:sz="0" w:space="0" w:color="auto"/>
      </w:divBdr>
    </w:div>
    <w:div w:id="64227416">
      <w:marLeft w:val="0"/>
      <w:marRight w:val="0"/>
      <w:marTop w:val="0"/>
      <w:marBottom w:val="0"/>
      <w:divBdr>
        <w:top w:val="none" w:sz="0" w:space="0" w:color="auto"/>
        <w:left w:val="none" w:sz="0" w:space="0" w:color="auto"/>
        <w:bottom w:val="none" w:sz="0" w:space="0" w:color="auto"/>
        <w:right w:val="none" w:sz="0" w:space="0" w:color="auto"/>
      </w:divBdr>
    </w:div>
    <w:div w:id="64380781">
      <w:marLeft w:val="0"/>
      <w:marRight w:val="0"/>
      <w:marTop w:val="0"/>
      <w:marBottom w:val="240"/>
      <w:divBdr>
        <w:top w:val="none" w:sz="0" w:space="0" w:color="auto"/>
        <w:left w:val="none" w:sz="0" w:space="0" w:color="auto"/>
        <w:bottom w:val="none" w:sz="0" w:space="0" w:color="auto"/>
        <w:right w:val="none" w:sz="0" w:space="0" w:color="auto"/>
      </w:divBdr>
    </w:div>
    <w:div w:id="65422491">
      <w:marLeft w:val="0"/>
      <w:marRight w:val="0"/>
      <w:marTop w:val="0"/>
      <w:marBottom w:val="0"/>
      <w:divBdr>
        <w:top w:val="none" w:sz="0" w:space="0" w:color="auto"/>
        <w:left w:val="none" w:sz="0" w:space="0" w:color="auto"/>
        <w:bottom w:val="none" w:sz="0" w:space="0" w:color="auto"/>
        <w:right w:val="none" w:sz="0" w:space="0" w:color="auto"/>
      </w:divBdr>
    </w:div>
    <w:div w:id="65956320">
      <w:marLeft w:val="0"/>
      <w:marRight w:val="0"/>
      <w:marTop w:val="0"/>
      <w:marBottom w:val="180"/>
      <w:divBdr>
        <w:top w:val="none" w:sz="0" w:space="0" w:color="auto"/>
        <w:left w:val="none" w:sz="0" w:space="0" w:color="auto"/>
        <w:bottom w:val="none" w:sz="0" w:space="0" w:color="auto"/>
        <w:right w:val="none" w:sz="0" w:space="0" w:color="auto"/>
      </w:divBdr>
    </w:div>
    <w:div w:id="66150714">
      <w:marLeft w:val="0"/>
      <w:marRight w:val="0"/>
      <w:marTop w:val="0"/>
      <w:marBottom w:val="180"/>
      <w:divBdr>
        <w:top w:val="none" w:sz="0" w:space="0" w:color="auto"/>
        <w:left w:val="none" w:sz="0" w:space="0" w:color="auto"/>
        <w:bottom w:val="none" w:sz="0" w:space="0" w:color="auto"/>
        <w:right w:val="none" w:sz="0" w:space="0" w:color="auto"/>
      </w:divBdr>
    </w:div>
    <w:div w:id="68819917">
      <w:marLeft w:val="0"/>
      <w:marRight w:val="0"/>
      <w:marTop w:val="180"/>
      <w:marBottom w:val="180"/>
      <w:divBdr>
        <w:top w:val="none" w:sz="0" w:space="0" w:color="auto"/>
        <w:left w:val="none" w:sz="0" w:space="0" w:color="auto"/>
        <w:bottom w:val="none" w:sz="0" w:space="0" w:color="auto"/>
        <w:right w:val="none" w:sz="0" w:space="0" w:color="auto"/>
      </w:divBdr>
    </w:div>
    <w:div w:id="69550014">
      <w:marLeft w:val="0"/>
      <w:marRight w:val="0"/>
      <w:marTop w:val="0"/>
      <w:marBottom w:val="0"/>
      <w:divBdr>
        <w:top w:val="none" w:sz="0" w:space="0" w:color="auto"/>
        <w:left w:val="none" w:sz="0" w:space="0" w:color="auto"/>
        <w:bottom w:val="none" w:sz="0" w:space="0" w:color="auto"/>
        <w:right w:val="none" w:sz="0" w:space="0" w:color="auto"/>
      </w:divBdr>
    </w:div>
    <w:div w:id="70322072">
      <w:marLeft w:val="0"/>
      <w:marRight w:val="0"/>
      <w:marTop w:val="0"/>
      <w:marBottom w:val="0"/>
      <w:divBdr>
        <w:top w:val="none" w:sz="0" w:space="0" w:color="auto"/>
        <w:left w:val="none" w:sz="0" w:space="0" w:color="auto"/>
        <w:bottom w:val="none" w:sz="0" w:space="0" w:color="auto"/>
        <w:right w:val="none" w:sz="0" w:space="0" w:color="auto"/>
      </w:divBdr>
    </w:div>
    <w:div w:id="70591963">
      <w:marLeft w:val="0"/>
      <w:marRight w:val="0"/>
      <w:marTop w:val="0"/>
      <w:marBottom w:val="240"/>
      <w:divBdr>
        <w:top w:val="none" w:sz="0" w:space="0" w:color="auto"/>
        <w:left w:val="none" w:sz="0" w:space="0" w:color="auto"/>
        <w:bottom w:val="none" w:sz="0" w:space="0" w:color="auto"/>
        <w:right w:val="none" w:sz="0" w:space="0" w:color="auto"/>
      </w:divBdr>
    </w:div>
    <w:div w:id="70851574">
      <w:marLeft w:val="0"/>
      <w:marRight w:val="0"/>
      <w:marTop w:val="0"/>
      <w:marBottom w:val="180"/>
      <w:divBdr>
        <w:top w:val="none" w:sz="0" w:space="0" w:color="auto"/>
        <w:left w:val="none" w:sz="0" w:space="0" w:color="auto"/>
        <w:bottom w:val="none" w:sz="0" w:space="0" w:color="auto"/>
        <w:right w:val="none" w:sz="0" w:space="0" w:color="auto"/>
      </w:divBdr>
    </w:div>
    <w:div w:id="71123545">
      <w:marLeft w:val="0"/>
      <w:marRight w:val="0"/>
      <w:marTop w:val="0"/>
      <w:marBottom w:val="180"/>
      <w:divBdr>
        <w:top w:val="none" w:sz="0" w:space="0" w:color="auto"/>
        <w:left w:val="none" w:sz="0" w:space="0" w:color="auto"/>
        <w:bottom w:val="none" w:sz="0" w:space="0" w:color="auto"/>
        <w:right w:val="none" w:sz="0" w:space="0" w:color="auto"/>
      </w:divBdr>
    </w:div>
    <w:div w:id="71396015">
      <w:marLeft w:val="0"/>
      <w:marRight w:val="0"/>
      <w:marTop w:val="0"/>
      <w:marBottom w:val="180"/>
      <w:divBdr>
        <w:top w:val="none" w:sz="0" w:space="0" w:color="auto"/>
        <w:left w:val="none" w:sz="0" w:space="0" w:color="auto"/>
        <w:bottom w:val="none" w:sz="0" w:space="0" w:color="auto"/>
        <w:right w:val="none" w:sz="0" w:space="0" w:color="auto"/>
      </w:divBdr>
    </w:div>
    <w:div w:id="72557536">
      <w:marLeft w:val="0"/>
      <w:marRight w:val="0"/>
      <w:marTop w:val="180"/>
      <w:marBottom w:val="180"/>
      <w:divBdr>
        <w:top w:val="none" w:sz="0" w:space="0" w:color="auto"/>
        <w:left w:val="none" w:sz="0" w:space="0" w:color="auto"/>
        <w:bottom w:val="none" w:sz="0" w:space="0" w:color="auto"/>
        <w:right w:val="none" w:sz="0" w:space="0" w:color="auto"/>
      </w:divBdr>
    </w:div>
    <w:div w:id="72631365">
      <w:marLeft w:val="0"/>
      <w:marRight w:val="0"/>
      <w:marTop w:val="0"/>
      <w:marBottom w:val="240"/>
      <w:divBdr>
        <w:top w:val="none" w:sz="0" w:space="0" w:color="auto"/>
        <w:left w:val="none" w:sz="0" w:space="0" w:color="auto"/>
        <w:bottom w:val="none" w:sz="0" w:space="0" w:color="auto"/>
        <w:right w:val="none" w:sz="0" w:space="0" w:color="auto"/>
      </w:divBdr>
    </w:div>
    <w:div w:id="72968923">
      <w:marLeft w:val="0"/>
      <w:marRight w:val="0"/>
      <w:marTop w:val="0"/>
      <w:marBottom w:val="0"/>
      <w:divBdr>
        <w:top w:val="none" w:sz="0" w:space="0" w:color="auto"/>
        <w:left w:val="none" w:sz="0" w:space="0" w:color="auto"/>
        <w:bottom w:val="none" w:sz="0" w:space="0" w:color="auto"/>
        <w:right w:val="none" w:sz="0" w:space="0" w:color="auto"/>
      </w:divBdr>
    </w:div>
    <w:div w:id="72972157">
      <w:marLeft w:val="0"/>
      <w:marRight w:val="0"/>
      <w:marTop w:val="0"/>
      <w:marBottom w:val="180"/>
      <w:divBdr>
        <w:top w:val="none" w:sz="0" w:space="0" w:color="auto"/>
        <w:left w:val="none" w:sz="0" w:space="0" w:color="auto"/>
        <w:bottom w:val="none" w:sz="0" w:space="0" w:color="auto"/>
        <w:right w:val="none" w:sz="0" w:space="0" w:color="auto"/>
      </w:divBdr>
    </w:div>
    <w:div w:id="73162298">
      <w:marLeft w:val="0"/>
      <w:marRight w:val="0"/>
      <w:marTop w:val="0"/>
      <w:marBottom w:val="0"/>
      <w:divBdr>
        <w:top w:val="none" w:sz="0" w:space="0" w:color="auto"/>
        <w:left w:val="none" w:sz="0" w:space="0" w:color="auto"/>
        <w:bottom w:val="none" w:sz="0" w:space="0" w:color="auto"/>
        <w:right w:val="none" w:sz="0" w:space="0" w:color="auto"/>
      </w:divBdr>
    </w:div>
    <w:div w:id="74471910">
      <w:marLeft w:val="0"/>
      <w:marRight w:val="0"/>
      <w:marTop w:val="0"/>
      <w:marBottom w:val="240"/>
      <w:divBdr>
        <w:top w:val="none" w:sz="0" w:space="0" w:color="auto"/>
        <w:left w:val="none" w:sz="0" w:space="0" w:color="auto"/>
        <w:bottom w:val="none" w:sz="0" w:space="0" w:color="auto"/>
        <w:right w:val="none" w:sz="0" w:space="0" w:color="auto"/>
      </w:divBdr>
    </w:div>
    <w:div w:id="74590755">
      <w:marLeft w:val="0"/>
      <w:marRight w:val="0"/>
      <w:marTop w:val="120"/>
      <w:marBottom w:val="120"/>
      <w:divBdr>
        <w:top w:val="none" w:sz="0" w:space="0" w:color="auto"/>
        <w:left w:val="none" w:sz="0" w:space="0" w:color="auto"/>
        <w:bottom w:val="none" w:sz="0" w:space="0" w:color="auto"/>
        <w:right w:val="none" w:sz="0" w:space="0" w:color="auto"/>
      </w:divBdr>
    </w:div>
    <w:div w:id="74866920">
      <w:marLeft w:val="0"/>
      <w:marRight w:val="0"/>
      <w:marTop w:val="0"/>
      <w:marBottom w:val="240"/>
      <w:divBdr>
        <w:top w:val="none" w:sz="0" w:space="0" w:color="auto"/>
        <w:left w:val="none" w:sz="0" w:space="0" w:color="auto"/>
        <w:bottom w:val="none" w:sz="0" w:space="0" w:color="auto"/>
        <w:right w:val="none" w:sz="0" w:space="0" w:color="auto"/>
      </w:divBdr>
      <w:divsChild>
        <w:div w:id="2032604676">
          <w:marLeft w:val="0"/>
          <w:marRight w:val="0"/>
          <w:marTop w:val="0"/>
          <w:marBottom w:val="0"/>
          <w:divBdr>
            <w:top w:val="none" w:sz="0" w:space="0" w:color="auto"/>
            <w:left w:val="none" w:sz="0" w:space="0" w:color="auto"/>
            <w:bottom w:val="none" w:sz="0" w:space="0" w:color="auto"/>
            <w:right w:val="none" w:sz="0" w:space="0" w:color="auto"/>
          </w:divBdr>
        </w:div>
        <w:div w:id="447168146">
          <w:marLeft w:val="0"/>
          <w:marRight w:val="0"/>
          <w:marTop w:val="0"/>
          <w:marBottom w:val="0"/>
          <w:divBdr>
            <w:top w:val="none" w:sz="0" w:space="0" w:color="auto"/>
            <w:left w:val="none" w:sz="0" w:space="0" w:color="auto"/>
            <w:bottom w:val="none" w:sz="0" w:space="0" w:color="auto"/>
            <w:right w:val="none" w:sz="0" w:space="0" w:color="auto"/>
          </w:divBdr>
        </w:div>
      </w:divsChild>
    </w:div>
    <w:div w:id="75133265">
      <w:marLeft w:val="0"/>
      <w:marRight w:val="0"/>
      <w:marTop w:val="0"/>
      <w:marBottom w:val="180"/>
      <w:divBdr>
        <w:top w:val="none" w:sz="0" w:space="0" w:color="auto"/>
        <w:left w:val="none" w:sz="0" w:space="0" w:color="auto"/>
        <w:bottom w:val="none" w:sz="0" w:space="0" w:color="auto"/>
        <w:right w:val="none" w:sz="0" w:space="0" w:color="auto"/>
      </w:divBdr>
    </w:div>
    <w:div w:id="75520730">
      <w:marLeft w:val="0"/>
      <w:marRight w:val="0"/>
      <w:marTop w:val="0"/>
      <w:marBottom w:val="240"/>
      <w:divBdr>
        <w:top w:val="none" w:sz="0" w:space="0" w:color="auto"/>
        <w:left w:val="none" w:sz="0" w:space="0" w:color="auto"/>
        <w:bottom w:val="none" w:sz="0" w:space="0" w:color="auto"/>
        <w:right w:val="none" w:sz="0" w:space="0" w:color="auto"/>
      </w:divBdr>
    </w:div>
    <w:div w:id="75787662">
      <w:marLeft w:val="0"/>
      <w:marRight w:val="0"/>
      <w:marTop w:val="0"/>
      <w:marBottom w:val="180"/>
      <w:divBdr>
        <w:top w:val="none" w:sz="0" w:space="0" w:color="auto"/>
        <w:left w:val="none" w:sz="0" w:space="0" w:color="auto"/>
        <w:bottom w:val="none" w:sz="0" w:space="0" w:color="auto"/>
        <w:right w:val="none" w:sz="0" w:space="0" w:color="auto"/>
      </w:divBdr>
    </w:div>
    <w:div w:id="75908336">
      <w:marLeft w:val="0"/>
      <w:marRight w:val="0"/>
      <w:marTop w:val="0"/>
      <w:marBottom w:val="240"/>
      <w:divBdr>
        <w:top w:val="none" w:sz="0" w:space="0" w:color="auto"/>
        <w:left w:val="none" w:sz="0" w:space="0" w:color="auto"/>
        <w:bottom w:val="none" w:sz="0" w:space="0" w:color="auto"/>
        <w:right w:val="none" w:sz="0" w:space="0" w:color="auto"/>
      </w:divBdr>
    </w:div>
    <w:div w:id="76291831">
      <w:marLeft w:val="0"/>
      <w:marRight w:val="0"/>
      <w:marTop w:val="0"/>
      <w:marBottom w:val="180"/>
      <w:divBdr>
        <w:top w:val="none" w:sz="0" w:space="0" w:color="auto"/>
        <w:left w:val="none" w:sz="0" w:space="0" w:color="auto"/>
        <w:bottom w:val="none" w:sz="0" w:space="0" w:color="auto"/>
        <w:right w:val="none" w:sz="0" w:space="0" w:color="auto"/>
      </w:divBdr>
    </w:div>
    <w:div w:id="76827974">
      <w:marLeft w:val="0"/>
      <w:marRight w:val="0"/>
      <w:marTop w:val="180"/>
      <w:marBottom w:val="180"/>
      <w:divBdr>
        <w:top w:val="none" w:sz="0" w:space="0" w:color="auto"/>
        <w:left w:val="none" w:sz="0" w:space="0" w:color="auto"/>
        <w:bottom w:val="none" w:sz="0" w:space="0" w:color="auto"/>
        <w:right w:val="none" w:sz="0" w:space="0" w:color="auto"/>
      </w:divBdr>
    </w:div>
    <w:div w:id="78063008">
      <w:marLeft w:val="0"/>
      <w:marRight w:val="0"/>
      <w:marTop w:val="120"/>
      <w:marBottom w:val="120"/>
      <w:divBdr>
        <w:top w:val="none" w:sz="0" w:space="0" w:color="auto"/>
        <w:left w:val="none" w:sz="0" w:space="0" w:color="auto"/>
        <w:bottom w:val="none" w:sz="0" w:space="0" w:color="auto"/>
        <w:right w:val="none" w:sz="0" w:space="0" w:color="auto"/>
      </w:divBdr>
    </w:div>
    <w:div w:id="78987610">
      <w:marLeft w:val="0"/>
      <w:marRight w:val="0"/>
      <w:marTop w:val="0"/>
      <w:marBottom w:val="240"/>
      <w:divBdr>
        <w:top w:val="none" w:sz="0" w:space="0" w:color="auto"/>
        <w:left w:val="none" w:sz="0" w:space="0" w:color="auto"/>
        <w:bottom w:val="none" w:sz="0" w:space="0" w:color="auto"/>
        <w:right w:val="none" w:sz="0" w:space="0" w:color="auto"/>
      </w:divBdr>
    </w:div>
    <w:div w:id="80763681">
      <w:marLeft w:val="0"/>
      <w:marRight w:val="0"/>
      <w:marTop w:val="0"/>
      <w:marBottom w:val="0"/>
      <w:divBdr>
        <w:top w:val="none" w:sz="0" w:space="0" w:color="auto"/>
        <w:left w:val="none" w:sz="0" w:space="0" w:color="auto"/>
        <w:bottom w:val="none" w:sz="0" w:space="0" w:color="auto"/>
        <w:right w:val="none" w:sz="0" w:space="0" w:color="auto"/>
      </w:divBdr>
    </w:div>
    <w:div w:id="80879789">
      <w:marLeft w:val="0"/>
      <w:marRight w:val="0"/>
      <w:marTop w:val="0"/>
      <w:marBottom w:val="0"/>
      <w:divBdr>
        <w:top w:val="none" w:sz="0" w:space="0" w:color="auto"/>
        <w:left w:val="none" w:sz="0" w:space="0" w:color="auto"/>
        <w:bottom w:val="none" w:sz="0" w:space="0" w:color="auto"/>
        <w:right w:val="none" w:sz="0" w:space="0" w:color="auto"/>
      </w:divBdr>
    </w:div>
    <w:div w:id="81489110">
      <w:marLeft w:val="0"/>
      <w:marRight w:val="0"/>
      <w:marTop w:val="0"/>
      <w:marBottom w:val="0"/>
      <w:divBdr>
        <w:top w:val="none" w:sz="0" w:space="0" w:color="auto"/>
        <w:left w:val="none" w:sz="0" w:space="0" w:color="auto"/>
        <w:bottom w:val="none" w:sz="0" w:space="0" w:color="auto"/>
        <w:right w:val="none" w:sz="0" w:space="0" w:color="auto"/>
      </w:divBdr>
      <w:divsChild>
        <w:div w:id="71435851">
          <w:marLeft w:val="0"/>
          <w:marRight w:val="0"/>
          <w:marTop w:val="0"/>
          <w:marBottom w:val="0"/>
          <w:divBdr>
            <w:top w:val="none" w:sz="0" w:space="0" w:color="auto"/>
            <w:left w:val="none" w:sz="0" w:space="0" w:color="auto"/>
            <w:bottom w:val="none" w:sz="0" w:space="0" w:color="auto"/>
            <w:right w:val="none" w:sz="0" w:space="0" w:color="auto"/>
          </w:divBdr>
        </w:div>
      </w:divsChild>
    </w:div>
    <w:div w:id="81536898">
      <w:marLeft w:val="0"/>
      <w:marRight w:val="0"/>
      <w:marTop w:val="0"/>
      <w:marBottom w:val="0"/>
      <w:divBdr>
        <w:top w:val="none" w:sz="0" w:space="0" w:color="auto"/>
        <w:left w:val="none" w:sz="0" w:space="0" w:color="auto"/>
        <w:bottom w:val="none" w:sz="0" w:space="0" w:color="auto"/>
        <w:right w:val="none" w:sz="0" w:space="0" w:color="auto"/>
      </w:divBdr>
    </w:div>
    <w:div w:id="81800511">
      <w:marLeft w:val="0"/>
      <w:marRight w:val="0"/>
      <w:marTop w:val="0"/>
      <w:marBottom w:val="0"/>
      <w:divBdr>
        <w:top w:val="none" w:sz="0" w:space="0" w:color="auto"/>
        <w:left w:val="none" w:sz="0" w:space="0" w:color="auto"/>
        <w:bottom w:val="none" w:sz="0" w:space="0" w:color="auto"/>
        <w:right w:val="none" w:sz="0" w:space="0" w:color="auto"/>
      </w:divBdr>
    </w:div>
    <w:div w:id="82993473">
      <w:marLeft w:val="0"/>
      <w:marRight w:val="0"/>
      <w:marTop w:val="0"/>
      <w:marBottom w:val="240"/>
      <w:divBdr>
        <w:top w:val="none" w:sz="0" w:space="0" w:color="auto"/>
        <w:left w:val="none" w:sz="0" w:space="0" w:color="auto"/>
        <w:bottom w:val="none" w:sz="0" w:space="0" w:color="auto"/>
        <w:right w:val="none" w:sz="0" w:space="0" w:color="auto"/>
      </w:divBdr>
    </w:div>
    <w:div w:id="83380348">
      <w:marLeft w:val="0"/>
      <w:marRight w:val="0"/>
      <w:marTop w:val="0"/>
      <w:marBottom w:val="0"/>
      <w:divBdr>
        <w:top w:val="none" w:sz="0" w:space="0" w:color="auto"/>
        <w:left w:val="none" w:sz="0" w:space="0" w:color="auto"/>
        <w:bottom w:val="none" w:sz="0" w:space="0" w:color="auto"/>
        <w:right w:val="none" w:sz="0" w:space="0" w:color="auto"/>
      </w:divBdr>
    </w:div>
    <w:div w:id="83846694">
      <w:marLeft w:val="0"/>
      <w:marRight w:val="0"/>
      <w:marTop w:val="180"/>
      <w:marBottom w:val="240"/>
      <w:divBdr>
        <w:top w:val="none" w:sz="0" w:space="0" w:color="auto"/>
        <w:left w:val="none" w:sz="0" w:space="0" w:color="auto"/>
        <w:bottom w:val="none" w:sz="0" w:space="0" w:color="auto"/>
        <w:right w:val="none" w:sz="0" w:space="0" w:color="auto"/>
      </w:divBdr>
    </w:div>
    <w:div w:id="84739464">
      <w:marLeft w:val="0"/>
      <w:marRight w:val="0"/>
      <w:marTop w:val="0"/>
      <w:marBottom w:val="0"/>
      <w:divBdr>
        <w:top w:val="none" w:sz="0" w:space="0" w:color="auto"/>
        <w:left w:val="none" w:sz="0" w:space="0" w:color="auto"/>
        <w:bottom w:val="none" w:sz="0" w:space="0" w:color="auto"/>
        <w:right w:val="none" w:sz="0" w:space="0" w:color="auto"/>
      </w:divBdr>
      <w:divsChild>
        <w:div w:id="594628036">
          <w:marLeft w:val="0"/>
          <w:marRight w:val="0"/>
          <w:marTop w:val="0"/>
          <w:marBottom w:val="0"/>
          <w:divBdr>
            <w:top w:val="none" w:sz="0" w:space="0" w:color="auto"/>
            <w:left w:val="none" w:sz="0" w:space="0" w:color="auto"/>
            <w:bottom w:val="none" w:sz="0" w:space="0" w:color="auto"/>
            <w:right w:val="none" w:sz="0" w:space="0" w:color="auto"/>
          </w:divBdr>
        </w:div>
      </w:divsChild>
    </w:div>
    <w:div w:id="85076029">
      <w:marLeft w:val="0"/>
      <w:marRight w:val="0"/>
      <w:marTop w:val="0"/>
      <w:marBottom w:val="240"/>
      <w:divBdr>
        <w:top w:val="none" w:sz="0" w:space="0" w:color="auto"/>
        <w:left w:val="none" w:sz="0" w:space="0" w:color="auto"/>
        <w:bottom w:val="none" w:sz="0" w:space="0" w:color="auto"/>
        <w:right w:val="none" w:sz="0" w:space="0" w:color="auto"/>
      </w:divBdr>
    </w:div>
    <w:div w:id="86583194">
      <w:marLeft w:val="0"/>
      <w:marRight w:val="0"/>
      <w:marTop w:val="120"/>
      <w:marBottom w:val="120"/>
      <w:divBdr>
        <w:top w:val="none" w:sz="0" w:space="0" w:color="auto"/>
        <w:left w:val="none" w:sz="0" w:space="0" w:color="auto"/>
        <w:bottom w:val="none" w:sz="0" w:space="0" w:color="auto"/>
        <w:right w:val="none" w:sz="0" w:space="0" w:color="auto"/>
      </w:divBdr>
    </w:div>
    <w:div w:id="86656194">
      <w:marLeft w:val="0"/>
      <w:marRight w:val="0"/>
      <w:marTop w:val="0"/>
      <w:marBottom w:val="180"/>
      <w:divBdr>
        <w:top w:val="none" w:sz="0" w:space="0" w:color="auto"/>
        <w:left w:val="none" w:sz="0" w:space="0" w:color="auto"/>
        <w:bottom w:val="none" w:sz="0" w:space="0" w:color="auto"/>
        <w:right w:val="none" w:sz="0" w:space="0" w:color="auto"/>
      </w:divBdr>
    </w:div>
    <w:div w:id="87581310">
      <w:marLeft w:val="0"/>
      <w:marRight w:val="0"/>
      <w:marTop w:val="100"/>
      <w:marBottom w:val="0"/>
      <w:divBdr>
        <w:top w:val="none" w:sz="0" w:space="0" w:color="auto"/>
        <w:left w:val="none" w:sz="0" w:space="0" w:color="auto"/>
        <w:bottom w:val="none" w:sz="0" w:space="0" w:color="auto"/>
        <w:right w:val="none" w:sz="0" w:space="0" w:color="auto"/>
      </w:divBdr>
      <w:divsChild>
        <w:div w:id="2096240539">
          <w:marLeft w:val="0"/>
          <w:marRight w:val="0"/>
          <w:marTop w:val="0"/>
          <w:marBottom w:val="0"/>
          <w:divBdr>
            <w:top w:val="none" w:sz="0" w:space="0" w:color="auto"/>
            <w:left w:val="none" w:sz="0" w:space="0" w:color="auto"/>
            <w:bottom w:val="none" w:sz="0" w:space="0" w:color="auto"/>
            <w:right w:val="none" w:sz="0" w:space="0" w:color="auto"/>
          </w:divBdr>
        </w:div>
      </w:divsChild>
    </w:div>
    <w:div w:id="88165646">
      <w:marLeft w:val="0"/>
      <w:marRight w:val="0"/>
      <w:marTop w:val="0"/>
      <w:marBottom w:val="0"/>
      <w:divBdr>
        <w:top w:val="none" w:sz="0" w:space="0" w:color="auto"/>
        <w:left w:val="none" w:sz="0" w:space="0" w:color="auto"/>
        <w:bottom w:val="none" w:sz="0" w:space="0" w:color="auto"/>
        <w:right w:val="none" w:sz="0" w:space="0" w:color="auto"/>
      </w:divBdr>
      <w:divsChild>
        <w:div w:id="514149071">
          <w:marLeft w:val="0"/>
          <w:marRight w:val="0"/>
          <w:marTop w:val="0"/>
          <w:marBottom w:val="0"/>
          <w:divBdr>
            <w:top w:val="none" w:sz="0" w:space="0" w:color="auto"/>
            <w:left w:val="none" w:sz="0" w:space="0" w:color="auto"/>
            <w:bottom w:val="none" w:sz="0" w:space="0" w:color="auto"/>
            <w:right w:val="none" w:sz="0" w:space="0" w:color="auto"/>
          </w:divBdr>
        </w:div>
      </w:divsChild>
    </w:div>
    <w:div w:id="89743753">
      <w:marLeft w:val="0"/>
      <w:marRight w:val="0"/>
      <w:marTop w:val="0"/>
      <w:marBottom w:val="0"/>
      <w:divBdr>
        <w:top w:val="none" w:sz="0" w:space="0" w:color="auto"/>
        <w:left w:val="none" w:sz="0" w:space="0" w:color="auto"/>
        <w:bottom w:val="none" w:sz="0" w:space="0" w:color="auto"/>
        <w:right w:val="none" w:sz="0" w:space="0" w:color="auto"/>
      </w:divBdr>
    </w:div>
    <w:div w:id="89858015">
      <w:marLeft w:val="0"/>
      <w:marRight w:val="0"/>
      <w:marTop w:val="0"/>
      <w:marBottom w:val="180"/>
      <w:divBdr>
        <w:top w:val="none" w:sz="0" w:space="0" w:color="auto"/>
        <w:left w:val="none" w:sz="0" w:space="0" w:color="auto"/>
        <w:bottom w:val="none" w:sz="0" w:space="0" w:color="auto"/>
        <w:right w:val="none" w:sz="0" w:space="0" w:color="auto"/>
      </w:divBdr>
    </w:div>
    <w:div w:id="90663592">
      <w:marLeft w:val="0"/>
      <w:marRight w:val="0"/>
      <w:marTop w:val="100"/>
      <w:marBottom w:val="0"/>
      <w:divBdr>
        <w:top w:val="none" w:sz="0" w:space="0" w:color="auto"/>
        <w:left w:val="none" w:sz="0" w:space="0" w:color="auto"/>
        <w:bottom w:val="none" w:sz="0" w:space="0" w:color="auto"/>
        <w:right w:val="none" w:sz="0" w:space="0" w:color="auto"/>
      </w:divBdr>
    </w:div>
    <w:div w:id="90707990">
      <w:marLeft w:val="0"/>
      <w:marRight w:val="0"/>
      <w:marTop w:val="180"/>
      <w:marBottom w:val="180"/>
      <w:divBdr>
        <w:top w:val="none" w:sz="0" w:space="0" w:color="auto"/>
        <w:left w:val="none" w:sz="0" w:space="0" w:color="auto"/>
        <w:bottom w:val="none" w:sz="0" w:space="0" w:color="auto"/>
        <w:right w:val="none" w:sz="0" w:space="0" w:color="auto"/>
      </w:divBdr>
    </w:div>
    <w:div w:id="90929982">
      <w:marLeft w:val="0"/>
      <w:marRight w:val="0"/>
      <w:marTop w:val="0"/>
      <w:marBottom w:val="180"/>
      <w:divBdr>
        <w:top w:val="none" w:sz="0" w:space="0" w:color="auto"/>
        <w:left w:val="none" w:sz="0" w:space="0" w:color="auto"/>
        <w:bottom w:val="none" w:sz="0" w:space="0" w:color="auto"/>
        <w:right w:val="none" w:sz="0" w:space="0" w:color="auto"/>
      </w:divBdr>
    </w:div>
    <w:div w:id="92014288">
      <w:marLeft w:val="0"/>
      <w:marRight w:val="0"/>
      <w:marTop w:val="0"/>
      <w:marBottom w:val="180"/>
      <w:divBdr>
        <w:top w:val="none" w:sz="0" w:space="0" w:color="auto"/>
        <w:left w:val="none" w:sz="0" w:space="0" w:color="auto"/>
        <w:bottom w:val="none" w:sz="0" w:space="0" w:color="auto"/>
        <w:right w:val="none" w:sz="0" w:space="0" w:color="auto"/>
      </w:divBdr>
    </w:div>
    <w:div w:id="92214760">
      <w:marLeft w:val="0"/>
      <w:marRight w:val="0"/>
      <w:marTop w:val="0"/>
      <w:marBottom w:val="180"/>
      <w:divBdr>
        <w:top w:val="none" w:sz="0" w:space="0" w:color="auto"/>
        <w:left w:val="none" w:sz="0" w:space="0" w:color="auto"/>
        <w:bottom w:val="none" w:sz="0" w:space="0" w:color="auto"/>
        <w:right w:val="none" w:sz="0" w:space="0" w:color="auto"/>
      </w:divBdr>
    </w:div>
    <w:div w:id="92864867">
      <w:marLeft w:val="0"/>
      <w:marRight w:val="0"/>
      <w:marTop w:val="100"/>
      <w:marBottom w:val="180"/>
      <w:divBdr>
        <w:top w:val="none" w:sz="0" w:space="0" w:color="auto"/>
        <w:left w:val="none" w:sz="0" w:space="0" w:color="auto"/>
        <w:bottom w:val="none" w:sz="0" w:space="0" w:color="auto"/>
        <w:right w:val="none" w:sz="0" w:space="0" w:color="auto"/>
      </w:divBdr>
    </w:div>
    <w:div w:id="93521713">
      <w:marLeft w:val="0"/>
      <w:marRight w:val="0"/>
      <w:marTop w:val="0"/>
      <w:marBottom w:val="240"/>
      <w:divBdr>
        <w:top w:val="none" w:sz="0" w:space="0" w:color="auto"/>
        <w:left w:val="none" w:sz="0" w:space="0" w:color="auto"/>
        <w:bottom w:val="none" w:sz="0" w:space="0" w:color="auto"/>
        <w:right w:val="none" w:sz="0" w:space="0" w:color="auto"/>
      </w:divBdr>
    </w:div>
    <w:div w:id="94136102">
      <w:marLeft w:val="0"/>
      <w:marRight w:val="0"/>
      <w:marTop w:val="0"/>
      <w:marBottom w:val="0"/>
      <w:divBdr>
        <w:top w:val="none" w:sz="0" w:space="0" w:color="auto"/>
        <w:left w:val="none" w:sz="0" w:space="0" w:color="auto"/>
        <w:bottom w:val="none" w:sz="0" w:space="0" w:color="auto"/>
        <w:right w:val="none" w:sz="0" w:space="0" w:color="auto"/>
      </w:divBdr>
      <w:divsChild>
        <w:div w:id="1452481505">
          <w:marLeft w:val="0"/>
          <w:marRight w:val="0"/>
          <w:marTop w:val="0"/>
          <w:marBottom w:val="0"/>
          <w:divBdr>
            <w:top w:val="none" w:sz="0" w:space="0" w:color="auto"/>
            <w:left w:val="none" w:sz="0" w:space="0" w:color="auto"/>
            <w:bottom w:val="none" w:sz="0" w:space="0" w:color="auto"/>
            <w:right w:val="none" w:sz="0" w:space="0" w:color="auto"/>
          </w:divBdr>
        </w:div>
      </w:divsChild>
    </w:div>
    <w:div w:id="94325899">
      <w:marLeft w:val="0"/>
      <w:marRight w:val="0"/>
      <w:marTop w:val="180"/>
      <w:marBottom w:val="180"/>
      <w:divBdr>
        <w:top w:val="none" w:sz="0" w:space="0" w:color="auto"/>
        <w:left w:val="none" w:sz="0" w:space="0" w:color="auto"/>
        <w:bottom w:val="none" w:sz="0" w:space="0" w:color="auto"/>
        <w:right w:val="none" w:sz="0" w:space="0" w:color="auto"/>
      </w:divBdr>
    </w:div>
    <w:div w:id="94978417">
      <w:marLeft w:val="0"/>
      <w:marRight w:val="0"/>
      <w:marTop w:val="0"/>
      <w:marBottom w:val="240"/>
      <w:divBdr>
        <w:top w:val="none" w:sz="0" w:space="0" w:color="auto"/>
        <w:left w:val="none" w:sz="0" w:space="0" w:color="auto"/>
        <w:bottom w:val="none" w:sz="0" w:space="0" w:color="auto"/>
        <w:right w:val="none" w:sz="0" w:space="0" w:color="auto"/>
      </w:divBdr>
    </w:div>
    <w:div w:id="95374323">
      <w:marLeft w:val="0"/>
      <w:marRight w:val="0"/>
      <w:marTop w:val="0"/>
      <w:marBottom w:val="240"/>
      <w:divBdr>
        <w:top w:val="none" w:sz="0" w:space="0" w:color="auto"/>
        <w:left w:val="none" w:sz="0" w:space="0" w:color="auto"/>
        <w:bottom w:val="none" w:sz="0" w:space="0" w:color="auto"/>
        <w:right w:val="none" w:sz="0" w:space="0" w:color="auto"/>
      </w:divBdr>
    </w:div>
    <w:div w:id="95831292">
      <w:marLeft w:val="0"/>
      <w:marRight w:val="0"/>
      <w:marTop w:val="120"/>
      <w:marBottom w:val="120"/>
      <w:divBdr>
        <w:top w:val="none" w:sz="0" w:space="0" w:color="auto"/>
        <w:left w:val="none" w:sz="0" w:space="0" w:color="auto"/>
        <w:bottom w:val="none" w:sz="0" w:space="0" w:color="auto"/>
        <w:right w:val="none" w:sz="0" w:space="0" w:color="auto"/>
      </w:divBdr>
    </w:div>
    <w:div w:id="96029694">
      <w:marLeft w:val="0"/>
      <w:marRight w:val="0"/>
      <w:marTop w:val="0"/>
      <w:marBottom w:val="0"/>
      <w:divBdr>
        <w:top w:val="none" w:sz="0" w:space="0" w:color="auto"/>
        <w:left w:val="none" w:sz="0" w:space="0" w:color="auto"/>
        <w:bottom w:val="none" w:sz="0" w:space="0" w:color="auto"/>
        <w:right w:val="none" w:sz="0" w:space="0" w:color="auto"/>
      </w:divBdr>
      <w:divsChild>
        <w:div w:id="1699087837">
          <w:marLeft w:val="0"/>
          <w:marRight w:val="0"/>
          <w:marTop w:val="0"/>
          <w:marBottom w:val="0"/>
          <w:divBdr>
            <w:top w:val="none" w:sz="0" w:space="0" w:color="auto"/>
            <w:left w:val="none" w:sz="0" w:space="0" w:color="auto"/>
            <w:bottom w:val="none" w:sz="0" w:space="0" w:color="auto"/>
            <w:right w:val="none" w:sz="0" w:space="0" w:color="auto"/>
          </w:divBdr>
        </w:div>
      </w:divsChild>
    </w:div>
    <w:div w:id="98139214">
      <w:marLeft w:val="0"/>
      <w:marRight w:val="0"/>
      <w:marTop w:val="0"/>
      <w:marBottom w:val="0"/>
      <w:divBdr>
        <w:top w:val="none" w:sz="0" w:space="0" w:color="auto"/>
        <w:left w:val="none" w:sz="0" w:space="0" w:color="auto"/>
        <w:bottom w:val="none" w:sz="0" w:space="0" w:color="auto"/>
        <w:right w:val="none" w:sz="0" w:space="0" w:color="auto"/>
      </w:divBdr>
    </w:div>
    <w:div w:id="98184582">
      <w:marLeft w:val="0"/>
      <w:marRight w:val="0"/>
      <w:marTop w:val="0"/>
      <w:marBottom w:val="0"/>
      <w:divBdr>
        <w:top w:val="none" w:sz="0" w:space="0" w:color="auto"/>
        <w:left w:val="none" w:sz="0" w:space="0" w:color="auto"/>
        <w:bottom w:val="none" w:sz="0" w:space="0" w:color="auto"/>
        <w:right w:val="none" w:sz="0" w:space="0" w:color="auto"/>
      </w:divBdr>
      <w:divsChild>
        <w:div w:id="835193303">
          <w:marLeft w:val="0"/>
          <w:marRight w:val="0"/>
          <w:marTop w:val="0"/>
          <w:marBottom w:val="0"/>
          <w:divBdr>
            <w:top w:val="none" w:sz="0" w:space="0" w:color="auto"/>
            <w:left w:val="none" w:sz="0" w:space="0" w:color="auto"/>
            <w:bottom w:val="none" w:sz="0" w:space="0" w:color="auto"/>
            <w:right w:val="none" w:sz="0" w:space="0" w:color="auto"/>
          </w:divBdr>
        </w:div>
      </w:divsChild>
    </w:div>
    <w:div w:id="98451713">
      <w:marLeft w:val="0"/>
      <w:marRight w:val="0"/>
      <w:marTop w:val="120"/>
      <w:marBottom w:val="120"/>
      <w:divBdr>
        <w:top w:val="none" w:sz="0" w:space="0" w:color="auto"/>
        <w:left w:val="none" w:sz="0" w:space="0" w:color="auto"/>
        <w:bottom w:val="none" w:sz="0" w:space="0" w:color="auto"/>
        <w:right w:val="none" w:sz="0" w:space="0" w:color="auto"/>
      </w:divBdr>
    </w:div>
    <w:div w:id="100497629">
      <w:marLeft w:val="0"/>
      <w:marRight w:val="0"/>
      <w:marTop w:val="0"/>
      <w:marBottom w:val="180"/>
      <w:divBdr>
        <w:top w:val="none" w:sz="0" w:space="0" w:color="auto"/>
        <w:left w:val="none" w:sz="0" w:space="0" w:color="auto"/>
        <w:bottom w:val="none" w:sz="0" w:space="0" w:color="auto"/>
        <w:right w:val="none" w:sz="0" w:space="0" w:color="auto"/>
      </w:divBdr>
    </w:div>
    <w:div w:id="100607225">
      <w:marLeft w:val="0"/>
      <w:marRight w:val="0"/>
      <w:marTop w:val="0"/>
      <w:marBottom w:val="0"/>
      <w:divBdr>
        <w:top w:val="none" w:sz="0" w:space="0" w:color="auto"/>
        <w:left w:val="none" w:sz="0" w:space="0" w:color="auto"/>
        <w:bottom w:val="none" w:sz="0" w:space="0" w:color="auto"/>
        <w:right w:val="none" w:sz="0" w:space="0" w:color="auto"/>
      </w:divBdr>
      <w:divsChild>
        <w:div w:id="1347637877">
          <w:marLeft w:val="0"/>
          <w:marRight w:val="0"/>
          <w:marTop w:val="0"/>
          <w:marBottom w:val="0"/>
          <w:divBdr>
            <w:top w:val="none" w:sz="0" w:space="0" w:color="auto"/>
            <w:left w:val="none" w:sz="0" w:space="0" w:color="auto"/>
            <w:bottom w:val="none" w:sz="0" w:space="0" w:color="auto"/>
            <w:right w:val="none" w:sz="0" w:space="0" w:color="auto"/>
          </w:divBdr>
        </w:div>
      </w:divsChild>
    </w:div>
    <w:div w:id="100610671">
      <w:marLeft w:val="0"/>
      <w:marRight w:val="0"/>
      <w:marTop w:val="0"/>
      <w:marBottom w:val="240"/>
      <w:divBdr>
        <w:top w:val="none" w:sz="0" w:space="0" w:color="auto"/>
        <w:left w:val="none" w:sz="0" w:space="0" w:color="auto"/>
        <w:bottom w:val="none" w:sz="0" w:space="0" w:color="auto"/>
        <w:right w:val="none" w:sz="0" w:space="0" w:color="auto"/>
      </w:divBdr>
    </w:div>
    <w:div w:id="101612195">
      <w:marLeft w:val="0"/>
      <w:marRight w:val="0"/>
      <w:marTop w:val="0"/>
      <w:marBottom w:val="60"/>
      <w:divBdr>
        <w:top w:val="none" w:sz="0" w:space="0" w:color="auto"/>
        <w:left w:val="none" w:sz="0" w:space="0" w:color="auto"/>
        <w:bottom w:val="none" w:sz="0" w:space="0" w:color="auto"/>
        <w:right w:val="none" w:sz="0" w:space="0" w:color="auto"/>
      </w:divBdr>
    </w:div>
    <w:div w:id="101651643">
      <w:marLeft w:val="0"/>
      <w:marRight w:val="0"/>
      <w:marTop w:val="180"/>
      <w:marBottom w:val="180"/>
      <w:divBdr>
        <w:top w:val="none" w:sz="0" w:space="0" w:color="auto"/>
        <w:left w:val="none" w:sz="0" w:space="0" w:color="auto"/>
        <w:bottom w:val="none" w:sz="0" w:space="0" w:color="auto"/>
        <w:right w:val="none" w:sz="0" w:space="0" w:color="auto"/>
      </w:divBdr>
    </w:div>
    <w:div w:id="102771729">
      <w:marLeft w:val="0"/>
      <w:marRight w:val="0"/>
      <w:marTop w:val="0"/>
      <w:marBottom w:val="240"/>
      <w:divBdr>
        <w:top w:val="none" w:sz="0" w:space="0" w:color="auto"/>
        <w:left w:val="none" w:sz="0" w:space="0" w:color="auto"/>
        <w:bottom w:val="none" w:sz="0" w:space="0" w:color="auto"/>
        <w:right w:val="none" w:sz="0" w:space="0" w:color="auto"/>
      </w:divBdr>
    </w:div>
    <w:div w:id="103118593">
      <w:marLeft w:val="0"/>
      <w:marRight w:val="0"/>
      <w:marTop w:val="0"/>
      <w:marBottom w:val="240"/>
      <w:divBdr>
        <w:top w:val="none" w:sz="0" w:space="0" w:color="auto"/>
        <w:left w:val="none" w:sz="0" w:space="0" w:color="auto"/>
        <w:bottom w:val="none" w:sz="0" w:space="0" w:color="auto"/>
        <w:right w:val="none" w:sz="0" w:space="0" w:color="auto"/>
      </w:divBdr>
    </w:div>
    <w:div w:id="103961856">
      <w:marLeft w:val="0"/>
      <w:marRight w:val="0"/>
      <w:marTop w:val="0"/>
      <w:marBottom w:val="180"/>
      <w:divBdr>
        <w:top w:val="none" w:sz="0" w:space="0" w:color="auto"/>
        <w:left w:val="none" w:sz="0" w:space="0" w:color="auto"/>
        <w:bottom w:val="none" w:sz="0" w:space="0" w:color="auto"/>
        <w:right w:val="none" w:sz="0" w:space="0" w:color="auto"/>
      </w:divBdr>
    </w:div>
    <w:div w:id="104277495">
      <w:marLeft w:val="0"/>
      <w:marRight w:val="0"/>
      <w:marTop w:val="120"/>
      <w:marBottom w:val="240"/>
      <w:divBdr>
        <w:top w:val="none" w:sz="0" w:space="0" w:color="auto"/>
        <w:left w:val="none" w:sz="0" w:space="0" w:color="auto"/>
        <w:bottom w:val="none" w:sz="0" w:space="0" w:color="auto"/>
        <w:right w:val="none" w:sz="0" w:space="0" w:color="auto"/>
      </w:divBdr>
    </w:div>
    <w:div w:id="105779446">
      <w:marLeft w:val="0"/>
      <w:marRight w:val="0"/>
      <w:marTop w:val="120"/>
      <w:marBottom w:val="120"/>
      <w:divBdr>
        <w:top w:val="none" w:sz="0" w:space="0" w:color="auto"/>
        <w:left w:val="none" w:sz="0" w:space="0" w:color="auto"/>
        <w:bottom w:val="none" w:sz="0" w:space="0" w:color="auto"/>
        <w:right w:val="none" w:sz="0" w:space="0" w:color="auto"/>
      </w:divBdr>
    </w:div>
    <w:div w:id="106511947">
      <w:marLeft w:val="0"/>
      <w:marRight w:val="0"/>
      <w:marTop w:val="0"/>
      <w:marBottom w:val="240"/>
      <w:divBdr>
        <w:top w:val="none" w:sz="0" w:space="0" w:color="auto"/>
        <w:left w:val="none" w:sz="0" w:space="0" w:color="auto"/>
        <w:bottom w:val="none" w:sz="0" w:space="0" w:color="auto"/>
        <w:right w:val="none" w:sz="0" w:space="0" w:color="auto"/>
      </w:divBdr>
    </w:div>
    <w:div w:id="107507560">
      <w:marLeft w:val="0"/>
      <w:marRight w:val="0"/>
      <w:marTop w:val="0"/>
      <w:marBottom w:val="0"/>
      <w:divBdr>
        <w:top w:val="none" w:sz="0" w:space="0" w:color="auto"/>
        <w:left w:val="none" w:sz="0" w:space="0" w:color="auto"/>
        <w:bottom w:val="none" w:sz="0" w:space="0" w:color="auto"/>
        <w:right w:val="none" w:sz="0" w:space="0" w:color="auto"/>
      </w:divBdr>
      <w:divsChild>
        <w:div w:id="943731088">
          <w:marLeft w:val="0"/>
          <w:marRight w:val="0"/>
          <w:marTop w:val="0"/>
          <w:marBottom w:val="0"/>
          <w:divBdr>
            <w:top w:val="none" w:sz="0" w:space="0" w:color="auto"/>
            <w:left w:val="none" w:sz="0" w:space="0" w:color="auto"/>
            <w:bottom w:val="none" w:sz="0" w:space="0" w:color="auto"/>
            <w:right w:val="none" w:sz="0" w:space="0" w:color="auto"/>
          </w:divBdr>
        </w:div>
      </w:divsChild>
    </w:div>
    <w:div w:id="108012278">
      <w:marLeft w:val="0"/>
      <w:marRight w:val="0"/>
      <w:marTop w:val="0"/>
      <w:marBottom w:val="240"/>
      <w:divBdr>
        <w:top w:val="none" w:sz="0" w:space="0" w:color="auto"/>
        <w:left w:val="none" w:sz="0" w:space="0" w:color="auto"/>
        <w:bottom w:val="none" w:sz="0" w:space="0" w:color="auto"/>
        <w:right w:val="none" w:sz="0" w:space="0" w:color="auto"/>
      </w:divBdr>
    </w:div>
    <w:div w:id="108403342">
      <w:marLeft w:val="0"/>
      <w:marRight w:val="0"/>
      <w:marTop w:val="0"/>
      <w:marBottom w:val="0"/>
      <w:divBdr>
        <w:top w:val="none" w:sz="0" w:space="0" w:color="auto"/>
        <w:left w:val="none" w:sz="0" w:space="0" w:color="auto"/>
        <w:bottom w:val="none" w:sz="0" w:space="0" w:color="auto"/>
        <w:right w:val="none" w:sz="0" w:space="0" w:color="auto"/>
      </w:divBdr>
    </w:div>
    <w:div w:id="110175203">
      <w:marLeft w:val="0"/>
      <w:marRight w:val="0"/>
      <w:marTop w:val="0"/>
      <w:marBottom w:val="240"/>
      <w:divBdr>
        <w:top w:val="none" w:sz="0" w:space="0" w:color="auto"/>
        <w:left w:val="none" w:sz="0" w:space="0" w:color="auto"/>
        <w:bottom w:val="none" w:sz="0" w:space="0" w:color="auto"/>
        <w:right w:val="none" w:sz="0" w:space="0" w:color="auto"/>
      </w:divBdr>
    </w:div>
    <w:div w:id="110519075">
      <w:marLeft w:val="0"/>
      <w:marRight w:val="0"/>
      <w:marTop w:val="120"/>
      <w:marBottom w:val="120"/>
      <w:divBdr>
        <w:top w:val="none" w:sz="0" w:space="0" w:color="auto"/>
        <w:left w:val="none" w:sz="0" w:space="0" w:color="auto"/>
        <w:bottom w:val="none" w:sz="0" w:space="0" w:color="auto"/>
        <w:right w:val="none" w:sz="0" w:space="0" w:color="auto"/>
      </w:divBdr>
    </w:div>
    <w:div w:id="111481715">
      <w:marLeft w:val="0"/>
      <w:marRight w:val="0"/>
      <w:marTop w:val="100"/>
      <w:marBottom w:val="180"/>
      <w:divBdr>
        <w:top w:val="none" w:sz="0" w:space="0" w:color="auto"/>
        <w:left w:val="none" w:sz="0" w:space="0" w:color="auto"/>
        <w:bottom w:val="none" w:sz="0" w:space="0" w:color="auto"/>
        <w:right w:val="none" w:sz="0" w:space="0" w:color="auto"/>
      </w:divBdr>
      <w:divsChild>
        <w:div w:id="75172638">
          <w:marLeft w:val="0"/>
          <w:marRight w:val="0"/>
          <w:marTop w:val="0"/>
          <w:marBottom w:val="0"/>
          <w:divBdr>
            <w:top w:val="none" w:sz="0" w:space="0" w:color="auto"/>
            <w:left w:val="none" w:sz="0" w:space="0" w:color="auto"/>
            <w:bottom w:val="none" w:sz="0" w:space="0" w:color="auto"/>
            <w:right w:val="none" w:sz="0" w:space="0" w:color="auto"/>
          </w:divBdr>
        </w:div>
        <w:div w:id="310214129">
          <w:marLeft w:val="0"/>
          <w:marRight w:val="0"/>
          <w:marTop w:val="100"/>
          <w:marBottom w:val="180"/>
          <w:divBdr>
            <w:top w:val="none" w:sz="0" w:space="0" w:color="auto"/>
            <w:left w:val="none" w:sz="0" w:space="0" w:color="auto"/>
            <w:bottom w:val="none" w:sz="0" w:space="0" w:color="auto"/>
            <w:right w:val="none" w:sz="0" w:space="0" w:color="auto"/>
          </w:divBdr>
        </w:div>
        <w:div w:id="777871503">
          <w:marLeft w:val="0"/>
          <w:marRight w:val="0"/>
          <w:marTop w:val="0"/>
          <w:marBottom w:val="0"/>
          <w:divBdr>
            <w:top w:val="none" w:sz="0" w:space="0" w:color="auto"/>
            <w:left w:val="none" w:sz="0" w:space="0" w:color="auto"/>
            <w:bottom w:val="none" w:sz="0" w:space="0" w:color="auto"/>
            <w:right w:val="none" w:sz="0" w:space="0" w:color="auto"/>
          </w:divBdr>
        </w:div>
        <w:div w:id="1992713631">
          <w:marLeft w:val="0"/>
          <w:marRight w:val="0"/>
          <w:marTop w:val="0"/>
          <w:marBottom w:val="0"/>
          <w:divBdr>
            <w:top w:val="none" w:sz="0" w:space="0" w:color="auto"/>
            <w:left w:val="none" w:sz="0" w:space="0" w:color="auto"/>
            <w:bottom w:val="none" w:sz="0" w:space="0" w:color="auto"/>
            <w:right w:val="none" w:sz="0" w:space="0" w:color="auto"/>
          </w:divBdr>
        </w:div>
        <w:div w:id="514467508">
          <w:marLeft w:val="0"/>
          <w:marRight w:val="0"/>
          <w:marTop w:val="0"/>
          <w:marBottom w:val="0"/>
          <w:divBdr>
            <w:top w:val="none" w:sz="0" w:space="0" w:color="auto"/>
            <w:left w:val="none" w:sz="0" w:space="0" w:color="auto"/>
            <w:bottom w:val="none" w:sz="0" w:space="0" w:color="auto"/>
            <w:right w:val="none" w:sz="0" w:space="0" w:color="auto"/>
          </w:divBdr>
        </w:div>
        <w:div w:id="1542551642">
          <w:marLeft w:val="0"/>
          <w:marRight w:val="0"/>
          <w:marTop w:val="0"/>
          <w:marBottom w:val="0"/>
          <w:divBdr>
            <w:top w:val="none" w:sz="0" w:space="0" w:color="auto"/>
            <w:left w:val="none" w:sz="0" w:space="0" w:color="auto"/>
            <w:bottom w:val="none" w:sz="0" w:space="0" w:color="auto"/>
            <w:right w:val="none" w:sz="0" w:space="0" w:color="auto"/>
          </w:divBdr>
        </w:div>
        <w:div w:id="785395895">
          <w:marLeft w:val="0"/>
          <w:marRight w:val="0"/>
          <w:marTop w:val="0"/>
          <w:marBottom w:val="0"/>
          <w:divBdr>
            <w:top w:val="none" w:sz="0" w:space="0" w:color="auto"/>
            <w:left w:val="none" w:sz="0" w:space="0" w:color="auto"/>
            <w:bottom w:val="none" w:sz="0" w:space="0" w:color="auto"/>
            <w:right w:val="none" w:sz="0" w:space="0" w:color="auto"/>
          </w:divBdr>
        </w:div>
        <w:div w:id="2025931992">
          <w:marLeft w:val="0"/>
          <w:marRight w:val="0"/>
          <w:marTop w:val="0"/>
          <w:marBottom w:val="0"/>
          <w:divBdr>
            <w:top w:val="none" w:sz="0" w:space="0" w:color="auto"/>
            <w:left w:val="none" w:sz="0" w:space="0" w:color="auto"/>
            <w:bottom w:val="none" w:sz="0" w:space="0" w:color="auto"/>
            <w:right w:val="none" w:sz="0" w:space="0" w:color="auto"/>
          </w:divBdr>
        </w:div>
        <w:div w:id="799766284">
          <w:marLeft w:val="0"/>
          <w:marRight w:val="0"/>
          <w:marTop w:val="0"/>
          <w:marBottom w:val="0"/>
          <w:divBdr>
            <w:top w:val="none" w:sz="0" w:space="0" w:color="auto"/>
            <w:left w:val="none" w:sz="0" w:space="0" w:color="auto"/>
            <w:bottom w:val="none" w:sz="0" w:space="0" w:color="auto"/>
            <w:right w:val="none" w:sz="0" w:space="0" w:color="auto"/>
          </w:divBdr>
        </w:div>
        <w:div w:id="883904427">
          <w:marLeft w:val="0"/>
          <w:marRight w:val="0"/>
          <w:marTop w:val="0"/>
          <w:marBottom w:val="0"/>
          <w:divBdr>
            <w:top w:val="none" w:sz="0" w:space="0" w:color="auto"/>
            <w:left w:val="none" w:sz="0" w:space="0" w:color="auto"/>
            <w:bottom w:val="none" w:sz="0" w:space="0" w:color="auto"/>
            <w:right w:val="none" w:sz="0" w:space="0" w:color="auto"/>
          </w:divBdr>
        </w:div>
        <w:div w:id="1925794501">
          <w:marLeft w:val="0"/>
          <w:marRight w:val="0"/>
          <w:marTop w:val="0"/>
          <w:marBottom w:val="0"/>
          <w:divBdr>
            <w:top w:val="none" w:sz="0" w:space="0" w:color="auto"/>
            <w:left w:val="none" w:sz="0" w:space="0" w:color="auto"/>
            <w:bottom w:val="none" w:sz="0" w:space="0" w:color="auto"/>
            <w:right w:val="none" w:sz="0" w:space="0" w:color="auto"/>
          </w:divBdr>
        </w:div>
        <w:div w:id="266738651">
          <w:marLeft w:val="0"/>
          <w:marRight w:val="0"/>
          <w:marTop w:val="0"/>
          <w:marBottom w:val="0"/>
          <w:divBdr>
            <w:top w:val="none" w:sz="0" w:space="0" w:color="auto"/>
            <w:left w:val="none" w:sz="0" w:space="0" w:color="auto"/>
            <w:bottom w:val="none" w:sz="0" w:space="0" w:color="auto"/>
            <w:right w:val="none" w:sz="0" w:space="0" w:color="auto"/>
          </w:divBdr>
        </w:div>
        <w:div w:id="824858446">
          <w:marLeft w:val="0"/>
          <w:marRight w:val="0"/>
          <w:marTop w:val="0"/>
          <w:marBottom w:val="0"/>
          <w:divBdr>
            <w:top w:val="none" w:sz="0" w:space="0" w:color="auto"/>
            <w:left w:val="none" w:sz="0" w:space="0" w:color="auto"/>
            <w:bottom w:val="none" w:sz="0" w:space="0" w:color="auto"/>
            <w:right w:val="none" w:sz="0" w:space="0" w:color="auto"/>
          </w:divBdr>
        </w:div>
        <w:div w:id="2074770616">
          <w:marLeft w:val="0"/>
          <w:marRight w:val="0"/>
          <w:marTop w:val="0"/>
          <w:marBottom w:val="0"/>
          <w:divBdr>
            <w:top w:val="none" w:sz="0" w:space="0" w:color="auto"/>
            <w:left w:val="none" w:sz="0" w:space="0" w:color="auto"/>
            <w:bottom w:val="none" w:sz="0" w:space="0" w:color="auto"/>
            <w:right w:val="none" w:sz="0" w:space="0" w:color="auto"/>
          </w:divBdr>
        </w:div>
        <w:div w:id="1329019932">
          <w:marLeft w:val="0"/>
          <w:marRight w:val="0"/>
          <w:marTop w:val="0"/>
          <w:marBottom w:val="0"/>
          <w:divBdr>
            <w:top w:val="none" w:sz="0" w:space="0" w:color="auto"/>
            <w:left w:val="none" w:sz="0" w:space="0" w:color="auto"/>
            <w:bottom w:val="none" w:sz="0" w:space="0" w:color="auto"/>
            <w:right w:val="none" w:sz="0" w:space="0" w:color="auto"/>
          </w:divBdr>
        </w:div>
        <w:div w:id="724068543">
          <w:marLeft w:val="0"/>
          <w:marRight w:val="0"/>
          <w:marTop w:val="0"/>
          <w:marBottom w:val="0"/>
          <w:divBdr>
            <w:top w:val="none" w:sz="0" w:space="0" w:color="auto"/>
            <w:left w:val="none" w:sz="0" w:space="0" w:color="auto"/>
            <w:bottom w:val="none" w:sz="0" w:space="0" w:color="auto"/>
            <w:right w:val="none" w:sz="0" w:space="0" w:color="auto"/>
          </w:divBdr>
        </w:div>
        <w:div w:id="57871444">
          <w:marLeft w:val="0"/>
          <w:marRight w:val="0"/>
          <w:marTop w:val="0"/>
          <w:marBottom w:val="0"/>
          <w:divBdr>
            <w:top w:val="none" w:sz="0" w:space="0" w:color="auto"/>
            <w:left w:val="none" w:sz="0" w:space="0" w:color="auto"/>
            <w:bottom w:val="none" w:sz="0" w:space="0" w:color="auto"/>
            <w:right w:val="none" w:sz="0" w:space="0" w:color="auto"/>
          </w:divBdr>
        </w:div>
        <w:div w:id="2106607808">
          <w:marLeft w:val="0"/>
          <w:marRight w:val="0"/>
          <w:marTop w:val="0"/>
          <w:marBottom w:val="0"/>
          <w:divBdr>
            <w:top w:val="none" w:sz="0" w:space="0" w:color="auto"/>
            <w:left w:val="none" w:sz="0" w:space="0" w:color="auto"/>
            <w:bottom w:val="none" w:sz="0" w:space="0" w:color="auto"/>
            <w:right w:val="none" w:sz="0" w:space="0" w:color="auto"/>
          </w:divBdr>
        </w:div>
        <w:div w:id="124281608">
          <w:marLeft w:val="0"/>
          <w:marRight w:val="0"/>
          <w:marTop w:val="0"/>
          <w:marBottom w:val="0"/>
          <w:divBdr>
            <w:top w:val="none" w:sz="0" w:space="0" w:color="auto"/>
            <w:left w:val="none" w:sz="0" w:space="0" w:color="auto"/>
            <w:bottom w:val="none" w:sz="0" w:space="0" w:color="auto"/>
            <w:right w:val="none" w:sz="0" w:space="0" w:color="auto"/>
          </w:divBdr>
        </w:div>
        <w:div w:id="1015036957">
          <w:marLeft w:val="0"/>
          <w:marRight w:val="0"/>
          <w:marTop w:val="0"/>
          <w:marBottom w:val="0"/>
          <w:divBdr>
            <w:top w:val="none" w:sz="0" w:space="0" w:color="auto"/>
            <w:left w:val="none" w:sz="0" w:space="0" w:color="auto"/>
            <w:bottom w:val="none" w:sz="0" w:space="0" w:color="auto"/>
            <w:right w:val="none" w:sz="0" w:space="0" w:color="auto"/>
          </w:divBdr>
        </w:div>
        <w:div w:id="1168255524">
          <w:marLeft w:val="0"/>
          <w:marRight w:val="0"/>
          <w:marTop w:val="0"/>
          <w:marBottom w:val="0"/>
          <w:divBdr>
            <w:top w:val="none" w:sz="0" w:space="0" w:color="auto"/>
            <w:left w:val="none" w:sz="0" w:space="0" w:color="auto"/>
            <w:bottom w:val="none" w:sz="0" w:space="0" w:color="auto"/>
            <w:right w:val="none" w:sz="0" w:space="0" w:color="auto"/>
          </w:divBdr>
        </w:div>
        <w:div w:id="811409590">
          <w:marLeft w:val="0"/>
          <w:marRight w:val="0"/>
          <w:marTop w:val="0"/>
          <w:marBottom w:val="0"/>
          <w:divBdr>
            <w:top w:val="none" w:sz="0" w:space="0" w:color="auto"/>
            <w:left w:val="none" w:sz="0" w:space="0" w:color="auto"/>
            <w:bottom w:val="none" w:sz="0" w:space="0" w:color="auto"/>
            <w:right w:val="none" w:sz="0" w:space="0" w:color="auto"/>
          </w:divBdr>
        </w:div>
        <w:div w:id="1996836160">
          <w:marLeft w:val="0"/>
          <w:marRight w:val="0"/>
          <w:marTop w:val="0"/>
          <w:marBottom w:val="0"/>
          <w:divBdr>
            <w:top w:val="none" w:sz="0" w:space="0" w:color="auto"/>
            <w:left w:val="none" w:sz="0" w:space="0" w:color="auto"/>
            <w:bottom w:val="none" w:sz="0" w:space="0" w:color="auto"/>
            <w:right w:val="none" w:sz="0" w:space="0" w:color="auto"/>
          </w:divBdr>
        </w:div>
        <w:div w:id="730928119">
          <w:marLeft w:val="0"/>
          <w:marRight w:val="0"/>
          <w:marTop w:val="0"/>
          <w:marBottom w:val="0"/>
          <w:divBdr>
            <w:top w:val="none" w:sz="0" w:space="0" w:color="auto"/>
            <w:left w:val="none" w:sz="0" w:space="0" w:color="auto"/>
            <w:bottom w:val="none" w:sz="0" w:space="0" w:color="auto"/>
            <w:right w:val="none" w:sz="0" w:space="0" w:color="auto"/>
          </w:divBdr>
        </w:div>
        <w:div w:id="1819566876">
          <w:marLeft w:val="0"/>
          <w:marRight w:val="0"/>
          <w:marTop w:val="0"/>
          <w:marBottom w:val="0"/>
          <w:divBdr>
            <w:top w:val="none" w:sz="0" w:space="0" w:color="auto"/>
            <w:left w:val="none" w:sz="0" w:space="0" w:color="auto"/>
            <w:bottom w:val="none" w:sz="0" w:space="0" w:color="auto"/>
            <w:right w:val="none" w:sz="0" w:space="0" w:color="auto"/>
          </w:divBdr>
        </w:div>
        <w:div w:id="1357271809">
          <w:marLeft w:val="0"/>
          <w:marRight w:val="0"/>
          <w:marTop w:val="0"/>
          <w:marBottom w:val="0"/>
          <w:divBdr>
            <w:top w:val="none" w:sz="0" w:space="0" w:color="auto"/>
            <w:left w:val="none" w:sz="0" w:space="0" w:color="auto"/>
            <w:bottom w:val="none" w:sz="0" w:space="0" w:color="auto"/>
            <w:right w:val="none" w:sz="0" w:space="0" w:color="auto"/>
          </w:divBdr>
        </w:div>
        <w:div w:id="2125340808">
          <w:marLeft w:val="0"/>
          <w:marRight w:val="0"/>
          <w:marTop w:val="0"/>
          <w:marBottom w:val="0"/>
          <w:divBdr>
            <w:top w:val="none" w:sz="0" w:space="0" w:color="auto"/>
            <w:left w:val="none" w:sz="0" w:space="0" w:color="auto"/>
            <w:bottom w:val="none" w:sz="0" w:space="0" w:color="auto"/>
            <w:right w:val="none" w:sz="0" w:space="0" w:color="auto"/>
          </w:divBdr>
        </w:div>
        <w:div w:id="604731690">
          <w:marLeft w:val="0"/>
          <w:marRight w:val="0"/>
          <w:marTop w:val="0"/>
          <w:marBottom w:val="0"/>
          <w:divBdr>
            <w:top w:val="none" w:sz="0" w:space="0" w:color="auto"/>
            <w:left w:val="none" w:sz="0" w:space="0" w:color="auto"/>
            <w:bottom w:val="none" w:sz="0" w:space="0" w:color="auto"/>
            <w:right w:val="none" w:sz="0" w:space="0" w:color="auto"/>
          </w:divBdr>
        </w:div>
        <w:div w:id="1921208938">
          <w:marLeft w:val="0"/>
          <w:marRight w:val="0"/>
          <w:marTop w:val="0"/>
          <w:marBottom w:val="0"/>
          <w:divBdr>
            <w:top w:val="none" w:sz="0" w:space="0" w:color="auto"/>
            <w:left w:val="none" w:sz="0" w:space="0" w:color="auto"/>
            <w:bottom w:val="none" w:sz="0" w:space="0" w:color="auto"/>
            <w:right w:val="none" w:sz="0" w:space="0" w:color="auto"/>
          </w:divBdr>
        </w:div>
        <w:div w:id="1510408462">
          <w:marLeft w:val="0"/>
          <w:marRight w:val="0"/>
          <w:marTop w:val="0"/>
          <w:marBottom w:val="0"/>
          <w:divBdr>
            <w:top w:val="none" w:sz="0" w:space="0" w:color="auto"/>
            <w:left w:val="none" w:sz="0" w:space="0" w:color="auto"/>
            <w:bottom w:val="none" w:sz="0" w:space="0" w:color="auto"/>
            <w:right w:val="none" w:sz="0" w:space="0" w:color="auto"/>
          </w:divBdr>
        </w:div>
        <w:div w:id="18313798">
          <w:marLeft w:val="0"/>
          <w:marRight w:val="0"/>
          <w:marTop w:val="0"/>
          <w:marBottom w:val="0"/>
          <w:divBdr>
            <w:top w:val="none" w:sz="0" w:space="0" w:color="auto"/>
            <w:left w:val="none" w:sz="0" w:space="0" w:color="auto"/>
            <w:bottom w:val="none" w:sz="0" w:space="0" w:color="auto"/>
            <w:right w:val="none" w:sz="0" w:space="0" w:color="auto"/>
          </w:divBdr>
        </w:div>
        <w:div w:id="458381979">
          <w:marLeft w:val="0"/>
          <w:marRight w:val="0"/>
          <w:marTop w:val="0"/>
          <w:marBottom w:val="0"/>
          <w:divBdr>
            <w:top w:val="none" w:sz="0" w:space="0" w:color="auto"/>
            <w:left w:val="none" w:sz="0" w:space="0" w:color="auto"/>
            <w:bottom w:val="none" w:sz="0" w:space="0" w:color="auto"/>
            <w:right w:val="none" w:sz="0" w:space="0" w:color="auto"/>
          </w:divBdr>
        </w:div>
        <w:div w:id="276181976">
          <w:marLeft w:val="0"/>
          <w:marRight w:val="0"/>
          <w:marTop w:val="0"/>
          <w:marBottom w:val="0"/>
          <w:divBdr>
            <w:top w:val="none" w:sz="0" w:space="0" w:color="auto"/>
            <w:left w:val="none" w:sz="0" w:space="0" w:color="auto"/>
            <w:bottom w:val="none" w:sz="0" w:space="0" w:color="auto"/>
            <w:right w:val="none" w:sz="0" w:space="0" w:color="auto"/>
          </w:divBdr>
        </w:div>
        <w:div w:id="1996762430">
          <w:marLeft w:val="0"/>
          <w:marRight w:val="0"/>
          <w:marTop w:val="0"/>
          <w:marBottom w:val="0"/>
          <w:divBdr>
            <w:top w:val="none" w:sz="0" w:space="0" w:color="auto"/>
            <w:left w:val="none" w:sz="0" w:space="0" w:color="auto"/>
            <w:bottom w:val="none" w:sz="0" w:space="0" w:color="auto"/>
            <w:right w:val="none" w:sz="0" w:space="0" w:color="auto"/>
          </w:divBdr>
        </w:div>
        <w:div w:id="925462111">
          <w:marLeft w:val="0"/>
          <w:marRight w:val="0"/>
          <w:marTop w:val="0"/>
          <w:marBottom w:val="0"/>
          <w:divBdr>
            <w:top w:val="none" w:sz="0" w:space="0" w:color="auto"/>
            <w:left w:val="none" w:sz="0" w:space="0" w:color="auto"/>
            <w:bottom w:val="none" w:sz="0" w:space="0" w:color="auto"/>
            <w:right w:val="none" w:sz="0" w:space="0" w:color="auto"/>
          </w:divBdr>
        </w:div>
        <w:div w:id="1615475996">
          <w:marLeft w:val="0"/>
          <w:marRight w:val="0"/>
          <w:marTop w:val="0"/>
          <w:marBottom w:val="0"/>
          <w:divBdr>
            <w:top w:val="none" w:sz="0" w:space="0" w:color="auto"/>
            <w:left w:val="none" w:sz="0" w:space="0" w:color="auto"/>
            <w:bottom w:val="none" w:sz="0" w:space="0" w:color="auto"/>
            <w:right w:val="none" w:sz="0" w:space="0" w:color="auto"/>
          </w:divBdr>
        </w:div>
        <w:div w:id="2134472392">
          <w:marLeft w:val="0"/>
          <w:marRight w:val="0"/>
          <w:marTop w:val="0"/>
          <w:marBottom w:val="0"/>
          <w:divBdr>
            <w:top w:val="none" w:sz="0" w:space="0" w:color="auto"/>
            <w:left w:val="none" w:sz="0" w:space="0" w:color="auto"/>
            <w:bottom w:val="none" w:sz="0" w:space="0" w:color="auto"/>
            <w:right w:val="none" w:sz="0" w:space="0" w:color="auto"/>
          </w:divBdr>
        </w:div>
        <w:div w:id="75054625">
          <w:marLeft w:val="0"/>
          <w:marRight w:val="0"/>
          <w:marTop w:val="0"/>
          <w:marBottom w:val="0"/>
          <w:divBdr>
            <w:top w:val="none" w:sz="0" w:space="0" w:color="auto"/>
            <w:left w:val="none" w:sz="0" w:space="0" w:color="auto"/>
            <w:bottom w:val="none" w:sz="0" w:space="0" w:color="auto"/>
            <w:right w:val="none" w:sz="0" w:space="0" w:color="auto"/>
          </w:divBdr>
        </w:div>
        <w:div w:id="378171618">
          <w:marLeft w:val="0"/>
          <w:marRight w:val="0"/>
          <w:marTop w:val="0"/>
          <w:marBottom w:val="0"/>
          <w:divBdr>
            <w:top w:val="none" w:sz="0" w:space="0" w:color="auto"/>
            <w:left w:val="none" w:sz="0" w:space="0" w:color="auto"/>
            <w:bottom w:val="none" w:sz="0" w:space="0" w:color="auto"/>
            <w:right w:val="none" w:sz="0" w:space="0" w:color="auto"/>
          </w:divBdr>
        </w:div>
        <w:div w:id="767651771">
          <w:marLeft w:val="0"/>
          <w:marRight w:val="0"/>
          <w:marTop w:val="0"/>
          <w:marBottom w:val="0"/>
          <w:divBdr>
            <w:top w:val="none" w:sz="0" w:space="0" w:color="auto"/>
            <w:left w:val="none" w:sz="0" w:space="0" w:color="auto"/>
            <w:bottom w:val="none" w:sz="0" w:space="0" w:color="auto"/>
            <w:right w:val="none" w:sz="0" w:space="0" w:color="auto"/>
          </w:divBdr>
        </w:div>
        <w:div w:id="1515443">
          <w:marLeft w:val="0"/>
          <w:marRight w:val="0"/>
          <w:marTop w:val="0"/>
          <w:marBottom w:val="0"/>
          <w:divBdr>
            <w:top w:val="none" w:sz="0" w:space="0" w:color="auto"/>
            <w:left w:val="none" w:sz="0" w:space="0" w:color="auto"/>
            <w:bottom w:val="none" w:sz="0" w:space="0" w:color="auto"/>
            <w:right w:val="none" w:sz="0" w:space="0" w:color="auto"/>
          </w:divBdr>
        </w:div>
        <w:div w:id="859391706">
          <w:marLeft w:val="0"/>
          <w:marRight w:val="0"/>
          <w:marTop w:val="0"/>
          <w:marBottom w:val="0"/>
          <w:divBdr>
            <w:top w:val="none" w:sz="0" w:space="0" w:color="auto"/>
            <w:left w:val="none" w:sz="0" w:space="0" w:color="auto"/>
            <w:bottom w:val="none" w:sz="0" w:space="0" w:color="auto"/>
            <w:right w:val="none" w:sz="0" w:space="0" w:color="auto"/>
          </w:divBdr>
        </w:div>
        <w:div w:id="1227687327">
          <w:marLeft w:val="0"/>
          <w:marRight w:val="0"/>
          <w:marTop w:val="0"/>
          <w:marBottom w:val="0"/>
          <w:divBdr>
            <w:top w:val="none" w:sz="0" w:space="0" w:color="auto"/>
            <w:left w:val="none" w:sz="0" w:space="0" w:color="auto"/>
            <w:bottom w:val="none" w:sz="0" w:space="0" w:color="auto"/>
            <w:right w:val="none" w:sz="0" w:space="0" w:color="auto"/>
          </w:divBdr>
        </w:div>
        <w:div w:id="806901656">
          <w:marLeft w:val="0"/>
          <w:marRight w:val="0"/>
          <w:marTop w:val="0"/>
          <w:marBottom w:val="0"/>
          <w:divBdr>
            <w:top w:val="none" w:sz="0" w:space="0" w:color="auto"/>
            <w:left w:val="none" w:sz="0" w:space="0" w:color="auto"/>
            <w:bottom w:val="none" w:sz="0" w:space="0" w:color="auto"/>
            <w:right w:val="none" w:sz="0" w:space="0" w:color="auto"/>
          </w:divBdr>
        </w:div>
        <w:div w:id="2141143267">
          <w:marLeft w:val="0"/>
          <w:marRight w:val="0"/>
          <w:marTop w:val="0"/>
          <w:marBottom w:val="0"/>
          <w:divBdr>
            <w:top w:val="none" w:sz="0" w:space="0" w:color="auto"/>
            <w:left w:val="none" w:sz="0" w:space="0" w:color="auto"/>
            <w:bottom w:val="none" w:sz="0" w:space="0" w:color="auto"/>
            <w:right w:val="none" w:sz="0" w:space="0" w:color="auto"/>
          </w:divBdr>
        </w:div>
        <w:div w:id="1326274843">
          <w:marLeft w:val="0"/>
          <w:marRight w:val="0"/>
          <w:marTop w:val="0"/>
          <w:marBottom w:val="0"/>
          <w:divBdr>
            <w:top w:val="none" w:sz="0" w:space="0" w:color="auto"/>
            <w:left w:val="none" w:sz="0" w:space="0" w:color="auto"/>
            <w:bottom w:val="none" w:sz="0" w:space="0" w:color="auto"/>
            <w:right w:val="none" w:sz="0" w:space="0" w:color="auto"/>
          </w:divBdr>
        </w:div>
        <w:div w:id="148324870">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681661732">
          <w:marLeft w:val="0"/>
          <w:marRight w:val="0"/>
          <w:marTop w:val="0"/>
          <w:marBottom w:val="0"/>
          <w:divBdr>
            <w:top w:val="none" w:sz="0" w:space="0" w:color="auto"/>
            <w:left w:val="none" w:sz="0" w:space="0" w:color="auto"/>
            <w:bottom w:val="none" w:sz="0" w:space="0" w:color="auto"/>
            <w:right w:val="none" w:sz="0" w:space="0" w:color="auto"/>
          </w:divBdr>
        </w:div>
        <w:div w:id="1256591208">
          <w:marLeft w:val="0"/>
          <w:marRight w:val="0"/>
          <w:marTop w:val="0"/>
          <w:marBottom w:val="0"/>
          <w:divBdr>
            <w:top w:val="none" w:sz="0" w:space="0" w:color="auto"/>
            <w:left w:val="none" w:sz="0" w:space="0" w:color="auto"/>
            <w:bottom w:val="none" w:sz="0" w:space="0" w:color="auto"/>
            <w:right w:val="none" w:sz="0" w:space="0" w:color="auto"/>
          </w:divBdr>
        </w:div>
        <w:div w:id="55708431">
          <w:marLeft w:val="0"/>
          <w:marRight w:val="0"/>
          <w:marTop w:val="0"/>
          <w:marBottom w:val="0"/>
          <w:divBdr>
            <w:top w:val="none" w:sz="0" w:space="0" w:color="auto"/>
            <w:left w:val="none" w:sz="0" w:space="0" w:color="auto"/>
            <w:bottom w:val="none" w:sz="0" w:space="0" w:color="auto"/>
            <w:right w:val="none" w:sz="0" w:space="0" w:color="auto"/>
          </w:divBdr>
        </w:div>
        <w:div w:id="1428891004">
          <w:marLeft w:val="0"/>
          <w:marRight w:val="0"/>
          <w:marTop w:val="0"/>
          <w:marBottom w:val="0"/>
          <w:divBdr>
            <w:top w:val="none" w:sz="0" w:space="0" w:color="auto"/>
            <w:left w:val="none" w:sz="0" w:space="0" w:color="auto"/>
            <w:bottom w:val="none" w:sz="0" w:space="0" w:color="auto"/>
            <w:right w:val="none" w:sz="0" w:space="0" w:color="auto"/>
          </w:divBdr>
        </w:div>
        <w:div w:id="278876411">
          <w:marLeft w:val="0"/>
          <w:marRight w:val="0"/>
          <w:marTop w:val="0"/>
          <w:marBottom w:val="0"/>
          <w:divBdr>
            <w:top w:val="none" w:sz="0" w:space="0" w:color="auto"/>
            <w:left w:val="none" w:sz="0" w:space="0" w:color="auto"/>
            <w:bottom w:val="none" w:sz="0" w:space="0" w:color="auto"/>
            <w:right w:val="none" w:sz="0" w:space="0" w:color="auto"/>
          </w:divBdr>
        </w:div>
      </w:divsChild>
    </w:div>
    <w:div w:id="111901775">
      <w:marLeft w:val="0"/>
      <w:marRight w:val="0"/>
      <w:marTop w:val="180"/>
      <w:marBottom w:val="180"/>
      <w:divBdr>
        <w:top w:val="none" w:sz="0" w:space="0" w:color="auto"/>
        <w:left w:val="none" w:sz="0" w:space="0" w:color="auto"/>
        <w:bottom w:val="none" w:sz="0" w:space="0" w:color="auto"/>
        <w:right w:val="none" w:sz="0" w:space="0" w:color="auto"/>
      </w:divBdr>
    </w:div>
    <w:div w:id="112335236">
      <w:marLeft w:val="0"/>
      <w:marRight w:val="0"/>
      <w:marTop w:val="0"/>
      <w:marBottom w:val="180"/>
      <w:divBdr>
        <w:top w:val="none" w:sz="0" w:space="0" w:color="auto"/>
        <w:left w:val="none" w:sz="0" w:space="0" w:color="auto"/>
        <w:bottom w:val="none" w:sz="0" w:space="0" w:color="auto"/>
        <w:right w:val="none" w:sz="0" w:space="0" w:color="auto"/>
      </w:divBdr>
    </w:div>
    <w:div w:id="112405041">
      <w:marLeft w:val="0"/>
      <w:marRight w:val="0"/>
      <w:marTop w:val="240"/>
      <w:marBottom w:val="240"/>
      <w:divBdr>
        <w:top w:val="none" w:sz="0" w:space="0" w:color="auto"/>
        <w:left w:val="none" w:sz="0" w:space="0" w:color="auto"/>
        <w:bottom w:val="none" w:sz="0" w:space="0" w:color="auto"/>
        <w:right w:val="none" w:sz="0" w:space="0" w:color="auto"/>
      </w:divBdr>
    </w:div>
    <w:div w:id="112751773">
      <w:marLeft w:val="0"/>
      <w:marRight w:val="0"/>
      <w:marTop w:val="0"/>
      <w:marBottom w:val="240"/>
      <w:divBdr>
        <w:top w:val="none" w:sz="0" w:space="0" w:color="auto"/>
        <w:left w:val="none" w:sz="0" w:space="0" w:color="auto"/>
        <w:bottom w:val="none" w:sz="0" w:space="0" w:color="auto"/>
        <w:right w:val="none" w:sz="0" w:space="0" w:color="auto"/>
      </w:divBdr>
    </w:div>
    <w:div w:id="113183356">
      <w:marLeft w:val="0"/>
      <w:marRight w:val="0"/>
      <w:marTop w:val="0"/>
      <w:marBottom w:val="180"/>
      <w:divBdr>
        <w:top w:val="none" w:sz="0" w:space="0" w:color="auto"/>
        <w:left w:val="none" w:sz="0" w:space="0" w:color="auto"/>
        <w:bottom w:val="none" w:sz="0" w:space="0" w:color="auto"/>
        <w:right w:val="none" w:sz="0" w:space="0" w:color="auto"/>
      </w:divBdr>
    </w:div>
    <w:div w:id="114103054">
      <w:marLeft w:val="0"/>
      <w:marRight w:val="0"/>
      <w:marTop w:val="0"/>
      <w:marBottom w:val="0"/>
      <w:divBdr>
        <w:top w:val="none" w:sz="0" w:space="0" w:color="auto"/>
        <w:left w:val="none" w:sz="0" w:space="0" w:color="auto"/>
        <w:bottom w:val="none" w:sz="0" w:space="0" w:color="auto"/>
        <w:right w:val="none" w:sz="0" w:space="0" w:color="auto"/>
      </w:divBdr>
    </w:div>
    <w:div w:id="114562814">
      <w:marLeft w:val="0"/>
      <w:marRight w:val="0"/>
      <w:marTop w:val="0"/>
      <w:marBottom w:val="0"/>
      <w:divBdr>
        <w:top w:val="none" w:sz="0" w:space="0" w:color="auto"/>
        <w:left w:val="none" w:sz="0" w:space="0" w:color="auto"/>
        <w:bottom w:val="none" w:sz="0" w:space="0" w:color="auto"/>
        <w:right w:val="none" w:sz="0" w:space="0" w:color="auto"/>
      </w:divBdr>
      <w:divsChild>
        <w:div w:id="939335676">
          <w:marLeft w:val="0"/>
          <w:marRight w:val="0"/>
          <w:marTop w:val="0"/>
          <w:marBottom w:val="0"/>
          <w:divBdr>
            <w:top w:val="none" w:sz="0" w:space="0" w:color="auto"/>
            <w:left w:val="none" w:sz="0" w:space="0" w:color="auto"/>
            <w:bottom w:val="none" w:sz="0" w:space="0" w:color="auto"/>
            <w:right w:val="none" w:sz="0" w:space="0" w:color="auto"/>
          </w:divBdr>
        </w:div>
      </w:divsChild>
    </w:div>
    <w:div w:id="114757623">
      <w:marLeft w:val="0"/>
      <w:marRight w:val="0"/>
      <w:marTop w:val="100"/>
      <w:marBottom w:val="240"/>
      <w:divBdr>
        <w:top w:val="none" w:sz="0" w:space="0" w:color="auto"/>
        <w:left w:val="none" w:sz="0" w:space="0" w:color="auto"/>
        <w:bottom w:val="none" w:sz="0" w:space="0" w:color="auto"/>
        <w:right w:val="none" w:sz="0" w:space="0" w:color="auto"/>
      </w:divBdr>
    </w:div>
    <w:div w:id="115023678">
      <w:marLeft w:val="0"/>
      <w:marRight w:val="0"/>
      <w:marTop w:val="0"/>
      <w:marBottom w:val="0"/>
      <w:divBdr>
        <w:top w:val="none" w:sz="0" w:space="0" w:color="auto"/>
        <w:left w:val="none" w:sz="0" w:space="0" w:color="auto"/>
        <w:bottom w:val="none" w:sz="0" w:space="0" w:color="auto"/>
        <w:right w:val="none" w:sz="0" w:space="0" w:color="auto"/>
      </w:divBdr>
    </w:div>
    <w:div w:id="115103270">
      <w:marLeft w:val="0"/>
      <w:marRight w:val="0"/>
      <w:marTop w:val="0"/>
      <w:marBottom w:val="180"/>
      <w:divBdr>
        <w:top w:val="none" w:sz="0" w:space="0" w:color="auto"/>
        <w:left w:val="none" w:sz="0" w:space="0" w:color="auto"/>
        <w:bottom w:val="none" w:sz="0" w:space="0" w:color="auto"/>
        <w:right w:val="none" w:sz="0" w:space="0" w:color="auto"/>
      </w:divBdr>
    </w:div>
    <w:div w:id="115418347">
      <w:marLeft w:val="0"/>
      <w:marRight w:val="0"/>
      <w:marTop w:val="0"/>
      <w:marBottom w:val="240"/>
      <w:divBdr>
        <w:top w:val="none" w:sz="0" w:space="0" w:color="auto"/>
        <w:left w:val="none" w:sz="0" w:space="0" w:color="auto"/>
        <w:bottom w:val="none" w:sz="0" w:space="0" w:color="auto"/>
        <w:right w:val="none" w:sz="0" w:space="0" w:color="auto"/>
      </w:divBdr>
    </w:div>
    <w:div w:id="116875995">
      <w:marLeft w:val="0"/>
      <w:marRight w:val="0"/>
      <w:marTop w:val="120"/>
      <w:marBottom w:val="180"/>
      <w:divBdr>
        <w:top w:val="none" w:sz="0" w:space="0" w:color="auto"/>
        <w:left w:val="none" w:sz="0" w:space="0" w:color="auto"/>
        <w:bottom w:val="none" w:sz="0" w:space="0" w:color="auto"/>
        <w:right w:val="none" w:sz="0" w:space="0" w:color="auto"/>
      </w:divBdr>
    </w:div>
    <w:div w:id="116993252">
      <w:marLeft w:val="0"/>
      <w:marRight w:val="0"/>
      <w:marTop w:val="0"/>
      <w:marBottom w:val="0"/>
      <w:divBdr>
        <w:top w:val="none" w:sz="0" w:space="0" w:color="auto"/>
        <w:left w:val="none" w:sz="0" w:space="0" w:color="auto"/>
        <w:bottom w:val="none" w:sz="0" w:space="0" w:color="auto"/>
        <w:right w:val="none" w:sz="0" w:space="0" w:color="auto"/>
      </w:divBdr>
    </w:div>
    <w:div w:id="117384525">
      <w:marLeft w:val="0"/>
      <w:marRight w:val="0"/>
      <w:marTop w:val="0"/>
      <w:marBottom w:val="240"/>
      <w:divBdr>
        <w:top w:val="none" w:sz="0" w:space="0" w:color="auto"/>
        <w:left w:val="none" w:sz="0" w:space="0" w:color="auto"/>
        <w:bottom w:val="none" w:sz="0" w:space="0" w:color="auto"/>
        <w:right w:val="none" w:sz="0" w:space="0" w:color="auto"/>
      </w:divBdr>
    </w:div>
    <w:div w:id="117770837">
      <w:marLeft w:val="0"/>
      <w:marRight w:val="0"/>
      <w:marTop w:val="0"/>
      <w:marBottom w:val="0"/>
      <w:divBdr>
        <w:top w:val="none" w:sz="0" w:space="0" w:color="auto"/>
        <w:left w:val="none" w:sz="0" w:space="0" w:color="auto"/>
        <w:bottom w:val="none" w:sz="0" w:space="0" w:color="auto"/>
        <w:right w:val="none" w:sz="0" w:space="0" w:color="auto"/>
      </w:divBdr>
      <w:divsChild>
        <w:div w:id="1850362485">
          <w:marLeft w:val="0"/>
          <w:marRight w:val="0"/>
          <w:marTop w:val="0"/>
          <w:marBottom w:val="0"/>
          <w:divBdr>
            <w:top w:val="none" w:sz="0" w:space="0" w:color="auto"/>
            <w:left w:val="none" w:sz="0" w:space="0" w:color="auto"/>
            <w:bottom w:val="none" w:sz="0" w:space="0" w:color="auto"/>
            <w:right w:val="none" w:sz="0" w:space="0" w:color="auto"/>
          </w:divBdr>
        </w:div>
      </w:divsChild>
    </w:div>
    <w:div w:id="117771768">
      <w:marLeft w:val="0"/>
      <w:marRight w:val="0"/>
      <w:marTop w:val="0"/>
      <w:marBottom w:val="0"/>
      <w:divBdr>
        <w:top w:val="none" w:sz="0" w:space="0" w:color="auto"/>
        <w:left w:val="none" w:sz="0" w:space="0" w:color="auto"/>
        <w:bottom w:val="none" w:sz="0" w:space="0" w:color="auto"/>
        <w:right w:val="none" w:sz="0" w:space="0" w:color="auto"/>
      </w:divBdr>
      <w:divsChild>
        <w:div w:id="1094520810">
          <w:marLeft w:val="0"/>
          <w:marRight w:val="0"/>
          <w:marTop w:val="0"/>
          <w:marBottom w:val="0"/>
          <w:divBdr>
            <w:top w:val="none" w:sz="0" w:space="0" w:color="auto"/>
            <w:left w:val="none" w:sz="0" w:space="0" w:color="auto"/>
            <w:bottom w:val="none" w:sz="0" w:space="0" w:color="auto"/>
            <w:right w:val="none" w:sz="0" w:space="0" w:color="auto"/>
          </w:divBdr>
        </w:div>
      </w:divsChild>
    </w:div>
    <w:div w:id="120195389">
      <w:marLeft w:val="0"/>
      <w:marRight w:val="0"/>
      <w:marTop w:val="0"/>
      <w:marBottom w:val="0"/>
      <w:divBdr>
        <w:top w:val="none" w:sz="0" w:space="0" w:color="auto"/>
        <w:left w:val="none" w:sz="0" w:space="0" w:color="auto"/>
        <w:bottom w:val="none" w:sz="0" w:space="0" w:color="auto"/>
        <w:right w:val="none" w:sz="0" w:space="0" w:color="auto"/>
      </w:divBdr>
    </w:div>
    <w:div w:id="121385167">
      <w:marLeft w:val="0"/>
      <w:marRight w:val="0"/>
      <w:marTop w:val="180"/>
      <w:marBottom w:val="180"/>
      <w:divBdr>
        <w:top w:val="none" w:sz="0" w:space="0" w:color="auto"/>
        <w:left w:val="none" w:sz="0" w:space="0" w:color="auto"/>
        <w:bottom w:val="none" w:sz="0" w:space="0" w:color="auto"/>
        <w:right w:val="none" w:sz="0" w:space="0" w:color="auto"/>
      </w:divBdr>
    </w:div>
    <w:div w:id="121391397">
      <w:marLeft w:val="0"/>
      <w:marRight w:val="0"/>
      <w:marTop w:val="100"/>
      <w:marBottom w:val="0"/>
      <w:divBdr>
        <w:top w:val="none" w:sz="0" w:space="0" w:color="auto"/>
        <w:left w:val="none" w:sz="0" w:space="0" w:color="auto"/>
        <w:bottom w:val="none" w:sz="0" w:space="0" w:color="auto"/>
        <w:right w:val="none" w:sz="0" w:space="0" w:color="auto"/>
      </w:divBdr>
      <w:divsChild>
        <w:div w:id="1376078835">
          <w:marLeft w:val="0"/>
          <w:marRight w:val="0"/>
          <w:marTop w:val="0"/>
          <w:marBottom w:val="0"/>
          <w:divBdr>
            <w:top w:val="none" w:sz="0" w:space="0" w:color="auto"/>
            <w:left w:val="none" w:sz="0" w:space="0" w:color="auto"/>
            <w:bottom w:val="none" w:sz="0" w:space="0" w:color="auto"/>
            <w:right w:val="none" w:sz="0" w:space="0" w:color="auto"/>
          </w:divBdr>
        </w:div>
      </w:divsChild>
    </w:div>
    <w:div w:id="121773489">
      <w:marLeft w:val="0"/>
      <w:marRight w:val="0"/>
      <w:marTop w:val="120"/>
      <w:marBottom w:val="120"/>
      <w:divBdr>
        <w:top w:val="none" w:sz="0" w:space="0" w:color="auto"/>
        <w:left w:val="none" w:sz="0" w:space="0" w:color="auto"/>
        <w:bottom w:val="none" w:sz="0" w:space="0" w:color="auto"/>
        <w:right w:val="none" w:sz="0" w:space="0" w:color="auto"/>
      </w:divBdr>
    </w:div>
    <w:div w:id="122700302">
      <w:marLeft w:val="0"/>
      <w:marRight w:val="0"/>
      <w:marTop w:val="120"/>
      <w:marBottom w:val="120"/>
      <w:divBdr>
        <w:top w:val="none" w:sz="0" w:space="0" w:color="auto"/>
        <w:left w:val="none" w:sz="0" w:space="0" w:color="auto"/>
        <w:bottom w:val="none" w:sz="0" w:space="0" w:color="auto"/>
        <w:right w:val="none" w:sz="0" w:space="0" w:color="auto"/>
      </w:divBdr>
    </w:div>
    <w:div w:id="124130983">
      <w:marLeft w:val="0"/>
      <w:marRight w:val="0"/>
      <w:marTop w:val="120"/>
      <w:marBottom w:val="140"/>
      <w:divBdr>
        <w:top w:val="none" w:sz="0" w:space="0" w:color="auto"/>
        <w:left w:val="none" w:sz="0" w:space="0" w:color="auto"/>
        <w:bottom w:val="none" w:sz="0" w:space="0" w:color="auto"/>
        <w:right w:val="none" w:sz="0" w:space="0" w:color="auto"/>
      </w:divBdr>
    </w:div>
    <w:div w:id="124352988">
      <w:marLeft w:val="0"/>
      <w:marRight w:val="0"/>
      <w:marTop w:val="100"/>
      <w:marBottom w:val="240"/>
      <w:divBdr>
        <w:top w:val="none" w:sz="0" w:space="0" w:color="auto"/>
        <w:left w:val="none" w:sz="0" w:space="0" w:color="auto"/>
        <w:bottom w:val="none" w:sz="0" w:space="0" w:color="auto"/>
        <w:right w:val="none" w:sz="0" w:space="0" w:color="auto"/>
      </w:divBdr>
    </w:div>
    <w:div w:id="124586894">
      <w:marLeft w:val="0"/>
      <w:marRight w:val="0"/>
      <w:marTop w:val="0"/>
      <w:marBottom w:val="240"/>
      <w:divBdr>
        <w:top w:val="none" w:sz="0" w:space="0" w:color="auto"/>
        <w:left w:val="none" w:sz="0" w:space="0" w:color="auto"/>
        <w:bottom w:val="none" w:sz="0" w:space="0" w:color="auto"/>
        <w:right w:val="none" w:sz="0" w:space="0" w:color="auto"/>
      </w:divBdr>
    </w:div>
    <w:div w:id="126319143">
      <w:marLeft w:val="0"/>
      <w:marRight w:val="0"/>
      <w:marTop w:val="0"/>
      <w:marBottom w:val="0"/>
      <w:divBdr>
        <w:top w:val="none" w:sz="0" w:space="0" w:color="auto"/>
        <w:left w:val="none" w:sz="0" w:space="0" w:color="auto"/>
        <w:bottom w:val="none" w:sz="0" w:space="0" w:color="auto"/>
        <w:right w:val="none" w:sz="0" w:space="0" w:color="auto"/>
      </w:divBdr>
      <w:divsChild>
        <w:div w:id="70936059">
          <w:marLeft w:val="0"/>
          <w:marRight w:val="0"/>
          <w:marTop w:val="0"/>
          <w:marBottom w:val="0"/>
          <w:divBdr>
            <w:top w:val="none" w:sz="0" w:space="0" w:color="auto"/>
            <w:left w:val="none" w:sz="0" w:space="0" w:color="auto"/>
            <w:bottom w:val="none" w:sz="0" w:space="0" w:color="auto"/>
            <w:right w:val="none" w:sz="0" w:space="0" w:color="auto"/>
          </w:divBdr>
        </w:div>
      </w:divsChild>
    </w:div>
    <w:div w:id="127289019">
      <w:marLeft w:val="0"/>
      <w:marRight w:val="0"/>
      <w:marTop w:val="0"/>
      <w:marBottom w:val="240"/>
      <w:divBdr>
        <w:top w:val="none" w:sz="0" w:space="0" w:color="auto"/>
        <w:left w:val="none" w:sz="0" w:space="0" w:color="auto"/>
        <w:bottom w:val="none" w:sz="0" w:space="0" w:color="auto"/>
        <w:right w:val="none" w:sz="0" w:space="0" w:color="auto"/>
      </w:divBdr>
    </w:div>
    <w:div w:id="128941962">
      <w:marLeft w:val="0"/>
      <w:marRight w:val="0"/>
      <w:marTop w:val="0"/>
      <w:marBottom w:val="180"/>
      <w:divBdr>
        <w:top w:val="none" w:sz="0" w:space="0" w:color="auto"/>
        <w:left w:val="none" w:sz="0" w:space="0" w:color="auto"/>
        <w:bottom w:val="none" w:sz="0" w:space="0" w:color="auto"/>
        <w:right w:val="none" w:sz="0" w:space="0" w:color="auto"/>
      </w:divBdr>
    </w:div>
    <w:div w:id="129591473">
      <w:marLeft w:val="0"/>
      <w:marRight w:val="0"/>
      <w:marTop w:val="0"/>
      <w:marBottom w:val="0"/>
      <w:divBdr>
        <w:top w:val="none" w:sz="0" w:space="0" w:color="auto"/>
        <w:left w:val="none" w:sz="0" w:space="0" w:color="auto"/>
        <w:bottom w:val="none" w:sz="0" w:space="0" w:color="auto"/>
        <w:right w:val="none" w:sz="0" w:space="0" w:color="auto"/>
      </w:divBdr>
      <w:divsChild>
        <w:div w:id="1094937601">
          <w:marLeft w:val="0"/>
          <w:marRight w:val="0"/>
          <w:marTop w:val="0"/>
          <w:marBottom w:val="0"/>
          <w:divBdr>
            <w:top w:val="none" w:sz="0" w:space="0" w:color="auto"/>
            <w:left w:val="none" w:sz="0" w:space="0" w:color="auto"/>
            <w:bottom w:val="none" w:sz="0" w:space="0" w:color="auto"/>
            <w:right w:val="none" w:sz="0" w:space="0" w:color="auto"/>
          </w:divBdr>
        </w:div>
      </w:divsChild>
    </w:div>
    <w:div w:id="130640751">
      <w:marLeft w:val="0"/>
      <w:marRight w:val="0"/>
      <w:marTop w:val="180"/>
      <w:marBottom w:val="180"/>
      <w:divBdr>
        <w:top w:val="none" w:sz="0" w:space="0" w:color="auto"/>
        <w:left w:val="none" w:sz="0" w:space="0" w:color="auto"/>
        <w:bottom w:val="none" w:sz="0" w:space="0" w:color="auto"/>
        <w:right w:val="none" w:sz="0" w:space="0" w:color="auto"/>
      </w:divBdr>
    </w:div>
    <w:div w:id="130750575">
      <w:marLeft w:val="0"/>
      <w:marRight w:val="0"/>
      <w:marTop w:val="0"/>
      <w:marBottom w:val="240"/>
      <w:divBdr>
        <w:top w:val="none" w:sz="0" w:space="0" w:color="auto"/>
        <w:left w:val="none" w:sz="0" w:space="0" w:color="auto"/>
        <w:bottom w:val="none" w:sz="0" w:space="0" w:color="auto"/>
        <w:right w:val="none" w:sz="0" w:space="0" w:color="auto"/>
      </w:divBdr>
    </w:div>
    <w:div w:id="130825751">
      <w:marLeft w:val="0"/>
      <w:marRight w:val="0"/>
      <w:marTop w:val="0"/>
      <w:marBottom w:val="180"/>
      <w:divBdr>
        <w:top w:val="none" w:sz="0" w:space="0" w:color="auto"/>
        <w:left w:val="none" w:sz="0" w:space="0" w:color="auto"/>
        <w:bottom w:val="none" w:sz="0" w:space="0" w:color="auto"/>
        <w:right w:val="none" w:sz="0" w:space="0" w:color="auto"/>
      </w:divBdr>
    </w:div>
    <w:div w:id="135100550">
      <w:marLeft w:val="0"/>
      <w:marRight w:val="0"/>
      <w:marTop w:val="0"/>
      <w:marBottom w:val="180"/>
      <w:divBdr>
        <w:top w:val="none" w:sz="0" w:space="0" w:color="auto"/>
        <w:left w:val="none" w:sz="0" w:space="0" w:color="auto"/>
        <w:bottom w:val="none" w:sz="0" w:space="0" w:color="auto"/>
        <w:right w:val="none" w:sz="0" w:space="0" w:color="auto"/>
      </w:divBdr>
    </w:div>
    <w:div w:id="135149587">
      <w:marLeft w:val="0"/>
      <w:marRight w:val="0"/>
      <w:marTop w:val="0"/>
      <w:marBottom w:val="180"/>
      <w:divBdr>
        <w:top w:val="none" w:sz="0" w:space="0" w:color="auto"/>
        <w:left w:val="none" w:sz="0" w:space="0" w:color="auto"/>
        <w:bottom w:val="none" w:sz="0" w:space="0" w:color="auto"/>
        <w:right w:val="none" w:sz="0" w:space="0" w:color="auto"/>
      </w:divBdr>
    </w:div>
    <w:div w:id="135997495">
      <w:marLeft w:val="0"/>
      <w:marRight w:val="0"/>
      <w:marTop w:val="180"/>
      <w:marBottom w:val="180"/>
      <w:divBdr>
        <w:top w:val="none" w:sz="0" w:space="0" w:color="auto"/>
        <w:left w:val="none" w:sz="0" w:space="0" w:color="auto"/>
        <w:bottom w:val="none" w:sz="0" w:space="0" w:color="auto"/>
        <w:right w:val="none" w:sz="0" w:space="0" w:color="auto"/>
      </w:divBdr>
    </w:div>
    <w:div w:id="136577633">
      <w:marLeft w:val="0"/>
      <w:marRight w:val="0"/>
      <w:marTop w:val="0"/>
      <w:marBottom w:val="180"/>
      <w:divBdr>
        <w:top w:val="none" w:sz="0" w:space="0" w:color="auto"/>
        <w:left w:val="none" w:sz="0" w:space="0" w:color="auto"/>
        <w:bottom w:val="none" w:sz="0" w:space="0" w:color="auto"/>
        <w:right w:val="none" w:sz="0" w:space="0" w:color="auto"/>
      </w:divBdr>
    </w:div>
    <w:div w:id="137961602">
      <w:marLeft w:val="0"/>
      <w:marRight w:val="0"/>
      <w:marTop w:val="0"/>
      <w:marBottom w:val="240"/>
      <w:divBdr>
        <w:top w:val="none" w:sz="0" w:space="0" w:color="auto"/>
        <w:left w:val="none" w:sz="0" w:space="0" w:color="auto"/>
        <w:bottom w:val="none" w:sz="0" w:space="0" w:color="auto"/>
        <w:right w:val="none" w:sz="0" w:space="0" w:color="auto"/>
      </w:divBdr>
    </w:div>
    <w:div w:id="137963102">
      <w:marLeft w:val="0"/>
      <w:marRight w:val="0"/>
      <w:marTop w:val="0"/>
      <w:marBottom w:val="180"/>
      <w:divBdr>
        <w:top w:val="none" w:sz="0" w:space="0" w:color="auto"/>
        <w:left w:val="none" w:sz="0" w:space="0" w:color="auto"/>
        <w:bottom w:val="none" w:sz="0" w:space="0" w:color="auto"/>
        <w:right w:val="none" w:sz="0" w:space="0" w:color="auto"/>
      </w:divBdr>
    </w:div>
    <w:div w:id="138771596">
      <w:marLeft w:val="0"/>
      <w:marRight w:val="0"/>
      <w:marTop w:val="0"/>
      <w:marBottom w:val="180"/>
      <w:divBdr>
        <w:top w:val="none" w:sz="0" w:space="0" w:color="auto"/>
        <w:left w:val="none" w:sz="0" w:space="0" w:color="auto"/>
        <w:bottom w:val="none" w:sz="0" w:space="0" w:color="auto"/>
        <w:right w:val="none" w:sz="0" w:space="0" w:color="auto"/>
      </w:divBdr>
    </w:div>
    <w:div w:id="139346122">
      <w:marLeft w:val="0"/>
      <w:marRight w:val="0"/>
      <w:marTop w:val="0"/>
      <w:marBottom w:val="0"/>
      <w:divBdr>
        <w:top w:val="none" w:sz="0" w:space="0" w:color="auto"/>
        <w:left w:val="none" w:sz="0" w:space="0" w:color="auto"/>
        <w:bottom w:val="none" w:sz="0" w:space="0" w:color="auto"/>
        <w:right w:val="none" w:sz="0" w:space="0" w:color="auto"/>
      </w:divBdr>
    </w:div>
    <w:div w:id="139347652">
      <w:marLeft w:val="0"/>
      <w:marRight w:val="0"/>
      <w:marTop w:val="0"/>
      <w:marBottom w:val="0"/>
      <w:divBdr>
        <w:top w:val="none" w:sz="0" w:space="0" w:color="auto"/>
        <w:left w:val="none" w:sz="0" w:space="0" w:color="auto"/>
        <w:bottom w:val="none" w:sz="0" w:space="0" w:color="auto"/>
        <w:right w:val="none" w:sz="0" w:space="0" w:color="auto"/>
      </w:divBdr>
      <w:divsChild>
        <w:div w:id="834148380">
          <w:marLeft w:val="0"/>
          <w:marRight w:val="0"/>
          <w:marTop w:val="0"/>
          <w:marBottom w:val="0"/>
          <w:divBdr>
            <w:top w:val="none" w:sz="0" w:space="0" w:color="auto"/>
            <w:left w:val="none" w:sz="0" w:space="0" w:color="auto"/>
            <w:bottom w:val="none" w:sz="0" w:space="0" w:color="auto"/>
            <w:right w:val="none" w:sz="0" w:space="0" w:color="auto"/>
          </w:divBdr>
        </w:div>
      </w:divsChild>
    </w:div>
    <w:div w:id="139882367">
      <w:marLeft w:val="0"/>
      <w:marRight w:val="0"/>
      <w:marTop w:val="0"/>
      <w:marBottom w:val="240"/>
      <w:divBdr>
        <w:top w:val="none" w:sz="0" w:space="0" w:color="auto"/>
        <w:left w:val="none" w:sz="0" w:space="0" w:color="auto"/>
        <w:bottom w:val="none" w:sz="0" w:space="0" w:color="auto"/>
        <w:right w:val="none" w:sz="0" w:space="0" w:color="auto"/>
      </w:divBdr>
    </w:div>
    <w:div w:id="140657220">
      <w:marLeft w:val="0"/>
      <w:marRight w:val="0"/>
      <w:marTop w:val="0"/>
      <w:marBottom w:val="240"/>
      <w:divBdr>
        <w:top w:val="none" w:sz="0" w:space="0" w:color="auto"/>
        <w:left w:val="none" w:sz="0" w:space="0" w:color="auto"/>
        <w:bottom w:val="none" w:sz="0" w:space="0" w:color="auto"/>
        <w:right w:val="none" w:sz="0" w:space="0" w:color="auto"/>
      </w:divBdr>
    </w:div>
    <w:div w:id="141194333">
      <w:marLeft w:val="0"/>
      <w:marRight w:val="0"/>
      <w:marTop w:val="100"/>
      <w:marBottom w:val="0"/>
      <w:divBdr>
        <w:top w:val="none" w:sz="0" w:space="0" w:color="auto"/>
        <w:left w:val="none" w:sz="0" w:space="0" w:color="auto"/>
        <w:bottom w:val="none" w:sz="0" w:space="0" w:color="auto"/>
        <w:right w:val="none" w:sz="0" w:space="0" w:color="auto"/>
      </w:divBdr>
      <w:divsChild>
        <w:div w:id="1704013499">
          <w:marLeft w:val="0"/>
          <w:marRight w:val="0"/>
          <w:marTop w:val="0"/>
          <w:marBottom w:val="0"/>
          <w:divBdr>
            <w:top w:val="none" w:sz="0" w:space="0" w:color="auto"/>
            <w:left w:val="none" w:sz="0" w:space="0" w:color="auto"/>
            <w:bottom w:val="none" w:sz="0" w:space="0" w:color="auto"/>
            <w:right w:val="none" w:sz="0" w:space="0" w:color="auto"/>
          </w:divBdr>
        </w:div>
      </w:divsChild>
    </w:div>
    <w:div w:id="141430638">
      <w:marLeft w:val="0"/>
      <w:marRight w:val="0"/>
      <w:marTop w:val="0"/>
      <w:marBottom w:val="180"/>
      <w:divBdr>
        <w:top w:val="none" w:sz="0" w:space="0" w:color="auto"/>
        <w:left w:val="none" w:sz="0" w:space="0" w:color="auto"/>
        <w:bottom w:val="none" w:sz="0" w:space="0" w:color="auto"/>
        <w:right w:val="none" w:sz="0" w:space="0" w:color="auto"/>
      </w:divBdr>
    </w:div>
    <w:div w:id="143856371">
      <w:marLeft w:val="0"/>
      <w:marRight w:val="0"/>
      <w:marTop w:val="0"/>
      <w:marBottom w:val="0"/>
      <w:divBdr>
        <w:top w:val="none" w:sz="0" w:space="0" w:color="auto"/>
        <w:left w:val="none" w:sz="0" w:space="0" w:color="auto"/>
        <w:bottom w:val="none" w:sz="0" w:space="0" w:color="auto"/>
        <w:right w:val="none" w:sz="0" w:space="0" w:color="auto"/>
      </w:divBdr>
      <w:divsChild>
        <w:div w:id="1561600736">
          <w:marLeft w:val="0"/>
          <w:marRight w:val="0"/>
          <w:marTop w:val="0"/>
          <w:marBottom w:val="0"/>
          <w:divBdr>
            <w:top w:val="none" w:sz="0" w:space="0" w:color="auto"/>
            <w:left w:val="none" w:sz="0" w:space="0" w:color="auto"/>
            <w:bottom w:val="none" w:sz="0" w:space="0" w:color="auto"/>
            <w:right w:val="none" w:sz="0" w:space="0" w:color="auto"/>
          </w:divBdr>
        </w:div>
      </w:divsChild>
    </w:div>
    <w:div w:id="144124028">
      <w:marLeft w:val="0"/>
      <w:marRight w:val="0"/>
      <w:marTop w:val="0"/>
      <w:marBottom w:val="240"/>
      <w:divBdr>
        <w:top w:val="none" w:sz="0" w:space="0" w:color="auto"/>
        <w:left w:val="none" w:sz="0" w:space="0" w:color="auto"/>
        <w:bottom w:val="none" w:sz="0" w:space="0" w:color="auto"/>
        <w:right w:val="none" w:sz="0" w:space="0" w:color="auto"/>
      </w:divBdr>
    </w:div>
    <w:div w:id="144786127">
      <w:marLeft w:val="0"/>
      <w:marRight w:val="0"/>
      <w:marTop w:val="0"/>
      <w:marBottom w:val="240"/>
      <w:divBdr>
        <w:top w:val="none" w:sz="0" w:space="0" w:color="auto"/>
        <w:left w:val="none" w:sz="0" w:space="0" w:color="auto"/>
        <w:bottom w:val="none" w:sz="0" w:space="0" w:color="auto"/>
        <w:right w:val="none" w:sz="0" w:space="0" w:color="auto"/>
      </w:divBdr>
    </w:div>
    <w:div w:id="145702992">
      <w:marLeft w:val="0"/>
      <w:marRight w:val="0"/>
      <w:marTop w:val="0"/>
      <w:marBottom w:val="0"/>
      <w:divBdr>
        <w:top w:val="none" w:sz="0" w:space="0" w:color="auto"/>
        <w:left w:val="none" w:sz="0" w:space="0" w:color="auto"/>
        <w:bottom w:val="none" w:sz="0" w:space="0" w:color="auto"/>
        <w:right w:val="none" w:sz="0" w:space="0" w:color="auto"/>
      </w:divBdr>
    </w:div>
    <w:div w:id="145824363">
      <w:marLeft w:val="0"/>
      <w:marRight w:val="0"/>
      <w:marTop w:val="0"/>
      <w:marBottom w:val="240"/>
      <w:divBdr>
        <w:top w:val="none" w:sz="0" w:space="0" w:color="auto"/>
        <w:left w:val="none" w:sz="0" w:space="0" w:color="auto"/>
        <w:bottom w:val="none" w:sz="0" w:space="0" w:color="auto"/>
        <w:right w:val="none" w:sz="0" w:space="0" w:color="auto"/>
      </w:divBdr>
    </w:div>
    <w:div w:id="145978042">
      <w:marLeft w:val="0"/>
      <w:marRight w:val="0"/>
      <w:marTop w:val="0"/>
      <w:marBottom w:val="240"/>
      <w:divBdr>
        <w:top w:val="none" w:sz="0" w:space="0" w:color="auto"/>
        <w:left w:val="none" w:sz="0" w:space="0" w:color="auto"/>
        <w:bottom w:val="none" w:sz="0" w:space="0" w:color="auto"/>
        <w:right w:val="none" w:sz="0" w:space="0" w:color="auto"/>
      </w:divBdr>
    </w:div>
    <w:div w:id="146753468">
      <w:marLeft w:val="0"/>
      <w:marRight w:val="0"/>
      <w:marTop w:val="0"/>
      <w:marBottom w:val="180"/>
      <w:divBdr>
        <w:top w:val="none" w:sz="0" w:space="0" w:color="auto"/>
        <w:left w:val="none" w:sz="0" w:space="0" w:color="auto"/>
        <w:bottom w:val="none" w:sz="0" w:space="0" w:color="auto"/>
        <w:right w:val="none" w:sz="0" w:space="0" w:color="auto"/>
      </w:divBdr>
    </w:div>
    <w:div w:id="146869731">
      <w:marLeft w:val="0"/>
      <w:marRight w:val="0"/>
      <w:marTop w:val="120"/>
      <w:marBottom w:val="120"/>
      <w:divBdr>
        <w:top w:val="none" w:sz="0" w:space="0" w:color="auto"/>
        <w:left w:val="none" w:sz="0" w:space="0" w:color="auto"/>
        <w:bottom w:val="none" w:sz="0" w:space="0" w:color="auto"/>
        <w:right w:val="none" w:sz="0" w:space="0" w:color="auto"/>
      </w:divBdr>
    </w:div>
    <w:div w:id="147984883">
      <w:marLeft w:val="0"/>
      <w:marRight w:val="0"/>
      <w:marTop w:val="180"/>
      <w:marBottom w:val="180"/>
      <w:divBdr>
        <w:top w:val="none" w:sz="0" w:space="0" w:color="auto"/>
        <w:left w:val="none" w:sz="0" w:space="0" w:color="auto"/>
        <w:bottom w:val="none" w:sz="0" w:space="0" w:color="auto"/>
        <w:right w:val="none" w:sz="0" w:space="0" w:color="auto"/>
      </w:divBdr>
    </w:div>
    <w:div w:id="149180031">
      <w:marLeft w:val="0"/>
      <w:marRight w:val="0"/>
      <w:marTop w:val="0"/>
      <w:marBottom w:val="180"/>
      <w:divBdr>
        <w:top w:val="none" w:sz="0" w:space="0" w:color="auto"/>
        <w:left w:val="none" w:sz="0" w:space="0" w:color="auto"/>
        <w:bottom w:val="none" w:sz="0" w:space="0" w:color="auto"/>
        <w:right w:val="none" w:sz="0" w:space="0" w:color="auto"/>
      </w:divBdr>
    </w:div>
    <w:div w:id="149761100">
      <w:marLeft w:val="0"/>
      <w:marRight w:val="0"/>
      <w:marTop w:val="0"/>
      <w:marBottom w:val="0"/>
      <w:divBdr>
        <w:top w:val="none" w:sz="0" w:space="0" w:color="auto"/>
        <w:left w:val="none" w:sz="0" w:space="0" w:color="auto"/>
        <w:bottom w:val="none" w:sz="0" w:space="0" w:color="auto"/>
        <w:right w:val="none" w:sz="0" w:space="0" w:color="auto"/>
      </w:divBdr>
      <w:divsChild>
        <w:div w:id="20713099">
          <w:marLeft w:val="0"/>
          <w:marRight w:val="0"/>
          <w:marTop w:val="0"/>
          <w:marBottom w:val="0"/>
          <w:divBdr>
            <w:top w:val="none" w:sz="0" w:space="0" w:color="auto"/>
            <w:left w:val="none" w:sz="0" w:space="0" w:color="auto"/>
            <w:bottom w:val="none" w:sz="0" w:space="0" w:color="auto"/>
            <w:right w:val="none" w:sz="0" w:space="0" w:color="auto"/>
          </w:divBdr>
        </w:div>
      </w:divsChild>
    </w:div>
    <w:div w:id="150758470">
      <w:marLeft w:val="0"/>
      <w:marRight w:val="0"/>
      <w:marTop w:val="0"/>
      <w:marBottom w:val="180"/>
      <w:divBdr>
        <w:top w:val="none" w:sz="0" w:space="0" w:color="auto"/>
        <w:left w:val="none" w:sz="0" w:space="0" w:color="auto"/>
        <w:bottom w:val="none" w:sz="0" w:space="0" w:color="auto"/>
        <w:right w:val="none" w:sz="0" w:space="0" w:color="auto"/>
      </w:divBdr>
    </w:div>
    <w:div w:id="150953760">
      <w:marLeft w:val="0"/>
      <w:marRight w:val="0"/>
      <w:marTop w:val="0"/>
      <w:marBottom w:val="0"/>
      <w:divBdr>
        <w:top w:val="none" w:sz="0" w:space="0" w:color="auto"/>
        <w:left w:val="none" w:sz="0" w:space="0" w:color="auto"/>
        <w:bottom w:val="none" w:sz="0" w:space="0" w:color="auto"/>
        <w:right w:val="none" w:sz="0" w:space="0" w:color="auto"/>
      </w:divBdr>
    </w:div>
    <w:div w:id="151146188">
      <w:marLeft w:val="0"/>
      <w:marRight w:val="0"/>
      <w:marTop w:val="0"/>
      <w:marBottom w:val="180"/>
      <w:divBdr>
        <w:top w:val="none" w:sz="0" w:space="0" w:color="auto"/>
        <w:left w:val="none" w:sz="0" w:space="0" w:color="auto"/>
        <w:bottom w:val="none" w:sz="0" w:space="0" w:color="auto"/>
        <w:right w:val="none" w:sz="0" w:space="0" w:color="auto"/>
      </w:divBdr>
    </w:div>
    <w:div w:id="151409807">
      <w:marLeft w:val="0"/>
      <w:marRight w:val="0"/>
      <w:marTop w:val="0"/>
      <w:marBottom w:val="0"/>
      <w:divBdr>
        <w:top w:val="none" w:sz="0" w:space="0" w:color="auto"/>
        <w:left w:val="none" w:sz="0" w:space="0" w:color="auto"/>
        <w:bottom w:val="none" w:sz="0" w:space="0" w:color="auto"/>
        <w:right w:val="none" w:sz="0" w:space="0" w:color="auto"/>
      </w:divBdr>
    </w:div>
    <w:div w:id="151534572">
      <w:marLeft w:val="0"/>
      <w:marRight w:val="0"/>
      <w:marTop w:val="0"/>
      <w:marBottom w:val="0"/>
      <w:divBdr>
        <w:top w:val="none" w:sz="0" w:space="0" w:color="auto"/>
        <w:left w:val="none" w:sz="0" w:space="0" w:color="auto"/>
        <w:bottom w:val="none" w:sz="0" w:space="0" w:color="auto"/>
        <w:right w:val="none" w:sz="0" w:space="0" w:color="auto"/>
      </w:divBdr>
    </w:div>
    <w:div w:id="152721415">
      <w:marLeft w:val="0"/>
      <w:marRight w:val="0"/>
      <w:marTop w:val="180"/>
      <w:marBottom w:val="180"/>
      <w:divBdr>
        <w:top w:val="none" w:sz="0" w:space="0" w:color="auto"/>
        <w:left w:val="none" w:sz="0" w:space="0" w:color="auto"/>
        <w:bottom w:val="none" w:sz="0" w:space="0" w:color="auto"/>
        <w:right w:val="none" w:sz="0" w:space="0" w:color="auto"/>
      </w:divBdr>
    </w:div>
    <w:div w:id="153684272">
      <w:marLeft w:val="0"/>
      <w:marRight w:val="0"/>
      <w:marTop w:val="180"/>
      <w:marBottom w:val="180"/>
      <w:divBdr>
        <w:top w:val="none" w:sz="0" w:space="0" w:color="auto"/>
        <w:left w:val="none" w:sz="0" w:space="0" w:color="auto"/>
        <w:bottom w:val="none" w:sz="0" w:space="0" w:color="auto"/>
        <w:right w:val="none" w:sz="0" w:space="0" w:color="auto"/>
      </w:divBdr>
    </w:div>
    <w:div w:id="154028581">
      <w:marLeft w:val="0"/>
      <w:marRight w:val="0"/>
      <w:marTop w:val="0"/>
      <w:marBottom w:val="240"/>
      <w:divBdr>
        <w:top w:val="none" w:sz="0" w:space="0" w:color="auto"/>
        <w:left w:val="none" w:sz="0" w:space="0" w:color="auto"/>
        <w:bottom w:val="none" w:sz="0" w:space="0" w:color="auto"/>
        <w:right w:val="none" w:sz="0" w:space="0" w:color="auto"/>
      </w:divBdr>
    </w:div>
    <w:div w:id="154733366">
      <w:marLeft w:val="0"/>
      <w:marRight w:val="0"/>
      <w:marTop w:val="120"/>
      <w:marBottom w:val="120"/>
      <w:divBdr>
        <w:top w:val="none" w:sz="0" w:space="0" w:color="auto"/>
        <w:left w:val="none" w:sz="0" w:space="0" w:color="auto"/>
        <w:bottom w:val="none" w:sz="0" w:space="0" w:color="auto"/>
        <w:right w:val="none" w:sz="0" w:space="0" w:color="auto"/>
      </w:divBdr>
    </w:div>
    <w:div w:id="155145696">
      <w:marLeft w:val="0"/>
      <w:marRight w:val="0"/>
      <w:marTop w:val="0"/>
      <w:marBottom w:val="0"/>
      <w:divBdr>
        <w:top w:val="none" w:sz="0" w:space="0" w:color="auto"/>
        <w:left w:val="none" w:sz="0" w:space="0" w:color="auto"/>
        <w:bottom w:val="none" w:sz="0" w:space="0" w:color="auto"/>
        <w:right w:val="none" w:sz="0" w:space="0" w:color="auto"/>
      </w:divBdr>
      <w:divsChild>
        <w:div w:id="495996977">
          <w:marLeft w:val="0"/>
          <w:marRight w:val="0"/>
          <w:marTop w:val="0"/>
          <w:marBottom w:val="0"/>
          <w:divBdr>
            <w:top w:val="none" w:sz="0" w:space="0" w:color="auto"/>
            <w:left w:val="none" w:sz="0" w:space="0" w:color="auto"/>
            <w:bottom w:val="none" w:sz="0" w:space="0" w:color="auto"/>
            <w:right w:val="none" w:sz="0" w:space="0" w:color="auto"/>
          </w:divBdr>
        </w:div>
      </w:divsChild>
    </w:div>
    <w:div w:id="155729375">
      <w:marLeft w:val="0"/>
      <w:marRight w:val="0"/>
      <w:marTop w:val="180"/>
      <w:marBottom w:val="180"/>
      <w:divBdr>
        <w:top w:val="none" w:sz="0" w:space="0" w:color="auto"/>
        <w:left w:val="none" w:sz="0" w:space="0" w:color="auto"/>
        <w:bottom w:val="none" w:sz="0" w:space="0" w:color="auto"/>
        <w:right w:val="none" w:sz="0" w:space="0" w:color="auto"/>
      </w:divBdr>
    </w:div>
    <w:div w:id="156851159">
      <w:marLeft w:val="0"/>
      <w:marRight w:val="0"/>
      <w:marTop w:val="120"/>
      <w:marBottom w:val="120"/>
      <w:divBdr>
        <w:top w:val="none" w:sz="0" w:space="0" w:color="auto"/>
        <w:left w:val="none" w:sz="0" w:space="0" w:color="auto"/>
        <w:bottom w:val="none" w:sz="0" w:space="0" w:color="auto"/>
        <w:right w:val="none" w:sz="0" w:space="0" w:color="auto"/>
      </w:divBdr>
    </w:div>
    <w:div w:id="157186727">
      <w:marLeft w:val="0"/>
      <w:marRight w:val="0"/>
      <w:marTop w:val="0"/>
      <w:marBottom w:val="240"/>
      <w:divBdr>
        <w:top w:val="none" w:sz="0" w:space="0" w:color="auto"/>
        <w:left w:val="none" w:sz="0" w:space="0" w:color="auto"/>
        <w:bottom w:val="none" w:sz="0" w:space="0" w:color="auto"/>
        <w:right w:val="none" w:sz="0" w:space="0" w:color="auto"/>
      </w:divBdr>
    </w:div>
    <w:div w:id="157695138">
      <w:marLeft w:val="0"/>
      <w:marRight w:val="0"/>
      <w:marTop w:val="0"/>
      <w:marBottom w:val="240"/>
      <w:divBdr>
        <w:top w:val="none" w:sz="0" w:space="0" w:color="auto"/>
        <w:left w:val="none" w:sz="0" w:space="0" w:color="auto"/>
        <w:bottom w:val="none" w:sz="0" w:space="0" w:color="auto"/>
        <w:right w:val="none" w:sz="0" w:space="0" w:color="auto"/>
      </w:divBdr>
    </w:div>
    <w:div w:id="158155762">
      <w:marLeft w:val="0"/>
      <w:marRight w:val="0"/>
      <w:marTop w:val="0"/>
      <w:marBottom w:val="0"/>
      <w:divBdr>
        <w:top w:val="none" w:sz="0" w:space="0" w:color="auto"/>
        <w:left w:val="none" w:sz="0" w:space="0" w:color="auto"/>
        <w:bottom w:val="none" w:sz="0" w:space="0" w:color="auto"/>
        <w:right w:val="none" w:sz="0" w:space="0" w:color="auto"/>
      </w:divBdr>
      <w:divsChild>
        <w:div w:id="256721017">
          <w:marLeft w:val="0"/>
          <w:marRight w:val="0"/>
          <w:marTop w:val="0"/>
          <w:marBottom w:val="0"/>
          <w:divBdr>
            <w:top w:val="none" w:sz="0" w:space="0" w:color="auto"/>
            <w:left w:val="none" w:sz="0" w:space="0" w:color="auto"/>
            <w:bottom w:val="none" w:sz="0" w:space="0" w:color="auto"/>
            <w:right w:val="none" w:sz="0" w:space="0" w:color="auto"/>
          </w:divBdr>
        </w:div>
      </w:divsChild>
    </w:div>
    <w:div w:id="159320388">
      <w:marLeft w:val="0"/>
      <w:marRight w:val="0"/>
      <w:marTop w:val="0"/>
      <w:marBottom w:val="180"/>
      <w:divBdr>
        <w:top w:val="none" w:sz="0" w:space="0" w:color="auto"/>
        <w:left w:val="none" w:sz="0" w:space="0" w:color="auto"/>
        <w:bottom w:val="none" w:sz="0" w:space="0" w:color="auto"/>
        <w:right w:val="none" w:sz="0" w:space="0" w:color="auto"/>
      </w:divBdr>
    </w:div>
    <w:div w:id="159542719">
      <w:marLeft w:val="0"/>
      <w:marRight w:val="0"/>
      <w:marTop w:val="0"/>
      <w:marBottom w:val="240"/>
      <w:divBdr>
        <w:top w:val="none" w:sz="0" w:space="0" w:color="auto"/>
        <w:left w:val="none" w:sz="0" w:space="0" w:color="auto"/>
        <w:bottom w:val="none" w:sz="0" w:space="0" w:color="auto"/>
        <w:right w:val="none" w:sz="0" w:space="0" w:color="auto"/>
      </w:divBdr>
    </w:div>
    <w:div w:id="159933667">
      <w:marLeft w:val="0"/>
      <w:marRight w:val="0"/>
      <w:marTop w:val="0"/>
      <w:marBottom w:val="0"/>
      <w:divBdr>
        <w:top w:val="none" w:sz="0" w:space="0" w:color="auto"/>
        <w:left w:val="none" w:sz="0" w:space="0" w:color="auto"/>
        <w:bottom w:val="none" w:sz="0" w:space="0" w:color="auto"/>
        <w:right w:val="none" w:sz="0" w:space="0" w:color="auto"/>
      </w:divBdr>
    </w:div>
    <w:div w:id="161358935">
      <w:marLeft w:val="0"/>
      <w:marRight w:val="0"/>
      <w:marTop w:val="0"/>
      <w:marBottom w:val="180"/>
      <w:divBdr>
        <w:top w:val="none" w:sz="0" w:space="0" w:color="auto"/>
        <w:left w:val="none" w:sz="0" w:space="0" w:color="auto"/>
        <w:bottom w:val="none" w:sz="0" w:space="0" w:color="auto"/>
        <w:right w:val="none" w:sz="0" w:space="0" w:color="auto"/>
      </w:divBdr>
    </w:div>
    <w:div w:id="161359658">
      <w:marLeft w:val="0"/>
      <w:marRight w:val="0"/>
      <w:marTop w:val="0"/>
      <w:marBottom w:val="180"/>
      <w:divBdr>
        <w:top w:val="none" w:sz="0" w:space="0" w:color="auto"/>
        <w:left w:val="none" w:sz="0" w:space="0" w:color="auto"/>
        <w:bottom w:val="none" w:sz="0" w:space="0" w:color="auto"/>
        <w:right w:val="none" w:sz="0" w:space="0" w:color="auto"/>
      </w:divBdr>
    </w:div>
    <w:div w:id="161555606">
      <w:marLeft w:val="0"/>
      <w:marRight w:val="0"/>
      <w:marTop w:val="0"/>
      <w:marBottom w:val="180"/>
      <w:divBdr>
        <w:top w:val="none" w:sz="0" w:space="0" w:color="auto"/>
        <w:left w:val="none" w:sz="0" w:space="0" w:color="auto"/>
        <w:bottom w:val="none" w:sz="0" w:space="0" w:color="auto"/>
        <w:right w:val="none" w:sz="0" w:space="0" w:color="auto"/>
      </w:divBdr>
    </w:div>
    <w:div w:id="161745815">
      <w:marLeft w:val="0"/>
      <w:marRight w:val="0"/>
      <w:marTop w:val="0"/>
      <w:marBottom w:val="180"/>
      <w:divBdr>
        <w:top w:val="none" w:sz="0" w:space="0" w:color="auto"/>
        <w:left w:val="none" w:sz="0" w:space="0" w:color="auto"/>
        <w:bottom w:val="none" w:sz="0" w:space="0" w:color="auto"/>
        <w:right w:val="none" w:sz="0" w:space="0" w:color="auto"/>
      </w:divBdr>
    </w:div>
    <w:div w:id="161899987">
      <w:marLeft w:val="0"/>
      <w:marRight w:val="0"/>
      <w:marTop w:val="0"/>
      <w:marBottom w:val="0"/>
      <w:divBdr>
        <w:top w:val="none" w:sz="0" w:space="0" w:color="auto"/>
        <w:left w:val="none" w:sz="0" w:space="0" w:color="auto"/>
        <w:bottom w:val="none" w:sz="0" w:space="0" w:color="auto"/>
        <w:right w:val="none" w:sz="0" w:space="0" w:color="auto"/>
      </w:divBdr>
    </w:div>
    <w:div w:id="164395820">
      <w:marLeft w:val="0"/>
      <w:marRight w:val="0"/>
      <w:marTop w:val="0"/>
      <w:marBottom w:val="240"/>
      <w:divBdr>
        <w:top w:val="none" w:sz="0" w:space="0" w:color="auto"/>
        <w:left w:val="none" w:sz="0" w:space="0" w:color="auto"/>
        <w:bottom w:val="none" w:sz="0" w:space="0" w:color="auto"/>
        <w:right w:val="none" w:sz="0" w:space="0" w:color="auto"/>
      </w:divBdr>
    </w:div>
    <w:div w:id="164982938">
      <w:marLeft w:val="0"/>
      <w:marRight w:val="0"/>
      <w:marTop w:val="0"/>
      <w:marBottom w:val="0"/>
      <w:divBdr>
        <w:top w:val="none" w:sz="0" w:space="0" w:color="auto"/>
        <w:left w:val="none" w:sz="0" w:space="0" w:color="auto"/>
        <w:bottom w:val="none" w:sz="0" w:space="0" w:color="auto"/>
        <w:right w:val="none" w:sz="0" w:space="0" w:color="auto"/>
      </w:divBdr>
    </w:div>
    <w:div w:id="165437356">
      <w:marLeft w:val="0"/>
      <w:marRight w:val="0"/>
      <w:marTop w:val="0"/>
      <w:marBottom w:val="240"/>
      <w:divBdr>
        <w:top w:val="none" w:sz="0" w:space="0" w:color="auto"/>
        <w:left w:val="none" w:sz="0" w:space="0" w:color="auto"/>
        <w:bottom w:val="none" w:sz="0" w:space="0" w:color="auto"/>
        <w:right w:val="none" w:sz="0" w:space="0" w:color="auto"/>
      </w:divBdr>
    </w:div>
    <w:div w:id="167451172">
      <w:marLeft w:val="0"/>
      <w:marRight w:val="0"/>
      <w:marTop w:val="180"/>
      <w:marBottom w:val="180"/>
      <w:divBdr>
        <w:top w:val="none" w:sz="0" w:space="0" w:color="auto"/>
        <w:left w:val="none" w:sz="0" w:space="0" w:color="auto"/>
        <w:bottom w:val="none" w:sz="0" w:space="0" w:color="auto"/>
        <w:right w:val="none" w:sz="0" w:space="0" w:color="auto"/>
      </w:divBdr>
    </w:div>
    <w:div w:id="168105688">
      <w:marLeft w:val="0"/>
      <w:marRight w:val="0"/>
      <w:marTop w:val="0"/>
      <w:marBottom w:val="180"/>
      <w:divBdr>
        <w:top w:val="none" w:sz="0" w:space="0" w:color="auto"/>
        <w:left w:val="none" w:sz="0" w:space="0" w:color="auto"/>
        <w:bottom w:val="none" w:sz="0" w:space="0" w:color="auto"/>
        <w:right w:val="none" w:sz="0" w:space="0" w:color="auto"/>
      </w:divBdr>
    </w:div>
    <w:div w:id="168834875">
      <w:marLeft w:val="0"/>
      <w:marRight w:val="0"/>
      <w:marTop w:val="0"/>
      <w:marBottom w:val="180"/>
      <w:divBdr>
        <w:top w:val="none" w:sz="0" w:space="0" w:color="auto"/>
        <w:left w:val="none" w:sz="0" w:space="0" w:color="auto"/>
        <w:bottom w:val="none" w:sz="0" w:space="0" w:color="auto"/>
        <w:right w:val="none" w:sz="0" w:space="0" w:color="auto"/>
      </w:divBdr>
    </w:div>
    <w:div w:id="170995232">
      <w:marLeft w:val="0"/>
      <w:marRight w:val="0"/>
      <w:marTop w:val="0"/>
      <w:marBottom w:val="0"/>
      <w:divBdr>
        <w:top w:val="none" w:sz="0" w:space="0" w:color="auto"/>
        <w:left w:val="none" w:sz="0" w:space="0" w:color="auto"/>
        <w:bottom w:val="none" w:sz="0" w:space="0" w:color="auto"/>
        <w:right w:val="none" w:sz="0" w:space="0" w:color="auto"/>
      </w:divBdr>
      <w:divsChild>
        <w:div w:id="1417825242">
          <w:marLeft w:val="0"/>
          <w:marRight w:val="0"/>
          <w:marTop w:val="0"/>
          <w:marBottom w:val="0"/>
          <w:divBdr>
            <w:top w:val="none" w:sz="0" w:space="0" w:color="auto"/>
            <w:left w:val="none" w:sz="0" w:space="0" w:color="auto"/>
            <w:bottom w:val="none" w:sz="0" w:space="0" w:color="auto"/>
            <w:right w:val="none" w:sz="0" w:space="0" w:color="auto"/>
          </w:divBdr>
        </w:div>
      </w:divsChild>
    </w:div>
    <w:div w:id="171728786">
      <w:marLeft w:val="0"/>
      <w:marRight w:val="0"/>
      <w:marTop w:val="0"/>
      <w:marBottom w:val="180"/>
      <w:divBdr>
        <w:top w:val="none" w:sz="0" w:space="0" w:color="auto"/>
        <w:left w:val="none" w:sz="0" w:space="0" w:color="auto"/>
        <w:bottom w:val="none" w:sz="0" w:space="0" w:color="auto"/>
        <w:right w:val="none" w:sz="0" w:space="0" w:color="auto"/>
      </w:divBdr>
    </w:div>
    <w:div w:id="172692348">
      <w:marLeft w:val="0"/>
      <w:marRight w:val="0"/>
      <w:marTop w:val="0"/>
      <w:marBottom w:val="0"/>
      <w:divBdr>
        <w:top w:val="none" w:sz="0" w:space="0" w:color="auto"/>
        <w:left w:val="none" w:sz="0" w:space="0" w:color="auto"/>
        <w:bottom w:val="none" w:sz="0" w:space="0" w:color="auto"/>
        <w:right w:val="none" w:sz="0" w:space="0" w:color="auto"/>
      </w:divBdr>
      <w:divsChild>
        <w:div w:id="1954631082">
          <w:marLeft w:val="0"/>
          <w:marRight w:val="0"/>
          <w:marTop w:val="0"/>
          <w:marBottom w:val="0"/>
          <w:divBdr>
            <w:top w:val="none" w:sz="0" w:space="0" w:color="auto"/>
            <w:left w:val="none" w:sz="0" w:space="0" w:color="auto"/>
            <w:bottom w:val="none" w:sz="0" w:space="0" w:color="auto"/>
            <w:right w:val="none" w:sz="0" w:space="0" w:color="auto"/>
          </w:divBdr>
        </w:div>
      </w:divsChild>
    </w:div>
    <w:div w:id="173501119">
      <w:marLeft w:val="0"/>
      <w:marRight w:val="0"/>
      <w:marTop w:val="0"/>
      <w:marBottom w:val="240"/>
      <w:divBdr>
        <w:top w:val="none" w:sz="0" w:space="0" w:color="auto"/>
        <w:left w:val="none" w:sz="0" w:space="0" w:color="auto"/>
        <w:bottom w:val="none" w:sz="0" w:space="0" w:color="auto"/>
        <w:right w:val="none" w:sz="0" w:space="0" w:color="auto"/>
      </w:divBdr>
    </w:div>
    <w:div w:id="173542389">
      <w:marLeft w:val="0"/>
      <w:marRight w:val="0"/>
      <w:marTop w:val="180"/>
      <w:marBottom w:val="180"/>
      <w:divBdr>
        <w:top w:val="none" w:sz="0" w:space="0" w:color="auto"/>
        <w:left w:val="none" w:sz="0" w:space="0" w:color="auto"/>
        <w:bottom w:val="none" w:sz="0" w:space="0" w:color="auto"/>
        <w:right w:val="none" w:sz="0" w:space="0" w:color="auto"/>
      </w:divBdr>
    </w:div>
    <w:div w:id="173810015">
      <w:marLeft w:val="0"/>
      <w:marRight w:val="0"/>
      <w:marTop w:val="0"/>
      <w:marBottom w:val="0"/>
      <w:divBdr>
        <w:top w:val="none" w:sz="0" w:space="0" w:color="auto"/>
        <w:left w:val="none" w:sz="0" w:space="0" w:color="auto"/>
        <w:bottom w:val="none" w:sz="0" w:space="0" w:color="auto"/>
        <w:right w:val="none" w:sz="0" w:space="0" w:color="auto"/>
      </w:divBdr>
    </w:div>
    <w:div w:id="175660030">
      <w:marLeft w:val="0"/>
      <w:marRight w:val="0"/>
      <w:marTop w:val="180"/>
      <w:marBottom w:val="180"/>
      <w:divBdr>
        <w:top w:val="none" w:sz="0" w:space="0" w:color="auto"/>
        <w:left w:val="none" w:sz="0" w:space="0" w:color="auto"/>
        <w:bottom w:val="none" w:sz="0" w:space="0" w:color="auto"/>
        <w:right w:val="none" w:sz="0" w:space="0" w:color="auto"/>
      </w:divBdr>
    </w:div>
    <w:div w:id="175731171">
      <w:marLeft w:val="0"/>
      <w:marRight w:val="0"/>
      <w:marTop w:val="0"/>
      <w:marBottom w:val="0"/>
      <w:divBdr>
        <w:top w:val="none" w:sz="0" w:space="0" w:color="auto"/>
        <w:left w:val="none" w:sz="0" w:space="0" w:color="auto"/>
        <w:bottom w:val="none" w:sz="0" w:space="0" w:color="auto"/>
        <w:right w:val="none" w:sz="0" w:space="0" w:color="auto"/>
      </w:divBdr>
    </w:div>
    <w:div w:id="176622313">
      <w:marLeft w:val="0"/>
      <w:marRight w:val="0"/>
      <w:marTop w:val="0"/>
      <w:marBottom w:val="240"/>
      <w:divBdr>
        <w:top w:val="none" w:sz="0" w:space="0" w:color="auto"/>
        <w:left w:val="none" w:sz="0" w:space="0" w:color="auto"/>
        <w:bottom w:val="none" w:sz="0" w:space="0" w:color="auto"/>
        <w:right w:val="none" w:sz="0" w:space="0" w:color="auto"/>
      </w:divBdr>
    </w:div>
    <w:div w:id="177282049">
      <w:marLeft w:val="0"/>
      <w:marRight w:val="0"/>
      <w:marTop w:val="0"/>
      <w:marBottom w:val="0"/>
      <w:divBdr>
        <w:top w:val="none" w:sz="0" w:space="0" w:color="auto"/>
        <w:left w:val="none" w:sz="0" w:space="0" w:color="auto"/>
        <w:bottom w:val="none" w:sz="0" w:space="0" w:color="auto"/>
        <w:right w:val="none" w:sz="0" w:space="0" w:color="auto"/>
      </w:divBdr>
      <w:divsChild>
        <w:div w:id="389185518">
          <w:marLeft w:val="0"/>
          <w:marRight w:val="0"/>
          <w:marTop w:val="0"/>
          <w:marBottom w:val="0"/>
          <w:divBdr>
            <w:top w:val="none" w:sz="0" w:space="0" w:color="auto"/>
            <w:left w:val="none" w:sz="0" w:space="0" w:color="auto"/>
            <w:bottom w:val="none" w:sz="0" w:space="0" w:color="auto"/>
            <w:right w:val="none" w:sz="0" w:space="0" w:color="auto"/>
          </w:divBdr>
        </w:div>
      </w:divsChild>
    </w:div>
    <w:div w:id="179247249">
      <w:marLeft w:val="0"/>
      <w:marRight w:val="0"/>
      <w:marTop w:val="0"/>
      <w:marBottom w:val="240"/>
      <w:divBdr>
        <w:top w:val="none" w:sz="0" w:space="0" w:color="auto"/>
        <w:left w:val="none" w:sz="0" w:space="0" w:color="auto"/>
        <w:bottom w:val="none" w:sz="0" w:space="0" w:color="auto"/>
        <w:right w:val="none" w:sz="0" w:space="0" w:color="auto"/>
      </w:divBdr>
    </w:div>
    <w:div w:id="179394665">
      <w:marLeft w:val="0"/>
      <w:marRight w:val="0"/>
      <w:marTop w:val="0"/>
      <w:marBottom w:val="180"/>
      <w:divBdr>
        <w:top w:val="none" w:sz="0" w:space="0" w:color="auto"/>
        <w:left w:val="none" w:sz="0" w:space="0" w:color="auto"/>
        <w:bottom w:val="none" w:sz="0" w:space="0" w:color="auto"/>
        <w:right w:val="none" w:sz="0" w:space="0" w:color="auto"/>
      </w:divBdr>
    </w:div>
    <w:div w:id="180097541">
      <w:marLeft w:val="0"/>
      <w:marRight w:val="0"/>
      <w:marTop w:val="0"/>
      <w:marBottom w:val="0"/>
      <w:divBdr>
        <w:top w:val="none" w:sz="0" w:space="0" w:color="auto"/>
        <w:left w:val="none" w:sz="0" w:space="0" w:color="auto"/>
        <w:bottom w:val="none" w:sz="0" w:space="0" w:color="auto"/>
        <w:right w:val="none" w:sz="0" w:space="0" w:color="auto"/>
      </w:divBdr>
      <w:divsChild>
        <w:div w:id="1295451066">
          <w:marLeft w:val="0"/>
          <w:marRight w:val="0"/>
          <w:marTop w:val="0"/>
          <w:marBottom w:val="0"/>
          <w:divBdr>
            <w:top w:val="none" w:sz="0" w:space="0" w:color="auto"/>
            <w:left w:val="none" w:sz="0" w:space="0" w:color="auto"/>
            <w:bottom w:val="none" w:sz="0" w:space="0" w:color="auto"/>
            <w:right w:val="none" w:sz="0" w:space="0" w:color="auto"/>
          </w:divBdr>
        </w:div>
      </w:divsChild>
    </w:div>
    <w:div w:id="180512138">
      <w:marLeft w:val="0"/>
      <w:marRight w:val="0"/>
      <w:marTop w:val="0"/>
      <w:marBottom w:val="180"/>
      <w:divBdr>
        <w:top w:val="none" w:sz="0" w:space="0" w:color="auto"/>
        <w:left w:val="none" w:sz="0" w:space="0" w:color="auto"/>
        <w:bottom w:val="none" w:sz="0" w:space="0" w:color="auto"/>
        <w:right w:val="none" w:sz="0" w:space="0" w:color="auto"/>
      </w:divBdr>
    </w:div>
    <w:div w:id="180631631">
      <w:marLeft w:val="0"/>
      <w:marRight w:val="0"/>
      <w:marTop w:val="120"/>
      <w:marBottom w:val="120"/>
      <w:divBdr>
        <w:top w:val="none" w:sz="0" w:space="0" w:color="auto"/>
        <w:left w:val="none" w:sz="0" w:space="0" w:color="auto"/>
        <w:bottom w:val="none" w:sz="0" w:space="0" w:color="auto"/>
        <w:right w:val="none" w:sz="0" w:space="0" w:color="auto"/>
      </w:divBdr>
    </w:div>
    <w:div w:id="181407822">
      <w:marLeft w:val="0"/>
      <w:marRight w:val="0"/>
      <w:marTop w:val="180"/>
      <w:marBottom w:val="180"/>
      <w:divBdr>
        <w:top w:val="none" w:sz="0" w:space="0" w:color="auto"/>
        <w:left w:val="none" w:sz="0" w:space="0" w:color="auto"/>
        <w:bottom w:val="none" w:sz="0" w:space="0" w:color="auto"/>
        <w:right w:val="none" w:sz="0" w:space="0" w:color="auto"/>
      </w:divBdr>
    </w:div>
    <w:div w:id="181625087">
      <w:marLeft w:val="0"/>
      <w:marRight w:val="0"/>
      <w:marTop w:val="0"/>
      <w:marBottom w:val="240"/>
      <w:divBdr>
        <w:top w:val="none" w:sz="0" w:space="0" w:color="auto"/>
        <w:left w:val="none" w:sz="0" w:space="0" w:color="auto"/>
        <w:bottom w:val="none" w:sz="0" w:space="0" w:color="auto"/>
        <w:right w:val="none" w:sz="0" w:space="0" w:color="auto"/>
      </w:divBdr>
    </w:div>
    <w:div w:id="182786414">
      <w:marLeft w:val="0"/>
      <w:marRight w:val="0"/>
      <w:marTop w:val="0"/>
      <w:marBottom w:val="0"/>
      <w:divBdr>
        <w:top w:val="none" w:sz="0" w:space="0" w:color="auto"/>
        <w:left w:val="none" w:sz="0" w:space="0" w:color="auto"/>
        <w:bottom w:val="none" w:sz="0" w:space="0" w:color="auto"/>
        <w:right w:val="none" w:sz="0" w:space="0" w:color="auto"/>
      </w:divBdr>
    </w:div>
    <w:div w:id="182867461">
      <w:marLeft w:val="0"/>
      <w:marRight w:val="0"/>
      <w:marTop w:val="0"/>
      <w:marBottom w:val="240"/>
      <w:divBdr>
        <w:top w:val="none" w:sz="0" w:space="0" w:color="auto"/>
        <w:left w:val="none" w:sz="0" w:space="0" w:color="auto"/>
        <w:bottom w:val="none" w:sz="0" w:space="0" w:color="auto"/>
        <w:right w:val="none" w:sz="0" w:space="0" w:color="auto"/>
      </w:divBdr>
    </w:div>
    <w:div w:id="183713172">
      <w:marLeft w:val="0"/>
      <w:marRight w:val="0"/>
      <w:marTop w:val="0"/>
      <w:marBottom w:val="60"/>
      <w:divBdr>
        <w:top w:val="none" w:sz="0" w:space="0" w:color="auto"/>
        <w:left w:val="none" w:sz="0" w:space="0" w:color="auto"/>
        <w:bottom w:val="none" w:sz="0" w:space="0" w:color="auto"/>
        <w:right w:val="none" w:sz="0" w:space="0" w:color="auto"/>
      </w:divBdr>
    </w:div>
    <w:div w:id="183986128">
      <w:marLeft w:val="0"/>
      <w:marRight w:val="0"/>
      <w:marTop w:val="120"/>
      <w:marBottom w:val="120"/>
      <w:divBdr>
        <w:top w:val="none" w:sz="0" w:space="0" w:color="auto"/>
        <w:left w:val="none" w:sz="0" w:space="0" w:color="auto"/>
        <w:bottom w:val="none" w:sz="0" w:space="0" w:color="auto"/>
        <w:right w:val="none" w:sz="0" w:space="0" w:color="auto"/>
      </w:divBdr>
    </w:div>
    <w:div w:id="184759338">
      <w:marLeft w:val="0"/>
      <w:marRight w:val="0"/>
      <w:marTop w:val="0"/>
      <w:marBottom w:val="240"/>
      <w:divBdr>
        <w:top w:val="none" w:sz="0" w:space="0" w:color="auto"/>
        <w:left w:val="none" w:sz="0" w:space="0" w:color="auto"/>
        <w:bottom w:val="none" w:sz="0" w:space="0" w:color="auto"/>
        <w:right w:val="none" w:sz="0" w:space="0" w:color="auto"/>
      </w:divBdr>
    </w:div>
    <w:div w:id="185757129">
      <w:marLeft w:val="0"/>
      <w:marRight w:val="0"/>
      <w:marTop w:val="0"/>
      <w:marBottom w:val="240"/>
      <w:divBdr>
        <w:top w:val="none" w:sz="0" w:space="0" w:color="auto"/>
        <w:left w:val="none" w:sz="0" w:space="0" w:color="auto"/>
        <w:bottom w:val="none" w:sz="0" w:space="0" w:color="auto"/>
        <w:right w:val="none" w:sz="0" w:space="0" w:color="auto"/>
      </w:divBdr>
    </w:div>
    <w:div w:id="186329974">
      <w:marLeft w:val="0"/>
      <w:marRight w:val="0"/>
      <w:marTop w:val="0"/>
      <w:marBottom w:val="0"/>
      <w:divBdr>
        <w:top w:val="none" w:sz="0" w:space="0" w:color="auto"/>
        <w:left w:val="none" w:sz="0" w:space="0" w:color="auto"/>
        <w:bottom w:val="none" w:sz="0" w:space="0" w:color="auto"/>
        <w:right w:val="none" w:sz="0" w:space="0" w:color="auto"/>
      </w:divBdr>
    </w:div>
    <w:div w:id="186405956">
      <w:marLeft w:val="0"/>
      <w:marRight w:val="0"/>
      <w:marTop w:val="140"/>
      <w:marBottom w:val="240"/>
      <w:divBdr>
        <w:top w:val="none" w:sz="0" w:space="0" w:color="auto"/>
        <w:left w:val="none" w:sz="0" w:space="0" w:color="auto"/>
        <w:bottom w:val="none" w:sz="0" w:space="0" w:color="auto"/>
        <w:right w:val="none" w:sz="0" w:space="0" w:color="auto"/>
      </w:divBdr>
    </w:div>
    <w:div w:id="186600901">
      <w:marLeft w:val="0"/>
      <w:marRight w:val="0"/>
      <w:marTop w:val="0"/>
      <w:marBottom w:val="0"/>
      <w:divBdr>
        <w:top w:val="none" w:sz="0" w:space="0" w:color="auto"/>
        <w:left w:val="none" w:sz="0" w:space="0" w:color="auto"/>
        <w:bottom w:val="none" w:sz="0" w:space="0" w:color="auto"/>
        <w:right w:val="none" w:sz="0" w:space="0" w:color="auto"/>
      </w:divBdr>
      <w:divsChild>
        <w:div w:id="1471166715">
          <w:marLeft w:val="0"/>
          <w:marRight w:val="0"/>
          <w:marTop w:val="0"/>
          <w:marBottom w:val="0"/>
          <w:divBdr>
            <w:top w:val="none" w:sz="0" w:space="0" w:color="auto"/>
            <w:left w:val="none" w:sz="0" w:space="0" w:color="auto"/>
            <w:bottom w:val="none" w:sz="0" w:space="0" w:color="auto"/>
            <w:right w:val="none" w:sz="0" w:space="0" w:color="auto"/>
          </w:divBdr>
        </w:div>
      </w:divsChild>
    </w:div>
    <w:div w:id="188953478">
      <w:marLeft w:val="0"/>
      <w:marRight w:val="0"/>
      <w:marTop w:val="0"/>
      <w:marBottom w:val="180"/>
      <w:divBdr>
        <w:top w:val="none" w:sz="0" w:space="0" w:color="auto"/>
        <w:left w:val="none" w:sz="0" w:space="0" w:color="auto"/>
        <w:bottom w:val="none" w:sz="0" w:space="0" w:color="auto"/>
        <w:right w:val="none" w:sz="0" w:space="0" w:color="auto"/>
      </w:divBdr>
    </w:div>
    <w:div w:id="188959077">
      <w:marLeft w:val="0"/>
      <w:marRight w:val="0"/>
      <w:marTop w:val="180"/>
      <w:marBottom w:val="180"/>
      <w:divBdr>
        <w:top w:val="none" w:sz="0" w:space="0" w:color="auto"/>
        <w:left w:val="none" w:sz="0" w:space="0" w:color="auto"/>
        <w:bottom w:val="none" w:sz="0" w:space="0" w:color="auto"/>
        <w:right w:val="none" w:sz="0" w:space="0" w:color="auto"/>
      </w:divBdr>
    </w:div>
    <w:div w:id="189682442">
      <w:marLeft w:val="0"/>
      <w:marRight w:val="0"/>
      <w:marTop w:val="0"/>
      <w:marBottom w:val="180"/>
      <w:divBdr>
        <w:top w:val="none" w:sz="0" w:space="0" w:color="auto"/>
        <w:left w:val="none" w:sz="0" w:space="0" w:color="auto"/>
        <w:bottom w:val="none" w:sz="0" w:space="0" w:color="auto"/>
        <w:right w:val="none" w:sz="0" w:space="0" w:color="auto"/>
      </w:divBdr>
    </w:div>
    <w:div w:id="190996606">
      <w:marLeft w:val="0"/>
      <w:marRight w:val="0"/>
      <w:marTop w:val="0"/>
      <w:marBottom w:val="0"/>
      <w:divBdr>
        <w:top w:val="none" w:sz="0" w:space="0" w:color="auto"/>
        <w:left w:val="none" w:sz="0" w:space="0" w:color="auto"/>
        <w:bottom w:val="none" w:sz="0" w:space="0" w:color="auto"/>
        <w:right w:val="none" w:sz="0" w:space="0" w:color="auto"/>
      </w:divBdr>
      <w:divsChild>
        <w:div w:id="2025131323">
          <w:marLeft w:val="0"/>
          <w:marRight w:val="0"/>
          <w:marTop w:val="0"/>
          <w:marBottom w:val="0"/>
          <w:divBdr>
            <w:top w:val="none" w:sz="0" w:space="0" w:color="auto"/>
            <w:left w:val="none" w:sz="0" w:space="0" w:color="auto"/>
            <w:bottom w:val="none" w:sz="0" w:space="0" w:color="auto"/>
            <w:right w:val="none" w:sz="0" w:space="0" w:color="auto"/>
          </w:divBdr>
        </w:div>
      </w:divsChild>
    </w:div>
    <w:div w:id="191843492">
      <w:marLeft w:val="0"/>
      <w:marRight w:val="0"/>
      <w:marTop w:val="0"/>
      <w:marBottom w:val="180"/>
      <w:divBdr>
        <w:top w:val="none" w:sz="0" w:space="0" w:color="auto"/>
        <w:left w:val="none" w:sz="0" w:space="0" w:color="auto"/>
        <w:bottom w:val="none" w:sz="0" w:space="0" w:color="auto"/>
        <w:right w:val="none" w:sz="0" w:space="0" w:color="auto"/>
      </w:divBdr>
    </w:div>
    <w:div w:id="191847564">
      <w:marLeft w:val="0"/>
      <w:marRight w:val="0"/>
      <w:marTop w:val="120"/>
      <w:marBottom w:val="180"/>
      <w:divBdr>
        <w:top w:val="none" w:sz="0" w:space="0" w:color="auto"/>
        <w:left w:val="none" w:sz="0" w:space="0" w:color="auto"/>
        <w:bottom w:val="none" w:sz="0" w:space="0" w:color="auto"/>
        <w:right w:val="none" w:sz="0" w:space="0" w:color="auto"/>
      </w:divBdr>
    </w:div>
    <w:div w:id="192039557">
      <w:marLeft w:val="0"/>
      <w:marRight w:val="0"/>
      <w:marTop w:val="0"/>
      <w:marBottom w:val="240"/>
      <w:divBdr>
        <w:top w:val="none" w:sz="0" w:space="0" w:color="auto"/>
        <w:left w:val="none" w:sz="0" w:space="0" w:color="auto"/>
        <w:bottom w:val="none" w:sz="0" w:space="0" w:color="auto"/>
        <w:right w:val="none" w:sz="0" w:space="0" w:color="auto"/>
      </w:divBdr>
    </w:div>
    <w:div w:id="192115772">
      <w:marLeft w:val="0"/>
      <w:marRight w:val="0"/>
      <w:marTop w:val="0"/>
      <w:marBottom w:val="180"/>
      <w:divBdr>
        <w:top w:val="none" w:sz="0" w:space="0" w:color="auto"/>
        <w:left w:val="none" w:sz="0" w:space="0" w:color="auto"/>
        <w:bottom w:val="none" w:sz="0" w:space="0" w:color="auto"/>
        <w:right w:val="none" w:sz="0" w:space="0" w:color="auto"/>
      </w:divBdr>
    </w:div>
    <w:div w:id="192889216">
      <w:marLeft w:val="0"/>
      <w:marRight w:val="0"/>
      <w:marTop w:val="180"/>
      <w:marBottom w:val="180"/>
      <w:divBdr>
        <w:top w:val="none" w:sz="0" w:space="0" w:color="auto"/>
        <w:left w:val="none" w:sz="0" w:space="0" w:color="auto"/>
        <w:bottom w:val="none" w:sz="0" w:space="0" w:color="auto"/>
        <w:right w:val="none" w:sz="0" w:space="0" w:color="auto"/>
      </w:divBdr>
    </w:div>
    <w:div w:id="193085100">
      <w:marLeft w:val="0"/>
      <w:marRight w:val="0"/>
      <w:marTop w:val="0"/>
      <w:marBottom w:val="240"/>
      <w:divBdr>
        <w:top w:val="none" w:sz="0" w:space="0" w:color="auto"/>
        <w:left w:val="none" w:sz="0" w:space="0" w:color="auto"/>
        <w:bottom w:val="none" w:sz="0" w:space="0" w:color="auto"/>
        <w:right w:val="none" w:sz="0" w:space="0" w:color="auto"/>
      </w:divBdr>
    </w:div>
    <w:div w:id="193227022">
      <w:marLeft w:val="0"/>
      <w:marRight w:val="0"/>
      <w:marTop w:val="0"/>
      <w:marBottom w:val="0"/>
      <w:divBdr>
        <w:top w:val="none" w:sz="0" w:space="0" w:color="auto"/>
        <w:left w:val="none" w:sz="0" w:space="0" w:color="auto"/>
        <w:bottom w:val="none" w:sz="0" w:space="0" w:color="auto"/>
        <w:right w:val="none" w:sz="0" w:space="0" w:color="auto"/>
      </w:divBdr>
      <w:divsChild>
        <w:div w:id="1980107163">
          <w:marLeft w:val="0"/>
          <w:marRight w:val="0"/>
          <w:marTop w:val="0"/>
          <w:marBottom w:val="0"/>
          <w:divBdr>
            <w:top w:val="none" w:sz="0" w:space="0" w:color="auto"/>
            <w:left w:val="none" w:sz="0" w:space="0" w:color="auto"/>
            <w:bottom w:val="none" w:sz="0" w:space="0" w:color="auto"/>
            <w:right w:val="none" w:sz="0" w:space="0" w:color="auto"/>
          </w:divBdr>
        </w:div>
      </w:divsChild>
    </w:div>
    <w:div w:id="193887259">
      <w:marLeft w:val="0"/>
      <w:marRight w:val="0"/>
      <w:marTop w:val="120"/>
      <w:marBottom w:val="180"/>
      <w:divBdr>
        <w:top w:val="none" w:sz="0" w:space="0" w:color="auto"/>
        <w:left w:val="none" w:sz="0" w:space="0" w:color="auto"/>
        <w:bottom w:val="none" w:sz="0" w:space="0" w:color="auto"/>
        <w:right w:val="none" w:sz="0" w:space="0" w:color="auto"/>
      </w:divBdr>
    </w:div>
    <w:div w:id="194271743">
      <w:marLeft w:val="0"/>
      <w:marRight w:val="0"/>
      <w:marTop w:val="0"/>
      <w:marBottom w:val="240"/>
      <w:divBdr>
        <w:top w:val="none" w:sz="0" w:space="0" w:color="auto"/>
        <w:left w:val="none" w:sz="0" w:space="0" w:color="auto"/>
        <w:bottom w:val="none" w:sz="0" w:space="0" w:color="auto"/>
        <w:right w:val="none" w:sz="0" w:space="0" w:color="auto"/>
      </w:divBdr>
    </w:div>
    <w:div w:id="194274781">
      <w:marLeft w:val="0"/>
      <w:marRight w:val="0"/>
      <w:marTop w:val="120"/>
      <w:marBottom w:val="120"/>
      <w:divBdr>
        <w:top w:val="none" w:sz="0" w:space="0" w:color="auto"/>
        <w:left w:val="none" w:sz="0" w:space="0" w:color="auto"/>
        <w:bottom w:val="none" w:sz="0" w:space="0" w:color="auto"/>
        <w:right w:val="none" w:sz="0" w:space="0" w:color="auto"/>
      </w:divBdr>
    </w:div>
    <w:div w:id="194345653">
      <w:marLeft w:val="0"/>
      <w:marRight w:val="0"/>
      <w:marTop w:val="0"/>
      <w:marBottom w:val="180"/>
      <w:divBdr>
        <w:top w:val="none" w:sz="0" w:space="0" w:color="auto"/>
        <w:left w:val="none" w:sz="0" w:space="0" w:color="auto"/>
        <w:bottom w:val="none" w:sz="0" w:space="0" w:color="auto"/>
        <w:right w:val="none" w:sz="0" w:space="0" w:color="auto"/>
      </w:divBdr>
    </w:div>
    <w:div w:id="195393839">
      <w:marLeft w:val="0"/>
      <w:marRight w:val="0"/>
      <w:marTop w:val="180"/>
      <w:marBottom w:val="180"/>
      <w:divBdr>
        <w:top w:val="none" w:sz="0" w:space="0" w:color="auto"/>
        <w:left w:val="none" w:sz="0" w:space="0" w:color="auto"/>
        <w:bottom w:val="none" w:sz="0" w:space="0" w:color="auto"/>
        <w:right w:val="none" w:sz="0" w:space="0" w:color="auto"/>
      </w:divBdr>
    </w:div>
    <w:div w:id="195853155">
      <w:marLeft w:val="0"/>
      <w:marRight w:val="0"/>
      <w:marTop w:val="0"/>
      <w:marBottom w:val="180"/>
      <w:divBdr>
        <w:top w:val="none" w:sz="0" w:space="0" w:color="auto"/>
        <w:left w:val="none" w:sz="0" w:space="0" w:color="auto"/>
        <w:bottom w:val="none" w:sz="0" w:space="0" w:color="auto"/>
        <w:right w:val="none" w:sz="0" w:space="0" w:color="auto"/>
      </w:divBdr>
    </w:div>
    <w:div w:id="196160726">
      <w:marLeft w:val="0"/>
      <w:marRight w:val="0"/>
      <w:marTop w:val="0"/>
      <w:marBottom w:val="240"/>
      <w:divBdr>
        <w:top w:val="none" w:sz="0" w:space="0" w:color="auto"/>
        <w:left w:val="none" w:sz="0" w:space="0" w:color="auto"/>
        <w:bottom w:val="none" w:sz="0" w:space="0" w:color="auto"/>
        <w:right w:val="none" w:sz="0" w:space="0" w:color="auto"/>
      </w:divBdr>
    </w:div>
    <w:div w:id="196621371">
      <w:marLeft w:val="0"/>
      <w:marRight w:val="0"/>
      <w:marTop w:val="0"/>
      <w:marBottom w:val="240"/>
      <w:divBdr>
        <w:top w:val="none" w:sz="0" w:space="0" w:color="auto"/>
        <w:left w:val="none" w:sz="0" w:space="0" w:color="auto"/>
        <w:bottom w:val="none" w:sz="0" w:space="0" w:color="auto"/>
        <w:right w:val="none" w:sz="0" w:space="0" w:color="auto"/>
      </w:divBdr>
    </w:div>
    <w:div w:id="197013530">
      <w:marLeft w:val="0"/>
      <w:marRight w:val="0"/>
      <w:marTop w:val="0"/>
      <w:marBottom w:val="240"/>
      <w:divBdr>
        <w:top w:val="none" w:sz="0" w:space="0" w:color="auto"/>
        <w:left w:val="none" w:sz="0" w:space="0" w:color="auto"/>
        <w:bottom w:val="none" w:sz="0" w:space="0" w:color="auto"/>
        <w:right w:val="none" w:sz="0" w:space="0" w:color="auto"/>
      </w:divBdr>
    </w:div>
    <w:div w:id="197158918">
      <w:marLeft w:val="0"/>
      <w:marRight w:val="0"/>
      <w:marTop w:val="0"/>
      <w:marBottom w:val="0"/>
      <w:divBdr>
        <w:top w:val="none" w:sz="0" w:space="0" w:color="auto"/>
        <w:left w:val="none" w:sz="0" w:space="0" w:color="auto"/>
        <w:bottom w:val="none" w:sz="0" w:space="0" w:color="auto"/>
        <w:right w:val="none" w:sz="0" w:space="0" w:color="auto"/>
      </w:divBdr>
      <w:divsChild>
        <w:div w:id="1677077247">
          <w:marLeft w:val="0"/>
          <w:marRight w:val="0"/>
          <w:marTop w:val="0"/>
          <w:marBottom w:val="0"/>
          <w:divBdr>
            <w:top w:val="none" w:sz="0" w:space="0" w:color="auto"/>
            <w:left w:val="none" w:sz="0" w:space="0" w:color="auto"/>
            <w:bottom w:val="none" w:sz="0" w:space="0" w:color="auto"/>
            <w:right w:val="none" w:sz="0" w:space="0" w:color="auto"/>
          </w:divBdr>
        </w:div>
      </w:divsChild>
    </w:div>
    <w:div w:id="198008732">
      <w:marLeft w:val="0"/>
      <w:marRight w:val="0"/>
      <w:marTop w:val="0"/>
      <w:marBottom w:val="180"/>
      <w:divBdr>
        <w:top w:val="none" w:sz="0" w:space="0" w:color="auto"/>
        <w:left w:val="none" w:sz="0" w:space="0" w:color="auto"/>
        <w:bottom w:val="none" w:sz="0" w:space="0" w:color="auto"/>
        <w:right w:val="none" w:sz="0" w:space="0" w:color="auto"/>
      </w:divBdr>
    </w:div>
    <w:div w:id="198475435">
      <w:marLeft w:val="0"/>
      <w:marRight w:val="0"/>
      <w:marTop w:val="0"/>
      <w:marBottom w:val="240"/>
      <w:divBdr>
        <w:top w:val="none" w:sz="0" w:space="0" w:color="auto"/>
        <w:left w:val="none" w:sz="0" w:space="0" w:color="auto"/>
        <w:bottom w:val="none" w:sz="0" w:space="0" w:color="auto"/>
        <w:right w:val="none" w:sz="0" w:space="0" w:color="auto"/>
      </w:divBdr>
    </w:div>
    <w:div w:id="198787751">
      <w:marLeft w:val="0"/>
      <w:marRight w:val="0"/>
      <w:marTop w:val="120"/>
      <w:marBottom w:val="120"/>
      <w:divBdr>
        <w:top w:val="none" w:sz="0" w:space="0" w:color="auto"/>
        <w:left w:val="none" w:sz="0" w:space="0" w:color="auto"/>
        <w:bottom w:val="none" w:sz="0" w:space="0" w:color="auto"/>
        <w:right w:val="none" w:sz="0" w:space="0" w:color="auto"/>
      </w:divBdr>
    </w:div>
    <w:div w:id="199098481">
      <w:marLeft w:val="0"/>
      <w:marRight w:val="0"/>
      <w:marTop w:val="0"/>
      <w:marBottom w:val="0"/>
      <w:divBdr>
        <w:top w:val="none" w:sz="0" w:space="0" w:color="auto"/>
        <w:left w:val="none" w:sz="0" w:space="0" w:color="auto"/>
        <w:bottom w:val="none" w:sz="0" w:space="0" w:color="auto"/>
        <w:right w:val="none" w:sz="0" w:space="0" w:color="auto"/>
      </w:divBdr>
    </w:div>
    <w:div w:id="199123741">
      <w:marLeft w:val="0"/>
      <w:marRight w:val="0"/>
      <w:marTop w:val="0"/>
      <w:marBottom w:val="180"/>
      <w:divBdr>
        <w:top w:val="none" w:sz="0" w:space="0" w:color="auto"/>
        <w:left w:val="none" w:sz="0" w:space="0" w:color="auto"/>
        <w:bottom w:val="none" w:sz="0" w:space="0" w:color="auto"/>
        <w:right w:val="none" w:sz="0" w:space="0" w:color="auto"/>
      </w:divBdr>
    </w:div>
    <w:div w:id="199705439">
      <w:marLeft w:val="0"/>
      <w:marRight w:val="0"/>
      <w:marTop w:val="0"/>
      <w:marBottom w:val="240"/>
      <w:divBdr>
        <w:top w:val="none" w:sz="0" w:space="0" w:color="auto"/>
        <w:left w:val="none" w:sz="0" w:space="0" w:color="auto"/>
        <w:bottom w:val="none" w:sz="0" w:space="0" w:color="auto"/>
        <w:right w:val="none" w:sz="0" w:space="0" w:color="auto"/>
      </w:divBdr>
    </w:div>
    <w:div w:id="199897648">
      <w:marLeft w:val="0"/>
      <w:marRight w:val="0"/>
      <w:marTop w:val="0"/>
      <w:marBottom w:val="0"/>
      <w:divBdr>
        <w:top w:val="none" w:sz="0" w:space="0" w:color="auto"/>
        <w:left w:val="none" w:sz="0" w:space="0" w:color="auto"/>
        <w:bottom w:val="none" w:sz="0" w:space="0" w:color="auto"/>
        <w:right w:val="none" w:sz="0" w:space="0" w:color="auto"/>
      </w:divBdr>
      <w:divsChild>
        <w:div w:id="2039234817">
          <w:marLeft w:val="0"/>
          <w:marRight w:val="0"/>
          <w:marTop w:val="0"/>
          <w:marBottom w:val="0"/>
          <w:divBdr>
            <w:top w:val="none" w:sz="0" w:space="0" w:color="auto"/>
            <w:left w:val="none" w:sz="0" w:space="0" w:color="auto"/>
            <w:bottom w:val="none" w:sz="0" w:space="0" w:color="auto"/>
            <w:right w:val="none" w:sz="0" w:space="0" w:color="auto"/>
          </w:divBdr>
        </w:div>
        <w:div w:id="1899826374">
          <w:marLeft w:val="0"/>
          <w:marRight w:val="0"/>
          <w:marTop w:val="0"/>
          <w:marBottom w:val="0"/>
          <w:divBdr>
            <w:top w:val="none" w:sz="0" w:space="0" w:color="auto"/>
            <w:left w:val="none" w:sz="0" w:space="0" w:color="auto"/>
            <w:bottom w:val="none" w:sz="0" w:space="0" w:color="auto"/>
            <w:right w:val="none" w:sz="0" w:space="0" w:color="auto"/>
          </w:divBdr>
        </w:div>
      </w:divsChild>
    </w:div>
    <w:div w:id="200020648">
      <w:marLeft w:val="0"/>
      <w:marRight w:val="0"/>
      <w:marTop w:val="0"/>
      <w:marBottom w:val="240"/>
      <w:divBdr>
        <w:top w:val="none" w:sz="0" w:space="0" w:color="auto"/>
        <w:left w:val="none" w:sz="0" w:space="0" w:color="auto"/>
        <w:bottom w:val="none" w:sz="0" w:space="0" w:color="auto"/>
        <w:right w:val="none" w:sz="0" w:space="0" w:color="auto"/>
      </w:divBdr>
    </w:div>
    <w:div w:id="201401058">
      <w:marLeft w:val="0"/>
      <w:marRight w:val="0"/>
      <w:marTop w:val="0"/>
      <w:marBottom w:val="240"/>
      <w:divBdr>
        <w:top w:val="none" w:sz="0" w:space="0" w:color="auto"/>
        <w:left w:val="none" w:sz="0" w:space="0" w:color="auto"/>
        <w:bottom w:val="none" w:sz="0" w:space="0" w:color="auto"/>
        <w:right w:val="none" w:sz="0" w:space="0" w:color="auto"/>
      </w:divBdr>
    </w:div>
    <w:div w:id="202791002">
      <w:marLeft w:val="0"/>
      <w:marRight w:val="0"/>
      <w:marTop w:val="0"/>
      <w:marBottom w:val="0"/>
      <w:divBdr>
        <w:top w:val="none" w:sz="0" w:space="0" w:color="auto"/>
        <w:left w:val="none" w:sz="0" w:space="0" w:color="auto"/>
        <w:bottom w:val="none" w:sz="0" w:space="0" w:color="auto"/>
        <w:right w:val="none" w:sz="0" w:space="0" w:color="auto"/>
      </w:divBdr>
    </w:div>
    <w:div w:id="202838019">
      <w:marLeft w:val="0"/>
      <w:marRight w:val="0"/>
      <w:marTop w:val="0"/>
      <w:marBottom w:val="0"/>
      <w:divBdr>
        <w:top w:val="none" w:sz="0" w:space="0" w:color="auto"/>
        <w:left w:val="none" w:sz="0" w:space="0" w:color="auto"/>
        <w:bottom w:val="none" w:sz="0" w:space="0" w:color="auto"/>
        <w:right w:val="none" w:sz="0" w:space="0" w:color="auto"/>
      </w:divBdr>
    </w:div>
    <w:div w:id="203055652">
      <w:marLeft w:val="0"/>
      <w:marRight w:val="0"/>
      <w:marTop w:val="0"/>
      <w:marBottom w:val="0"/>
      <w:divBdr>
        <w:top w:val="none" w:sz="0" w:space="0" w:color="auto"/>
        <w:left w:val="none" w:sz="0" w:space="0" w:color="auto"/>
        <w:bottom w:val="none" w:sz="0" w:space="0" w:color="auto"/>
        <w:right w:val="none" w:sz="0" w:space="0" w:color="auto"/>
      </w:divBdr>
      <w:divsChild>
        <w:div w:id="540900528">
          <w:marLeft w:val="0"/>
          <w:marRight w:val="0"/>
          <w:marTop w:val="0"/>
          <w:marBottom w:val="0"/>
          <w:divBdr>
            <w:top w:val="none" w:sz="0" w:space="0" w:color="auto"/>
            <w:left w:val="none" w:sz="0" w:space="0" w:color="auto"/>
            <w:bottom w:val="none" w:sz="0" w:space="0" w:color="auto"/>
            <w:right w:val="none" w:sz="0" w:space="0" w:color="auto"/>
          </w:divBdr>
        </w:div>
      </w:divsChild>
    </w:div>
    <w:div w:id="203640499">
      <w:marLeft w:val="0"/>
      <w:marRight w:val="0"/>
      <w:marTop w:val="0"/>
      <w:marBottom w:val="180"/>
      <w:divBdr>
        <w:top w:val="none" w:sz="0" w:space="0" w:color="auto"/>
        <w:left w:val="none" w:sz="0" w:space="0" w:color="auto"/>
        <w:bottom w:val="none" w:sz="0" w:space="0" w:color="auto"/>
        <w:right w:val="none" w:sz="0" w:space="0" w:color="auto"/>
      </w:divBdr>
    </w:div>
    <w:div w:id="204803755">
      <w:marLeft w:val="0"/>
      <w:marRight w:val="0"/>
      <w:marTop w:val="0"/>
      <w:marBottom w:val="240"/>
      <w:divBdr>
        <w:top w:val="none" w:sz="0" w:space="0" w:color="auto"/>
        <w:left w:val="none" w:sz="0" w:space="0" w:color="auto"/>
        <w:bottom w:val="none" w:sz="0" w:space="0" w:color="auto"/>
        <w:right w:val="none" w:sz="0" w:space="0" w:color="auto"/>
      </w:divBdr>
    </w:div>
    <w:div w:id="207184549">
      <w:marLeft w:val="0"/>
      <w:marRight w:val="0"/>
      <w:marTop w:val="340"/>
      <w:marBottom w:val="0"/>
      <w:divBdr>
        <w:top w:val="none" w:sz="0" w:space="0" w:color="auto"/>
        <w:left w:val="none" w:sz="0" w:space="0" w:color="auto"/>
        <w:bottom w:val="none" w:sz="0" w:space="0" w:color="auto"/>
        <w:right w:val="none" w:sz="0" w:space="0" w:color="auto"/>
      </w:divBdr>
    </w:div>
    <w:div w:id="207298774">
      <w:marLeft w:val="0"/>
      <w:marRight w:val="0"/>
      <w:marTop w:val="0"/>
      <w:marBottom w:val="0"/>
      <w:divBdr>
        <w:top w:val="none" w:sz="0" w:space="0" w:color="auto"/>
        <w:left w:val="none" w:sz="0" w:space="0" w:color="auto"/>
        <w:bottom w:val="none" w:sz="0" w:space="0" w:color="auto"/>
        <w:right w:val="none" w:sz="0" w:space="0" w:color="auto"/>
      </w:divBdr>
      <w:divsChild>
        <w:div w:id="1093432689">
          <w:marLeft w:val="0"/>
          <w:marRight w:val="0"/>
          <w:marTop w:val="0"/>
          <w:marBottom w:val="0"/>
          <w:divBdr>
            <w:top w:val="none" w:sz="0" w:space="0" w:color="auto"/>
            <w:left w:val="none" w:sz="0" w:space="0" w:color="auto"/>
            <w:bottom w:val="none" w:sz="0" w:space="0" w:color="auto"/>
            <w:right w:val="none" w:sz="0" w:space="0" w:color="auto"/>
          </w:divBdr>
        </w:div>
      </w:divsChild>
    </w:div>
    <w:div w:id="207305290">
      <w:marLeft w:val="0"/>
      <w:marRight w:val="0"/>
      <w:marTop w:val="0"/>
      <w:marBottom w:val="240"/>
      <w:divBdr>
        <w:top w:val="none" w:sz="0" w:space="0" w:color="auto"/>
        <w:left w:val="none" w:sz="0" w:space="0" w:color="auto"/>
        <w:bottom w:val="none" w:sz="0" w:space="0" w:color="auto"/>
        <w:right w:val="none" w:sz="0" w:space="0" w:color="auto"/>
      </w:divBdr>
    </w:div>
    <w:div w:id="207764880">
      <w:marLeft w:val="0"/>
      <w:marRight w:val="0"/>
      <w:marTop w:val="0"/>
      <w:marBottom w:val="240"/>
      <w:divBdr>
        <w:top w:val="none" w:sz="0" w:space="0" w:color="auto"/>
        <w:left w:val="none" w:sz="0" w:space="0" w:color="auto"/>
        <w:bottom w:val="none" w:sz="0" w:space="0" w:color="auto"/>
        <w:right w:val="none" w:sz="0" w:space="0" w:color="auto"/>
      </w:divBdr>
    </w:div>
    <w:div w:id="208956201">
      <w:marLeft w:val="0"/>
      <w:marRight w:val="0"/>
      <w:marTop w:val="0"/>
      <w:marBottom w:val="180"/>
      <w:divBdr>
        <w:top w:val="none" w:sz="0" w:space="0" w:color="auto"/>
        <w:left w:val="none" w:sz="0" w:space="0" w:color="auto"/>
        <w:bottom w:val="none" w:sz="0" w:space="0" w:color="auto"/>
        <w:right w:val="none" w:sz="0" w:space="0" w:color="auto"/>
      </w:divBdr>
    </w:div>
    <w:div w:id="210460405">
      <w:marLeft w:val="0"/>
      <w:marRight w:val="0"/>
      <w:marTop w:val="0"/>
      <w:marBottom w:val="240"/>
      <w:divBdr>
        <w:top w:val="none" w:sz="0" w:space="0" w:color="auto"/>
        <w:left w:val="none" w:sz="0" w:space="0" w:color="auto"/>
        <w:bottom w:val="none" w:sz="0" w:space="0" w:color="auto"/>
        <w:right w:val="none" w:sz="0" w:space="0" w:color="auto"/>
      </w:divBdr>
    </w:div>
    <w:div w:id="210730599">
      <w:marLeft w:val="0"/>
      <w:marRight w:val="0"/>
      <w:marTop w:val="0"/>
      <w:marBottom w:val="240"/>
      <w:divBdr>
        <w:top w:val="none" w:sz="0" w:space="0" w:color="auto"/>
        <w:left w:val="none" w:sz="0" w:space="0" w:color="auto"/>
        <w:bottom w:val="none" w:sz="0" w:space="0" w:color="auto"/>
        <w:right w:val="none" w:sz="0" w:space="0" w:color="auto"/>
      </w:divBdr>
    </w:div>
    <w:div w:id="211113745">
      <w:marLeft w:val="0"/>
      <w:marRight w:val="0"/>
      <w:marTop w:val="0"/>
      <w:marBottom w:val="0"/>
      <w:divBdr>
        <w:top w:val="none" w:sz="0" w:space="0" w:color="auto"/>
        <w:left w:val="none" w:sz="0" w:space="0" w:color="auto"/>
        <w:bottom w:val="none" w:sz="0" w:space="0" w:color="auto"/>
        <w:right w:val="none" w:sz="0" w:space="0" w:color="auto"/>
      </w:divBdr>
    </w:div>
    <w:div w:id="214046582">
      <w:marLeft w:val="0"/>
      <w:marRight w:val="0"/>
      <w:marTop w:val="0"/>
      <w:marBottom w:val="240"/>
      <w:divBdr>
        <w:top w:val="none" w:sz="0" w:space="0" w:color="auto"/>
        <w:left w:val="none" w:sz="0" w:space="0" w:color="auto"/>
        <w:bottom w:val="none" w:sz="0" w:space="0" w:color="auto"/>
        <w:right w:val="none" w:sz="0" w:space="0" w:color="auto"/>
      </w:divBdr>
    </w:div>
    <w:div w:id="214050392">
      <w:marLeft w:val="0"/>
      <w:marRight w:val="0"/>
      <w:marTop w:val="0"/>
      <w:marBottom w:val="240"/>
      <w:divBdr>
        <w:top w:val="none" w:sz="0" w:space="0" w:color="auto"/>
        <w:left w:val="none" w:sz="0" w:space="0" w:color="auto"/>
        <w:bottom w:val="none" w:sz="0" w:space="0" w:color="auto"/>
        <w:right w:val="none" w:sz="0" w:space="0" w:color="auto"/>
      </w:divBdr>
    </w:div>
    <w:div w:id="214509903">
      <w:marLeft w:val="0"/>
      <w:marRight w:val="0"/>
      <w:marTop w:val="0"/>
      <w:marBottom w:val="180"/>
      <w:divBdr>
        <w:top w:val="none" w:sz="0" w:space="0" w:color="auto"/>
        <w:left w:val="none" w:sz="0" w:space="0" w:color="auto"/>
        <w:bottom w:val="none" w:sz="0" w:space="0" w:color="auto"/>
        <w:right w:val="none" w:sz="0" w:space="0" w:color="auto"/>
      </w:divBdr>
    </w:div>
    <w:div w:id="216013671">
      <w:marLeft w:val="0"/>
      <w:marRight w:val="0"/>
      <w:marTop w:val="100"/>
      <w:marBottom w:val="0"/>
      <w:divBdr>
        <w:top w:val="none" w:sz="0" w:space="0" w:color="auto"/>
        <w:left w:val="none" w:sz="0" w:space="0" w:color="auto"/>
        <w:bottom w:val="none" w:sz="0" w:space="0" w:color="auto"/>
        <w:right w:val="none" w:sz="0" w:space="0" w:color="auto"/>
      </w:divBdr>
    </w:div>
    <w:div w:id="216357383">
      <w:marLeft w:val="0"/>
      <w:marRight w:val="0"/>
      <w:marTop w:val="0"/>
      <w:marBottom w:val="0"/>
      <w:divBdr>
        <w:top w:val="none" w:sz="0" w:space="0" w:color="auto"/>
        <w:left w:val="none" w:sz="0" w:space="0" w:color="auto"/>
        <w:bottom w:val="none" w:sz="0" w:space="0" w:color="auto"/>
        <w:right w:val="none" w:sz="0" w:space="0" w:color="auto"/>
      </w:divBdr>
      <w:divsChild>
        <w:div w:id="1230767865">
          <w:marLeft w:val="0"/>
          <w:marRight w:val="0"/>
          <w:marTop w:val="0"/>
          <w:marBottom w:val="0"/>
          <w:divBdr>
            <w:top w:val="none" w:sz="0" w:space="0" w:color="auto"/>
            <w:left w:val="none" w:sz="0" w:space="0" w:color="auto"/>
            <w:bottom w:val="none" w:sz="0" w:space="0" w:color="auto"/>
            <w:right w:val="none" w:sz="0" w:space="0" w:color="auto"/>
          </w:divBdr>
        </w:div>
      </w:divsChild>
    </w:div>
    <w:div w:id="216818888">
      <w:marLeft w:val="0"/>
      <w:marRight w:val="0"/>
      <w:marTop w:val="0"/>
      <w:marBottom w:val="0"/>
      <w:divBdr>
        <w:top w:val="none" w:sz="0" w:space="0" w:color="auto"/>
        <w:left w:val="none" w:sz="0" w:space="0" w:color="auto"/>
        <w:bottom w:val="none" w:sz="0" w:space="0" w:color="auto"/>
        <w:right w:val="none" w:sz="0" w:space="0" w:color="auto"/>
      </w:divBdr>
    </w:div>
    <w:div w:id="217473712">
      <w:marLeft w:val="0"/>
      <w:marRight w:val="0"/>
      <w:marTop w:val="120"/>
      <w:marBottom w:val="180"/>
      <w:divBdr>
        <w:top w:val="none" w:sz="0" w:space="0" w:color="auto"/>
        <w:left w:val="none" w:sz="0" w:space="0" w:color="auto"/>
        <w:bottom w:val="none" w:sz="0" w:space="0" w:color="auto"/>
        <w:right w:val="none" w:sz="0" w:space="0" w:color="auto"/>
      </w:divBdr>
    </w:div>
    <w:div w:id="218590089">
      <w:marLeft w:val="0"/>
      <w:marRight w:val="0"/>
      <w:marTop w:val="180"/>
      <w:marBottom w:val="180"/>
      <w:divBdr>
        <w:top w:val="none" w:sz="0" w:space="0" w:color="auto"/>
        <w:left w:val="none" w:sz="0" w:space="0" w:color="auto"/>
        <w:bottom w:val="none" w:sz="0" w:space="0" w:color="auto"/>
        <w:right w:val="none" w:sz="0" w:space="0" w:color="auto"/>
      </w:divBdr>
    </w:div>
    <w:div w:id="218981204">
      <w:marLeft w:val="0"/>
      <w:marRight w:val="0"/>
      <w:marTop w:val="0"/>
      <w:marBottom w:val="240"/>
      <w:divBdr>
        <w:top w:val="none" w:sz="0" w:space="0" w:color="auto"/>
        <w:left w:val="none" w:sz="0" w:space="0" w:color="auto"/>
        <w:bottom w:val="none" w:sz="0" w:space="0" w:color="auto"/>
        <w:right w:val="none" w:sz="0" w:space="0" w:color="auto"/>
      </w:divBdr>
    </w:div>
    <w:div w:id="219096977">
      <w:marLeft w:val="0"/>
      <w:marRight w:val="0"/>
      <w:marTop w:val="0"/>
      <w:marBottom w:val="240"/>
      <w:divBdr>
        <w:top w:val="none" w:sz="0" w:space="0" w:color="auto"/>
        <w:left w:val="none" w:sz="0" w:space="0" w:color="auto"/>
        <w:bottom w:val="none" w:sz="0" w:space="0" w:color="auto"/>
        <w:right w:val="none" w:sz="0" w:space="0" w:color="auto"/>
      </w:divBdr>
    </w:div>
    <w:div w:id="220214516">
      <w:marLeft w:val="0"/>
      <w:marRight w:val="0"/>
      <w:marTop w:val="180"/>
      <w:marBottom w:val="180"/>
      <w:divBdr>
        <w:top w:val="none" w:sz="0" w:space="0" w:color="auto"/>
        <w:left w:val="none" w:sz="0" w:space="0" w:color="auto"/>
        <w:bottom w:val="none" w:sz="0" w:space="0" w:color="auto"/>
        <w:right w:val="none" w:sz="0" w:space="0" w:color="auto"/>
      </w:divBdr>
    </w:div>
    <w:div w:id="221252924">
      <w:marLeft w:val="0"/>
      <w:marRight w:val="0"/>
      <w:marTop w:val="0"/>
      <w:marBottom w:val="0"/>
      <w:divBdr>
        <w:top w:val="none" w:sz="0" w:space="0" w:color="auto"/>
        <w:left w:val="none" w:sz="0" w:space="0" w:color="auto"/>
        <w:bottom w:val="none" w:sz="0" w:space="0" w:color="auto"/>
        <w:right w:val="none" w:sz="0" w:space="0" w:color="auto"/>
      </w:divBdr>
    </w:div>
    <w:div w:id="223180986">
      <w:marLeft w:val="0"/>
      <w:marRight w:val="0"/>
      <w:marTop w:val="0"/>
      <w:marBottom w:val="240"/>
      <w:divBdr>
        <w:top w:val="none" w:sz="0" w:space="0" w:color="auto"/>
        <w:left w:val="none" w:sz="0" w:space="0" w:color="auto"/>
        <w:bottom w:val="none" w:sz="0" w:space="0" w:color="auto"/>
        <w:right w:val="none" w:sz="0" w:space="0" w:color="auto"/>
      </w:divBdr>
    </w:div>
    <w:div w:id="223181106">
      <w:marLeft w:val="0"/>
      <w:marRight w:val="0"/>
      <w:marTop w:val="0"/>
      <w:marBottom w:val="240"/>
      <w:divBdr>
        <w:top w:val="none" w:sz="0" w:space="0" w:color="auto"/>
        <w:left w:val="none" w:sz="0" w:space="0" w:color="auto"/>
        <w:bottom w:val="none" w:sz="0" w:space="0" w:color="auto"/>
        <w:right w:val="none" w:sz="0" w:space="0" w:color="auto"/>
      </w:divBdr>
    </w:div>
    <w:div w:id="225189913">
      <w:marLeft w:val="0"/>
      <w:marRight w:val="0"/>
      <w:marTop w:val="0"/>
      <w:marBottom w:val="0"/>
      <w:divBdr>
        <w:top w:val="none" w:sz="0" w:space="0" w:color="auto"/>
        <w:left w:val="none" w:sz="0" w:space="0" w:color="auto"/>
        <w:bottom w:val="none" w:sz="0" w:space="0" w:color="auto"/>
        <w:right w:val="none" w:sz="0" w:space="0" w:color="auto"/>
      </w:divBdr>
      <w:divsChild>
        <w:div w:id="1920746754">
          <w:marLeft w:val="0"/>
          <w:marRight w:val="0"/>
          <w:marTop w:val="0"/>
          <w:marBottom w:val="0"/>
          <w:divBdr>
            <w:top w:val="none" w:sz="0" w:space="0" w:color="auto"/>
            <w:left w:val="none" w:sz="0" w:space="0" w:color="auto"/>
            <w:bottom w:val="none" w:sz="0" w:space="0" w:color="auto"/>
            <w:right w:val="none" w:sz="0" w:space="0" w:color="auto"/>
          </w:divBdr>
        </w:div>
      </w:divsChild>
    </w:div>
    <w:div w:id="225338136">
      <w:marLeft w:val="0"/>
      <w:marRight w:val="0"/>
      <w:marTop w:val="0"/>
      <w:marBottom w:val="180"/>
      <w:divBdr>
        <w:top w:val="none" w:sz="0" w:space="0" w:color="auto"/>
        <w:left w:val="none" w:sz="0" w:space="0" w:color="auto"/>
        <w:bottom w:val="none" w:sz="0" w:space="0" w:color="auto"/>
        <w:right w:val="none" w:sz="0" w:space="0" w:color="auto"/>
      </w:divBdr>
    </w:div>
    <w:div w:id="225991367">
      <w:marLeft w:val="0"/>
      <w:marRight w:val="0"/>
      <w:marTop w:val="180"/>
      <w:marBottom w:val="180"/>
      <w:divBdr>
        <w:top w:val="none" w:sz="0" w:space="0" w:color="auto"/>
        <w:left w:val="none" w:sz="0" w:space="0" w:color="auto"/>
        <w:bottom w:val="none" w:sz="0" w:space="0" w:color="auto"/>
        <w:right w:val="none" w:sz="0" w:space="0" w:color="auto"/>
      </w:divBdr>
    </w:div>
    <w:div w:id="226576999">
      <w:marLeft w:val="0"/>
      <w:marRight w:val="0"/>
      <w:marTop w:val="0"/>
      <w:marBottom w:val="240"/>
      <w:divBdr>
        <w:top w:val="none" w:sz="0" w:space="0" w:color="auto"/>
        <w:left w:val="none" w:sz="0" w:space="0" w:color="auto"/>
        <w:bottom w:val="none" w:sz="0" w:space="0" w:color="auto"/>
        <w:right w:val="none" w:sz="0" w:space="0" w:color="auto"/>
      </w:divBdr>
    </w:div>
    <w:div w:id="226888999">
      <w:marLeft w:val="0"/>
      <w:marRight w:val="0"/>
      <w:marTop w:val="120"/>
      <w:marBottom w:val="120"/>
      <w:divBdr>
        <w:top w:val="none" w:sz="0" w:space="0" w:color="auto"/>
        <w:left w:val="none" w:sz="0" w:space="0" w:color="auto"/>
        <w:bottom w:val="none" w:sz="0" w:space="0" w:color="auto"/>
        <w:right w:val="none" w:sz="0" w:space="0" w:color="auto"/>
      </w:divBdr>
    </w:div>
    <w:div w:id="228197339">
      <w:marLeft w:val="0"/>
      <w:marRight w:val="0"/>
      <w:marTop w:val="0"/>
      <w:marBottom w:val="180"/>
      <w:divBdr>
        <w:top w:val="none" w:sz="0" w:space="0" w:color="auto"/>
        <w:left w:val="none" w:sz="0" w:space="0" w:color="auto"/>
        <w:bottom w:val="none" w:sz="0" w:space="0" w:color="auto"/>
        <w:right w:val="none" w:sz="0" w:space="0" w:color="auto"/>
      </w:divBdr>
    </w:div>
    <w:div w:id="228462333">
      <w:marLeft w:val="0"/>
      <w:marRight w:val="0"/>
      <w:marTop w:val="0"/>
      <w:marBottom w:val="180"/>
      <w:divBdr>
        <w:top w:val="none" w:sz="0" w:space="0" w:color="auto"/>
        <w:left w:val="none" w:sz="0" w:space="0" w:color="auto"/>
        <w:bottom w:val="none" w:sz="0" w:space="0" w:color="auto"/>
        <w:right w:val="none" w:sz="0" w:space="0" w:color="auto"/>
      </w:divBdr>
    </w:div>
    <w:div w:id="228544322">
      <w:marLeft w:val="0"/>
      <w:marRight w:val="0"/>
      <w:marTop w:val="0"/>
      <w:marBottom w:val="0"/>
      <w:divBdr>
        <w:top w:val="none" w:sz="0" w:space="0" w:color="auto"/>
        <w:left w:val="none" w:sz="0" w:space="0" w:color="auto"/>
        <w:bottom w:val="none" w:sz="0" w:space="0" w:color="auto"/>
        <w:right w:val="none" w:sz="0" w:space="0" w:color="auto"/>
      </w:divBdr>
      <w:divsChild>
        <w:div w:id="1430660522">
          <w:marLeft w:val="0"/>
          <w:marRight w:val="0"/>
          <w:marTop w:val="0"/>
          <w:marBottom w:val="0"/>
          <w:divBdr>
            <w:top w:val="none" w:sz="0" w:space="0" w:color="auto"/>
            <w:left w:val="none" w:sz="0" w:space="0" w:color="auto"/>
            <w:bottom w:val="none" w:sz="0" w:space="0" w:color="auto"/>
            <w:right w:val="none" w:sz="0" w:space="0" w:color="auto"/>
          </w:divBdr>
        </w:div>
      </w:divsChild>
    </w:div>
    <w:div w:id="231476125">
      <w:marLeft w:val="0"/>
      <w:marRight w:val="0"/>
      <w:marTop w:val="0"/>
      <w:marBottom w:val="0"/>
      <w:divBdr>
        <w:top w:val="none" w:sz="0" w:space="0" w:color="auto"/>
        <w:left w:val="none" w:sz="0" w:space="0" w:color="auto"/>
        <w:bottom w:val="none" w:sz="0" w:space="0" w:color="auto"/>
        <w:right w:val="none" w:sz="0" w:space="0" w:color="auto"/>
      </w:divBdr>
      <w:divsChild>
        <w:div w:id="360057917">
          <w:marLeft w:val="0"/>
          <w:marRight w:val="0"/>
          <w:marTop w:val="0"/>
          <w:marBottom w:val="0"/>
          <w:divBdr>
            <w:top w:val="none" w:sz="0" w:space="0" w:color="auto"/>
            <w:left w:val="none" w:sz="0" w:space="0" w:color="auto"/>
            <w:bottom w:val="none" w:sz="0" w:space="0" w:color="auto"/>
            <w:right w:val="none" w:sz="0" w:space="0" w:color="auto"/>
          </w:divBdr>
        </w:div>
      </w:divsChild>
    </w:div>
    <w:div w:id="233663136">
      <w:marLeft w:val="0"/>
      <w:marRight w:val="0"/>
      <w:marTop w:val="180"/>
      <w:marBottom w:val="180"/>
      <w:divBdr>
        <w:top w:val="none" w:sz="0" w:space="0" w:color="auto"/>
        <w:left w:val="none" w:sz="0" w:space="0" w:color="auto"/>
        <w:bottom w:val="none" w:sz="0" w:space="0" w:color="auto"/>
        <w:right w:val="none" w:sz="0" w:space="0" w:color="auto"/>
      </w:divBdr>
    </w:div>
    <w:div w:id="233703517">
      <w:marLeft w:val="0"/>
      <w:marRight w:val="0"/>
      <w:marTop w:val="0"/>
      <w:marBottom w:val="0"/>
      <w:divBdr>
        <w:top w:val="none" w:sz="0" w:space="0" w:color="auto"/>
        <w:left w:val="none" w:sz="0" w:space="0" w:color="auto"/>
        <w:bottom w:val="none" w:sz="0" w:space="0" w:color="auto"/>
        <w:right w:val="none" w:sz="0" w:space="0" w:color="auto"/>
      </w:divBdr>
      <w:divsChild>
        <w:div w:id="1855072339">
          <w:marLeft w:val="0"/>
          <w:marRight w:val="0"/>
          <w:marTop w:val="0"/>
          <w:marBottom w:val="0"/>
          <w:divBdr>
            <w:top w:val="none" w:sz="0" w:space="0" w:color="auto"/>
            <w:left w:val="none" w:sz="0" w:space="0" w:color="auto"/>
            <w:bottom w:val="none" w:sz="0" w:space="0" w:color="auto"/>
            <w:right w:val="none" w:sz="0" w:space="0" w:color="auto"/>
          </w:divBdr>
        </w:div>
      </w:divsChild>
    </w:div>
    <w:div w:id="235865390">
      <w:marLeft w:val="0"/>
      <w:marRight w:val="0"/>
      <w:marTop w:val="0"/>
      <w:marBottom w:val="0"/>
      <w:divBdr>
        <w:top w:val="none" w:sz="0" w:space="0" w:color="auto"/>
        <w:left w:val="none" w:sz="0" w:space="0" w:color="auto"/>
        <w:bottom w:val="none" w:sz="0" w:space="0" w:color="auto"/>
        <w:right w:val="none" w:sz="0" w:space="0" w:color="auto"/>
      </w:divBdr>
    </w:div>
    <w:div w:id="236213301">
      <w:marLeft w:val="0"/>
      <w:marRight w:val="0"/>
      <w:marTop w:val="180"/>
      <w:marBottom w:val="180"/>
      <w:divBdr>
        <w:top w:val="none" w:sz="0" w:space="0" w:color="auto"/>
        <w:left w:val="none" w:sz="0" w:space="0" w:color="auto"/>
        <w:bottom w:val="none" w:sz="0" w:space="0" w:color="auto"/>
        <w:right w:val="none" w:sz="0" w:space="0" w:color="auto"/>
      </w:divBdr>
    </w:div>
    <w:div w:id="238951927">
      <w:marLeft w:val="0"/>
      <w:marRight w:val="0"/>
      <w:marTop w:val="0"/>
      <w:marBottom w:val="240"/>
      <w:divBdr>
        <w:top w:val="none" w:sz="0" w:space="0" w:color="auto"/>
        <w:left w:val="none" w:sz="0" w:space="0" w:color="auto"/>
        <w:bottom w:val="none" w:sz="0" w:space="0" w:color="auto"/>
        <w:right w:val="none" w:sz="0" w:space="0" w:color="auto"/>
      </w:divBdr>
    </w:div>
    <w:div w:id="239220677">
      <w:marLeft w:val="0"/>
      <w:marRight w:val="0"/>
      <w:marTop w:val="0"/>
      <w:marBottom w:val="180"/>
      <w:divBdr>
        <w:top w:val="none" w:sz="0" w:space="0" w:color="auto"/>
        <w:left w:val="none" w:sz="0" w:space="0" w:color="auto"/>
        <w:bottom w:val="none" w:sz="0" w:space="0" w:color="auto"/>
        <w:right w:val="none" w:sz="0" w:space="0" w:color="auto"/>
      </w:divBdr>
    </w:div>
    <w:div w:id="239599713">
      <w:marLeft w:val="0"/>
      <w:marRight w:val="0"/>
      <w:marTop w:val="0"/>
      <w:marBottom w:val="0"/>
      <w:divBdr>
        <w:top w:val="none" w:sz="0" w:space="0" w:color="auto"/>
        <w:left w:val="none" w:sz="0" w:space="0" w:color="auto"/>
        <w:bottom w:val="none" w:sz="0" w:space="0" w:color="auto"/>
        <w:right w:val="none" w:sz="0" w:space="0" w:color="auto"/>
      </w:divBdr>
      <w:divsChild>
        <w:div w:id="1236357530">
          <w:marLeft w:val="0"/>
          <w:marRight w:val="0"/>
          <w:marTop w:val="0"/>
          <w:marBottom w:val="0"/>
          <w:divBdr>
            <w:top w:val="none" w:sz="0" w:space="0" w:color="auto"/>
            <w:left w:val="none" w:sz="0" w:space="0" w:color="auto"/>
            <w:bottom w:val="none" w:sz="0" w:space="0" w:color="auto"/>
            <w:right w:val="none" w:sz="0" w:space="0" w:color="auto"/>
          </w:divBdr>
        </w:div>
      </w:divsChild>
    </w:div>
    <w:div w:id="239797945">
      <w:marLeft w:val="0"/>
      <w:marRight w:val="0"/>
      <w:marTop w:val="0"/>
      <w:marBottom w:val="0"/>
      <w:divBdr>
        <w:top w:val="none" w:sz="0" w:space="0" w:color="auto"/>
        <w:left w:val="none" w:sz="0" w:space="0" w:color="auto"/>
        <w:bottom w:val="none" w:sz="0" w:space="0" w:color="auto"/>
        <w:right w:val="none" w:sz="0" w:space="0" w:color="auto"/>
      </w:divBdr>
      <w:divsChild>
        <w:div w:id="238518111">
          <w:marLeft w:val="0"/>
          <w:marRight w:val="0"/>
          <w:marTop w:val="0"/>
          <w:marBottom w:val="0"/>
          <w:divBdr>
            <w:top w:val="none" w:sz="0" w:space="0" w:color="auto"/>
            <w:left w:val="none" w:sz="0" w:space="0" w:color="auto"/>
            <w:bottom w:val="none" w:sz="0" w:space="0" w:color="auto"/>
            <w:right w:val="none" w:sz="0" w:space="0" w:color="auto"/>
          </w:divBdr>
        </w:div>
      </w:divsChild>
    </w:div>
    <w:div w:id="241568575">
      <w:marLeft w:val="0"/>
      <w:marRight w:val="0"/>
      <w:marTop w:val="0"/>
      <w:marBottom w:val="0"/>
      <w:divBdr>
        <w:top w:val="none" w:sz="0" w:space="0" w:color="auto"/>
        <w:left w:val="none" w:sz="0" w:space="0" w:color="auto"/>
        <w:bottom w:val="none" w:sz="0" w:space="0" w:color="auto"/>
        <w:right w:val="none" w:sz="0" w:space="0" w:color="auto"/>
      </w:divBdr>
      <w:divsChild>
        <w:div w:id="1182476551">
          <w:marLeft w:val="0"/>
          <w:marRight w:val="0"/>
          <w:marTop w:val="0"/>
          <w:marBottom w:val="0"/>
          <w:divBdr>
            <w:top w:val="none" w:sz="0" w:space="0" w:color="auto"/>
            <w:left w:val="none" w:sz="0" w:space="0" w:color="auto"/>
            <w:bottom w:val="none" w:sz="0" w:space="0" w:color="auto"/>
            <w:right w:val="none" w:sz="0" w:space="0" w:color="auto"/>
          </w:divBdr>
        </w:div>
      </w:divsChild>
    </w:div>
    <w:div w:id="241644818">
      <w:marLeft w:val="0"/>
      <w:marRight w:val="0"/>
      <w:marTop w:val="0"/>
      <w:marBottom w:val="180"/>
      <w:divBdr>
        <w:top w:val="none" w:sz="0" w:space="0" w:color="auto"/>
        <w:left w:val="none" w:sz="0" w:space="0" w:color="auto"/>
        <w:bottom w:val="none" w:sz="0" w:space="0" w:color="auto"/>
        <w:right w:val="none" w:sz="0" w:space="0" w:color="auto"/>
      </w:divBdr>
    </w:div>
    <w:div w:id="241647521">
      <w:marLeft w:val="0"/>
      <w:marRight w:val="0"/>
      <w:marTop w:val="0"/>
      <w:marBottom w:val="240"/>
      <w:divBdr>
        <w:top w:val="none" w:sz="0" w:space="0" w:color="auto"/>
        <w:left w:val="none" w:sz="0" w:space="0" w:color="auto"/>
        <w:bottom w:val="none" w:sz="0" w:space="0" w:color="auto"/>
        <w:right w:val="none" w:sz="0" w:space="0" w:color="auto"/>
      </w:divBdr>
    </w:div>
    <w:div w:id="241723106">
      <w:marLeft w:val="0"/>
      <w:marRight w:val="0"/>
      <w:marTop w:val="120"/>
      <w:marBottom w:val="180"/>
      <w:divBdr>
        <w:top w:val="none" w:sz="0" w:space="0" w:color="auto"/>
        <w:left w:val="none" w:sz="0" w:space="0" w:color="auto"/>
        <w:bottom w:val="none" w:sz="0" w:space="0" w:color="auto"/>
        <w:right w:val="none" w:sz="0" w:space="0" w:color="auto"/>
      </w:divBdr>
    </w:div>
    <w:div w:id="241990634">
      <w:marLeft w:val="0"/>
      <w:marRight w:val="0"/>
      <w:marTop w:val="0"/>
      <w:marBottom w:val="240"/>
      <w:divBdr>
        <w:top w:val="none" w:sz="0" w:space="0" w:color="auto"/>
        <w:left w:val="none" w:sz="0" w:space="0" w:color="auto"/>
        <w:bottom w:val="none" w:sz="0" w:space="0" w:color="auto"/>
        <w:right w:val="none" w:sz="0" w:space="0" w:color="auto"/>
      </w:divBdr>
    </w:div>
    <w:div w:id="242226244">
      <w:marLeft w:val="0"/>
      <w:marRight w:val="0"/>
      <w:marTop w:val="0"/>
      <w:marBottom w:val="240"/>
      <w:divBdr>
        <w:top w:val="none" w:sz="0" w:space="0" w:color="auto"/>
        <w:left w:val="none" w:sz="0" w:space="0" w:color="auto"/>
        <w:bottom w:val="none" w:sz="0" w:space="0" w:color="auto"/>
        <w:right w:val="none" w:sz="0" w:space="0" w:color="auto"/>
      </w:divBdr>
    </w:div>
    <w:div w:id="242569098">
      <w:marLeft w:val="0"/>
      <w:marRight w:val="0"/>
      <w:marTop w:val="0"/>
      <w:marBottom w:val="0"/>
      <w:divBdr>
        <w:top w:val="none" w:sz="0" w:space="0" w:color="auto"/>
        <w:left w:val="none" w:sz="0" w:space="0" w:color="auto"/>
        <w:bottom w:val="none" w:sz="0" w:space="0" w:color="auto"/>
        <w:right w:val="none" w:sz="0" w:space="0" w:color="auto"/>
      </w:divBdr>
    </w:div>
    <w:div w:id="242688040">
      <w:marLeft w:val="0"/>
      <w:marRight w:val="0"/>
      <w:marTop w:val="0"/>
      <w:marBottom w:val="0"/>
      <w:divBdr>
        <w:top w:val="none" w:sz="0" w:space="0" w:color="auto"/>
        <w:left w:val="none" w:sz="0" w:space="0" w:color="auto"/>
        <w:bottom w:val="none" w:sz="0" w:space="0" w:color="auto"/>
        <w:right w:val="none" w:sz="0" w:space="0" w:color="auto"/>
      </w:divBdr>
      <w:divsChild>
        <w:div w:id="1865746494">
          <w:marLeft w:val="0"/>
          <w:marRight w:val="0"/>
          <w:marTop w:val="0"/>
          <w:marBottom w:val="0"/>
          <w:divBdr>
            <w:top w:val="none" w:sz="0" w:space="0" w:color="auto"/>
            <w:left w:val="none" w:sz="0" w:space="0" w:color="auto"/>
            <w:bottom w:val="none" w:sz="0" w:space="0" w:color="auto"/>
            <w:right w:val="none" w:sz="0" w:space="0" w:color="auto"/>
          </w:divBdr>
        </w:div>
      </w:divsChild>
    </w:div>
    <w:div w:id="243074499">
      <w:marLeft w:val="0"/>
      <w:marRight w:val="0"/>
      <w:marTop w:val="100"/>
      <w:marBottom w:val="0"/>
      <w:divBdr>
        <w:top w:val="none" w:sz="0" w:space="0" w:color="auto"/>
        <w:left w:val="none" w:sz="0" w:space="0" w:color="auto"/>
        <w:bottom w:val="none" w:sz="0" w:space="0" w:color="auto"/>
        <w:right w:val="none" w:sz="0" w:space="0" w:color="auto"/>
      </w:divBdr>
      <w:divsChild>
        <w:div w:id="1855613920">
          <w:marLeft w:val="0"/>
          <w:marRight w:val="0"/>
          <w:marTop w:val="0"/>
          <w:marBottom w:val="0"/>
          <w:divBdr>
            <w:top w:val="none" w:sz="0" w:space="0" w:color="auto"/>
            <w:left w:val="none" w:sz="0" w:space="0" w:color="auto"/>
            <w:bottom w:val="none" w:sz="0" w:space="0" w:color="auto"/>
            <w:right w:val="none" w:sz="0" w:space="0" w:color="auto"/>
          </w:divBdr>
        </w:div>
        <w:div w:id="216017287">
          <w:marLeft w:val="0"/>
          <w:marRight w:val="0"/>
          <w:marTop w:val="0"/>
          <w:marBottom w:val="0"/>
          <w:divBdr>
            <w:top w:val="none" w:sz="0" w:space="0" w:color="auto"/>
            <w:left w:val="none" w:sz="0" w:space="0" w:color="auto"/>
            <w:bottom w:val="none" w:sz="0" w:space="0" w:color="auto"/>
            <w:right w:val="none" w:sz="0" w:space="0" w:color="auto"/>
          </w:divBdr>
        </w:div>
        <w:div w:id="849635408">
          <w:marLeft w:val="0"/>
          <w:marRight w:val="0"/>
          <w:marTop w:val="0"/>
          <w:marBottom w:val="0"/>
          <w:divBdr>
            <w:top w:val="none" w:sz="0" w:space="0" w:color="auto"/>
            <w:left w:val="none" w:sz="0" w:space="0" w:color="auto"/>
            <w:bottom w:val="none" w:sz="0" w:space="0" w:color="auto"/>
            <w:right w:val="none" w:sz="0" w:space="0" w:color="auto"/>
          </w:divBdr>
        </w:div>
        <w:div w:id="1667896551">
          <w:marLeft w:val="0"/>
          <w:marRight w:val="0"/>
          <w:marTop w:val="0"/>
          <w:marBottom w:val="0"/>
          <w:divBdr>
            <w:top w:val="none" w:sz="0" w:space="0" w:color="auto"/>
            <w:left w:val="none" w:sz="0" w:space="0" w:color="auto"/>
            <w:bottom w:val="none" w:sz="0" w:space="0" w:color="auto"/>
            <w:right w:val="none" w:sz="0" w:space="0" w:color="auto"/>
          </w:divBdr>
        </w:div>
        <w:div w:id="1817719287">
          <w:marLeft w:val="0"/>
          <w:marRight w:val="0"/>
          <w:marTop w:val="0"/>
          <w:marBottom w:val="0"/>
          <w:divBdr>
            <w:top w:val="none" w:sz="0" w:space="0" w:color="auto"/>
            <w:left w:val="none" w:sz="0" w:space="0" w:color="auto"/>
            <w:bottom w:val="none" w:sz="0" w:space="0" w:color="auto"/>
            <w:right w:val="none" w:sz="0" w:space="0" w:color="auto"/>
          </w:divBdr>
        </w:div>
        <w:div w:id="1899438227">
          <w:marLeft w:val="0"/>
          <w:marRight w:val="0"/>
          <w:marTop w:val="0"/>
          <w:marBottom w:val="0"/>
          <w:divBdr>
            <w:top w:val="none" w:sz="0" w:space="0" w:color="auto"/>
            <w:left w:val="none" w:sz="0" w:space="0" w:color="auto"/>
            <w:bottom w:val="none" w:sz="0" w:space="0" w:color="auto"/>
            <w:right w:val="none" w:sz="0" w:space="0" w:color="auto"/>
          </w:divBdr>
        </w:div>
      </w:divsChild>
    </w:div>
    <w:div w:id="243877481">
      <w:marLeft w:val="0"/>
      <w:marRight w:val="0"/>
      <w:marTop w:val="120"/>
      <w:marBottom w:val="120"/>
      <w:divBdr>
        <w:top w:val="none" w:sz="0" w:space="0" w:color="auto"/>
        <w:left w:val="none" w:sz="0" w:space="0" w:color="auto"/>
        <w:bottom w:val="none" w:sz="0" w:space="0" w:color="auto"/>
        <w:right w:val="none" w:sz="0" w:space="0" w:color="auto"/>
      </w:divBdr>
    </w:div>
    <w:div w:id="244649219">
      <w:marLeft w:val="0"/>
      <w:marRight w:val="0"/>
      <w:marTop w:val="0"/>
      <w:marBottom w:val="0"/>
      <w:divBdr>
        <w:top w:val="none" w:sz="0" w:space="0" w:color="auto"/>
        <w:left w:val="none" w:sz="0" w:space="0" w:color="auto"/>
        <w:bottom w:val="none" w:sz="0" w:space="0" w:color="auto"/>
        <w:right w:val="none" w:sz="0" w:space="0" w:color="auto"/>
      </w:divBdr>
    </w:div>
    <w:div w:id="244920015">
      <w:marLeft w:val="0"/>
      <w:marRight w:val="0"/>
      <w:marTop w:val="180"/>
      <w:marBottom w:val="180"/>
      <w:divBdr>
        <w:top w:val="none" w:sz="0" w:space="0" w:color="auto"/>
        <w:left w:val="none" w:sz="0" w:space="0" w:color="auto"/>
        <w:bottom w:val="none" w:sz="0" w:space="0" w:color="auto"/>
        <w:right w:val="none" w:sz="0" w:space="0" w:color="auto"/>
      </w:divBdr>
    </w:div>
    <w:div w:id="245653961">
      <w:marLeft w:val="0"/>
      <w:marRight w:val="0"/>
      <w:marTop w:val="0"/>
      <w:marBottom w:val="0"/>
      <w:divBdr>
        <w:top w:val="none" w:sz="0" w:space="0" w:color="auto"/>
        <w:left w:val="none" w:sz="0" w:space="0" w:color="auto"/>
        <w:bottom w:val="none" w:sz="0" w:space="0" w:color="auto"/>
        <w:right w:val="none" w:sz="0" w:space="0" w:color="auto"/>
      </w:divBdr>
    </w:div>
    <w:div w:id="246233251">
      <w:marLeft w:val="0"/>
      <w:marRight w:val="0"/>
      <w:marTop w:val="0"/>
      <w:marBottom w:val="240"/>
      <w:divBdr>
        <w:top w:val="none" w:sz="0" w:space="0" w:color="auto"/>
        <w:left w:val="none" w:sz="0" w:space="0" w:color="auto"/>
        <w:bottom w:val="none" w:sz="0" w:space="0" w:color="auto"/>
        <w:right w:val="none" w:sz="0" w:space="0" w:color="auto"/>
      </w:divBdr>
    </w:div>
    <w:div w:id="246810725">
      <w:marLeft w:val="0"/>
      <w:marRight w:val="0"/>
      <w:marTop w:val="180"/>
      <w:marBottom w:val="180"/>
      <w:divBdr>
        <w:top w:val="none" w:sz="0" w:space="0" w:color="auto"/>
        <w:left w:val="none" w:sz="0" w:space="0" w:color="auto"/>
        <w:bottom w:val="none" w:sz="0" w:space="0" w:color="auto"/>
        <w:right w:val="none" w:sz="0" w:space="0" w:color="auto"/>
      </w:divBdr>
    </w:div>
    <w:div w:id="247471884">
      <w:marLeft w:val="0"/>
      <w:marRight w:val="0"/>
      <w:marTop w:val="0"/>
      <w:marBottom w:val="240"/>
      <w:divBdr>
        <w:top w:val="none" w:sz="0" w:space="0" w:color="auto"/>
        <w:left w:val="none" w:sz="0" w:space="0" w:color="auto"/>
        <w:bottom w:val="none" w:sz="0" w:space="0" w:color="auto"/>
        <w:right w:val="none" w:sz="0" w:space="0" w:color="auto"/>
      </w:divBdr>
    </w:div>
    <w:div w:id="247664179">
      <w:marLeft w:val="0"/>
      <w:marRight w:val="0"/>
      <w:marTop w:val="0"/>
      <w:marBottom w:val="0"/>
      <w:divBdr>
        <w:top w:val="none" w:sz="0" w:space="0" w:color="auto"/>
        <w:left w:val="none" w:sz="0" w:space="0" w:color="auto"/>
        <w:bottom w:val="none" w:sz="0" w:space="0" w:color="auto"/>
        <w:right w:val="none" w:sz="0" w:space="0" w:color="auto"/>
      </w:divBdr>
    </w:div>
    <w:div w:id="247814066">
      <w:marLeft w:val="0"/>
      <w:marRight w:val="0"/>
      <w:marTop w:val="0"/>
      <w:marBottom w:val="0"/>
      <w:divBdr>
        <w:top w:val="none" w:sz="0" w:space="0" w:color="auto"/>
        <w:left w:val="none" w:sz="0" w:space="0" w:color="auto"/>
        <w:bottom w:val="none" w:sz="0" w:space="0" w:color="auto"/>
        <w:right w:val="none" w:sz="0" w:space="0" w:color="auto"/>
      </w:divBdr>
    </w:div>
    <w:div w:id="248388536">
      <w:marLeft w:val="0"/>
      <w:marRight w:val="0"/>
      <w:marTop w:val="0"/>
      <w:marBottom w:val="240"/>
      <w:divBdr>
        <w:top w:val="none" w:sz="0" w:space="0" w:color="auto"/>
        <w:left w:val="none" w:sz="0" w:space="0" w:color="auto"/>
        <w:bottom w:val="none" w:sz="0" w:space="0" w:color="auto"/>
        <w:right w:val="none" w:sz="0" w:space="0" w:color="auto"/>
      </w:divBdr>
    </w:div>
    <w:div w:id="248925930">
      <w:marLeft w:val="0"/>
      <w:marRight w:val="0"/>
      <w:marTop w:val="0"/>
      <w:marBottom w:val="0"/>
      <w:divBdr>
        <w:top w:val="none" w:sz="0" w:space="0" w:color="auto"/>
        <w:left w:val="none" w:sz="0" w:space="0" w:color="auto"/>
        <w:bottom w:val="none" w:sz="0" w:space="0" w:color="auto"/>
        <w:right w:val="none" w:sz="0" w:space="0" w:color="auto"/>
      </w:divBdr>
      <w:divsChild>
        <w:div w:id="1399094057">
          <w:marLeft w:val="0"/>
          <w:marRight w:val="0"/>
          <w:marTop w:val="0"/>
          <w:marBottom w:val="0"/>
          <w:divBdr>
            <w:top w:val="none" w:sz="0" w:space="0" w:color="auto"/>
            <w:left w:val="none" w:sz="0" w:space="0" w:color="auto"/>
            <w:bottom w:val="none" w:sz="0" w:space="0" w:color="auto"/>
            <w:right w:val="none" w:sz="0" w:space="0" w:color="auto"/>
          </w:divBdr>
        </w:div>
      </w:divsChild>
    </w:div>
    <w:div w:id="253826935">
      <w:marLeft w:val="0"/>
      <w:marRight w:val="0"/>
      <w:marTop w:val="180"/>
      <w:marBottom w:val="180"/>
      <w:divBdr>
        <w:top w:val="none" w:sz="0" w:space="0" w:color="auto"/>
        <w:left w:val="none" w:sz="0" w:space="0" w:color="auto"/>
        <w:bottom w:val="none" w:sz="0" w:space="0" w:color="auto"/>
        <w:right w:val="none" w:sz="0" w:space="0" w:color="auto"/>
      </w:divBdr>
    </w:div>
    <w:div w:id="254483350">
      <w:marLeft w:val="0"/>
      <w:marRight w:val="0"/>
      <w:marTop w:val="0"/>
      <w:marBottom w:val="180"/>
      <w:divBdr>
        <w:top w:val="none" w:sz="0" w:space="0" w:color="auto"/>
        <w:left w:val="none" w:sz="0" w:space="0" w:color="auto"/>
        <w:bottom w:val="none" w:sz="0" w:space="0" w:color="auto"/>
        <w:right w:val="none" w:sz="0" w:space="0" w:color="auto"/>
      </w:divBdr>
    </w:div>
    <w:div w:id="254634652">
      <w:marLeft w:val="0"/>
      <w:marRight w:val="0"/>
      <w:marTop w:val="120"/>
      <w:marBottom w:val="120"/>
      <w:divBdr>
        <w:top w:val="none" w:sz="0" w:space="0" w:color="auto"/>
        <w:left w:val="none" w:sz="0" w:space="0" w:color="auto"/>
        <w:bottom w:val="none" w:sz="0" w:space="0" w:color="auto"/>
        <w:right w:val="none" w:sz="0" w:space="0" w:color="auto"/>
      </w:divBdr>
    </w:div>
    <w:div w:id="255020543">
      <w:marLeft w:val="0"/>
      <w:marRight w:val="0"/>
      <w:marTop w:val="0"/>
      <w:marBottom w:val="0"/>
      <w:divBdr>
        <w:top w:val="none" w:sz="0" w:space="0" w:color="auto"/>
        <w:left w:val="none" w:sz="0" w:space="0" w:color="auto"/>
        <w:bottom w:val="none" w:sz="0" w:space="0" w:color="auto"/>
        <w:right w:val="none" w:sz="0" w:space="0" w:color="auto"/>
      </w:divBdr>
      <w:divsChild>
        <w:div w:id="1232234907">
          <w:marLeft w:val="0"/>
          <w:marRight w:val="0"/>
          <w:marTop w:val="0"/>
          <w:marBottom w:val="0"/>
          <w:divBdr>
            <w:top w:val="none" w:sz="0" w:space="0" w:color="auto"/>
            <w:left w:val="none" w:sz="0" w:space="0" w:color="auto"/>
            <w:bottom w:val="none" w:sz="0" w:space="0" w:color="auto"/>
            <w:right w:val="none" w:sz="0" w:space="0" w:color="auto"/>
          </w:divBdr>
        </w:div>
      </w:divsChild>
    </w:div>
    <w:div w:id="255096426">
      <w:marLeft w:val="0"/>
      <w:marRight w:val="0"/>
      <w:marTop w:val="0"/>
      <w:marBottom w:val="0"/>
      <w:divBdr>
        <w:top w:val="none" w:sz="0" w:space="0" w:color="auto"/>
        <w:left w:val="none" w:sz="0" w:space="0" w:color="auto"/>
        <w:bottom w:val="none" w:sz="0" w:space="0" w:color="auto"/>
        <w:right w:val="none" w:sz="0" w:space="0" w:color="auto"/>
      </w:divBdr>
    </w:div>
    <w:div w:id="255477073">
      <w:marLeft w:val="0"/>
      <w:marRight w:val="0"/>
      <w:marTop w:val="0"/>
      <w:marBottom w:val="0"/>
      <w:divBdr>
        <w:top w:val="none" w:sz="0" w:space="0" w:color="auto"/>
        <w:left w:val="none" w:sz="0" w:space="0" w:color="auto"/>
        <w:bottom w:val="none" w:sz="0" w:space="0" w:color="auto"/>
        <w:right w:val="none" w:sz="0" w:space="0" w:color="auto"/>
      </w:divBdr>
    </w:div>
    <w:div w:id="255597895">
      <w:marLeft w:val="0"/>
      <w:marRight w:val="0"/>
      <w:marTop w:val="0"/>
      <w:marBottom w:val="240"/>
      <w:divBdr>
        <w:top w:val="none" w:sz="0" w:space="0" w:color="auto"/>
        <w:left w:val="none" w:sz="0" w:space="0" w:color="auto"/>
        <w:bottom w:val="none" w:sz="0" w:space="0" w:color="auto"/>
        <w:right w:val="none" w:sz="0" w:space="0" w:color="auto"/>
      </w:divBdr>
    </w:div>
    <w:div w:id="256259615">
      <w:marLeft w:val="0"/>
      <w:marRight w:val="0"/>
      <w:marTop w:val="180"/>
      <w:marBottom w:val="240"/>
      <w:divBdr>
        <w:top w:val="none" w:sz="0" w:space="0" w:color="auto"/>
        <w:left w:val="none" w:sz="0" w:space="0" w:color="auto"/>
        <w:bottom w:val="none" w:sz="0" w:space="0" w:color="auto"/>
        <w:right w:val="none" w:sz="0" w:space="0" w:color="auto"/>
      </w:divBdr>
    </w:div>
    <w:div w:id="256987225">
      <w:marLeft w:val="0"/>
      <w:marRight w:val="0"/>
      <w:marTop w:val="0"/>
      <w:marBottom w:val="0"/>
      <w:divBdr>
        <w:top w:val="none" w:sz="0" w:space="0" w:color="auto"/>
        <w:left w:val="none" w:sz="0" w:space="0" w:color="auto"/>
        <w:bottom w:val="none" w:sz="0" w:space="0" w:color="auto"/>
        <w:right w:val="none" w:sz="0" w:space="0" w:color="auto"/>
      </w:divBdr>
    </w:div>
    <w:div w:id="257174922">
      <w:marLeft w:val="0"/>
      <w:marRight w:val="0"/>
      <w:marTop w:val="0"/>
      <w:marBottom w:val="0"/>
      <w:divBdr>
        <w:top w:val="none" w:sz="0" w:space="0" w:color="auto"/>
        <w:left w:val="none" w:sz="0" w:space="0" w:color="auto"/>
        <w:bottom w:val="none" w:sz="0" w:space="0" w:color="auto"/>
        <w:right w:val="none" w:sz="0" w:space="0" w:color="auto"/>
      </w:divBdr>
      <w:divsChild>
        <w:div w:id="171066927">
          <w:marLeft w:val="0"/>
          <w:marRight w:val="0"/>
          <w:marTop w:val="0"/>
          <w:marBottom w:val="0"/>
          <w:divBdr>
            <w:top w:val="none" w:sz="0" w:space="0" w:color="auto"/>
            <w:left w:val="none" w:sz="0" w:space="0" w:color="auto"/>
            <w:bottom w:val="none" w:sz="0" w:space="0" w:color="auto"/>
            <w:right w:val="none" w:sz="0" w:space="0" w:color="auto"/>
          </w:divBdr>
        </w:div>
      </w:divsChild>
    </w:div>
    <w:div w:id="258560860">
      <w:marLeft w:val="0"/>
      <w:marRight w:val="0"/>
      <w:marTop w:val="0"/>
      <w:marBottom w:val="240"/>
      <w:divBdr>
        <w:top w:val="none" w:sz="0" w:space="0" w:color="auto"/>
        <w:left w:val="none" w:sz="0" w:space="0" w:color="auto"/>
        <w:bottom w:val="none" w:sz="0" w:space="0" w:color="auto"/>
        <w:right w:val="none" w:sz="0" w:space="0" w:color="auto"/>
      </w:divBdr>
    </w:div>
    <w:div w:id="259527655">
      <w:marLeft w:val="0"/>
      <w:marRight w:val="0"/>
      <w:marTop w:val="100"/>
      <w:marBottom w:val="0"/>
      <w:divBdr>
        <w:top w:val="none" w:sz="0" w:space="0" w:color="auto"/>
        <w:left w:val="none" w:sz="0" w:space="0" w:color="auto"/>
        <w:bottom w:val="none" w:sz="0" w:space="0" w:color="auto"/>
        <w:right w:val="none" w:sz="0" w:space="0" w:color="auto"/>
      </w:divBdr>
      <w:divsChild>
        <w:div w:id="2045329641">
          <w:marLeft w:val="0"/>
          <w:marRight w:val="0"/>
          <w:marTop w:val="0"/>
          <w:marBottom w:val="180"/>
          <w:divBdr>
            <w:top w:val="none" w:sz="0" w:space="0" w:color="auto"/>
            <w:left w:val="none" w:sz="0" w:space="0" w:color="auto"/>
            <w:bottom w:val="none" w:sz="0" w:space="0" w:color="auto"/>
            <w:right w:val="none" w:sz="0" w:space="0" w:color="auto"/>
          </w:divBdr>
        </w:div>
      </w:divsChild>
    </w:div>
    <w:div w:id="259879757">
      <w:marLeft w:val="0"/>
      <w:marRight w:val="0"/>
      <w:marTop w:val="120"/>
      <w:marBottom w:val="120"/>
      <w:divBdr>
        <w:top w:val="none" w:sz="0" w:space="0" w:color="auto"/>
        <w:left w:val="none" w:sz="0" w:space="0" w:color="auto"/>
        <w:bottom w:val="none" w:sz="0" w:space="0" w:color="auto"/>
        <w:right w:val="none" w:sz="0" w:space="0" w:color="auto"/>
      </w:divBdr>
    </w:div>
    <w:div w:id="260114415">
      <w:marLeft w:val="0"/>
      <w:marRight w:val="0"/>
      <w:marTop w:val="120"/>
      <w:marBottom w:val="120"/>
      <w:divBdr>
        <w:top w:val="none" w:sz="0" w:space="0" w:color="auto"/>
        <w:left w:val="none" w:sz="0" w:space="0" w:color="auto"/>
        <w:bottom w:val="none" w:sz="0" w:space="0" w:color="auto"/>
        <w:right w:val="none" w:sz="0" w:space="0" w:color="auto"/>
      </w:divBdr>
    </w:div>
    <w:div w:id="260339677">
      <w:marLeft w:val="0"/>
      <w:marRight w:val="0"/>
      <w:marTop w:val="100"/>
      <w:marBottom w:val="0"/>
      <w:divBdr>
        <w:top w:val="none" w:sz="0" w:space="0" w:color="auto"/>
        <w:left w:val="none" w:sz="0" w:space="0" w:color="auto"/>
        <w:bottom w:val="none" w:sz="0" w:space="0" w:color="auto"/>
        <w:right w:val="none" w:sz="0" w:space="0" w:color="auto"/>
      </w:divBdr>
    </w:div>
    <w:div w:id="260458959">
      <w:marLeft w:val="0"/>
      <w:marRight w:val="0"/>
      <w:marTop w:val="0"/>
      <w:marBottom w:val="180"/>
      <w:divBdr>
        <w:top w:val="none" w:sz="0" w:space="0" w:color="auto"/>
        <w:left w:val="none" w:sz="0" w:space="0" w:color="auto"/>
        <w:bottom w:val="none" w:sz="0" w:space="0" w:color="auto"/>
        <w:right w:val="none" w:sz="0" w:space="0" w:color="auto"/>
      </w:divBdr>
    </w:div>
    <w:div w:id="264727020">
      <w:marLeft w:val="0"/>
      <w:marRight w:val="0"/>
      <w:marTop w:val="100"/>
      <w:marBottom w:val="240"/>
      <w:divBdr>
        <w:top w:val="none" w:sz="0" w:space="0" w:color="auto"/>
        <w:left w:val="none" w:sz="0" w:space="0" w:color="auto"/>
        <w:bottom w:val="none" w:sz="0" w:space="0" w:color="auto"/>
        <w:right w:val="none" w:sz="0" w:space="0" w:color="auto"/>
      </w:divBdr>
    </w:div>
    <w:div w:id="265160386">
      <w:marLeft w:val="0"/>
      <w:marRight w:val="0"/>
      <w:marTop w:val="0"/>
      <w:marBottom w:val="240"/>
      <w:divBdr>
        <w:top w:val="none" w:sz="0" w:space="0" w:color="auto"/>
        <w:left w:val="none" w:sz="0" w:space="0" w:color="auto"/>
        <w:bottom w:val="none" w:sz="0" w:space="0" w:color="auto"/>
        <w:right w:val="none" w:sz="0" w:space="0" w:color="auto"/>
      </w:divBdr>
    </w:div>
    <w:div w:id="265381874">
      <w:marLeft w:val="0"/>
      <w:marRight w:val="0"/>
      <w:marTop w:val="0"/>
      <w:marBottom w:val="240"/>
      <w:divBdr>
        <w:top w:val="none" w:sz="0" w:space="0" w:color="auto"/>
        <w:left w:val="none" w:sz="0" w:space="0" w:color="auto"/>
        <w:bottom w:val="none" w:sz="0" w:space="0" w:color="auto"/>
        <w:right w:val="none" w:sz="0" w:space="0" w:color="auto"/>
      </w:divBdr>
    </w:div>
    <w:div w:id="265428128">
      <w:marLeft w:val="0"/>
      <w:marRight w:val="0"/>
      <w:marTop w:val="0"/>
      <w:marBottom w:val="0"/>
      <w:divBdr>
        <w:top w:val="none" w:sz="0" w:space="0" w:color="auto"/>
        <w:left w:val="none" w:sz="0" w:space="0" w:color="auto"/>
        <w:bottom w:val="none" w:sz="0" w:space="0" w:color="auto"/>
        <w:right w:val="none" w:sz="0" w:space="0" w:color="auto"/>
      </w:divBdr>
    </w:div>
    <w:div w:id="265894583">
      <w:marLeft w:val="0"/>
      <w:marRight w:val="0"/>
      <w:marTop w:val="0"/>
      <w:marBottom w:val="240"/>
      <w:divBdr>
        <w:top w:val="none" w:sz="0" w:space="0" w:color="auto"/>
        <w:left w:val="none" w:sz="0" w:space="0" w:color="auto"/>
        <w:bottom w:val="none" w:sz="0" w:space="0" w:color="auto"/>
        <w:right w:val="none" w:sz="0" w:space="0" w:color="auto"/>
      </w:divBdr>
    </w:div>
    <w:div w:id="267200203">
      <w:marLeft w:val="0"/>
      <w:marRight w:val="0"/>
      <w:marTop w:val="0"/>
      <w:marBottom w:val="180"/>
      <w:divBdr>
        <w:top w:val="none" w:sz="0" w:space="0" w:color="auto"/>
        <w:left w:val="none" w:sz="0" w:space="0" w:color="auto"/>
        <w:bottom w:val="none" w:sz="0" w:space="0" w:color="auto"/>
        <w:right w:val="none" w:sz="0" w:space="0" w:color="auto"/>
      </w:divBdr>
    </w:div>
    <w:div w:id="269551296">
      <w:marLeft w:val="0"/>
      <w:marRight w:val="0"/>
      <w:marTop w:val="0"/>
      <w:marBottom w:val="240"/>
      <w:divBdr>
        <w:top w:val="none" w:sz="0" w:space="0" w:color="auto"/>
        <w:left w:val="none" w:sz="0" w:space="0" w:color="auto"/>
        <w:bottom w:val="none" w:sz="0" w:space="0" w:color="auto"/>
        <w:right w:val="none" w:sz="0" w:space="0" w:color="auto"/>
      </w:divBdr>
    </w:div>
    <w:div w:id="269707609">
      <w:marLeft w:val="0"/>
      <w:marRight w:val="0"/>
      <w:marTop w:val="180"/>
      <w:marBottom w:val="180"/>
      <w:divBdr>
        <w:top w:val="none" w:sz="0" w:space="0" w:color="auto"/>
        <w:left w:val="none" w:sz="0" w:space="0" w:color="auto"/>
        <w:bottom w:val="none" w:sz="0" w:space="0" w:color="auto"/>
        <w:right w:val="none" w:sz="0" w:space="0" w:color="auto"/>
      </w:divBdr>
    </w:div>
    <w:div w:id="270284910">
      <w:marLeft w:val="0"/>
      <w:marRight w:val="0"/>
      <w:marTop w:val="180"/>
      <w:marBottom w:val="180"/>
      <w:divBdr>
        <w:top w:val="none" w:sz="0" w:space="0" w:color="auto"/>
        <w:left w:val="none" w:sz="0" w:space="0" w:color="auto"/>
        <w:bottom w:val="none" w:sz="0" w:space="0" w:color="auto"/>
        <w:right w:val="none" w:sz="0" w:space="0" w:color="auto"/>
      </w:divBdr>
    </w:div>
    <w:div w:id="270477713">
      <w:marLeft w:val="0"/>
      <w:marRight w:val="0"/>
      <w:marTop w:val="0"/>
      <w:marBottom w:val="0"/>
      <w:divBdr>
        <w:top w:val="none" w:sz="0" w:space="0" w:color="auto"/>
        <w:left w:val="none" w:sz="0" w:space="0" w:color="auto"/>
        <w:bottom w:val="none" w:sz="0" w:space="0" w:color="auto"/>
        <w:right w:val="none" w:sz="0" w:space="0" w:color="auto"/>
      </w:divBdr>
      <w:divsChild>
        <w:div w:id="719747461">
          <w:marLeft w:val="0"/>
          <w:marRight w:val="0"/>
          <w:marTop w:val="0"/>
          <w:marBottom w:val="0"/>
          <w:divBdr>
            <w:top w:val="none" w:sz="0" w:space="0" w:color="auto"/>
            <w:left w:val="none" w:sz="0" w:space="0" w:color="auto"/>
            <w:bottom w:val="none" w:sz="0" w:space="0" w:color="auto"/>
            <w:right w:val="none" w:sz="0" w:space="0" w:color="auto"/>
          </w:divBdr>
        </w:div>
      </w:divsChild>
    </w:div>
    <w:div w:id="271547484">
      <w:marLeft w:val="0"/>
      <w:marRight w:val="0"/>
      <w:marTop w:val="180"/>
      <w:marBottom w:val="180"/>
      <w:divBdr>
        <w:top w:val="none" w:sz="0" w:space="0" w:color="auto"/>
        <w:left w:val="none" w:sz="0" w:space="0" w:color="auto"/>
        <w:bottom w:val="none" w:sz="0" w:space="0" w:color="auto"/>
        <w:right w:val="none" w:sz="0" w:space="0" w:color="auto"/>
      </w:divBdr>
    </w:div>
    <w:div w:id="271714471">
      <w:marLeft w:val="0"/>
      <w:marRight w:val="0"/>
      <w:marTop w:val="0"/>
      <w:marBottom w:val="180"/>
      <w:divBdr>
        <w:top w:val="none" w:sz="0" w:space="0" w:color="auto"/>
        <w:left w:val="none" w:sz="0" w:space="0" w:color="auto"/>
        <w:bottom w:val="none" w:sz="0" w:space="0" w:color="auto"/>
        <w:right w:val="none" w:sz="0" w:space="0" w:color="auto"/>
      </w:divBdr>
    </w:div>
    <w:div w:id="273055108">
      <w:marLeft w:val="0"/>
      <w:marRight w:val="0"/>
      <w:marTop w:val="0"/>
      <w:marBottom w:val="180"/>
      <w:divBdr>
        <w:top w:val="none" w:sz="0" w:space="0" w:color="auto"/>
        <w:left w:val="none" w:sz="0" w:space="0" w:color="auto"/>
        <w:bottom w:val="none" w:sz="0" w:space="0" w:color="auto"/>
        <w:right w:val="none" w:sz="0" w:space="0" w:color="auto"/>
      </w:divBdr>
    </w:div>
    <w:div w:id="273055453">
      <w:marLeft w:val="0"/>
      <w:marRight w:val="0"/>
      <w:marTop w:val="180"/>
      <w:marBottom w:val="180"/>
      <w:divBdr>
        <w:top w:val="none" w:sz="0" w:space="0" w:color="auto"/>
        <w:left w:val="none" w:sz="0" w:space="0" w:color="auto"/>
        <w:bottom w:val="none" w:sz="0" w:space="0" w:color="auto"/>
        <w:right w:val="none" w:sz="0" w:space="0" w:color="auto"/>
      </w:divBdr>
    </w:div>
    <w:div w:id="273640619">
      <w:marLeft w:val="0"/>
      <w:marRight w:val="0"/>
      <w:marTop w:val="120"/>
      <w:marBottom w:val="120"/>
      <w:divBdr>
        <w:top w:val="none" w:sz="0" w:space="0" w:color="auto"/>
        <w:left w:val="none" w:sz="0" w:space="0" w:color="auto"/>
        <w:bottom w:val="none" w:sz="0" w:space="0" w:color="auto"/>
        <w:right w:val="none" w:sz="0" w:space="0" w:color="auto"/>
      </w:divBdr>
    </w:div>
    <w:div w:id="274026659">
      <w:marLeft w:val="0"/>
      <w:marRight w:val="0"/>
      <w:marTop w:val="0"/>
      <w:marBottom w:val="240"/>
      <w:divBdr>
        <w:top w:val="none" w:sz="0" w:space="0" w:color="auto"/>
        <w:left w:val="none" w:sz="0" w:space="0" w:color="auto"/>
        <w:bottom w:val="none" w:sz="0" w:space="0" w:color="auto"/>
        <w:right w:val="none" w:sz="0" w:space="0" w:color="auto"/>
      </w:divBdr>
    </w:div>
    <w:div w:id="274102405">
      <w:marLeft w:val="0"/>
      <w:marRight w:val="0"/>
      <w:marTop w:val="0"/>
      <w:marBottom w:val="180"/>
      <w:divBdr>
        <w:top w:val="none" w:sz="0" w:space="0" w:color="auto"/>
        <w:left w:val="none" w:sz="0" w:space="0" w:color="auto"/>
        <w:bottom w:val="none" w:sz="0" w:space="0" w:color="auto"/>
        <w:right w:val="none" w:sz="0" w:space="0" w:color="auto"/>
      </w:divBdr>
    </w:div>
    <w:div w:id="275872741">
      <w:marLeft w:val="0"/>
      <w:marRight w:val="0"/>
      <w:marTop w:val="180"/>
      <w:marBottom w:val="180"/>
      <w:divBdr>
        <w:top w:val="none" w:sz="0" w:space="0" w:color="auto"/>
        <w:left w:val="none" w:sz="0" w:space="0" w:color="auto"/>
        <w:bottom w:val="none" w:sz="0" w:space="0" w:color="auto"/>
        <w:right w:val="none" w:sz="0" w:space="0" w:color="auto"/>
      </w:divBdr>
    </w:div>
    <w:div w:id="276911551">
      <w:marLeft w:val="0"/>
      <w:marRight w:val="0"/>
      <w:marTop w:val="100"/>
      <w:marBottom w:val="0"/>
      <w:divBdr>
        <w:top w:val="none" w:sz="0" w:space="0" w:color="auto"/>
        <w:left w:val="none" w:sz="0" w:space="0" w:color="auto"/>
        <w:bottom w:val="none" w:sz="0" w:space="0" w:color="auto"/>
        <w:right w:val="none" w:sz="0" w:space="0" w:color="auto"/>
      </w:divBdr>
    </w:div>
    <w:div w:id="277565850">
      <w:marLeft w:val="0"/>
      <w:marRight w:val="0"/>
      <w:marTop w:val="180"/>
      <w:marBottom w:val="180"/>
      <w:divBdr>
        <w:top w:val="none" w:sz="0" w:space="0" w:color="auto"/>
        <w:left w:val="none" w:sz="0" w:space="0" w:color="auto"/>
        <w:bottom w:val="none" w:sz="0" w:space="0" w:color="auto"/>
        <w:right w:val="none" w:sz="0" w:space="0" w:color="auto"/>
      </w:divBdr>
    </w:div>
    <w:div w:id="278074269">
      <w:marLeft w:val="0"/>
      <w:marRight w:val="0"/>
      <w:marTop w:val="0"/>
      <w:marBottom w:val="180"/>
      <w:divBdr>
        <w:top w:val="none" w:sz="0" w:space="0" w:color="auto"/>
        <w:left w:val="none" w:sz="0" w:space="0" w:color="auto"/>
        <w:bottom w:val="none" w:sz="0" w:space="0" w:color="auto"/>
        <w:right w:val="none" w:sz="0" w:space="0" w:color="auto"/>
      </w:divBdr>
    </w:div>
    <w:div w:id="278756923">
      <w:marLeft w:val="0"/>
      <w:marRight w:val="0"/>
      <w:marTop w:val="0"/>
      <w:marBottom w:val="0"/>
      <w:divBdr>
        <w:top w:val="none" w:sz="0" w:space="0" w:color="auto"/>
        <w:left w:val="none" w:sz="0" w:space="0" w:color="auto"/>
        <w:bottom w:val="none" w:sz="0" w:space="0" w:color="auto"/>
        <w:right w:val="none" w:sz="0" w:space="0" w:color="auto"/>
      </w:divBdr>
      <w:divsChild>
        <w:div w:id="665592685">
          <w:marLeft w:val="0"/>
          <w:marRight w:val="0"/>
          <w:marTop w:val="0"/>
          <w:marBottom w:val="0"/>
          <w:divBdr>
            <w:top w:val="none" w:sz="0" w:space="0" w:color="auto"/>
            <w:left w:val="none" w:sz="0" w:space="0" w:color="auto"/>
            <w:bottom w:val="none" w:sz="0" w:space="0" w:color="auto"/>
            <w:right w:val="none" w:sz="0" w:space="0" w:color="auto"/>
          </w:divBdr>
        </w:div>
      </w:divsChild>
    </w:div>
    <w:div w:id="280573712">
      <w:marLeft w:val="0"/>
      <w:marRight w:val="0"/>
      <w:marTop w:val="180"/>
      <w:marBottom w:val="240"/>
      <w:divBdr>
        <w:top w:val="none" w:sz="0" w:space="0" w:color="auto"/>
        <w:left w:val="none" w:sz="0" w:space="0" w:color="auto"/>
        <w:bottom w:val="none" w:sz="0" w:space="0" w:color="auto"/>
        <w:right w:val="none" w:sz="0" w:space="0" w:color="auto"/>
      </w:divBdr>
    </w:div>
    <w:div w:id="280770527">
      <w:marLeft w:val="0"/>
      <w:marRight w:val="0"/>
      <w:marTop w:val="0"/>
      <w:marBottom w:val="180"/>
      <w:divBdr>
        <w:top w:val="none" w:sz="0" w:space="0" w:color="auto"/>
        <w:left w:val="none" w:sz="0" w:space="0" w:color="auto"/>
        <w:bottom w:val="none" w:sz="0" w:space="0" w:color="auto"/>
        <w:right w:val="none" w:sz="0" w:space="0" w:color="auto"/>
      </w:divBdr>
    </w:div>
    <w:div w:id="283196285">
      <w:marLeft w:val="0"/>
      <w:marRight w:val="0"/>
      <w:marTop w:val="0"/>
      <w:marBottom w:val="0"/>
      <w:divBdr>
        <w:top w:val="none" w:sz="0" w:space="0" w:color="auto"/>
        <w:left w:val="none" w:sz="0" w:space="0" w:color="auto"/>
        <w:bottom w:val="none" w:sz="0" w:space="0" w:color="auto"/>
        <w:right w:val="none" w:sz="0" w:space="0" w:color="auto"/>
      </w:divBdr>
    </w:div>
    <w:div w:id="283585172">
      <w:marLeft w:val="0"/>
      <w:marRight w:val="0"/>
      <w:marTop w:val="0"/>
      <w:marBottom w:val="0"/>
      <w:divBdr>
        <w:top w:val="none" w:sz="0" w:space="0" w:color="auto"/>
        <w:left w:val="none" w:sz="0" w:space="0" w:color="auto"/>
        <w:bottom w:val="none" w:sz="0" w:space="0" w:color="auto"/>
        <w:right w:val="none" w:sz="0" w:space="0" w:color="auto"/>
      </w:divBdr>
      <w:divsChild>
        <w:div w:id="1770736629">
          <w:marLeft w:val="0"/>
          <w:marRight w:val="0"/>
          <w:marTop w:val="0"/>
          <w:marBottom w:val="0"/>
          <w:divBdr>
            <w:top w:val="none" w:sz="0" w:space="0" w:color="auto"/>
            <w:left w:val="none" w:sz="0" w:space="0" w:color="auto"/>
            <w:bottom w:val="none" w:sz="0" w:space="0" w:color="auto"/>
            <w:right w:val="none" w:sz="0" w:space="0" w:color="auto"/>
          </w:divBdr>
        </w:div>
      </w:divsChild>
    </w:div>
    <w:div w:id="283733664">
      <w:marLeft w:val="0"/>
      <w:marRight w:val="0"/>
      <w:marTop w:val="180"/>
      <w:marBottom w:val="180"/>
      <w:divBdr>
        <w:top w:val="none" w:sz="0" w:space="0" w:color="auto"/>
        <w:left w:val="none" w:sz="0" w:space="0" w:color="auto"/>
        <w:bottom w:val="none" w:sz="0" w:space="0" w:color="auto"/>
        <w:right w:val="none" w:sz="0" w:space="0" w:color="auto"/>
      </w:divBdr>
    </w:div>
    <w:div w:id="283773944">
      <w:marLeft w:val="0"/>
      <w:marRight w:val="0"/>
      <w:marTop w:val="0"/>
      <w:marBottom w:val="240"/>
      <w:divBdr>
        <w:top w:val="none" w:sz="0" w:space="0" w:color="auto"/>
        <w:left w:val="none" w:sz="0" w:space="0" w:color="auto"/>
        <w:bottom w:val="none" w:sz="0" w:space="0" w:color="auto"/>
        <w:right w:val="none" w:sz="0" w:space="0" w:color="auto"/>
      </w:divBdr>
    </w:div>
    <w:div w:id="283853067">
      <w:marLeft w:val="0"/>
      <w:marRight w:val="0"/>
      <w:marTop w:val="0"/>
      <w:marBottom w:val="180"/>
      <w:divBdr>
        <w:top w:val="none" w:sz="0" w:space="0" w:color="auto"/>
        <w:left w:val="none" w:sz="0" w:space="0" w:color="auto"/>
        <w:bottom w:val="none" w:sz="0" w:space="0" w:color="auto"/>
        <w:right w:val="none" w:sz="0" w:space="0" w:color="auto"/>
      </w:divBdr>
    </w:div>
    <w:div w:id="284164209">
      <w:marLeft w:val="0"/>
      <w:marRight w:val="0"/>
      <w:marTop w:val="0"/>
      <w:marBottom w:val="240"/>
      <w:divBdr>
        <w:top w:val="none" w:sz="0" w:space="0" w:color="auto"/>
        <w:left w:val="none" w:sz="0" w:space="0" w:color="auto"/>
        <w:bottom w:val="none" w:sz="0" w:space="0" w:color="auto"/>
        <w:right w:val="none" w:sz="0" w:space="0" w:color="auto"/>
      </w:divBdr>
    </w:div>
    <w:div w:id="285308394">
      <w:marLeft w:val="0"/>
      <w:marRight w:val="0"/>
      <w:marTop w:val="100"/>
      <w:marBottom w:val="0"/>
      <w:divBdr>
        <w:top w:val="none" w:sz="0" w:space="0" w:color="auto"/>
        <w:left w:val="none" w:sz="0" w:space="0" w:color="auto"/>
        <w:bottom w:val="none" w:sz="0" w:space="0" w:color="auto"/>
        <w:right w:val="none" w:sz="0" w:space="0" w:color="auto"/>
      </w:divBdr>
    </w:div>
    <w:div w:id="286350778">
      <w:marLeft w:val="0"/>
      <w:marRight w:val="0"/>
      <w:marTop w:val="0"/>
      <w:marBottom w:val="0"/>
      <w:divBdr>
        <w:top w:val="none" w:sz="0" w:space="0" w:color="auto"/>
        <w:left w:val="none" w:sz="0" w:space="0" w:color="auto"/>
        <w:bottom w:val="none" w:sz="0" w:space="0" w:color="auto"/>
        <w:right w:val="none" w:sz="0" w:space="0" w:color="auto"/>
      </w:divBdr>
      <w:divsChild>
        <w:div w:id="2115593790">
          <w:marLeft w:val="0"/>
          <w:marRight w:val="0"/>
          <w:marTop w:val="0"/>
          <w:marBottom w:val="0"/>
          <w:divBdr>
            <w:top w:val="none" w:sz="0" w:space="0" w:color="auto"/>
            <w:left w:val="none" w:sz="0" w:space="0" w:color="auto"/>
            <w:bottom w:val="none" w:sz="0" w:space="0" w:color="auto"/>
            <w:right w:val="none" w:sz="0" w:space="0" w:color="auto"/>
          </w:divBdr>
        </w:div>
      </w:divsChild>
    </w:div>
    <w:div w:id="286813986">
      <w:marLeft w:val="0"/>
      <w:marRight w:val="0"/>
      <w:marTop w:val="0"/>
      <w:marBottom w:val="180"/>
      <w:divBdr>
        <w:top w:val="none" w:sz="0" w:space="0" w:color="auto"/>
        <w:left w:val="none" w:sz="0" w:space="0" w:color="auto"/>
        <w:bottom w:val="none" w:sz="0" w:space="0" w:color="auto"/>
        <w:right w:val="none" w:sz="0" w:space="0" w:color="auto"/>
      </w:divBdr>
    </w:div>
    <w:div w:id="287008951">
      <w:marLeft w:val="0"/>
      <w:marRight w:val="0"/>
      <w:marTop w:val="120"/>
      <w:marBottom w:val="140"/>
      <w:divBdr>
        <w:top w:val="none" w:sz="0" w:space="0" w:color="auto"/>
        <w:left w:val="none" w:sz="0" w:space="0" w:color="auto"/>
        <w:bottom w:val="none" w:sz="0" w:space="0" w:color="auto"/>
        <w:right w:val="none" w:sz="0" w:space="0" w:color="auto"/>
      </w:divBdr>
    </w:div>
    <w:div w:id="287783242">
      <w:marLeft w:val="0"/>
      <w:marRight w:val="0"/>
      <w:marTop w:val="0"/>
      <w:marBottom w:val="240"/>
      <w:divBdr>
        <w:top w:val="none" w:sz="0" w:space="0" w:color="auto"/>
        <w:left w:val="none" w:sz="0" w:space="0" w:color="auto"/>
        <w:bottom w:val="none" w:sz="0" w:space="0" w:color="auto"/>
        <w:right w:val="none" w:sz="0" w:space="0" w:color="auto"/>
      </w:divBdr>
    </w:div>
    <w:div w:id="288440558">
      <w:marLeft w:val="0"/>
      <w:marRight w:val="0"/>
      <w:marTop w:val="0"/>
      <w:marBottom w:val="180"/>
      <w:divBdr>
        <w:top w:val="none" w:sz="0" w:space="0" w:color="auto"/>
        <w:left w:val="none" w:sz="0" w:space="0" w:color="auto"/>
        <w:bottom w:val="none" w:sz="0" w:space="0" w:color="auto"/>
        <w:right w:val="none" w:sz="0" w:space="0" w:color="auto"/>
      </w:divBdr>
    </w:div>
    <w:div w:id="289013795">
      <w:marLeft w:val="0"/>
      <w:marRight w:val="0"/>
      <w:marTop w:val="0"/>
      <w:marBottom w:val="180"/>
      <w:divBdr>
        <w:top w:val="none" w:sz="0" w:space="0" w:color="auto"/>
        <w:left w:val="none" w:sz="0" w:space="0" w:color="auto"/>
        <w:bottom w:val="none" w:sz="0" w:space="0" w:color="auto"/>
        <w:right w:val="none" w:sz="0" w:space="0" w:color="auto"/>
      </w:divBdr>
    </w:div>
    <w:div w:id="289825071">
      <w:marLeft w:val="0"/>
      <w:marRight w:val="0"/>
      <w:marTop w:val="180"/>
      <w:marBottom w:val="180"/>
      <w:divBdr>
        <w:top w:val="none" w:sz="0" w:space="0" w:color="auto"/>
        <w:left w:val="none" w:sz="0" w:space="0" w:color="auto"/>
        <w:bottom w:val="none" w:sz="0" w:space="0" w:color="auto"/>
        <w:right w:val="none" w:sz="0" w:space="0" w:color="auto"/>
      </w:divBdr>
    </w:div>
    <w:div w:id="290718177">
      <w:marLeft w:val="0"/>
      <w:marRight w:val="0"/>
      <w:marTop w:val="0"/>
      <w:marBottom w:val="180"/>
      <w:divBdr>
        <w:top w:val="none" w:sz="0" w:space="0" w:color="auto"/>
        <w:left w:val="none" w:sz="0" w:space="0" w:color="auto"/>
        <w:bottom w:val="none" w:sz="0" w:space="0" w:color="auto"/>
        <w:right w:val="none" w:sz="0" w:space="0" w:color="auto"/>
      </w:divBdr>
    </w:div>
    <w:div w:id="291373906">
      <w:marLeft w:val="0"/>
      <w:marRight w:val="0"/>
      <w:marTop w:val="0"/>
      <w:marBottom w:val="0"/>
      <w:divBdr>
        <w:top w:val="none" w:sz="0" w:space="0" w:color="auto"/>
        <w:left w:val="none" w:sz="0" w:space="0" w:color="auto"/>
        <w:bottom w:val="none" w:sz="0" w:space="0" w:color="auto"/>
        <w:right w:val="none" w:sz="0" w:space="0" w:color="auto"/>
      </w:divBdr>
      <w:divsChild>
        <w:div w:id="2003193862">
          <w:marLeft w:val="0"/>
          <w:marRight w:val="0"/>
          <w:marTop w:val="0"/>
          <w:marBottom w:val="0"/>
          <w:divBdr>
            <w:top w:val="none" w:sz="0" w:space="0" w:color="auto"/>
            <w:left w:val="none" w:sz="0" w:space="0" w:color="auto"/>
            <w:bottom w:val="none" w:sz="0" w:space="0" w:color="auto"/>
            <w:right w:val="none" w:sz="0" w:space="0" w:color="auto"/>
          </w:divBdr>
        </w:div>
      </w:divsChild>
    </w:div>
    <w:div w:id="291400816">
      <w:marLeft w:val="0"/>
      <w:marRight w:val="0"/>
      <w:marTop w:val="0"/>
      <w:marBottom w:val="240"/>
      <w:divBdr>
        <w:top w:val="none" w:sz="0" w:space="0" w:color="auto"/>
        <w:left w:val="none" w:sz="0" w:space="0" w:color="auto"/>
        <w:bottom w:val="none" w:sz="0" w:space="0" w:color="auto"/>
        <w:right w:val="none" w:sz="0" w:space="0" w:color="auto"/>
      </w:divBdr>
    </w:div>
    <w:div w:id="291833076">
      <w:marLeft w:val="0"/>
      <w:marRight w:val="0"/>
      <w:marTop w:val="0"/>
      <w:marBottom w:val="180"/>
      <w:divBdr>
        <w:top w:val="none" w:sz="0" w:space="0" w:color="auto"/>
        <w:left w:val="none" w:sz="0" w:space="0" w:color="auto"/>
        <w:bottom w:val="none" w:sz="0" w:space="0" w:color="auto"/>
        <w:right w:val="none" w:sz="0" w:space="0" w:color="auto"/>
      </w:divBdr>
    </w:div>
    <w:div w:id="292441655">
      <w:marLeft w:val="0"/>
      <w:marRight w:val="0"/>
      <w:marTop w:val="0"/>
      <w:marBottom w:val="0"/>
      <w:divBdr>
        <w:top w:val="none" w:sz="0" w:space="0" w:color="auto"/>
        <w:left w:val="none" w:sz="0" w:space="0" w:color="auto"/>
        <w:bottom w:val="none" w:sz="0" w:space="0" w:color="auto"/>
        <w:right w:val="none" w:sz="0" w:space="0" w:color="auto"/>
      </w:divBdr>
    </w:div>
    <w:div w:id="292446207">
      <w:marLeft w:val="0"/>
      <w:marRight w:val="0"/>
      <w:marTop w:val="0"/>
      <w:marBottom w:val="240"/>
      <w:divBdr>
        <w:top w:val="none" w:sz="0" w:space="0" w:color="auto"/>
        <w:left w:val="none" w:sz="0" w:space="0" w:color="auto"/>
        <w:bottom w:val="none" w:sz="0" w:space="0" w:color="auto"/>
        <w:right w:val="none" w:sz="0" w:space="0" w:color="auto"/>
      </w:divBdr>
    </w:div>
    <w:div w:id="292449018">
      <w:marLeft w:val="0"/>
      <w:marRight w:val="0"/>
      <w:marTop w:val="0"/>
      <w:marBottom w:val="180"/>
      <w:divBdr>
        <w:top w:val="none" w:sz="0" w:space="0" w:color="auto"/>
        <w:left w:val="none" w:sz="0" w:space="0" w:color="auto"/>
        <w:bottom w:val="none" w:sz="0" w:space="0" w:color="auto"/>
        <w:right w:val="none" w:sz="0" w:space="0" w:color="auto"/>
      </w:divBdr>
    </w:div>
    <w:div w:id="294870247">
      <w:marLeft w:val="0"/>
      <w:marRight w:val="0"/>
      <w:marTop w:val="0"/>
      <w:marBottom w:val="240"/>
      <w:divBdr>
        <w:top w:val="none" w:sz="0" w:space="0" w:color="auto"/>
        <w:left w:val="none" w:sz="0" w:space="0" w:color="auto"/>
        <w:bottom w:val="none" w:sz="0" w:space="0" w:color="auto"/>
        <w:right w:val="none" w:sz="0" w:space="0" w:color="auto"/>
      </w:divBdr>
    </w:div>
    <w:div w:id="294875416">
      <w:marLeft w:val="0"/>
      <w:marRight w:val="0"/>
      <w:marTop w:val="0"/>
      <w:marBottom w:val="0"/>
      <w:divBdr>
        <w:top w:val="none" w:sz="0" w:space="0" w:color="auto"/>
        <w:left w:val="none" w:sz="0" w:space="0" w:color="auto"/>
        <w:bottom w:val="none" w:sz="0" w:space="0" w:color="auto"/>
        <w:right w:val="none" w:sz="0" w:space="0" w:color="auto"/>
      </w:divBdr>
    </w:div>
    <w:div w:id="297801778">
      <w:marLeft w:val="0"/>
      <w:marRight w:val="0"/>
      <w:marTop w:val="0"/>
      <w:marBottom w:val="0"/>
      <w:divBdr>
        <w:top w:val="none" w:sz="0" w:space="0" w:color="auto"/>
        <w:left w:val="none" w:sz="0" w:space="0" w:color="auto"/>
        <w:bottom w:val="none" w:sz="0" w:space="0" w:color="auto"/>
        <w:right w:val="none" w:sz="0" w:space="0" w:color="auto"/>
      </w:divBdr>
      <w:divsChild>
        <w:div w:id="496195073">
          <w:marLeft w:val="0"/>
          <w:marRight w:val="0"/>
          <w:marTop w:val="0"/>
          <w:marBottom w:val="0"/>
          <w:divBdr>
            <w:top w:val="none" w:sz="0" w:space="0" w:color="auto"/>
            <w:left w:val="none" w:sz="0" w:space="0" w:color="auto"/>
            <w:bottom w:val="none" w:sz="0" w:space="0" w:color="auto"/>
            <w:right w:val="none" w:sz="0" w:space="0" w:color="auto"/>
          </w:divBdr>
        </w:div>
      </w:divsChild>
    </w:div>
    <w:div w:id="297957657">
      <w:marLeft w:val="0"/>
      <w:marRight w:val="0"/>
      <w:marTop w:val="180"/>
      <w:marBottom w:val="180"/>
      <w:divBdr>
        <w:top w:val="none" w:sz="0" w:space="0" w:color="auto"/>
        <w:left w:val="none" w:sz="0" w:space="0" w:color="auto"/>
        <w:bottom w:val="none" w:sz="0" w:space="0" w:color="auto"/>
        <w:right w:val="none" w:sz="0" w:space="0" w:color="auto"/>
      </w:divBdr>
    </w:div>
    <w:div w:id="299309976">
      <w:marLeft w:val="0"/>
      <w:marRight w:val="0"/>
      <w:marTop w:val="0"/>
      <w:marBottom w:val="240"/>
      <w:divBdr>
        <w:top w:val="none" w:sz="0" w:space="0" w:color="auto"/>
        <w:left w:val="none" w:sz="0" w:space="0" w:color="auto"/>
        <w:bottom w:val="none" w:sz="0" w:space="0" w:color="auto"/>
        <w:right w:val="none" w:sz="0" w:space="0" w:color="auto"/>
      </w:divBdr>
    </w:div>
    <w:div w:id="299455448">
      <w:marLeft w:val="0"/>
      <w:marRight w:val="0"/>
      <w:marTop w:val="0"/>
      <w:marBottom w:val="240"/>
      <w:divBdr>
        <w:top w:val="none" w:sz="0" w:space="0" w:color="auto"/>
        <w:left w:val="none" w:sz="0" w:space="0" w:color="auto"/>
        <w:bottom w:val="none" w:sz="0" w:space="0" w:color="auto"/>
        <w:right w:val="none" w:sz="0" w:space="0" w:color="auto"/>
      </w:divBdr>
    </w:div>
    <w:div w:id="299501978">
      <w:marLeft w:val="0"/>
      <w:marRight w:val="0"/>
      <w:marTop w:val="0"/>
      <w:marBottom w:val="240"/>
      <w:divBdr>
        <w:top w:val="none" w:sz="0" w:space="0" w:color="auto"/>
        <w:left w:val="none" w:sz="0" w:space="0" w:color="auto"/>
        <w:bottom w:val="none" w:sz="0" w:space="0" w:color="auto"/>
        <w:right w:val="none" w:sz="0" w:space="0" w:color="auto"/>
      </w:divBdr>
    </w:div>
    <w:div w:id="299961824">
      <w:marLeft w:val="0"/>
      <w:marRight w:val="0"/>
      <w:marTop w:val="180"/>
      <w:marBottom w:val="180"/>
      <w:divBdr>
        <w:top w:val="none" w:sz="0" w:space="0" w:color="auto"/>
        <w:left w:val="none" w:sz="0" w:space="0" w:color="auto"/>
        <w:bottom w:val="none" w:sz="0" w:space="0" w:color="auto"/>
        <w:right w:val="none" w:sz="0" w:space="0" w:color="auto"/>
      </w:divBdr>
    </w:div>
    <w:div w:id="300311323">
      <w:marLeft w:val="0"/>
      <w:marRight w:val="0"/>
      <w:marTop w:val="0"/>
      <w:marBottom w:val="0"/>
      <w:divBdr>
        <w:top w:val="none" w:sz="0" w:space="0" w:color="auto"/>
        <w:left w:val="none" w:sz="0" w:space="0" w:color="auto"/>
        <w:bottom w:val="none" w:sz="0" w:space="0" w:color="auto"/>
        <w:right w:val="none" w:sz="0" w:space="0" w:color="auto"/>
      </w:divBdr>
      <w:divsChild>
        <w:div w:id="1384404598">
          <w:marLeft w:val="0"/>
          <w:marRight w:val="0"/>
          <w:marTop w:val="0"/>
          <w:marBottom w:val="0"/>
          <w:divBdr>
            <w:top w:val="none" w:sz="0" w:space="0" w:color="auto"/>
            <w:left w:val="none" w:sz="0" w:space="0" w:color="auto"/>
            <w:bottom w:val="none" w:sz="0" w:space="0" w:color="auto"/>
            <w:right w:val="none" w:sz="0" w:space="0" w:color="auto"/>
          </w:divBdr>
        </w:div>
      </w:divsChild>
    </w:div>
    <w:div w:id="300380744">
      <w:marLeft w:val="0"/>
      <w:marRight w:val="0"/>
      <w:marTop w:val="0"/>
      <w:marBottom w:val="180"/>
      <w:divBdr>
        <w:top w:val="none" w:sz="0" w:space="0" w:color="auto"/>
        <w:left w:val="none" w:sz="0" w:space="0" w:color="auto"/>
        <w:bottom w:val="none" w:sz="0" w:space="0" w:color="auto"/>
        <w:right w:val="none" w:sz="0" w:space="0" w:color="auto"/>
      </w:divBdr>
    </w:div>
    <w:div w:id="300382581">
      <w:marLeft w:val="0"/>
      <w:marRight w:val="0"/>
      <w:marTop w:val="0"/>
      <w:marBottom w:val="240"/>
      <w:divBdr>
        <w:top w:val="none" w:sz="0" w:space="0" w:color="auto"/>
        <w:left w:val="none" w:sz="0" w:space="0" w:color="auto"/>
        <w:bottom w:val="none" w:sz="0" w:space="0" w:color="auto"/>
        <w:right w:val="none" w:sz="0" w:space="0" w:color="auto"/>
      </w:divBdr>
    </w:div>
    <w:div w:id="301547029">
      <w:marLeft w:val="0"/>
      <w:marRight w:val="0"/>
      <w:marTop w:val="0"/>
      <w:marBottom w:val="240"/>
      <w:divBdr>
        <w:top w:val="none" w:sz="0" w:space="0" w:color="auto"/>
        <w:left w:val="none" w:sz="0" w:space="0" w:color="auto"/>
        <w:bottom w:val="none" w:sz="0" w:space="0" w:color="auto"/>
        <w:right w:val="none" w:sz="0" w:space="0" w:color="auto"/>
      </w:divBdr>
    </w:div>
    <w:div w:id="301690675">
      <w:marLeft w:val="0"/>
      <w:marRight w:val="0"/>
      <w:marTop w:val="0"/>
      <w:marBottom w:val="180"/>
      <w:divBdr>
        <w:top w:val="none" w:sz="0" w:space="0" w:color="auto"/>
        <w:left w:val="none" w:sz="0" w:space="0" w:color="auto"/>
        <w:bottom w:val="none" w:sz="0" w:space="0" w:color="auto"/>
        <w:right w:val="none" w:sz="0" w:space="0" w:color="auto"/>
      </w:divBdr>
    </w:div>
    <w:div w:id="302081231">
      <w:marLeft w:val="0"/>
      <w:marRight w:val="0"/>
      <w:marTop w:val="0"/>
      <w:marBottom w:val="180"/>
      <w:divBdr>
        <w:top w:val="none" w:sz="0" w:space="0" w:color="auto"/>
        <w:left w:val="none" w:sz="0" w:space="0" w:color="auto"/>
        <w:bottom w:val="none" w:sz="0" w:space="0" w:color="auto"/>
        <w:right w:val="none" w:sz="0" w:space="0" w:color="auto"/>
      </w:divBdr>
    </w:div>
    <w:div w:id="302085354">
      <w:marLeft w:val="0"/>
      <w:marRight w:val="0"/>
      <w:marTop w:val="0"/>
      <w:marBottom w:val="240"/>
      <w:divBdr>
        <w:top w:val="none" w:sz="0" w:space="0" w:color="auto"/>
        <w:left w:val="none" w:sz="0" w:space="0" w:color="auto"/>
        <w:bottom w:val="none" w:sz="0" w:space="0" w:color="auto"/>
        <w:right w:val="none" w:sz="0" w:space="0" w:color="auto"/>
      </w:divBdr>
    </w:div>
    <w:div w:id="303509289">
      <w:marLeft w:val="0"/>
      <w:marRight w:val="0"/>
      <w:marTop w:val="340"/>
      <w:marBottom w:val="0"/>
      <w:divBdr>
        <w:top w:val="none" w:sz="0" w:space="0" w:color="auto"/>
        <w:left w:val="none" w:sz="0" w:space="0" w:color="auto"/>
        <w:bottom w:val="none" w:sz="0" w:space="0" w:color="auto"/>
        <w:right w:val="none" w:sz="0" w:space="0" w:color="auto"/>
      </w:divBdr>
      <w:divsChild>
        <w:div w:id="1595894752">
          <w:marLeft w:val="0"/>
          <w:marRight w:val="0"/>
          <w:marTop w:val="0"/>
          <w:marBottom w:val="0"/>
          <w:divBdr>
            <w:top w:val="none" w:sz="0" w:space="0" w:color="auto"/>
            <w:left w:val="none" w:sz="0" w:space="0" w:color="auto"/>
            <w:bottom w:val="none" w:sz="0" w:space="0" w:color="auto"/>
            <w:right w:val="none" w:sz="0" w:space="0" w:color="auto"/>
          </w:divBdr>
        </w:div>
        <w:div w:id="307442828">
          <w:marLeft w:val="0"/>
          <w:marRight w:val="0"/>
          <w:marTop w:val="0"/>
          <w:marBottom w:val="0"/>
          <w:divBdr>
            <w:top w:val="none" w:sz="0" w:space="0" w:color="auto"/>
            <w:left w:val="none" w:sz="0" w:space="0" w:color="auto"/>
            <w:bottom w:val="none" w:sz="0" w:space="0" w:color="auto"/>
            <w:right w:val="none" w:sz="0" w:space="0" w:color="auto"/>
          </w:divBdr>
        </w:div>
        <w:div w:id="2025934900">
          <w:marLeft w:val="0"/>
          <w:marRight w:val="0"/>
          <w:marTop w:val="0"/>
          <w:marBottom w:val="0"/>
          <w:divBdr>
            <w:top w:val="none" w:sz="0" w:space="0" w:color="auto"/>
            <w:left w:val="none" w:sz="0" w:space="0" w:color="auto"/>
            <w:bottom w:val="none" w:sz="0" w:space="0" w:color="auto"/>
            <w:right w:val="none" w:sz="0" w:space="0" w:color="auto"/>
          </w:divBdr>
        </w:div>
        <w:div w:id="1931157881">
          <w:marLeft w:val="0"/>
          <w:marRight w:val="0"/>
          <w:marTop w:val="0"/>
          <w:marBottom w:val="0"/>
          <w:divBdr>
            <w:top w:val="none" w:sz="0" w:space="0" w:color="auto"/>
            <w:left w:val="none" w:sz="0" w:space="0" w:color="auto"/>
            <w:bottom w:val="none" w:sz="0" w:space="0" w:color="auto"/>
            <w:right w:val="none" w:sz="0" w:space="0" w:color="auto"/>
          </w:divBdr>
        </w:div>
        <w:div w:id="724373149">
          <w:marLeft w:val="0"/>
          <w:marRight w:val="0"/>
          <w:marTop w:val="0"/>
          <w:marBottom w:val="0"/>
          <w:divBdr>
            <w:top w:val="none" w:sz="0" w:space="0" w:color="auto"/>
            <w:left w:val="none" w:sz="0" w:space="0" w:color="auto"/>
            <w:bottom w:val="none" w:sz="0" w:space="0" w:color="auto"/>
            <w:right w:val="none" w:sz="0" w:space="0" w:color="auto"/>
          </w:divBdr>
        </w:div>
        <w:div w:id="437454506">
          <w:marLeft w:val="0"/>
          <w:marRight w:val="0"/>
          <w:marTop w:val="0"/>
          <w:marBottom w:val="0"/>
          <w:divBdr>
            <w:top w:val="none" w:sz="0" w:space="0" w:color="auto"/>
            <w:left w:val="none" w:sz="0" w:space="0" w:color="auto"/>
            <w:bottom w:val="none" w:sz="0" w:space="0" w:color="auto"/>
            <w:right w:val="none" w:sz="0" w:space="0" w:color="auto"/>
          </w:divBdr>
        </w:div>
        <w:div w:id="936254253">
          <w:marLeft w:val="0"/>
          <w:marRight w:val="0"/>
          <w:marTop w:val="0"/>
          <w:marBottom w:val="0"/>
          <w:divBdr>
            <w:top w:val="none" w:sz="0" w:space="0" w:color="auto"/>
            <w:left w:val="none" w:sz="0" w:space="0" w:color="auto"/>
            <w:bottom w:val="none" w:sz="0" w:space="0" w:color="auto"/>
            <w:right w:val="none" w:sz="0" w:space="0" w:color="auto"/>
          </w:divBdr>
        </w:div>
        <w:div w:id="368260149">
          <w:marLeft w:val="0"/>
          <w:marRight w:val="0"/>
          <w:marTop w:val="0"/>
          <w:marBottom w:val="0"/>
          <w:divBdr>
            <w:top w:val="none" w:sz="0" w:space="0" w:color="auto"/>
            <w:left w:val="none" w:sz="0" w:space="0" w:color="auto"/>
            <w:bottom w:val="none" w:sz="0" w:space="0" w:color="auto"/>
            <w:right w:val="none" w:sz="0" w:space="0" w:color="auto"/>
          </w:divBdr>
        </w:div>
        <w:div w:id="1957641933">
          <w:marLeft w:val="0"/>
          <w:marRight w:val="0"/>
          <w:marTop w:val="0"/>
          <w:marBottom w:val="0"/>
          <w:divBdr>
            <w:top w:val="none" w:sz="0" w:space="0" w:color="auto"/>
            <w:left w:val="none" w:sz="0" w:space="0" w:color="auto"/>
            <w:bottom w:val="none" w:sz="0" w:space="0" w:color="auto"/>
            <w:right w:val="none" w:sz="0" w:space="0" w:color="auto"/>
          </w:divBdr>
        </w:div>
        <w:div w:id="1254052362">
          <w:marLeft w:val="0"/>
          <w:marRight w:val="0"/>
          <w:marTop w:val="0"/>
          <w:marBottom w:val="0"/>
          <w:divBdr>
            <w:top w:val="none" w:sz="0" w:space="0" w:color="auto"/>
            <w:left w:val="none" w:sz="0" w:space="0" w:color="auto"/>
            <w:bottom w:val="none" w:sz="0" w:space="0" w:color="auto"/>
            <w:right w:val="none" w:sz="0" w:space="0" w:color="auto"/>
          </w:divBdr>
        </w:div>
        <w:div w:id="1780221028">
          <w:marLeft w:val="0"/>
          <w:marRight w:val="0"/>
          <w:marTop w:val="0"/>
          <w:marBottom w:val="0"/>
          <w:divBdr>
            <w:top w:val="none" w:sz="0" w:space="0" w:color="auto"/>
            <w:left w:val="none" w:sz="0" w:space="0" w:color="auto"/>
            <w:bottom w:val="none" w:sz="0" w:space="0" w:color="auto"/>
            <w:right w:val="none" w:sz="0" w:space="0" w:color="auto"/>
          </w:divBdr>
        </w:div>
        <w:div w:id="1735546920">
          <w:marLeft w:val="0"/>
          <w:marRight w:val="0"/>
          <w:marTop w:val="0"/>
          <w:marBottom w:val="0"/>
          <w:divBdr>
            <w:top w:val="none" w:sz="0" w:space="0" w:color="auto"/>
            <w:left w:val="none" w:sz="0" w:space="0" w:color="auto"/>
            <w:bottom w:val="none" w:sz="0" w:space="0" w:color="auto"/>
            <w:right w:val="none" w:sz="0" w:space="0" w:color="auto"/>
          </w:divBdr>
        </w:div>
        <w:div w:id="496504348">
          <w:marLeft w:val="0"/>
          <w:marRight w:val="0"/>
          <w:marTop w:val="0"/>
          <w:marBottom w:val="0"/>
          <w:divBdr>
            <w:top w:val="none" w:sz="0" w:space="0" w:color="auto"/>
            <w:left w:val="none" w:sz="0" w:space="0" w:color="auto"/>
            <w:bottom w:val="none" w:sz="0" w:space="0" w:color="auto"/>
            <w:right w:val="none" w:sz="0" w:space="0" w:color="auto"/>
          </w:divBdr>
        </w:div>
        <w:div w:id="1252661987">
          <w:marLeft w:val="0"/>
          <w:marRight w:val="0"/>
          <w:marTop w:val="0"/>
          <w:marBottom w:val="0"/>
          <w:divBdr>
            <w:top w:val="none" w:sz="0" w:space="0" w:color="auto"/>
            <w:left w:val="none" w:sz="0" w:space="0" w:color="auto"/>
            <w:bottom w:val="none" w:sz="0" w:space="0" w:color="auto"/>
            <w:right w:val="none" w:sz="0" w:space="0" w:color="auto"/>
          </w:divBdr>
        </w:div>
        <w:div w:id="179439248">
          <w:marLeft w:val="0"/>
          <w:marRight w:val="0"/>
          <w:marTop w:val="0"/>
          <w:marBottom w:val="0"/>
          <w:divBdr>
            <w:top w:val="none" w:sz="0" w:space="0" w:color="auto"/>
            <w:left w:val="none" w:sz="0" w:space="0" w:color="auto"/>
            <w:bottom w:val="none" w:sz="0" w:space="0" w:color="auto"/>
            <w:right w:val="none" w:sz="0" w:space="0" w:color="auto"/>
          </w:divBdr>
        </w:div>
        <w:div w:id="1021132262">
          <w:marLeft w:val="0"/>
          <w:marRight w:val="0"/>
          <w:marTop w:val="0"/>
          <w:marBottom w:val="0"/>
          <w:divBdr>
            <w:top w:val="none" w:sz="0" w:space="0" w:color="auto"/>
            <w:left w:val="none" w:sz="0" w:space="0" w:color="auto"/>
            <w:bottom w:val="none" w:sz="0" w:space="0" w:color="auto"/>
            <w:right w:val="none" w:sz="0" w:space="0" w:color="auto"/>
          </w:divBdr>
        </w:div>
        <w:div w:id="1224606273">
          <w:marLeft w:val="0"/>
          <w:marRight w:val="0"/>
          <w:marTop w:val="0"/>
          <w:marBottom w:val="0"/>
          <w:divBdr>
            <w:top w:val="none" w:sz="0" w:space="0" w:color="auto"/>
            <w:left w:val="none" w:sz="0" w:space="0" w:color="auto"/>
            <w:bottom w:val="none" w:sz="0" w:space="0" w:color="auto"/>
            <w:right w:val="none" w:sz="0" w:space="0" w:color="auto"/>
          </w:divBdr>
        </w:div>
        <w:div w:id="1987928188">
          <w:marLeft w:val="0"/>
          <w:marRight w:val="0"/>
          <w:marTop w:val="0"/>
          <w:marBottom w:val="0"/>
          <w:divBdr>
            <w:top w:val="none" w:sz="0" w:space="0" w:color="auto"/>
            <w:left w:val="none" w:sz="0" w:space="0" w:color="auto"/>
            <w:bottom w:val="none" w:sz="0" w:space="0" w:color="auto"/>
            <w:right w:val="none" w:sz="0" w:space="0" w:color="auto"/>
          </w:divBdr>
        </w:div>
        <w:div w:id="743988646">
          <w:marLeft w:val="0"/>
          <w:marRight w:val="0"/>
          <w:marTop w:val="0"/>
          <w:marBottom w:val="0"/>
          <w:divBdr>
            <w:top w:val="none" w:sz="0" w:space="0" w:color="auto"/>
            <w:left w:val="none" w:sz="0" w:space="0" w:color="auto"/>
            <w:bottom w:val="none" w:sz="0" w:space="0" w:color="auto"/>
            <w:right w:val="none" w:sz="0" w:space="0" w:color="auto"/>
          </w:divBdr>
        </w:div>
        <w:div w:id="1579631823">
          <w:marLeft w:val="0"/>
          <w:marRight w:val="0"/>
          <w:marTop w:val="0"/>
          <w:marBottom w:val="0"/>
          <w:divBdr>
            <w:top w:val="none" w:sz="0" w:space="0" w:color="auto"/>
            <w:left w:val="none" w:sz="0" w:space="0" w:color="auto"/>
            <w:bottom w:val="none" w:sz="0" w:space="0" w:color="auto"/>
            <w:right w:val="none" w:sz="0" w:space="0" w:color="auto"/>
          </w:divBdr>
        </w:div>
        <w:div w:id="1206675128">
          <w:marLeft w:val="0"/>
          <w:marRight w:val="0"/>
          <w:marTop w:val="0"/>
          <w:marBottom w:val="0"/>
          <w:divBdr>
            <w:top w:val="none" w:sz="0" w:space="0" w:color="auto"/>
            <w:left w:val="none" w:sz="0" w:space="0" w:color="auto"/>
            <w:bottom w:val="none" w:sz="0" w:space="0" w:color="auto"/>
            <w:right w:val="none" w:sz="0" w:space="0" w:color="auto"/>
          </w:divBdr>
        </w:div>
        <w:div w:id="1347440181">
          <w:marLeft w:val="0"/>
          <w:marRight w:val="0"/>
          <w:marTop w:val="0"/>
          <w:marBottom w:val="0"/>
          <w:divBdr>
            <w:top w:val="none" w:sz="0" w:space="0" w:color="auto"/>
            <w:left w:val="none" w:sz="0" w:space="0" w:color="auto"/>
            <w:bottom w:val="none" w:sz="0" w:space="0" w:color="auto"/>
            <w:right w:val="none" w:sz="0" w:space="0" w:color="auto"/>
          </w:divBdr>
        </w:div>
        <w:div w:id="1727410549">
          <w:marLeft w:val="0"/>
          <w:marRight w:val="0"/>
          <w:marTop w:val="0"/>
          <w:marBottom w:val="0"/>
          <w:divBdr>
            <w:top w:val="none" w:sz="0" w:space="0" w:color="auto"/>
            <w:left w:val="none" w:sz="0" w:space="0" w:color="auto"/>
            <w:bottom w:val="none" w:sz="0" w:space="0" w:color="auto"/>
            <w:right w:val="none" w:sz="0" w:space="0" w:color="auto"/>
          </w:divBdr>
        </w:div>
        <w:div w:id="1914116614">
          <w:marLeft w:val="0"/>
          <w:marRight w:val="0"/>
          <w:marTop w:val="0"/>
          <w:marBottom w:val="0"/>
          <w:divBdr>
            <w:top w:val="none" w:sz="0" w:space="0" w:color="auto"/>
            <w:left w:val="none" w:sz="0" w:space="0" w:color="auto"/>
            <w:bottom w:val="none" w:sz="0" w:space="0" w:color="auto"/>
            <w:right w:val="none" w:sz="0" w:space="0" w:color="auto"/>
          </w:divBdr>
        </w:div>
        <w:div w:id="1443649163">
          <w:marLeft w:val="0"/>
          <w:marRight w:val="0"/>
          <w:marTop w:val="0"/>
          <w:marBottom w:val="0"/>
          <w:divBdr>
            <w:top w:val="none" w:sz="0" w:space="0" w:color="auto"/>
            <w:left w:val="none" w:sz="0" w:space="0" w:color="auto"/>
            <w:bottom w:val="none" w:sz="0" w:space="0" w:color="auto"/>
            <w:right w:val="none" w:sz="0" w:space="0" w:color="auto"/>
          </w:divBdr>
        </w:div>
        <w:div w:id="965742500">
          <w:marLeft w:val="0"/>
          <w:marRight w:val="0"/>
          <w:marTop w:val="0"/>
          <w:marBottom w:val="0"/>
          <w:divBdr>
            <w:top w:val="none" w:sz="0" w:space="0" w:color="auto"/>
            <w:left w:val="none" w:sz="0" w:space="0" w:color="auto"/>
            <w:bottom w:val="none" w:sz="0" w:space="0" w:color="auto"/>
            <w:right w:val="none" w:sz="0" w:space="0" w:color="auto"/>
          </w:divBdr>
        </w:div>
        <w:div w:id="84234543">
          <w:marLeft w:val="0"/>
          <w:marRight w:val="0"/>
          <w:marTop w:val="0"/>
          <w:marBottom w:val="0"/>
          <w:divBdr>
            <w:top w:val="none" w:sz="0" w:space="0" w:color="auto"/>
            <w:left w:val="none" w:sz="0" w:space="0" w:color="auto"/>
            <w:bottom w:val="none" w:sz="0" w:space="0" w:color="auto"/>
            <w:right w:val="none" w:sz="0" w:space="0" w:color="auto"/>
          </w:divBdr>
        </w:div>
        <w:div w:id="722145068">
          <w:marLeft w:val="0"/>
          <w:marRight w:val="0"/>
          <w:marTop w:val="0"/>
          <w:marBottom w:val="0"/>
          <w:divBdr>
            <w:top w:val="none" w:sz="0" w:space="0" w:color="auto"/>
            <w:left w:val="none" w:sz="0" w:space="0" w:color="auto"/>
            <w:bottom w:val="none" w:sz="0" w:space="0" w:color="auto"/>
            <w:right w:val="none" w:sz="0" w:space="0" w:color="auto"/>
          </w:divBdr>
        </w:div>
        <w:div w:id="299194721">
          <w:marLeft w:val="0"/>
          <w:marRight w:val="0"/>
          <w:marTop w:val="0"/>
          <w:marBottom w:val="0"/>
          <w:divBdr>
            <w:top w:val="none" w:sz="0" w:space="0" w:color="auto"/>
            <w:left w:val="none" w:sz="0" w:space="0" w:color="auto"/>
            <w:bottom w:val="none" w:sz="0" w:space="0" w:color="auto"/>
            <w:right w:val="none" w:sz="0" w:space="0" w:color="auto"/>
          </w:divBdr>
        </w:div>
        <w:div w:id="1876042869">
          <w:marLeft w:val="0"/>
          <w:marRight w:val="0"/>
          <w:marTop w:val="0"/>
          <w:marBottom w:val="0"/>
          <w:divBdr>
            <w:top w:val="none" w:sz="0" w:space="0" w:color="auto"/>
            <w:left w:val="none" w:sz="0" w:space="0" w:color="auto"/>
            <w:bottom w:val="none" w:sz="0" w:space="0" w:color="auto"/>
            <w:right w:val="none" w:sz="0" w:space="0" w:color="auto"/>
          </w:divBdr>
        </w:div>
        <w:div w:id="533612438">
          <w:marLeft w:val="0"/>
          <w:marRight w:val="0"/>
          <w:marTop w:val="0"/>
          <w:marBottom w:val="0"/>
          <w:divBdr>
            <w:top w:val="none" w:sz="0" w:space="0" w:color="auto"/>
            <w:left w:val="none" w:sz="0" w:space="0" w:color="auto"/>
            <w:bottom w:val="none" w:sz="0" w:space="0" w:color="auto"/>
            <w:right w:val="none" w:sz="0" w:space="0" w:color="auto"/>
          </w:divBdr>
        </w:div>
        <w:div w:id="1415736503">
          <w:marLeft w:val="0"/>
          <w:marRight w:val="0"/>
          <w:marTop w:val="0"/>
          <w:marBottom w:val="0"/>
          <w:divBdr>
            <w:top w:val="none" w:sz="0" w:space="0" w:color="auto"/>
            <w:left w:val="none" w:sz="0" w:space="0" w:color="auto"/>
            <w:bottom w:val="none" w:sz="0" w:space="0" w:color="auto"/>
            <w:right w:val="none" w:sz="0" w:space="0" w:color="auto"/>
          </w:divBdr>
        </w:div>
        <w:div w:id="1476412719">
          <w:marLeft w:val="0"/>
          <w:marRight w:val="0"/>
          <w:marTop w:val="0"/>
          <w:marBottom w:val="0"/>
          <w:divBdr>
            <w:top w:val="none" w:sz="0" w:space="0" w:color="auto"/>
            <w:left w:val="none" w:sz="0" w:space="0" w:color="auto"/>
            <w:bottom w:val="none" w:sz="0" w:space="0" w:color="auto"/>
            <w:right w:val="none" w:sz="0" w:space="0" w:color="auto"/>
          </w:divBdr>
        </w:div>
        <w:div w:id="1016276438">
          <w:marLeft w:val="0"/>
          <w:marRight w:val="0"/>
          <w:marTop w:val="0"/>
          <w:marBottom w:val="0"/>
          <w:divBdr>
            <w:top w:val="none" w:sz="0" w:space="0" w:color="auto"/>
            <w:left w:val="none" w:sz="0" w:space="0" w:color="auto"/>
            <w:bottom w:val="none" w:sz="0" w:space="0" w:color="auto"/>
            <w:right w:val="none" w:sz="0" w:space="0" w:color="auto"/>
          </w:divBdr>
        </w:div>
        <w:div w:id="166945053">
          <w:marLeft w:val="0"/>
          <w:marRight w:val="0"/>
          <w:marTop w:val="0"/>
          <w:marBottom w:val="0"/>
          <w:divBdr>
            <w:top w:val="none" w:sz="0" w:space="0" w:color="auto"/>
            <w:left w:val="none" w:sz="0" w:space="0" w:color="auto"/>
            <w:bottom w:val="none" w:sz="0" w:space="0" w:color="auto"/>
            <w:right w:val="none" w:sz="0" w:space="0" w:color="auto"/>
          </w:divBdr>
        </w:div>
      </w:divsChild>
    </w:div>
    <w:div w:id="304049329">
      <w:marLeft w:val="0"/>
      <w:marRight w:val="0"/>
      <w:marTop w:val="0"/>
      <w:marBottom w:val="0"/>
      <w:divBdr>
        <w:top w:val="none" w:sz="0" w:space="0" w:color="auto"/>
        <w:left w:val="none" w:sz="0" w:space="0" w:color="auto"/>
        <w:bottom w:val="none" w:sz="0" w:space="0" w:color="auto"/>
        <w:right w:val="none" w:sz="0" w:space="0" w:color="auto"/>
      </w:divBdr>
    </w:div>
    <w:div w:id="305014851">
      <w:marLeft w:val="0"/>
      <w:marRight w:val="0"/>
      <w:marTop w:val="0"/>
      <w:marBottom w:val="240"/>
      <w:divBdr>
        <w:top w:val="none" w:sz="0" w:space="0" w:color="auto"/>
        <w:left w:val="none" w:sz="0" w:space="0" w:color="auto"/>
        <w:bottom w:val="none" w:sz="0" w:space="0" w:color="auto"/>
        <w:right w:val="none" w:sz="0" w:space="0" w:color="auto"/>
      </w:divBdr>
    </w:div>
    <w:div w:id="305165948">
      <w:marLeft w:val="0"/>
      <w:marRight w:val="0"/>
      <w:marTop w:val="0"/>
      <w:marBottom w:val="240"/>
      <w:divBdr>
        <w:top w:val="none" w:sz="0" w:space="0" w:color="auto"/>
        <w:left w:val="none" w:sz="0" w:space="0" w:color="auto"/>
        <w:bottom w:val="none" w:sz="0" w:space="0" w:color="auto"/>
        <w:right w:val="none" w:sz="0" w:space="0" w:color="auto"/>
      </w:divBdr>
    </w:div>
    <w:div w:id="307168572">
      <w:marLeft w:val="0"/>
      <w:marRight w:val="0"/>
      <w:marTop w:val="0"/>
      <w:marBottom w:val="180"/>
      <w:divBdr>
        <w:top w:val="none" w:sz="0" w:space="0" w:color="auto"/>
        <w:left w:val="none" w:sz="0" w:space="0" w:color="auto"/>
        <w:bottom w:val="none" w:sz="0" w:space="0" w:color="auto"/>
        <w:right w:val="none" w:sz="0" w:space="0" w:color="auto"/>
      </w:divBdr>
    </w:div>
    <w:div w:id="307170849">
      <w:marLeft w:val="0"/>
      <w:marRight w:val="0"/>
      <w:marTop w:val="0"/>
      <w:marBottom w:val="0"/>
      <w:divBdr>
        <w:top w:val="none" w:sz="0" w:space="0" w:color="auto"/>
        <w:left w:val="none" w:sz="0" w:space="0" w:color="auto"/>
        <w:bottom w:val="none" w:sz="0" w:space="0" w:color="auto"/>
        <w:right w:val="none" w:sz="0" w:space="0" w:color="auto"/>
      </w:divBdr>
      <w:divsChild>
        <w:div w:id="406194110">
          <w:marLeft w:val="0"/>
          <w:marRight w:val="0"/>
          <w:marTop w:val="0"/>
          <w:marBottom w:val="0"/>
          <w:divBdr>
            <w:top w:val="none" w:sz="0" w:space="0" w:color="auto"/>
            <w:left w:val="none" w:sz="0" w:space="0" w:color="auto"/>
            <w:bottom w:val="none" w:sz="0" w:space="0" w:color="auto"/>
            <w:right w:val="none" w:sz="0" w:space="0" w:color="auto"/>
          </w:divBdr>
        </w:div>
      </w:divsChild>
    </w:div>
    <w:div w:id="309017447">
      <w:marLeft w:val="0"/>
      <w:marRight w:val="0"/>
      <w:marTop w:val="120"/>
      <w:marBottom w:val="180"/>
      <w:divBdr>
        <w:top w:val="none" w:sz="0" w:space="0" w:color="auto"/>
        <w:left w:val="none" w:sz="0" w:space="0" w:color="auto"/>
        <w:bottom w:val="none" w:sz="0" w:space="0" w:color="auto"/>
        <w:right w:val="none" w:sz="0" w:space="0" w:color="auto"/>
      </w:divBdr>
    </w:div>
    <w:div w:id="309090988">
      <w:marLeft w:val="0"/>
      <w:marRight w:val="0"/>
      <w:marTop w:val="0"/>
      <w:marBottom w:val="0"/>
      <w:divBdr>
        <w:top w:val="none" w:sz="0" w:space="0" w:color="auto"/>
        <w:left w:val="none" w:sz="0" w:space="0" w:color="auto"/>
        <w:bottom w:val="none" w:sz="0" w:space="0" w:color="auto"/>
        <w:right w:val="none" w:sz="0" w:space="0" w:color="auto"/>
      </w:divBdr>
    </w:div>
    <w:div w:id="310064748">
      <w:marLeft w:val="0"/>
      <w:marRight w:val="0"/>
      <w:marTop w:val="0"/>
      <w:marBottom w:val="240"/>
      <w:divBdr>
        <w:top w:val="none" w:sz="0" w:space="0" w:color="auto"/>
        <w:left w:val="none" w:sz="0" w:space="0" w:color="auto"/>
        <w:bottom w:val="none" w:sz="0" w:space="0" w:color="auto"/>
        <w:right w:val="none" w:sz="0" w:space="0" w:color="auto"/>
      </w:divBdr>
    </w:div>
    <w:div w:id="310453225">
      <w:marLeft w:val="0"/>
      <w:marRight w:val="0"/>
      <w:marTop w:val="0"/>
      <w:marBottom w:val="240"/>
      <w:divBdr>
        <w:top w:val="none" w:sz="0" w:space="0" w:color="auto"/>
        <w:left w:val="none" w:sz="0" w:space="0" w:color="auto"/>
        <w:bottom w:val="none" w:sz="0" w:space="0" w:color="auto"/>
        <w:right w:val="none" w:sz="0" w:space="0" w:color="auto"/>
      </w:divBdr>
    </w:div>
    <w:div w:id="311297240">
      <w:marLeft w:val="0"/>
      <w:marRight w:val="0"/>
      <w:marTop w:val="100"/>
      <w:marBottom w:val="220"/>
      <w:divBdr>
        <w:top w:val="none" w:sz="0" w:space="0" w:color="auto"/>
        <w:left w:val="none" w:sz="0" w:space="0" w:color="auto"/>
        <w:bottom w:val="none" w:sz="0" w:space="0" w:color="auto"/>
        <w:right w:val="none" w:sz="0" w:space="0" w:color="auto"/>
      </w:divBdr>
      <w:divsChild>
        <w:div w:id="2113624718">
          <w:marLeft w:val="0"/>
          <w:marRight w:val="0"/>
          <w:marTop w:val="0"/>
          <w:marBottom w:val="0"/>
          <w:divBdr>
            <w:top w:val="none" w:sz="0" w:space="0" w:color="auto"/>
            <w:left w:val="none" w:sz="0" w:space="0" w:color="auto"/>
            <w:bottom w:val="none" w:sz="0" w:space="0" w:color="auto"/>
            <w:right w:val="none" w:sz="0" w:space="0" w:color="auto"/>
          </w:divBdr>
        </w:div>
        <w:div w:id="699628236">
          <w:marLeft w:val="0"/>
          <w:marRight w:val="0"/>
          <w:marTop w:val="0"/>
          <w:marBottom w:val="0"/>
          <w:divBdr>
            <w:top w:val="none" w:sz="0" w:space="0" w:color="auto"/>
            <w:left w:val="none" w:sz="0" w:space="0" w:color="auto"/>
            <w:bottom w:val="none" w:sz="0" w:space="0" w:color="auto"/>
            <w:right w:val="none" w:sz="0" w:space="0" w:color="auto"/>
          </w:divBdr>
        </w:div>
        <w:div w:id="474447439">
          <w:marLeft w:val="0"/>
          <w:marRight w:val="0"/>
          <w:marTop w:val="0"/>
          <w:marBottom w:val="0"/>
          <w:divBdr>
            <w:top w:val="none" w:sz="0" w:space="0" w:color="auto"/>
            <w:left w:val="none" w:sz="0" w:space="0" w:color="auto"/>
            <w:bottom w:val="none" w:sz="0" w:space="0" w:color="auto"/>
            <w:right w:val="none" w:sz="0" w:space="0" w:color="auto"/>
          </w:divBdr>
        </w:div>
      </w:divsChild>
    </w:div>
    <w:div w:id="312485231">
      <w:marLeft w:val="0"/>
      <w:marRight w:val="0"/>
      <w:marTop w:val="0"/>
      <w:marBottom w:val="240"/>
      <w:divBdr>
        <w:top w:val="none" w:sz="0" w:space="0" w:color="auto"/>
        <w:left w:val="none" w:sz="0" w:space="0" w:color="auto"/>
        <w:bottom w:val="none" w:sz="0" w:space="0" w:color="auto"/>
        <w:right w:val="none" w:sz="0" w:space="0" w:color="auto"/>
      </w:divBdr>
    </w:div>
    <w:div w:id="312756785">
      <w:marLeft w:val="0"/>
      <w:marRight w:val="0"/>
      <w:marTop w:val="0"/>
      <w:marBottom w:val="0"/>
      <w:divBdr>
        <w:top w:val="none" w:sz="0" w:space="0" w:color="auto"/>
        <w:left w:val="none" w:sz="0" w:space="0" w:color="auto"/>
        <w:bottom w:val="none" w:sz="0" w:space="0" w:color="auto"/>
        <w:right w:val="none" w:sz="0" w:space="0" w:color="auto"/>
      </w:divBdr>
    </w:div>
    <w:div w:id="314455946">
      <w:marLeft w:val="0"/>
      <w:marRight w:val="0"/>
      <w:marTop w:val="0"/>
      <w:marBottom w:val="180"/>
      <w:divBdr>
        <w:top w:val="none" w:sz="0" w:space="0" w:color="auto"/>
        <w:left w:val="none" w:sz="0" w:space="0" w:color="auto"/>
        <w:bottom w:val="none" w:sz="0" w:space="0" w:color="auto"/>
        <w:right w:val="none" w:sz="0" w:space="0" w:color="auto"/>
      </w:divBdr>
    </w:div>
    <w:div w:id="314649622">
      <w:marLeft w:val="0"/>
      <w:marRight w:val="0"/>
      <w:marTop w:val="180"/>
      <w:marBottom w:val="180"/>
      <w:divBdr>
        <w:top w:val="none" w:sz="0" w:space="0" w:color="auto"/>
        <w:left w:val="none" w:sz="0" w:space="0" w:color="auto"/>
        <w:bottom w:val="none" w:sz="0" w:space="0" w:color="auto"/>
        <w:right w:val="none" w:sz="0" w:space="0" w:color="auto"/>
      </w:divBdr>
    </w:div>
    <w:div w:id="314837898">
      <w:marLeft w:val="0"/>
      <w:marRight w:val="0"/>
      <w:marTop w:val="0"/>
      <w:marBottom w:val="0"/>
      <w:divBdr>
        <w:top w:val="none" w:sz="0" w:space="0" w:color="auto"/>
        <w:left w:val="none" w:sz="0" w:space="0" w:color="auto"/>
        <w:bottom w:val="none" w:sz="0" w:space="0" w:color="auto"/>
        <w:right w:val="none" w:sz="0" w:space="0" w:color="auto"/>
      </w:divBdr>
    </w:div>
    <w:div w:id="315452864">
      <w:marLeft w:val="0"/>
      <w:marRight w:val="0"/>
      <w:marTop w:val="120"/>
      <w:marBottom w:val="120"/>
      <w:divBdr>
        <w:top w:val="none" w:sz="0" w:space="0" w:color="auto"/>
        <w:left w:val="none" w:sz="0" w:space="0" w:color="auto"/>
        <w:bottom w:val="none" w:sz="0" w:space="0" w:color="auto"/>
        <w:right w:val="none" w:sz="0" w:space="0" w:color="auto"/>
      </w:divBdr>
    </w:div>
    <w:div w:id="316155895">
      <w:marLeft w:val="0"/>
      <w:marRight w:val="0"/>
      <w:marTop w:val="120"/>
      <w:marBottom w:val="180"/>
      <w:divBdr>
        <w:top w:val="none" w:sz="0" w:space="0" w:color="auto"/>
        <w:left w:val="none" w:sz="0" w:space="0" w:color="auto"/>
        <w:bottom w:val="none" w:sz="0" w:space="0" w:color="auto"/>
        <w:right w:val="none" w:sz="0" w:space="0" w:color="auto"/>
      </w:divBdr>
    </w:div>
    <w:div w:id="316809106">
      <w:marLeft w:val="0"/>
      <w:marRight w:val="0"/>
      <w:marTop w:val="120"/>
      <w:marBottom w:val="120"/>
      <w:divBdr>
        <w:top w:val="none" w:sz="0" w:space="0" w:color="auto"/>
        <w:left w:val="none" w:sz="0" w:space="0" w:color="auto"/>
        <w:bottom w:val="none" w:sz="0" w:space="0" w:color="auto"/>
        <w:right w:val="none" w:sz="0" w:space="0" w:color="auto"/>
      </w:divBdr>
    </w:div>
    <w:div w:id="317346421">
      <w:marLeft w:val="0"/>
      <w:marRight w:val="0"/>
      <w:marTop w:val="180"/>
      <w:marBottom w:val="180"/>
      <w:divBdr>
        <w:top w:val="none" w:sz="0" w:space="0" w:color="auto"/>
        <w:left w:val="none" w:sz="0" w:space="0" w:color="auto"/>
        <w:bottom w:val="none" w:sz="0" w:space="0" w:color="auto"/>
        <w:right w:val="none" w:sz="0" w:space="0" w:color="auto"/>
      </w:divBdr>
    </w:div>
    <w:div w:id="318265716">
      <w:marLeft w:val="0"/>
      <w:marRight w:val="0"/>
      <w:marTop w:val="0"/>
      <w:marBottom w:val="180"/>
      <w:divBdr>
        <w:top w:val="none" w:sz="0" w:space="0" w:color="auto"/>
        <w:left w:val="none" w:sz="0" w:space="0" w:color="auto"/>
        <w:bottom w:val="none" w:sz="0" w:space="0" w:color="auto"/>
        <w:right w:val="none" w:sz="0" w:space="0" w:color="auto"/>
      </w:divBdr>
    </w:div>
    <w:div w:id="318657012">
      <w:marLeft w:val="0"/>
      <w:marRight w:val="0"/>
      <w:marTop w:val="0"/>
      <w:marBottom w:val="180"/>
      <w:divBdr>
        <w:top w:val="none" w:sz="0" w:space="0" w:color="auto"/>
        <w:left w:val="none" w:sz="0" w:space="0" w:color="auto"/>
        <w:bottom w:val="none" w:sz="0" w:space="0" w:color="auto"/>
        <w:right w:val="none" w:sz="0" w:space="0" w:color="auto"/>
      </w:divBdr>
    </w:div>
    <w:div w:id="319387147">
      <w:marLeft w:val="0"/>
      <w:marRight w:val="0"/>
      <w:marTop w:val="120"/>
      <w:marBottom w:val="120"/>
      <w:divBdr>
        <w:top w:val="none" w:sz="0" w:space="0" w:color="auto"/>
        <w:left w:val="none" w:sz="0" w:space="0" w:color="auto"/>
        <w:bottom w:val="none" w:sz="0" w:space="0" w:color="auto"/>
        <w:right w:val="none" w:sz="0" w:space="0" w:color="auto"/>
      </w:divBdr>
    </w:div>
    <w:div w:id="319424804">
      <w:marLeft w:val="0"/>
      <w:marRight w:val="0"/>
      <w:marTop w:val="100"/>
      <w:marBottom w:val="60"/>
      <w:divBdr>
        <w:top w:val="none" w:sz="0" w:space="0" w:color="auto"/>
        <w:left w:val="none" w:sz="0" w:space="0" w:color="auto"/>
        <w:bottom w:val="none" w:sz="0" w:space="0" w:color="auto"/>
        <w:right w:val="none" w:sz="0" w:space="0" w:color="auto"/>
      </w:divBdr>
    </w:div>
    <w:div w:id="319777888">
      <w:marLeft w:val="0"/>
      <w:marRight w:val="0"/>
      <w:marTop w:val="180"/>
      <w:marBottom w:val="180"/>
      <w:divBdr>
        <w:top w:val="none" w:sz="0" w:space="0" w:color="auto"/>
        <w:left w:val="none" w:sz="0" w:space="0" w:color="auto"/>
        <w:bottom w:val="none" w:sz="0" w:space="0" w:color="auto"/>
        <w:right w:val="none" w:sz="0" w:space="0" w:color="auto"/>
      </w:divBdr>
    </w:div>
    <w:div w:id="321740257">
      <w:marLeft w:val="0"/>
      <w:marRight w:val="0"/>
      <w:marTop w:val="0"/>
      <w:marBottom w:val="0"/>
      <w:divBdr>
        <w:top w:val="none" w:sz="0" w:space="0" w:color="auto"/>
        <w:left w:val="none" w:sz="0" w:space="0" w:color="auto"/>
        <w:bottom w:val="none" w:sz="0" w:space="0" w:color="auto"/>
        <w:right w:val="none" w:sz="0" w:space="0" w:color="auto"/>
      </w:divBdr>
    </w:div>
    <w:div w:id="322466577">
      <w:marLeft w:val="0"/>
      <w:marRight w:val="0"/>
      <w:marTop w:val="180"/>
      <w:marBottom w:val="120"/>
      <w:divBdr>
        <w:top w:val="none" w:sz="0" w:space="0" w:color="auto"/>
        <w:left w:val="none" w:sz="0" w:space="0" w:color="auto"/>
        <w:bottom w:val="none" w:sz="0" w:space="0" w:color="auto"/>
        <w:right w:val="none" w:sz="0" w:space="0" w:color="auto"/>
      </w:divBdr>
    </w:div>
    <w:div w:id="322704557">
      <w:marLeft w:val="0"/>
      <w:marRight w:val="0"/>
      <w:marTop w:val="180"/>
      <w:marBottom w:val="180"/>
      <w:divBdr>
        <w:top w:val="none" w:sz="0" w:space="0" w:color="auto"/>
        <w:left w:val="none" w:sz="0" w:space="0" w:color="auto"/>
        <w:bottom w:val="none" w:sz="0" w:space="0" w:color="auto"/>
        <w:right w:val="none" w:sz="0" w:space="0" w:color="auto"/>
      </w:divBdr>
    </w:div>
    <w:div w:id="323320862">
      <w:marLeft w:val="0"/>
      <w:marRight w:val="0"/>
      <w:marTop w:val="0"/>
      <w:marBottom w:val="180"/>
      <w:divBdr>
        <w:top w:val="none" w:sz="0" w:space="0" w:color="auto"/>
        <w:left w:val="none" w:sz="0" w:space="0" w:color="auto"/>
        <w:bottom w:val="none" w:sz="0" w:space="0" w:color="auto"/>
        <w:right w:val="none" w:sz="0" w:space="0" w:color="auto"/>
      </w:divBdr>
    </w:div>
    <w:div w:id="324355571">
      <w:marLeft w:val="0"/>
      <w:marRight w:val="0"/>
      <w:marTop w:val="0"/>
      <w:marBottom w:val="240"/>
      <w:divBdr>
        <w:top w:val="none" w:sz="0" w:space="0" w:color="auto"/>
        <w:left w:val="none" w:sz="0" w:space="0" w:color="auto"/>
        <w:bottom w:val="none" w:sz="0" w:space="0" w:color="auto"/>
        <w:right w:val="none" w:sz="0" w:space="0" w:color="auto"/>
      </w:divBdr>
    </w:div>
    <w:div w:id="324481570">
      <w:marLeft w:val="0"/>
      <w:marRight w:val="0"/>
      <w:marTop w:val="100"/>
      <w:marBottom w:val="0"/>
      <w:divBdr>
        <w:top w:val="none" w:sz="0" w:space="0" w:color="auto"/>
        <w:left w:val="none" w:sz="0" w:space="0" w:color="auto"/>
        <w:bottom w:val="none" w:sz="0" w:space="0" w:color="auto"/>
        <w:right w:val="none" w:sz="0" w:space="0" w:color="auto"/>
      </w:divBdr>
    </w:div>
    <w:div w:id="324867273">
      <w:marLeft w:val="0"/>
      <w:marRight w:val="0"/>
      <w:marTop w:val="180"/>
      <w:marBottom w:val="180"/>
      <w:divBdr>
        <w:top w:val="none" w:sz="0" w:space="0" w:color="auto"/>
        <w:left w:val="none" w:sz="0" w:space="0" w:color="auto"/>
        <w:bottom w:val="none" w:sz="0" w:space="0" w:color="auto"/>
        <w:right w:val="none" w:sz="0" w:space="0" w:color="auto"/>
      </w:divBdr>
    </w:div>
    <w:div w:id="325981592">
      <w:marLeft w:val="0"/>
      <w:marRight w:val="0"/>
      <w:marTop w:val="0"/>
      <w:marBottom w:val="240"/>
      <w:divBdr>
        <w:top w:val="none" w:sz="0" w:space="0" w:color="auto"/>
        <w:left w:val="none" w:sz="0" w:space="0" w:color="auto"/>
        <w:bottom w:val="none" w:sz="0" w:space="0" w:color="auto"/>
        <w:right w:val="none" w:sz="0" w:space="0" w:color="auto"/>
      </w:divBdr>
    </w:div>
    <w:div w:id="326053925">
      <w:marLeft w:val="0"/>
      <w:marRight w:val="0"/>
      <w:marTop w:val="0"/>
      <w:marBottom w:val="0"/>
      <w:divBdr>
        <w:top w:val="none" w:sz="0" w:space="0" w:color="auto"/>
        <w:left w:val="none" w:sz="0" w:space="0" w:color="auto"/>
        <w:bottom w:val="none" w:sz="0" w:space="0" w:color="auto"/>
        <w:right w:val="none" w:sz="0" w:space="0" w:color="auto"/>
      </w:divBdr>
      <w:divsChild>
        <w:div w:id="1504927674">
          <w:marLeft w:val="0"/>
          <w:marRight w:val="0"/>
          <w:marTop w:val="0"/>
          <w:marBottom w:val="0"/>
          <w:divBdr>
            <w:top w:val="none" w:sz="0" w:space="0" w:color="auto"/>
            <w:left w:val="none" w:sz="0" w:space="0" w:color="auto"/>
            <w:bottom w:val="none" w:sz="0" w:space="0" w:color="auto"/>
            <w:right w:val="none" w:sz="0" w:space="0" w:color="auto"/>
          </w:divBdr>
        </w:div>
      </w:divsChild>
    </w:div>
    <w:div w:id="326598494">
      <w:marLeft w:val="0"/>
      <w:marRight w:val="0"/>
      <w:marTop w:val="120"/>
      <w:marBottom w:val="120"/>
      <w:divBdr>
        <w:top w:val="none" w:sz="0" w:space="0" w:color="auto"/>
        <w:left w:val="none" w:sz="0" w:space="0" w:color="auto"/>
        <w:bottom w:val="none" w:sz="0" w:space="0" w:color="auto"/>
        <w:right w:val="none" w:sz="0" w:space="0" w:color="auto"/>
      </w:divBdr>
    </w:div>
    <w:div w:id="327100880">
      <w:marLeft w:val="0"/>
      <w:marRight w:val="0"/>
      <w:marTop w:val="0"/>
      <w:marBottom w:val="240"/>
      <w:divBdr>
        <w:top w:val="none" w:sz="0" w:space="0" w:color="auto"/>
        <w:left w:val="none" w:sz="0" w:space="0" w:color="auto"/>
        <w:bottom w:val="none" w:sz="0" w:space="0" w:color="auto"/>
        <w:right w:val="none" w:sz="0" w:space="0" w:color="auto"/>
      </w:divBdr>
    </w:div>
    <w:div w:id="327177842">
      <w:marLeft w:val="0"/>
      <w:marRight w:val="0"/>
      <w:marTop w:val="120"/>
      <w:marBottom w:val="240"/>
      <w:divBdr>
        <w:top w:val="none" w:sz="0" w:space="0" w:color="auto"/>
        <w:left w:val="none" w:sz="0" w:space="0" w:color="auto"/>
        <w:bottom w:val="none" w:sz="0" w:space="0" w:color="auto"/>
        <w:right w:val="none" w:sz="0" w:space="0" w:color="auto"/>
      </w:divBdr>
    </w:div>
    <w:div w:id="327634075">
      <w:marLeft w:val="0"/>
      <w:marRight w:val="0"/>
      <w:marTop w:val="0"/>
      <w:marBottom w:val="240"/>
      <w:divBdr>
        <w:top w:val="none" w:sz="0" w:space="0" w:color="auto"/>
        <w:left w:val="none" w:sz="0" w:space="0" w:color="auto"/>
        <w:bottom w:val="none" w:sz="0" w:space="0" w:color="auto"/>
        <w:right w:val="none" w:sz="0" w:space="0" w:color="auto"/>
      </w:divBdr>
    </w:div>
    <w:div w:id="329406808">
      <w:marLeft w:val="0"/>
      <w:marRight w:val="0"/>
      <w:marTop w:val="0"/>
      <w:marBottom w:val="240"/>
      <w:divBdr>
        <w:top w:val="none" w:sz="0" w:space="0" w:color="auto"/>
        <w:left w:val="none" w:sz="0" w:space="0" w:color="auto"/>
        <w:bottom w:val="none" w:sz="0" w:space="0" w:color="auto"/>
        <w:right w:val="none" w:sz="0" w:space="0" w:color="auto"/>
      </w:divBdr>
    </w:div>
    <w:div w:id="329454500">
      <w:marLeft w:val="0"/>
      <w:marRight w:val="0"/>
      <w:marTop w:val="0"/>
      <w:marBottom w:val="240"/>
      <w:divBdr>
        <w:top w:val="none" w:sz="0" w:space="0" w:color="auto"/>
        <w:left w:val="none" w:sz="0" w:space="0" w:color="auto"/>
        <w:bottom w:val="none" w:sz="0" w:space="0" w:color="auto"/>
        <w:right w:val="none" w:sz="0" w:space="0" w:color="auto"/>
      </w:divBdr>
    </w:div>
    <w:div w:id="329795270">
      <w:marLeft w:val="0"/>
      <w:marRight w:val="0"/>
      <w:marTop w:val="0"/>
      <w:marBottom w:val="180"/>
      <w:divBdr>
        <w:top w:val="none" w:sz="0" w:space="0" w:color="auto"/>
        <w:left w:val="none" w:sz="0" w:space="0" w:color="auto"/>
        <w:bottom w:val="none" w:sz="0" w:space="0" w:color="auto"/>
        <w:right w:val="none" w:sz="0" w:space="0" w:color="auto"/>
      </w:divBdr>
    </w:div>
    <w:div w:id="330110180">
      <w:marLeft w:val="0"/>
      <w:marRight w:val="0"/>
      <w:marTop w:val="0"/>
      <w:marBottom w:val="0"/>
      <w:divBdr>
        <w:top w:val="none" w:sz="0" w:space="0" w:color="auto"/>
        <w:left w:val="none" w:sz="0" w:space="0" w:color="auto"/>
        <w:bottom w:val="none" w:sz="0" w:space="0" w:color="auto"/>
        <w:right w:val="none" w:sz="0" w:space="0" w:color="auto"/>
      </w:divBdr>
    </w:div>
    <w:div w:id="330184752">
      <w:marLeft w:val="0"/>
      <w:marRight w:val="0"/>
      <w:marTop w:val="0"/>
      <w:marBottom w:val="0"/>
      <w:divBdr>
        <w:top w:val="none" w:sz="0" w:space="0" w:color="auto"/>
        <w:left w:val="none" w:sz="0" w:space="0" w:color="auto"/>
        <w:bottom w:val="none" w:sz="0" w:space="0" w:color="auto"/>
        <w:right w:val="none" w:sz="0" w:space="0" w:color="auto"/>
      </w:divBdr>
    </w:div>
    <w:div w:id="331220091">
      <w:marLeft w:val="0"/>
      <w:marRight w:val="0"/>
      <w:marTop w:val="60"/>
      <w:marBottom w:val="60"/>
      <w:divBdr>
        <w:top w:val="none" w:sz="0" w:space="0" w:color="auto"/>
        <w:left w:val="none" w:sz="0" w:space="0" w:color="auto"/>
        <w:bottom w:val="none" w:sz="0" w:space="0" w:color="auto"/>
        <w:right w:val="none" w:sz="0" w:space="0" w:color="auto"/>
      </w:divBdr>
    </w:div>
    <w:div w:id="332925702">
      <w:marLeft w:val="0"/>
      <w:marRight w:val="0"/>
      <w:marTop w:val="0"/>
      <w:marBottom w:val="180"/>
      <w:divBdr>
        <w:top w:val="none" w:sz="0" w:space="0" w:color="auto"/>
        <w:left w:val="none" w:sz="0" w:space="0" w:color="auto"/>
        <w:bottom w:val="none" w:sz="0" w:space="0" w:color="auto"/>
        <w:right w:val="none" w:sz="0" w:space="0" w:color="auto"/>
      </w:divBdr>
    </w:div>
    <w:div w:id="335235789">
      <w:marLeft w:val="0"/>
      <w:marRight w:val="0"/>
      <w:marTop w:val="0"/>
      <w:marBottom w:val="0"/>
      <w:divBdr>
        <w:top w:val="none" w:sz="0" w:space="0" w:color="auto"/>
        <w:left w:val="none" w:sz="0" w:space="0" w:color="auto"/>
        <w:bottom w:val="none" w:sz="0" w:space="0" w:color="auto"/>
        <w:right w:val="none" w:sz="0" w:space="0" w:color="auto"/>
      </w:divBdr>
    </w:div>
    <w:div w:id="337079918">
      <w:marLeft w:val="0"/>
      <w:marRight w:val="0"/>
      <w:marTop w:val="100"/>
      <w:marBottom w:val="180"/>
      <w:divBdr>
        <w:top w:val="none" w:sz="0" w:space="0" w:color="auto"/>
        <w:left w:val="none" w:sz="0" w:space="0" w:color="auto"/>
        <w:bottom w:val="none" w:sz="0" w:space="0" w:color="auto"/>
        <w:right w:val="none" w:sz="0" w:space="0" w:color="auto"/>
      </w:divBdr>
    </w:div>
    <w:div w:id="339235377">
      <w:marLeft w:val="0"/>
      <w:marRight w:val="0"/>
      <w:marTop w:val="0"/>
      <w:marBottom w:val="240"/>
      <w:divBdr>
        <w:top w:val="none" w:sz="0" w:space="0" w:color="auto"/>
        <w:left w:val="none" w:sz="0" w:space="0" w:color="auto"/>
        <w:bottom w:val="none" w:sz="0" w:space="0" w:color="auto"/>
        <w:right w:val="none" w:sz="0" w:space="0" w:color="auto"/>
      </w:divBdr>
    </w:div>
    <w:div w:id="339625198">
      <w:marLeft w:val="0"/>
      <w:marRight w:val="0"/>
      <w:marTop w:val="0"/>
      <w:marBottom w:val="0"/>
      <w:divBdr>
        <w:top w:val="none" w:sz="0" w:space="0" w:color="auto"/>
        <w:left w:val="none" w:sz="0" w:space="0" w:color="auto"/>
        <w:bottom w:val="none" w:sz="0" w:space="0" w:color="auto"/>
        <w:right w:val="none" w:sz="0" w:space="0" w:color="auto"/>
      </w:divBdr>
      <w:divsChild>
        <w:div w:id="728648169">
          <w:marLeft w:val="0"/>
          <w:marRight w:val="0"/>
          <w:marTop w:val="0"/>
          <w:marBottom w:val="0"/>
          <w:divBdr>
            <w:top w:val="none" w:sz="0" w:space="0" w:color="auto"/>
            <w:left w:val="none" w:sz="0" w:space="0" w:color="auto"/>
            <w:bottom w:val="none" w:sz="0" w:space="0" w:color="auto"/>
            <w:right w:val="none" w:sz="0" w:space="0" w:color="auto"/>
          </w:divBdr>
        </w:div>
      </w:divsChild>
    </w:div>
    <w:div w:id="339695405">
      <w:marLeft w:val="0"/>
      <w:marRight w:val="0"/>
      <w:marTop w:val="0"/>
      <w:marBottom w:val="0"/>
      <w:divBdr>
        <w:top w:val="none" w:sz="0" w:space="0" w:color="auto"/>
        <w:left w:val="none" w:sz="0" w:space="0" w:color="auto"/>
        <w:bottom w:val="none" w:sz="0" w:space="0" w:color="auto"/>
        <w:right w:val="none" w:sz="0" w:space="0" w:color="auto"/>
      </w:divBdr>
      <w:divsChild>
        <w:div w:id="472722249">
          <w:marLeft w:val="0"/>
          <w:marRight w:val="0"/>
          <w:marTop w:val="0"/>
          <w:marBottom w:val="0"/>
          <w:divBdr>
            <w:top w:val="none" w:sz="0" w:space="0" w:color="auto"/>
            <w:left w:val="none" w:sz="0" w:space="0" w:color="auto"/>
            <w:bottom w:val="none" w:sz="0" w:space="0" w:color="auto"/>
            <w:right w:val="none" w:sz="0" w:space="0" w:color="auto"/>
          </w:divBdr>
        </w:div>
      </w:divsChild>
    </w:div>
    <w:div w:id="341131220">
      <w:marLeft w:val="0"/>
      <w:marRight w:val="0"/>
      <w:marTop w:val="0"/>
      <w:marBottom w:val="240"/>
      <w:divBdr>
        <w:top w:val="none" w:sz="0" w:space="0" w:color="auto"/>
        <w:left w:val="none" w:sz="0" w:space="0" w:color="auto"/>
        <w:bottom w:val="none" w:sz="0" w:space="0" w:color="auto"/>
        <w:right w:val="none" w:sz="0" w:space="0" w:color="auto"/>
      </w:divBdr>
    </w:div>
    <w:div w:id="341705607">
      <w:marLeft w:val="0"/>
      <w:marRight w:val="0"/>
      <w:marTop w:val="0"/>
      <w:marBottom w:val="240"/>
      <w:divBdr>
        <w:top w:val="none" w:sz="0" w:space="0" w:color="auto"/>
        <w:left w:val="none" w:sz="0" w:space="0" w:color="auto"/>
        <w:bottom w:val="none" w:sz="0" w:space="0" w:color="auto"/>
        <w:right w:val="none" w:sz="0" w:space="0" w:color="auto"/>
      </w:divBdr>
    </w:div>
    <w:div w:id="342321227">
      <w:marLeft w:val="0"/>
      <w:marRight w:val="0"/>
      <w:marTop w:val="0"/>
      <w:marBottom w:val="0"/>
      <w:divBdr>
        <w:top w:val="none" w:sz="0" w:space="0" w:color="auto"/>
        <w:left w:val="none" w:sz="0" w:space="0" w:color="auto"/>
        <w:bottom w:val="none" w:sz="0" w:space="0" w:color="auto"/>
        <w:right w:val="none" w:sz="0" w:space="0" w:color="auto"/>
      </w:divBdr>
      <w:divsChild>
        <w:div w:id="1093356950">
          <w:marLeft w:val="0"/>
          <w:marRight w:val="0"/>
          <w:marTop w:val="0"/>
          <w:marBottom w:val="0"/>
          <w:divBdr>
            <w:top w:val="none" w:sz="0" w:space="0" w:color="auto"/>
            <w:left w:val="none" w:sz="0" w:space="0" w:color="auto"/>
            <w:bottom w:val="none" w:sz="0" w:space="0" w:color="auto"/>
            <w:right w:val="none" w:sz="0" w:space="0" w:color="auto"/>
          </w:divBdr>
        </w:div>
      </w:divsChild>
    </w:div>
    <w:div w:id="343213497">
      <w:marLeft w:val="0"/>
      <w:marRight w:val="0"/>
      <w:marTop w:val="180"/>
      <w:marBottom w:val="180"/>
      <w:divBdr>
        <w:top w:val="none" w:sz="0" w:space="0" w:color="auto"/>
        <w:left w:val="none" w:sz="0" w:space="0" w:color="auto"/>
        <w:bottom w:val="none" w:sz="0" w:space="0" w:color="auto"/>
        <w:right w:val="none" w:sz="0" w:space="0" w:color="auto"/>
      </w:divBdr>
    </w:div>
    <w:div w:id="343553303">
      <w:marLeft w:val="0"/>
      <w:marRight w:val="0"/>
      <w:marTop w:val="0"/>
      <w:marBottom w:val="0"/>
      <w:divBdr>
        <w:top w:val="none" w:sz="0" w:space="0" w:color="auto"/>
        <w:left w:val="none" w:sz="0" w:space="0" w:color="auto"/>
        <w:bottom w:val="none" w:sz="0" w:space="0" w:color="auto"/>
        <w:right w:val="none" w:sz="0" w:space="0" w:color="auto"/>
      </w:divBdr>
    </w:div>
    <w:div w:id="344942433">
      <w:marLeft w:val="0"/>
      <w:marRight w:val="0"/>
      <w:marTop w:val="0"/>
      <w:marBottom w:val="0"/>
      <w:divBdr>
        <w:top w:val="none" w:sz="0" w:space="0" w:color="auto"/>
        <w:left w:val="none" w:sz="0" w:space="0" w:color="auto"/>
        <w:bottom w:val="none" w:sz="0" w:space="0" w:color="auto"/>
        <w:right w:val="none" w:sz="0" w:space="0" w:color="auto"/>
      </w:divBdr>
      <w:divsChild>
        <w:div w:id="661127632">
          <w:marLeft w:val="0"/>
          <w:marRight w:val="0"/>
          <w:marTop w:val="0"/>
          <w:marBottom w:val="0"/>
          <w:divBdr>
            <w:top w:val="none" w:sz="0" w:space="0" w:color="auto"/>
            <w:left w:val="none" w:sz="0" w:space="0" w:color="auto"/>
            <w:bottom w:val="none" w:sz="0" w:space="0" w:color="auto"/>
            <w:right w:val="none" w:sz="0" w:space="0" w:color="auto"/>
          </w:divBdr>
        </w:div>
      </w:divsChild>
    </w:div>
    <w:div w:id="345330370">
      <w:marLeft w:val="0"/>
      <w:marRight w:val="0"/>
      <w:marTop w:val="0"/>
      <w:marBottom w:val="240"/>
      <w:divBdr>
        <w:top w:val="none" w:sz="0" w:space="0" w:color="auto"/>
        <w:left w:val="none" w:sz="0" w:space="0" w:color="auto"/>
        <w:bottom w:val="none" w:sz="0" w:space="0" w:color="auto"/>
        <w:right w:val="none" w:sz="0" w:space="0" w:color="auto"/>
      </w:divBdr>
    </w:div>
    <w:div w:id="346444937">
      <w:marLeft w:val="0"/>
      <w:marRight w:val="0"/>
      <w:marTop w:val="0"/>
      <w:marBottom w:val="0"/>
      <w:divBdr>
        <w:top w:val="none" w:sz="0" w:space="0" w:color="auto"/>
        <w:left w:val="none" w:sz="0" w:space="0" w:color="auto"/>
        <w:bottom w:val="none" w:sz="0" w:space="0" w:color="auto"/>
        <w:right w:val="none" w:sz="0" w:space="0" w:color="auto"/>
      </w:divBdr>
      <w:divsChild>
        <w:div w:id="582253741">
          <w:marLeft w:val="0"/>
          <w:marRight w:val="0"/>
          <w:marTop w:val="0"/>
          <w:marBottom w:val="0"/>
          <w:divBdr>
            <w:top w:val="none" w:sz="0" w:space="0" w:color="auto"/>
            <w:left w:val="none" w:sz="0" w:space="0" w:color="auto"/>
            <w:bottom w:val="none" w:sz="0" w:space="0" w:color="auto"/>
            <w:right w:val="none" w:sz="0" w:space="0" w:color="auto"/>
          </w:divBdr>
        </w:div>
      </w:divsChild>
    </w:div>
    <w:div w:id="347102585">
      <w:marLeft w:val="0"/>
      <w:marRight w:val="0"/>
      <w:marTop w:val="0"/>
      <w:marBottom w:val="180"/>
      <w:divBdr>
        <w:top w:val="none" w:sz="0" w:space="0" w:color="auto"/>
        <w:left w:val="none" w:sz="0" w:space="0" w:color="auto"/>
        <w:bottom w:val="none" w:sz="0" w:space="0" w:color="auto"/>
        <w:right w:val="none" w:sz="0" w:space="0" w:color="auto"/>
      </w:divBdr>
    </w:div>
    <w:div w:id="347105689">
      <w:marLeft w:val="0"/>
      <w:marRight w:val="0"/>
      <w:marTop w:val="0"/>
      <w:marBottom w:val="180"/>
      <w:divBdr>
        <w:top w:val="none" w:sz="0" w:space="0" w:color="auto"/>
        <w:left w:val="none" w:sz="0" w:space="0" w:color="auto"/>
        <w:bottom w:val="none" w:sz="0" w:space="0" w:color="auto"/>
        <w:right w:val="none" w:sz="0" w:space="0" w:color="auto"/>
      </w:divBdr>
    </w:div>
    <w:div w:id="347293250">
      <w:marLeft w:val="0"/>
      <w:marRight w:val="0"/>
      <w:marTop w:val="120"/>
      <w:marBottom w:val="120"/>
      <w:divBdr>
        <w:top w:val="none" w:sz="0" w:space="0" w:color="auto"/>
        <w:left w:val="none" w:sz="0" w:space="0" w:color="auto"/>
        <w:bottom w:val="none" w:sz="0" w:space="0" w:color="auto"/>
        <w:right w:val="none" w:sz="0" w:space="0" w:color="auto"/>
      </w:divBdr>
    </w:div>
    <w:div w:id="347603196">
      <w:marLeft w:val="0"/>
      <w:marRight w:val="0"/>
      <w:marTop w:val="100"/>
      <w:marBottom w:val="0"/>
      <w:divBdr>
        <w:top w:val="none" w:sz="0" w:space="0" w:color="auto"/>
        <w:left w:val="none" w:sz="0" w:space="0" w:color="auto"/>
        <w:bottom w:val="none" w:sz="0" w:space="0" w:color="auto"/>
        <w:right w:val="none" w:sz="0" w:space="0" w:color="auto"/>
      </w:divBdr>
    </w:div>
    <w:div w:id="350180091">
      <w:marLeft w:val="0"/>
      <w:marRight w:val="0"/>
      <w:marTop w:val="0"/>
      <w:marBottom w:val="240"/>
      <w:divBdr>
        <w:top w:val="none" w:sz="0" w:space="0" w:color="auto"/>
        <w:left w:val="none" w:sz="0" w:space="0" w:color="auto"/>
        <w:bottom w:val="none" w:sz="0" w:space="0" w:color="auto"/>
        <w:right w:val="none" w:sz="0" w:space="0" w:color="auto"/>
      </w:divBdr>
    </w:div>
    <w:div w:id="350493118">
      <w:marLeft w:val="0"/>
      <w:marRight w:val="0"/>
      <w:marTop w:val="0"/>
      <w:marBottom w:val="180"/>
      <w:divBdr>
        <w:top w:val="none" w:sz="0" w:space="0" w:color="auto"/>
        <w:left w:val="none" w:sz="0" w:space="0" w:color="auto"/>
        <w:bottom w:val="none" w:sz="0" w:space="0" w:color="auto"/>
        <w:right w:val="none" w:sz="0" w:space="0" w:color="auto"/>
      </w:divBdr>
    </w:div>
    <w:div w:id="350690809">
      <w:marLeft w:val="0"/>
      <w:marRight w:val="0"/>
      <w:marTop w:val="100"/>
      <w:marBottom w:val="0"/>
      <w:divBdr>
        <w:top w:val="none" w:sz="0" w:space="0" w:color="auto"/>
        <w:left w:val="none" w:sz="0" w:space="0" w:color="auto"/>
        <w:bottom w:val="none" w:sz="0" w:space="0" w:color="auto"/>
        <w:right w:val="none" w:sz="0" w:space="0" w:color="auto"/>
      </w:divBdr>
    </w:div>
    <w:div w:id="351229116">
      <w:marLeft w:val="0"/>
      <w:marRight w:val="0"/>
      <w:marTop w:val="0"/>
      <w:marBottom w:val="240"/>
      <w:divBdr>
        <w:top w:val="none" w:sz="0" w:space="0" w:color="auto"/>
        <w:left w:val="none" w:sz="0" w:space="0" w:color="auto"/>
        <w:bottom w:val="none" w:sz="0" w:space="0" w:color="auto"/>
        <w:right w:val="none" w:sz="0" w:space="0" w:color="auto"/>
      </w:divBdr>
    </w:div>
    <w:div w:id="352658555">
      <w:marLeft w:val="0"/>
      <w:marRight w:val="0"/>
      <w:marTop w:val="0"/>
      <w:marBottom w:val="180"/>
      <w:divBdr>
        <w:top w:val="none" w:sz="0" w:space="0" w:color="auto"/>
        <w:left w:val="none" w:sz="0" w:space="0" w:color="auto"/>
        <w:bottom w:val="none" w:sz="0" w:space="0" w:color="auto"/>
        <w:right w:val="none" w:sz="0" w:space="0" w:color="auto"/>
      </w:divBdr>
    </w:div>
    <w:div w:id="353382321">
      <w:marLeft w:val="0"/>
      <w:marRight w:val="0"/>
      <w:marTop w:val="0"/>
      <w:marBottom w:val="0"/>
      <w:divBdr>
        <w:top w:val="none" w:sz="0" w:space="0" w:color="auto"/>
        <w:left w:val="none" w:sz="0" w:space="0" w:color="auto"/>
        <w:bottom w:val="none" w:sz="0" w:space="0" w:color="auto"/>
        <w:right w:val="none" w:sz="0" w:space="0" w:color="auto"/>
      </w:divBdr>
      <w:divsChild>
        <w:div w:id="1664118769">
          <w:marLeft w:val="0"/>
          <w:marRight w:val="0"/>
          <w:marTop w:val="0"/>
          <w:marBottom w:val="0"/>
          <w:divBdr>
            <w:top w:val="none" w:sz="0" w:space="0" w:color="auto"/>
            <w:left w:val="none" w:sz="0" w:space="0" w:color="auto"/>
            <w:bottom w:val="none" w:sz="0" w:space="0" w:color="auto"/>
            <w:right w:val="none" w:sz="0" w:space="0" w:color="auto"/>
          </w:divBdr>
        </w:div>
      </w:divsChild>
    </w:div>
    <w:div w:id="353579419">
      <w:marLeft w:val="0"/>
      <w:marRight w:val="0"/>
      <w:marTop w:val="0"/>
      <w:marBottom w:val="0"/>
      <w:divBdr>
        <w:top w:val="none" w:sz="0" w:space="0" w:color="auto"/>
        <w:left w:val="none" w:sz="0" w:space="0" w:color="auto"/>
        <w:bottom w:val="none" w:sz="0" w:space="0" w:color="auto"/>
        <w:right w:val="none" w:sz="0" w:space="0" w:color="auto"/>
      </w:divBdr>
      <w:divsChild>
        <w:div w:id="794252521">
          <w:marLeft w:val="0"/>
          <w:marRight w:val="0"/>
          <w:marTop w:val="0"/>
          <w:marBottom w:val="0"/>
          <w:divBdr>
            <w:top w:val="none" w:sz="0" w:space="0" w:color="auto"/>
            <w:left w:val="none" w:sz="0" w:space="0" w:color="auto"/>
            <w:bottom w:val="none" w:sz="0" w:space="0" w:color="auto"/>
            <w:right w:val="none" w:sz="0" w:space="0" w:color="auto"/>
          </w:divBdr>
        </w:div>
      </w:divsChild>
    </w:div>
    <w:div w:id="354229880">
      <w:marLeft w:val="0"/>
      <w:marRight w:val="0"/>
      <w:marTop w:val="0"/>
      <w:marBottom w:val="180"/>
      <w:divBdr>
        <w:top w:val="none" w:sz="0" w:space="0" w:color="auto"/>
        <w:left w:val="none" w:sz="0" w:space="0" w:color="auto"/>
        <w:bottom w:val="none" w:sz="0" w:space="0" w:color="auto"/>
        <w:right w:val="none" w:sz="0" w:space="0" w:color="auto"/>
      </w:divBdr>
    </w:div>
    <w:div w:id="354430079">
      <w:marLeft w:val="0"/>
      <w:marRight w:val="0"/>
      <w:marTop w:val="0"/>
      <w:marBottom w:val="0"/>
      <w:divBdr>
        <w:top w:val="none" w:sz="0" w:space="0" w:color="auto"/>
        <w:left w:val="none" w:sz="0" w:space="0" w:color="auto"/>
        <w:bottom w:val="none" w:sz="0" w:space="0" w:color="auto"/>
        <w:right w:val="none" w:sz="0" w:space="0" w:color="auto"/>
      </w:divBdr>
    </w:div>
    <w:div w:id="354962387">
      <w:marLeft w:val="0"/>
      <w:marRight w:val="0"/>
      <w:marTop w:val="0"/>
      <w:marBottom w:val="0"/>
      <w:divBdr>
        <w:top w:val="none" w:sz="0" w:space="0" w:color="auto"/>
        <w:left w:val="none" w:sz="0" w:space="0" w:color="auto"/>
        <w:bottom w:val="none" w:sz="0" w:space="0" w:color="auto"/>
        <w:right w:val="none" w:sz="0" w:space="0" w:color="auto"/>
      </w:divBdr>
    </w:div>
    <w:div w:id="356346140">
      <w:marLeft w:val="0"/>
      <w:marRight w:val="0"/>
      <w:marTop w:val="0"/>
      <w:marBottom w:val="240"/>
      <w:divBdr>
        <w:top w:val="none" w:sz="0" w:space="0" w:color="auto"/>
        <w:left w:val="none" w:sz="0" w:space="0" w:color="auto"/>
        <w:bottom w:val="none" w:sz="0" w:space="0" w:color="auto"/>
        <w:right w:val="none" w:sz="0" w:space="0" w:color="auto"/>
      </w:divBdr>
    </w:div>
    <w:div w:id="357389351">
      <w:marLeft w:val="0"/>
      <w:marRight w:val="0"/>
      <w:marTop w:val="0"/>
      <w:marBottom w:val="0"/>
      <w:divBdr>
        <w:top w:val="none" w:sz="0" w:space="0" w:color="auto"/>
        <w:left w:val="none" w:sz="0" w:space="0" w:color="auto"/>
        <w:bottom w:val="none" w:sz="0" w:space="0" w:color="auto"/>
        <w:right w:val="none" w:sz="0" w:space="0" w:color="auto"/>
      </w:divBdr>
      <w:divsChild>
        <w:div w:id="778449494">
          <w:marLeft w:val="0"/>
          <w:marRight w:val="0"/>
          <w:marTop w:val="0"/>
          <w:marBottom w:val="0"/>
          <w:divBdr>
            <w:top w:val="none" w:sz="0" w:space="0" w:color="auto"/>
            <w:left w:val="none" w:sz="0" w:space="0" w:color="auto"/>
            <w:bottom w:val="none" w:sz="0" w:space="0" w:color="auto"/>
            <w:right w:val="none" w:sz="0" w:space="0" w:color="auto"/>
          </w:divBdr>
        </w:div>
      </w:divsChild>
    </w:div>
    <w:div w:id="357782195">
      <w:marLeft w:val="0"/>
      <w:marRight w:val="0"/>
      <w:marTop w:val="0"/>
      <w:marBottom w:val="0"/>
      <w:divBdr>
        <w:top w:val="none" w:sz="0" w:space="0" w:color="auto"/>
        <w:left w:val="none" w:sz="0" w:space="0" w:color="auto"/>
        <w:bottom w:val="none" w:sz="0" w:space="0" w:color="auto"/>
        <w:right w:val="none" w:sz="0" w:space="0" w:color="auto"/>
      </w:divBdr>
    </w:div>
    <w:div w:id="358043826">
      <w:marLeft w:val="0"/>
      <w:marRight w:val="0"/>
      <w:marTop w:val="0"/>
      <w:marBottom w:val="0"/>
      <w:divBdr>
        <w:top w:val="none" w:sz="0" w:space="0" w:color="auto"/>
        <w:left w:val="none" w:sz="0" w:space="0" w:color="auto"/>
        <w:bottom w:val="none" w:sz="0" w:space="0" w:color="auto"/>
        <w:right w:val="none" w:sz="0" w:space="0" w:color="auto"/>
      </w:divBdr>
      <w:divsChild>
        <w:div w:id="618991668">
          <w:marLeft w:val="0"/>
          <w:marRight w:val="0"/>
          <w:marTop w:val="0"/>
          <w:marBottom w:val="0"/>
          <w:divBdr>
            <w:top w:val="none" w:sz="0" w:space="0" w:color="auto"/>
            <w:left w:val="none" w:sz="0" w:space="0" w:color="auto"/>
            <w:bottom w:val="none" w:sz="0" w:space="0" w:color="auto"/>
            <w:right w:val="none" w:sz="0" w:space="0" w:color="auto"/>
          </w:divBdr>
        </w:div>
      </w:divsChild>
    </w:div>
    <w:div w:id="358437264">
      <w:marLeft w:val="0"/>
      <w:marRight w:val="0"/>
      <w:marTop w:val="0"/>
      <w:marBottom w:val="240"/>
      <w:divBdr>
        <w:top w:val="none" w:sz="0" w:space="0" w:color="auto"/>
        <w:left w:val="none" w:sz="0" w:space="0" w:color="auto"/>
        <w:bottom w:val="none" w:sz="0" w:space="0" w:color="auto"/>
        <w:right w:val="none" w:sz="0" w:space="0" w:color="auto"/>
      </w:divBdr>
    </w:div>
    <w:div w:id="358438000">
      <w:marLeft w:val="0"/>
      <w:marRight w:val="0"/>
      <w:marTop w:val="0"/>
      <w:marBottom w:val="240"/>
      <w:divBdr>
        <w:top w:val="none" w:sz="0" w:space="0" w:color="auto"/>
        <w:left w:val="none" w:sz="0" w:space="0" w:color="auto"/>
        <w:bottom w:val="none" w:sz="0" w:space="0" w:color="auto"/>
        <w:right w:val="none" w:sz="0" w:space="0" w:color="auto"/>
      </w:divBdr>
    </w:div>
    <w:div w:id="358507544">
      <w:marLeft w:val="0"/>
      <w:marRight w:val="0"/>
      <w:marTop w:val="0"/>
      <w:marBottom w:val="180"/>
      <w:divBdr>
        <w:top w:val="none" w:sz="0" w:space="0" w:color="auto"/>
        <w:left w:val="none" w:sz="0" w:space="0" w:color="auto"/>
        <w:bottom w:val="none" w:sz="0" w:space="0" w:color="auto"/>
        <w:right w:val="none" w:sz="0" w:space="0" w:color="auto"/>
      </w:divBdr>
    </w:div>
    <w:div w:id="358745006">
      <w:marLeft w:val="0"/>
      <w:marRight w:val="0"/>
      <w:marTop w:val="0"/>
      <w:marBottom w:val="0"/>
      <w:divBdr>
        <w:top w:val="none" w:sz="0" w:space="0" w:color="auto"/>
        <w:left w:val="none" w:sz="0" w:space="0" w:color="auto"/>
        <w:bottom w:val="none" w:sz="0" w:space="0" w:color="auto"/>
        <w:right w:val="none" w:sz="0" w:space="0" w:color="auto"/>
      </w:divBdr>
      <w:divsChild>
        <w:div w:id="199363572">
          <w:marLeft w:val="0"/>
          <w:marRight w:val="0"/>
          <w:marTop w:val="0"/>
          <w:marBottom w:val="0"/>
          <w:divBdr>
            <w:top w:val="none" w:sz="0" w:space="0" w:color="auto"/>
            <w:left w:val="none" w:sz="0" w:space="0" w:color="auto"/>
            <w:bottom w:val="none" w:sz="0" w:space="0" w:color="auto"/>
            <w:right w:val="none" w:sz="0" w:space="0" w:color="auto"/>
          </w:divBdr>
        </w:div>
      </w:divsChild>
    </w:div>
    <w:div w:id="359089597">
      <w:marLeft w:val="0"/>
      <w:marRight w:val="0"/>
      <w:marTop w:val="0"/>
      <w:marBottom w:val="180"/>
      <w:divBdr>
        <w:top w:val="none" w:sz="0" w:space="0" w:color="auto"/>
        <w:left w:val="none" w:sz="0" w:space="0" w:color="auto"/>
        <w:bottom w:val="none" w:sz="0" w:space="0" w:color="auto"/>
        <w:right w:val="none" w:sz="0" w:space="0" w:color="auto"/>
      </w:divBdr>
    </w:div>
    <w:div w:id="359169016">
      <w:marLeft w:val="0"/>
      <w:marRight w:val="0"/>
      <w:marTop w:val="0"/>
      <w:marBottom w:val="0"/>
      <w:divBdr>
        <w:top w:val="none" w:sz="0" w:space="0" w:color="auto"/>
        <w:left w:val="none" w:sz="0" w:space="0" w:color="auto"/>
        <w:bottom w:val="none" w:sz="0" w:space="0" w:color="auto"/>
        <w:right w:val="none" w:sz="0" w:space="0" w:color="auto"/>
      </w:divBdr>
    </w:div>
    <w:div w:id="359479816">
      <w:marLeft w:val="0"/>
      <w:marRight w:val="0"/>
      <w:marTop w:val="120"/>
      <w:marBottom w:val="120"/>
      <w:divBdr>
        <w:top w:val="none" w:sz="0" w:space="0" w:color="auto"/>
        <w:left w:val="none" w:sz="0" w:space="0" w:color="auto"/>
        <w:bottom w:val="none" w:sz="0" w:space="0" w:color="auto"/>
        <w:right w:val="none" w:sz="0" w:space="0" w:color="auto"/>
      </w:divBdr>
    </w:div>
    <w:div w:id="360087470">
      <w:marLeft w:val="0"/>
      <w:marRight w:val="0"/>
      <w:marTop w:val="0"/>
      <w:marBottom w:val="0"/>
      <w:divBdr>
        <w:top w:val="none" w:sz="0" w:space="0" w:color="auto"/>
        <w:left w:val="none" w:sz="0" w:space="0" w:color="auto"/>
        <w:bottom w:val="none" w:sz="0" w:space="0" w:color="auto"/>
        <w:right w:val="none" w:sz="0" w:space="0" w:color="auto"/>
      </w:divBdr>
      <w:divsChild>
        <w:div w:id="525295536">
          <w:marLeft w:val="0"/>
          <w:marRight w:val="0"/>
          <w:marTop w:val="0"/>
          <w:marBottom w:val="0"/>
          <w:divBdr>
            <w:top w:val="none" w:sz="0" w:space="0" w:color="auto"/>
            <w:left w:val="none" w:sz="0" w:space="0" w:color="auto"/>
            <w:bottom w:val="none" w:sz="0" w:space="0" w:color="auto"/>
            <w:right w:val="none" w:sz="0" w:space="0" w:color="auto"/>
          </w:divBdr>
        </w:div>
      </w:divsChild>
    </w:div>
    <w:div w:id="361514477">
      <w:marLeft w:val="0"/>
      <w:marRight w:val="0"/>
      <w:marTop w:val="180"/>
      <w:marBottom w:val="180"/>
      <w:divBdr>
        <w:top w:val="none" w:sz="0" w:space="0" w:color="auto"/>
        <w:left w:val="none" w:sz="0" w:space="0" w:color="auto"/>
        <w:bottom w:val="none" w:sz="0" w:space="0" w:color="auto"/>
        <w:right w:val="none" w:sz="0" w:space="0" w:color="auto"/>
      </w:divBdr>
    </w:div>
    <w:div w:id="362052015">
      <w:marLeft w:val="0"/>
      <w:marRight w:val="0"/>
      <w:marTop w:val="0"/>
      <w:marBottom w:val="0"/>
      <w:divBdr>
        <w:top w:val="none" w:sz="0" w:space="0" w:color="auto"/>
        <w:left w:val="none" w:sz="0" w:space="0" w:color="auto"/>
        <w:bottom w:val="none" w:sz="0" w:space="0" w:color="auto"/>
        <w:right w:val="none" w:sz="0" w:space="0" w:color="auto"/>
      </w:divBdr>
    </w:div>
    <w:div w:id="362949964">
      <w:marLeft w:val="0"/>
      <w:marRight w:val="0"/>
      <w:marTop w:val="0"/>
      <w:marBottom w:val="180"/>
      <w:divBdr>
        <w:top w:val="none" w:sz="0" w:space="0" w:color="auto"/>
        <w:left w:val="none" w:sz="0" w:space="0" w:color="auto"/>
        <w:bottom w:val="none" w:sz="0" w:space="0" w:color="auto"/>
        <w:right w:val="none" w:sz="0" w:space="0" w:color="auto"/>
      </w:divBdr>
    </w:div>
    <w:div w:id="363289670">
      <w:marLeft w:val="0"/>
      <w:marRight w:val="0"/>
      <w:marTop w:val="0"/>
      <w:marBottom w:val="180"/>
      <w:divBdr>
        <w:top w:val="none" w:sz="0" w:space="0" w:color="auto"/>
        <w:left w:val="none" w:sz="0" w:space="0" w:color="auto"/>
        <w:bottom w:val="none" w:sz="0" w:space="0" w:color="auto"/>
        <w:right w:val="none" w:sz="0" w:space="0" w:color="auto"/>
      </w:divBdr>
    </w:div>
    <w:div w:id="363597468">
      <w:marLeft w:val="0"/>
      <w:marRight w:val="0"/>
      <w:marTop w:val="180"/>
      <w:marBottom w:val="180"/>
      <w:divBdr>
        <w:top w:val="none" w:sz="0" w:space="0" w:color="auto"/>
        <w:left w:val="none" w:sz="0" w:space="0" w:color="auto"/>
        <w:bottom w:val="none" w:sz="0" w:space="0" w:color="auto"/>
        <w:right w:val="none" w:sz="0" w:space="0" w:color="auto"/>
      </w:divBdr>
    </w:div>
    <w:div w:id="364141033">
      <w:marLeft w:val="0"/>
      <w:marRight w:val="0"/>
      <w:marTop w:val="100"/>
      <w:marBottom w:val="0"/>
      <w:divBdr>
        <w:top w:val="none" w:sz="0" w:space="0" w:color="auto"/>
        <w:left w:val="none" w:sz="0" w:space="0" w:color="auto"/>
        <w:bottom w:val="none" w:sz="0" w:space="0" w:color="auto"/>
        <w:right w:val="none" w:sz="0" w:space="0" w:color="auto"/>
      </w:divBdr>
    </w:div>
    <w:div w:id="364644248">
      <w:marLeft w:val="0"/>
      <w:marRight w:val="0"/>
      <w:marTop w:val="0"/>
      <w:marBottom w:val="0"/>
      <w:divBdr>
        <w:top w:val="none" w:sz="0" w:space="0" w:color="auto"/>
        <w:left w:val="none" w:sz="0" w:space="0" w:color="auto"/>
        <w:bottom w:val="none" w:sz="0" w:space="0" w:color="auto"/>
        <w:right w:val="none" w:sz="0" w:space="0" w:color="auto"/>
      </w:divBdr>
    </w:div>
    <w:div w:id="365177508">
      <w:marLeft w:val="0"/>
      <w:marRight w:val="0"/>
      <w:marTop w:val="0"/>
      <w:marBottom w:val="0"/>
      <w:divBdr>
        <w:top w:val="none" w:sz="0" w:space="0" w:color="auto"/>
        <w:left w:val="none" w:sz="0" w:space="0" w:color="auto"/>
        <w:bottom w:val="none" w:sz="0" w:space="0" w:color="auto"/>
        <w:right w:val="none" w:sz="0" w:space="0" w:color="auto"/>
      </w:divBdr>
    </w:div>
    <w:div w:id="366681264">
      <w:marLeft w:val="0"/>
      <w:marRight w:val="0"/>
      <w:marTop w:val="180"/>
      <w:marBottom w:val="180"/>
      <w:divBdr>
        <w:top w:val="none" w:sz="0" w:space="0" w:color="auto"/>
        <w:left w:val="none" w:sz="0" w:space="0" w:color="auto"/>
        <w:bottom w:val="none" w:sz="0" w:space="0" w:color="auto"/>
        <w:right w:val="none" w:sz="0" w:space="0" w:color="auto"/>
      </w:divBdr>
    </w:div>
    <w:div w:id="368073842">
      <w:marLeft w:val="0"/>
      <w:marRight w:val="0"/>
      <w:marTop w:val="180"/>
      <w:marBottom w:val="180"/>
      <w:divBdr>
        <w:top w:val="none" w:sz="0" w:space="0" w:color="auto"/>
        <w:left w:val="none" w:sz="0" w:space="0" w:color="auto"/>
        <w:bottom w:val="none" w:sz="0" w:space="0" w:color="auto"/>
        <w:right w:val="none" w:sz="0" w:space="0" w:color="auto"/>
      </w:divBdr>
    </w:div>
    <w:div w:id="368186682">
      <w:marLeft w:val="0"/>
      <w:marRight w:val="0"/>
      <w:marTop w:val="0"/>
      <w:marBottom w:val="0"/>
      <w:divBdr>
        <w:top w:val="none" w:sz="0" w:space="0" w:color="auto"/>
        <w:left w:val="none" w:sz="0" w:space="0" w:color="auto"/>
        <w:bottom w:val="none" w:sz="0" w:space="0" w:color="auto"/>
        <w:right w:val="none" w:sz="0" w:space="0" w:color="auto"/>
      </w:divBdr>
    </w:div>
    <w:div w:id="368838812">
      <w:marLeft w:val="0"/>
      <w:marRight w:val="0"/>
      <w:marTop w:val="0"/>
      <w:marBottom w:val="240"/>
      <w:divBdr>
        <w:top w:val="none" w:sz="0" w:space="0" w:color="auto"/>
        <w:left w:val="none" w:sz="0" w:space="0" w:color="auto"/>
        <w:bottom w:val="none" w:sz="0" w:space="0" w:color="auto"/>
        <w:right w:val="none" w:sz="0" w:space="0" w:color="auto"/>
      </w:divBdr>
    </w:div>
    <w:div w:id="369300548">
      <w:marLeft w:val="0"/>
      <w:marRight w:val="0"/>
      <w:marTop w:val="120"/>
      <w:marBottom w:val="120"/>
      <w:divBdr>
        <w:top w:val="none" w:sz="0" w:space="0" w:color="auto"/>
        <w:left w:val="none" w:sz="0" w:space="0" w:color="auto"/>
        <w:bottom w:val="none" w:sz="0" w:space="0" w:color="auto"/>
        <w:right w:val="none" w:sz="0" w:space="0" w:color="auto"/>
      </w:divBdr>
    </w:div>
    <w:div w:id="369495791">
      <w:marLeft w:val="0"/>
      <w:marRight w:val="0"/>
      <w:marTop w:val="180"/>
      <w:marBottom w:val="180"/>
      <w:divBdr>
        <w:top w:val="none" w:sz="0" w:space="0" w:color="auto"/>
        <w:left w:val="none" w:sz="0" w:space="0" w:color="auto"/>
        <w:bottom w:val="none" w:sz="0" w:space="0" w:color="auto"/>
        <w:right w:val="none" w:sz="0" w:space="0" w:color="auto"/>
      </w:divBdr>
    </w:div>
    <w:div w:id="369847112">
      <w:marLeft w:val="0"/>
      <w:marRight w:val="0"/>
      <w:marTop w:val="180"/>
      <w:marBottom w:val="180"/>
      <w:divBdr>
        <w:top w:val="none" w:sz="0" w:space="0" w:color="auto"/>
        <w:left w:val="none" w:sz="0" w:space="0" w:color="auto"/>
        <w:bottom w:val="none" w:sz="0" w:space="0" w:color="auto"/>
        <w:right w:val="none" w:sz="0" w:space="0" w:color="auto"/>
      </w:divBdr>
    </w:div>
    <w:div w:id="369913000">
      <w:marLeft w:val="0"/>
      <w:marRight w:val="0"/>
      <w:marTop w:val="0"/>
      <w:marBottom w:val="180"/>
      <w:divBdr>
        <w:top w:val="none" w:sz="0" w:space="0" w:color="auto"/>
        <w:left w:val="none" w:sz="0" w:space="0" w:color="auto"/>
        <w:bottom w:val="none" w:sz="0" w:space="0" w:color="auto"/>
        <w:right w:val="none" w:sz="0" w:space="0" w:color="auto"/>
      </w:divBdr>
    </w:div>
    <w:div w:id="370155149">
      <w:marLeft w:val="0"/>
      <w:marRight w:val="0"/>
      <w:marTop w:val="0"/>
      <w:marBottom w:val="180"/>
      <w:divBdr>
        <w:top w:val="none" w:sz="0" w:space="0" w:color="auto"/>
        <w:left w:val="none" w:sz="0" w:space="0" w:color="auto"/>
        <w:bottom w:val="none" w:sz="0" w:space="0" w:color="auto"/>
        <w:right w:val="none" w:sz="0" w:space="0" w:color="auto"/>
      </w:divBdr>
    </w:div>
    <w:div w:id="371613573">
      <w:marLeft w:val="0"/>
      <w:marRight w:val="0"/>
      <w:marTop w:val="0"/>
      <w:marBottom w:val="0"/>
      <w:divBdr>
        <w:top w:val="none" w:sz="0" w:space="0" w:color="auto"/>
        <w:left w:val="none" w:sz="0" w:space="0" w:color="auto"/>
        <w:bottom w:val="none" w:sz="0" w:space="0" w:color="auto"/>
        <w:right w:val="none" w:sz="0" w:space="0" w:color="auto"/>
      </w:divBdr>
    </w:div>
    <w:div w:id="373042799">
      <w:marLeft w:val="0"/>
      <w:marRight w:val="0"/>
      <w:marTop w:val="0"/>
      <w:marBottom w:val="0"/>
      <w:divBdr>
        <w:top w:val="none" w:sz="0" w:space="0" w:color="auto"/>
        <w:left w:val="none" w:sz="0" w:space="0" w:color="auto"/>
        <w:bottom w:val="none" w:sz="0" w:space="0" w:color="auto"/>
        <w:right w:val="none" w:sz="0" w:space="0" w:color="auto"/>
      </w:divBdr>
    </w:div>
    <w:div w:id="373963376">
      <w:marLeft w:val="0"/>
      <w:marRight w:val="0"/>
      <w:marTop w:val="0"/>
      <w:marBottom w:val="240"/>
      <w:divBdr>
        <w:top w:val="none" w:sz="0" w:space="0" w:color="auto"/>
        <w:left w:val="none" w:sz="0" w:space="0" w:color="auto"/>
        <w:bottom w:val="none" w:sz="0" w:space="0" w:color="auto"/>
        <w:right w:val="none" w:sz="0" w:space="0" w:color="auto"/>
      </w:divBdr>
    </w:div>
    <w:div w:id="374738235">
      <w:marLeft w:val="0"/>
      <w:marRight w:val="0"/>
      <w:marTop w:val="0"/>
      <w:marBottom w:val="240"/>
      <w:divBdr>
        <w:top w:val="none" w:sz="0" w:space="0" w:color="auto"/>
        <w:left w:val="none" w:sz="0" w:space="0" w:color="auto"/>
        <w:bottom w:val="none" w:sz="0" w:space="0" w:color="auto"/>
        <w:right w:val="none" w:sz="0" w:space="0" w:color="auto"/>
      </w:divBdr>
    </w:div>
    <w:div w:id="375277115">
      <w:marLeft w:val="0"/>
      <w:marRight w:val="0"/>
      <w:marTop w:val="180"/>
      <w:marBottom w:val="180"/>
      <w:divBdr>
        <w:top w:val="none" w:sz="0" w:space="0" w:color="auto"/>
        <w:left w:val="none" w:sz="0" w:space="0" w:color="auto"/>
        <w:bottom w:val="none" w:sz="0" w:space="0" w:color="auto"/>
        <w:right w:val="none" w:sz="0" w:space="0" w:color="auto"/>
      </w:divBdr>
    </w:div>
    <w:div w:id="375666757">
      <w:marLeft w:val="0"/>
      <w:marRight w:val="0"/>
      <w:marTop w:val="0"/>
      <w:marBottom w:val="0"/>
      <w:divBdr>
        <w:top w:val="none" w:sz="0" w:space="0" w:color="auto"/>
        <w:left w:val="none" w:sz="0" w:space="0" w:color="auto"/>
        <w:bottom w:val="none" w:sz="0" w:space="0" w:color="auto"/>
        <w:right w:val="none" w:sz="0" w:space="0" w:color="auto"/>
      </w:divBdr>
    </w:div>
    <w:div w:id="376701741">
      <w:marLeft w:val="0"/>
      <w:marRight w:val="0"/>
      <w:marTop w:val="60"/>
      <w:marBottom w:val="60"/>
      <w:divBdr>
        <w:top w:val="none" w:sz="0" w:space="0" w:color="auto"/>
        <w:left w:val="none" w:sz="0" w:space="0" w:color="auto"/>
        <w:bottom w:val="none" w:sz="0" w:space="0" w:color="auto"/>
        <w:right w:val="none" w:sz="0" w:space="0" w:color="auto"/>
      </w:divBdr>
    </w:div>
    <w:div w:id="377318262">
      <w:marLeft w:val="0"/>
      <w:marRight w:val="0"/>
      <w:marTop w:val="0"/>
      <w:marBottom w:val="0"/>
      <w:divBdr>
        <w:top w:val="none" w:sz="0" w:space="0" w:color="auto"/>
        <w:left w:val="none" w:sz="0" w:space="0" w:color="auto"/>
        <w:bottom w:val="none" w:sz="0" w:space="0" w:color="auto"/>
        <w:right w:val="none" w:sz="0" w:space="0" w:color="auto"/>
      </w:divBdr>
    </w:div>
    <w:div w:id="379138453">
      <w:marLeft w:val="0"/>
      <w:marRight w:val="0"/>
      <w:marTop w:val="0"/>
      <w:marBottom w:val="0"/>
      <w:divBdr>
        <w:top w:val="none" w:sz="0" w:space="0" w:color="auto"/>
        <w:left w:val="none" w:sz="0" w:space="0" w:color="auto"/>
        <w:bottom w:val="none" w:sz="0" w:space="0" w:color="auto"/>
        <w:right w:val="none" w:sz="0" w:space="0" w:color="auto"/>
      </w:divBdr>
    </w:div>
    <w:div w:id="379671299">
      <w:marLeft w:val="0"/>
      <w:marRight w:val="0"/>
      <w:marTop w:val="0"/>
      <w:marBottom w:val="180"/>
      <w:divBdr>
        <w:top w:val="none" w:sz="0" w:space="0" w:color="auto"/>
        <w:left w:val="none" w:sz="0" w:space="0" w:color="auto"/>
        <w:bottom w:val="none" w:sz="0" w:space="0" w:color="auto"/>
        <w:right w:val="none" w:sz="0" w:space="0" w:color="auto"/>
      </w:divBdr>
    </w:div>
    <w:div w:id="380251118">
      <w:marLeft w:val="0"/>
      <w:marRight w:val="0"/>
      <w:marTop w:val="0"/>
      <w:marBottom w:val="240"/>
      <w:divBdr>
        <w:top w:val="none" w:sz="0" w:space="0" w:color="auto"/>
        <w:left w:val="none" w:sz="0" w:space="0" w:color="auto"/>
        <w:bottom w:val="none" w:sz="0" w:space="0" w:color="auto"/>
        <w:right w:val="none" w:sz="0" w:space="0" w:color="auto"/>
      </w:divBdr>
    </w:div>
    <w:div w:id="380324138">
      <w:marLeft w:val="0"/>
      <w:marRight w:val="0"/>
      <w:marTop w:val="180"/>
      <w:marBottom w:val="180"/>
      <w:divBdr>
        <w:top w:val="none" w:sz="0" w:space="0" w:color="auto"/>
        <w:left w:val="none" w:sz="0" w:space="0" w:color="auto"/>
        <w:bottom w:val="none" w:sz="0" w:space="0" w:color="auto"/>
        <w:right w:val="none" w:sz="0" w:space="0" w:color="auto"/>
      </w:divBdr>
    </w:div>
    <w:div w:id="382410104">
      <w:marLeft w:val="0"/>
      <w:marRight w:val="0"/>
      <w:marTop w:val="0"/>
      <w:marBottom w:val="0"/>
      <w:divBdr>
        <w:top w:val="none" w:sz="0" w:space="0" w:color="auto"/>
        <w:left w:val="none" w:sz="0" w:space="0" w:color="auto"/>
        <w:bottom w:val="none" w:sz="0" w:space="0" w:color="auto"/>
        <w:right w:val="none" w:sz="0" w:space="0" w:color="auto"/>
      </w:divBdr>
    </w:div>
    <w:div w:id="383868937">
      <w:marLeft w:val="0"/>
      <w:marRight w:val="0"/>
      <w:marTop w:val="0"/>
      <w:marBottom w:val="0"/>
      <w:divBdr>
        <w:top w:val="none" w:sz="0" w:space="0" w:color="auto"/>
        <w:left w:val="none" w:sz="0" w:space="0" w:color="auto"/>
        <w:bottom w:val="none" w:sz="0" w:space="0" w:color="auto"/>
        <w:right w:val="none" w:sz="0" w:space="0" w:color="auto"/>
      </w:divBdr>
      <w:divsChild>
        <w:div w:id="1036657213">
          <w:marLeft w:val="0"/>
          <w:marRight w:val="0"/>
          <w:marTop w:val="0"/>
          <w:marBottom w:val="0"/>
          <w:divBdr>
            <w:top w:val="none" w:sz="0" w:space="0" w:color="auto"/>
            <w:left w:val="none" w:sz="0" w:space="0" w:color="auto"/>
            <w:bottom w:val="none" w:sz="0" w:space="0" w:color="auto"/>
            <w:right w:val="none" w:sz="0" w:space="0" w:color="auto"/>
          </w:divBdr>
        </w:div>
      </w:divsChild>
    </w:div>
    <w:div w:id="384181965">
      <w:marLeft w:val="0"/>
      <w:marRight w:val="0"/>
      <w:marTop w:val="0"/>
      <w:marBottom w:val="240"/>
      <w:divBdr>
        <w:top w:val="none" w:sz="0" w:space="0" w:color="auto"/>
        <w:left w:val="none" w:sz="0" w:space="0" w:color="auto"/>
        <w:bottom w:val="none" w:sz="0" w:space="0" w:color="auto"/>
        <w:right w:val="none" w:sz="0" w:space="0" w:color="auto"/>
      </w:divBdr>
    </w:div>
    <w:div w:id="384451442">
      <w:marLeft w:val="0"/>
      <w:marRight w:val="0"/>
      <w:marTop w:val="0"/>
      <w:marBottom w:val="0"/>
      <w:divBdr>
        <w:top w:val="none" w:sz="0" w:space="0" w:color="auto"/>
        <w:left w:val="none" w:sz="0" w:space="0" w:color="auto"/>
        <w:bottom w:val="none" w:sz="0" w:space="0" w:color="auto"/>
        <w:right w:val="none" w:sz="0" w:space="0" w:color="auto"/>
      </w:divBdr>
    </w:div>
    <w:div w:id="384649627">
      <w:marLeft w:val="0"/>
      <w:marRight w:val="0"/>
      <w:marTop w:val="100"/>
      <w:marBottom w:val="0"/>
      <w:divBdr>
        <w:top w:val="none" w:sz="0" w:space="0" w:color="auto"/>
        <w:left w:val="none" w:sz="0" w:space="0" w:color="auto"/>
        <w:bottom w:val="none" w:sz="0" w:space="0" w:color="auto"/>
        <w:right w:val="none" w:sz="0" w:space="0" w:color="auto"/>
      </w:divBdr>
    </w:div>
    <w:div w:id="385184529">
      <w:marLeft w:val="0"/>
      <w:marRight w:val="0"/>
      <w:marTop w:val="0"/>
      <w:marBottom w:val="180"/>
      <w:divBdr>
        <w:top w:val="none" w:sz="0" w:space="0" w:color="auto"/>
        <w:left w:val="none" w:sz="0" w:space="0" w:color="auto"/>
        <w:bottom w:val="none" w:sz="0" w:space="0" w:color="auto"/>
        <w:right w:val="none" w:sz="0" w:space="0" w:color="auto"/>
      </w:divBdr>
    </w:div>
    <w:div w:id="387076615">
      <w:marLeft w:val="0"/>
      <w:marRight w:val="0"/>
      <w:marTop w:val="0"/>
      <w:marBottom w:val="0"/>
      <w:divBdr>
        <w:top w:val="none" w:sz="0" w:space="0" w:color="auto"/>
        <w:left w:val="none" w:sz="0" w:space="0" w:color="auto"/>
        <w:bottom w:val="none" w:sz="0" w:space="0" w:color="auto"/>
        <w:right w:val="none" w:sz="0" w:space="0" w:color="auto"/>
      </w:divBdr>
    </w:div>
    <w:div w:id="387729666">
      <w:marLeft w:val="0"/>
      <w:marRight w:val="0"/>
      <w:marTop w:val="0"/>
      <w:marBottom w:val="180"/>
      <w:divBdr>
        <w:top w:val="none" w:sz="0" w:space="0" w:color="auto"/>
        <w:left w:val="none" w:sz="0" w:space="0" w:color="auto"/>
        <w:bottom w:val="none" w:sz="0" w:space="0" w:color="auto"/>
        <w:right w:val="none" w:sz="0" w:space="0" w:color="auto"/>
      </w:divBdr>
    </w:div>
    <w:div w:id="388111756">
      <w:marLeft w:val="0"/>
      <w:marRight w:val="0"/>
      <w:marTop w:val="180"/>
      <w:marBottom w:val="180"/>
      <w:divBdr>
        <w:top w:val="none" w:sz="0" w:space="0" w:color="auto"/>
        <w:left w:val="none" w:sz="0" w:space="0" w:color="auto"/>
        <w:bottom w:val="none" w:sz="0" w:space="0" w:color="auto"/>
        <w:right w:val="none" w:sz="0" w:space="0" w:color="auto"/>
      </w:divBdr>
    </w:div>
    <w:div w:id="388117675">
      <w:marLeft w:val="0"/>
      <w:marRight w:val="0"/>
      <w:marTop w:val="0"/>
      <w:marBottom w:val="180"/>
      <w:divBdr>
        <w:top w:val="none" w:sz="0" w:space="0" w:color="auto"/>
        <w:left w:val="none" w:sz="0" w:space="0" w:color="auto"/>
        <w:bottom w:val="none" w:sz="0" w:space="0" w:color="auto"/>
        <w:right w:val="none" w:sz="0" w:space="0" w:color="auto"/>
      </w:divBdr>
    </w:div>
    <w:div w:id="388387481">
      <w:marLeft w:val="0"/>
      <w:marRight w:val="0"/>
      <w:marTop w:val="0"/>
      <w:marBottom w:val="0"/>
      <w:divBdr>
        <w:top w:val="none" w:sz="0" w:space="0" w:color="auto"/>
        <w:left w:val="none" w:sz="0" w:space="0" w:color="auto"/>
        <w:bottom w:val="none" w:sz="0" w:space="0" w:color="auto"/>
        <w:right w:val="none" w:sz="0" w:space="0" w:color="auto"/>
      </w:divBdr>
    </w:div>
    <w:div w:id="388577716">
      <w:marLeft w:val="0"/>
      <w:marRight w:val="0"/>
      <w:marTop w:val="0"/>
      <w:marBottom w:val="180"/>
      <w:divBdr>
        <w:top w:val="none" w:sz="0" w:space="0" w:color="auto"/>
        <w:left w:val="none" w:sz="0" w:space="0" w:color="auto"/>
        <w:bottom w:val="none" w:sz="0" w:space="0" w:color="auto"/>
        <w:right w:val="none" w:sz="0" w:space="0" w:color="auto"/>
      </w:divBdr>
    </w:div>
    <w:div w:id="388840439">
      <w:marLeft w:val="0"/>
      <w:marRight w:val="0"/>
      <w:marTop w:val="0"/>
      <w:marBottom w:val="240"/>
      <w:divBdr>
        <w:top w:val="none" w:sz="0" w:space="0" w:color="auto"/>
        <w:left w:val="none" w:sz="0" w:space="0" w:color="auto"/>
        <w:bottom w:val="none" w:sz="0" w:space="0" w:color="auto"/>
        <w:right w:val="none" w:sz="0" w:space="0" w:color="auto"/>
      </w:divBdr>
    </w:div>
    <w:div w:id="388962169">
      <w:marLeft w:val="0"/>
      <w:marRight w:val="0"/>
      <w:marTop w:val="0"/>
      <w:marBottom w:val="0"/>
      <w:divBdr>
        <w:top w:val="none" w:sz="0" w:space="0" w:color="auto"/>
        <w:left w:val="none" w:sz="0" w:space="0" w:color="auto"/>
        <w:bottom w:val="none" w:sz="0" w:space="0" w:color="auto"/>
        <w:right w:val="none" w:sz="0" w:space="0" w:color="auto"/>
      </w:divBdr>
      <w:divsChild>
        <w:div w:id="416753877">
          <w:marLeft w:val="0"/>
          <w:marRight w:val="0"/>
          <w:marTop w:val="0"/>
          <w:marBottom w:val="0"/>
          <w:divBdr>
            <w:top w:val="none" w:sz="0" w:space="0" w:color="auto"/>
            <w:left w:val="none" w:sz="0" w:space="0" w:color="auto"/>
            <w:bottom w:val="none" w:sz="0" w:space="0" w:color="auto"/>
            <w:right w:val="none" w:sz="0" w:space="0" w:color="auto"/>
          </w:divBdr>
        </w:div>
      </w:divsChild>
    </w:div>
    <w:div w:id="389772982">
      <w:marLeft w:val="0"/>
      <w:marRight w:val="0"/>
      <w:marTop w:val="0"/>
      <w:marBottom w:val="240"/>
      <w:divBdr>
        <w:top w:val="none" w:sz="0" w:space="0" w:color="auto"/>
        <w:left w:val="none" w:sz="0" w:space="0" w:color="auto"/>
        <w:bottom w:val="none" w:sz="0" w:space="0" w:color="auto"/>
        <w:right w:val="none" w:sz="0" w:space="0" w:color="auto"/>
      </w:divBdr>
    </w:div>
    <w:div w:id="391392951">
      <w:marLeft w:val="0"/>
      <w:marRight w:val="0"/>
      <w:marTop w:val="100"/>
      <w:marBottom w:val="0"/>
      <w:divBdr>
        <w:top w:val="none" w:sz="0" w:space="0" w:color="auto"/>
        <w:left w:val="none" w:sz="0" w:space="0" w:color="auto"/>
        <w:bottom w:val="none" w:sz="0" w:space="0" w:color="auto"/>
        <w:right w:val="none" w:sz="0" w:space="0" w:color="auto"/>
      </w:divBdr>
    </w:div>
    <w:div w:id="391735186">
      <w:marLeft w:val="0"/>
      <w:marRight w:val="0"/>
      <w:marTop w:val="180"/>
      <w:marBottom w:val="180"/>
      <w:divBdr>
        <w:top w:val="none" w:sz="0" w:space="0" w:color="auto"/>
        <w:left w:val="none" w:sz="0" w:space="0" w:color="auto"/>
        <w:bottom w:val="none" w:sz="0" w:space="0" w:color="auto"/>
        <w:right w:val="none" w:sz="0" w:space="0" w:color="auto"/>
      </w:divBdr>
    </w:div>
    <w:div w:id="392969045">
      <w:marLeft w:val="0"/>
      <w:marRight w:val="0"/>
      <w:marTop w:val="120"/>
      <w:marBottom w:val="240"/>
      <w:divBdr>
        <w:top w:val="none" w:sz="0" w:space="0" w:color="auto"/>
        <w:left w:val="none" w:sz="0" w:space="0" w:color="auto"/>
        <w:bottom w:val="none" w:sz="0" w:space="0" w:color="auto"/>
        <w:right w:val="none" w:sz="0" w:space="0" w:color="auto"/>
      </w:divBdr>
    </w:div>
    <w:div w:id="395126767">
      <w:marLeft w:val="0"/>
      <w:marRight w:val="0"/>
      <w:marTop w:val="0"/>
      <w:marBottom w:val="180"/>
      <w:divBdr>
        <w:top w:val="none" w:sz="0" w:space="0" w:color="auto"/>
        <w:left w:val="none" w:sz="0" w:space="0" w:color="auto"/>
        <w:bottom w:val="none" w:sz="0" w:space="0" w:color="auto"/>
        <w:right w:val="none" w:sz="0" w:space="0" w:color="auto"/>
      </w:divBdr>
    </w:div>
    <w:div w:id="397287142">
      <w:marLeft w:val="0"/>
      <w:marRight w:val="0"/>
      <w:marTop w:val="0"/>
      <w:marBottom w:val="180"/>
      <w:divBdr>
        <w:top w:val="none" w:sz="0" w:space="0" w:color="auto"/>
        <w:left w:val="none" w:sz="0" w:space="0" w:color="auto"/>
        <w:bottom w:val="none" w:sz="0" w:space="0" w:color="auto"/>
        <w:right w:val="none" w:sz="0" w:space="0" w:color="auto"/>
      </w:divBdr>
    </w:div>
    <w:div w:id="398402177">
      <w:marLeft w:val="0"/>
      <w:marRight w:val="0"/>
      <w:marTop w:val="100"/>
      <w:marBottom w:val="240"/>
      <w:divBdr>
        <w:top w:val="none" w:sz="0" w:space="0" w:color="auto"/>
        <w:left w:val="none" w:sz="0" w:space="0" w:color="auto"/>
        <w:bottom w:val="none" w:sz="0" w:space="0" w:color="auto"/>
        <w:right w:val="none" w:sz="0" w:space="0" w:color="auto"/>
      </w:divBdr>
      <w:divsChild>
        <w:div w:id="328605055">
          <w:marLeft w:val="0"/>
          <w:marRight w:val="0"/>
          <w:marTop w:val="0"/>
          <w:marBottom w:val="0"/>
          <w:divBdr>
            <w:top w:val="none" w:sz="0" w:space="0" w:color="auto"/>
            <w:left w:val="none" w:sz="0" w:space="0" w:color="auto"/>
            <w:bottom w:val="none" w:sz="0" w:space="0" w:color="auto"/>
            <w:right w:val="none" w:sz="0" w:space="0" w:color="auto"/>
          </w:divBdr>
        </w:div>
      </w:divsChild>
    </w:div>
    <w:div w:id="398553282">
      <w:marLeft w:val="0"/>
      <w:marRight w:val="0"/>
      <w:marTop w:val="120"/>
      <w:marBottom w:val="120"/>
      <w:divBdr>
        <w:top w:val="none" w:sz="0" w:space="0" w:color="auto"/>
        <w:left w:val="none" w:sz="0" w:space="0" w:color="auto"/>
        <w:bottom w:val="none" w:sz="0" w:space="0" w:color="auto"/>
        <w:right w:val="none" w:sz="0" w:space="0" w:color="auto"/>
      </w:divBdr>
    </w:div>
    <w:div w:id="399328616">
      <w:marLeft w:val="0"/>
      <w:marRight w:val="0"/>
      <w:marTop w:val="0"/>
      <w:marBottom w:val="0"/>
      <w:divBdr>
        <w:top w:val="none" w:sz="0" w:space="0" w:color="auto"/>
        <w:left w:val="none" w:sz="0" w:space="0" w:color="auto"/>
        <w:bottom w:val="none" w:sz="0" w:space="0" w:color="auto"/>
        <w:right w:val="none" w:sz="0" w:space="0" w:color="auto"/>
      </w:divBdr>
      <w:divsChild>
        <w:div w:id="1181317666">
          <w:marLeft w:val="0"/>
          <w:marRight w:val="0"/>
          <w:marTop w:val="0"/>
          <w:marBottom w:val="0"/>
          <w:divBdr>
            <w:top w:val="none" w:sz="0" w:space="0" w:color="auto"/>
            <w:left w:val="none" w:sz="0" w:space="0" w:color="auto"/>
            <w:bottom w:val="none" w:sz="0" w:space="0" w:color="auto"/>
            <w:right w:val="none" w:sz="0" w:space="0" w:color="auto"/>
          </w:divBdr>
        </w:div>
      </w:divsChild>
    </w:div>
    <w:div w:id="399912064">
      <w:marLeft w:val="0"/>
      <w:marRight w:val="0"/>
      <w:marTop w:val="0"/>
      <w:marBottom w:val="240"/>
      <w:divBdr>
        <w:top w:val="none" w:sz="0" w:space="0" w:color="auto"/>
        <w:left w:val="none" w:sz="0" w:space="0" w:color="auto"/>
        <w:bottom w:val="none" w:sz="0" w:space="0" w:color="auto"/>
        <w:right w:val="none" w:sz="0" w:space="0" w:color="auto"/>
      </w:divBdr>
    </w:div>
    <w:div w:id="400063134">
      <w:marLeft w:val="0"/>
      <w:marRight w:val="0"/>
      <w:marTop w:val="0"/>
      <w:marBottom w:val="240"/>
      <w:divBdr>
        <w:top w:val="none" w:sz="0" w:space="0" w:color="auto"/>
        <w:left w:val="none" w:sz="0" w:space="0" w:color="auto"/>
        <w:bottom w:val="none" w:sz="0" w:space="0" w:color="auto"/>
        <w:right w:val="none" w:sz="0" w:space="0" w:color="auto"/>
      </w:divBdr>
    </w:div>
    <w:div w:id="401291777">
      <w:marLeft w:val="0"/>
      <w:marRight w:val="0"/>
      <w:marTop w:val="0"/>
      <w:marBottom w:val="0"/>
      <w:divBdr>
        <w:top w:val="none" w:sz="0" w:space="0" w:color="auto"/>
        <w:left w:val="none" w:sz="0" w:space="0" w:color="auto"/>
        <w:bottom w:val="none" w:sz="0" w:space="0" w:color="auto"/>
        <w:right w:val="none" w:sz="0" w:space="0" w:color="auto"/>
      </w:divBdr>
    </w:div>
    <w:div w:id="402138998">
      <w:marLeft w:val="0"/>
      <w:marRight w:val="0"/>
      <w:marTop w:val="180"/>
      <w:marBottom w:val="180"/>
      <w:divBdr>
        <w:top w:val="none" w:sz="0" w:space="0" w:color="auto"/>
        <w:left w:val="none" w:sz="0" w:space="0" w:color="auto"/>
        <w:bottom w:val="none" w:sz="0" w:space="0" w:color="auto"/>
        <w:right w:val="none" w:sz="0" w:space="0" w:color="auto"/>
      </w:divBdr>
    </w:div>
    <w:div w:id="402333647">
      <w:marLeft w:val="0"/>
      <w:marRight w:val="0"/>
      <w:marTop w:val="0"/>
      <w:marBottom w:val="0"/>
      <w:divBdr>
        <w:top w:val="none" w:sz="0" w:space="0" w:color="auto"/>
        <w:left w:val="none" w:sz="0" w:space="0" w:color="auto"/>
        <w:bottom w:val="none" w:sz="0" w:space="0" w:color="auto"/>
        <w:right w:val="none" w:sz="0" w:space="0" w:color="auto"/>
      </w:divBdr>
      <w:divsChild>
        <w:div w:id="550925160">
          <w:marLeft w:val="0"/>
          <w:marRight w:val="0"/>
          <w:marTop w:val="0"/>
          <w:marBottom w:val="0"/>
          <w:divBdr>
            <w:top w:val="none" w:sz="0" w:space="0" w:color="auto"/>
            <w:left w:val="none" w:sz="0" w:space="0" w:color="auto"/>
            <w:bottom w:val="none" w:sz="0" w:space="0" w:color="auto"/>
            <w:right w:val="none" w:sz="0" w:space="0" w:color="auto"/>
          </w:divBdr>
          <w:divsChild>
            <w:div w:id="4727963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02606379">
      <w:marLeft w:val="0"/>
      <w:marRight w:val="0"/>
      <w:marTop w:val="0"/>
      <w:marBottom w:val="0"/>
      <w:divBdr>
        <w:top w:val="none" w:sz="0" w:space="0" w:color="auto"/>
        <w:left w:val="none" w:sz="0" w:space="0" w:color="auto"/>
        <w:bottom w:val="none" w:sz="0" w:space="0" w:color="auto"/>
        <w:right w:val="none" w:sz="0" w:space="0" w:color="auto"/>
      </w:divBdr>
      <w:divsChild>
        <w:div w:id="241598220">
          <w:marLeft w:val="0"/>
          <w:marRight w:val="0"/>
          <w:marTop w:val="0"/>
          <w:marBottom w:val="0"/>
          <w:divBdr>
            <w:top w:val="none" w:sz="0" w:space="0" w:color="auto"/>
            <w:left w:val="none" w:sz="0" w:space="0" w:color="auto"/>
            <w:bottom w:val="none" w:sz="0" w:space="0" w:color="auto"/>
            <w:right w:val="none" w:sz="0" w:space="0" w:color="auto"/>
          </w:divBdr>
        </w:div>
      </w:divsChild>
    </w:div>
    <w:div w:id="402800412">
      <w:marLeft w:val="0"/>
      <w:marRight w:val="0"/>
      <w:marTop w:val="0"/>
      <w:marBottom w:val="180"/>
      <w:divBdr>
        <w:top w:val="none" w:sz="0" w:space="0" w:color="auto"/>
        <w:left w:val="none" w:sz="0" w:space="0" w:color="auto"/>
        <w:bottom w:val="none" w:sz="0" w:space="0" w:color="auto"/>
        <w:right w:val="none" w:sz="0" w:space="0" w:color="auto"/>
      </w:divBdr>
    </w:div>
    <w:div w:id="403993313">
      <w:marLeft w:val="0"/>
      <w:marRight w:val="0"/>
      <w:marTop w:val="180"/>
      <w:marBottom w:val="180"/>
      <w:divBdr>
        <w:top w:val="none" w:sz="0" w:space="0" w:color="auto"/>
        <w:left w:val="none" w:sz="0" w:space="0" w:color="auto"/>
        <w:bottom w:val="none" w:sz="0" w:space="0" w:color="auto"/>
        <w:right w:val="none" w:sz="0" w:space="0" w:color="auto"/>
      </w:divBdr>
    </w:div>
    <w:div w:id="404691821">
      <w:marLeft w:val="0"/>
      <w:marRight w:val="0"/>
      <w:marTop w:val="0"/>
      <w:marBottom w:val="0"/>
      <w:divBdr>
        <w:top w:val="none" w:sz="0" w:space="0" w:color="auto"/>
        <w:left w:val="none" w:sz="0" w:space="0" w:color="auto"/>
        <w:bottom w:val="none" w:sz="0" w:space="0" w:color="auto"/>
        <w:right w:val="none" w:sz="0" w:space="0" w:color="auto"/>
      </w:divBdr>
      <w:divsChild>
        <w:div w:id="1083526170">
          <w:marLeft w:val="0"/>
          <w:marRight w:val="0"/>
          <w:marTop w:val="0"/>
          <w:marBottom w:val="0"/>
          <w:divBdr>
            <w:top w:val="none" w:sz="0" w:space="0" w:color="auto"/>
            <w:left w:val="none" w:sz="0" w:space="0" w:color="auto"/>
            <w:bottom w:val="none" w:sz="0" w:space="0" w:color="auto"/>
            <w:right w:val="none" w:sz="0" w:space="0" w:color="auto"/>
          </w:divBdr>
        </w:div>
      </w:divsChild>
    </w:div>
    <w:div w:id="405956733">
      <w:marLeft w:val="0"/>
      <w:marRight w:val="0"/>
      <w:marTop w:val="0"/>
      <w:marBottom w:val="180"/>
      <w:divBdr>
        <w:top w:val="none" w:sz="0" w:space="0" w:color="auto"/>
        <w:left w:val="none" w:sz="0" w:space="0" w:color="auto"/>
        <w:bottom w:val="none" w:sz="0" w:space="0" w:color="auto"/>
        <w:right w:val="none" w:sz="0" w:space="0" w:color="auto"/>
      </w:divBdr>
    </w:div>
    <w:div w:id="406071212">
      <w:marLeft w:val="0"/>
      <w:marRight w:val="0"/>
      <w:marTop w:val="0"/>
      <w:marBottom w:val="0"/>
      <w:divBdr>
        <w:top w:val="none" w:sz="0" w:space="0" w:color="auto"/>
        <w:left w:val="none" w:sz="0" w:space="0" w:color="auto"/>
        <w:bottom w:val="none" w:sz="0" w:space="0" w:color="auto"/>
        <w:right w:val="none" w:sz="0" w:space="0" w:color="auto"/>
      </w:divBdr>
      <w:divsChild>
        <w:div w:id="1847789089">
          <w:marLeft w:val="0"/>
          <w:marRight w:val="0"/>
          <w:marTop w:val="0"/>
          <w:marBottom w:val="0"/>
          <w:divBdr>
            <w:top w:val="none" w:sz="0" w:space="0" w:color="auto"/>
            <w:left w:val="none" w:sz="0" w:space="0" w:color="auto"/>
            <w:bottom w:val="none" w:sz="0" w:space="0" w:color="auto"/>
            <w:right w:val="none" w:sz="0" w:space="0" w:color="auto"/>
          </w:divBdr>
        </w:div>
      </w:divsChild>
    </w:div>
    <w:div w:id="407264183">
      <w:marLeft w:val="0"/>
      <w:marRight w:val="0"/>
      <w:marTop w:val="120"/>
      <w:marBottom w:val="120"/>
      <w:divBdr>
        <w:top w:val="none" w:sz="0" w:space="0" w:color="auto"/>
        <w:left w:val="none" w:sz="0" w:space="0" w:color="auto"/>
        <w:bottom w:val="none" w:sz="0" w:space="0" w:color="auto"/>
        <w:right w:val="none" w:sz="0" w:space="0" w:color="auto"/>
      </w:divBdr>
    </w:div>
    <w:div w:id="409232521">
      <w:marLeft w:val="0"/>
      <w:marRight w:val="0"/>
      <w:marTop w:val="0"/>
      <w:marBottom w:val="180"/>
      <w:divBdr>
        <w:top w:val="none" w:sz="0" w:space="0" w:color="auto"/>
        <w:left w:val="none" w:sz="0" w:space="0" w:color="auto"/>
        <w:bottom w:val="none" w:sz="0" w:space="0" w:color="auto"/>
        <w:right w:val="none" w:sz="0" w:space="0" w:color="auto"/>
      </w:divBdr>
    </w:div>
    <w:div w:id="409620443">
      <w:marLeft w:val="0"/>
      <w:marRight w:val="0"/>
      <w:marTop w:val="0"/>
      <w:marBottom w:val="180"/>
      <w:divBdr>
        <w:top w:val="none" w:sz="0" w:space="0" w:color="auto"/>
        <w:left w:val="none" w:sz="0" w:space="0" w:color="auto"/>
        <w:bottom w:val="none" w:sz="0" w:space="0" w:color="auto"/>
        <w:right w:val="none" w:sz="0" w:space="0" w:color="auto"/>
      </w:divBdr>
    </w:div>
    <w:div w:id="411199782">
      <w:marLeft w:val="0"/>
      <w:marRight w:val="0"/>
      <w:marTop w:val="0"/>
      <w:marBottom w:val="180"/>
      <w:divBdr>
        <w:top w:val="none" w:sz="0" w:space="0" w:color="auto"/>
        <w:left w:val="none" w:sz="0" w:space="0" w:color="auto"/>
        <w:bottom w:val="none" w:sz="0" w:space="0" w:color="auto"/>
        <w:right w:val="none" w:sz="0" w:space="0" w:color="auto"/>
      </w:divBdr>
    </w:div>
    <w:div w:id="412045177">
      <w:marLeft w:val="0"/>
      <w:marRight w:val="0"/>
      <w:marTop w:val="0"/>
      <w:marBottom w:val="240"/>
      <w:divBdr>
        <w:top w:val="none" w:sz="0" w:space="0" w:color="auto"/>
        <w:left w:val="none" w:sz="0" w:space="0" w:color="auto"/>
        <w:bottom w:val="none" w:sz="0" w:space="0" w:color="auto"/>
        <w:right w:val="none" w:sz="0" w:space="0" w:color="auto"/>
      </w:divBdr>
    </w:div>
    <w:div w:id="413163989">
      <w:marLeft w:val="0"/>
      <w:marRight w:val="0"/>
      <w:marTop w:val="180"/>
      <w:marBottom w:val="180"/>
      <w:divBdr>
        <w:top w:val="none" w:sz="0" w:space="0" w:color="auto"/>
        <w:left w:val="none" w:sz="0" w:space="0" w:color="auto"/>
        <w:bottom w:val="none" w:sz="0" w:space="0" w:color="auto"/>
        <w:right w:val="none" w:sz="0" w:space="0" w:color="auto"/>
      </w:divBdr>
    </w:div>
    <w:div w:id="413740916">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240"/>
      <w:divBdr>
        <w:top w:val="none" w:sz="0" w:space="0" w:color="auto"/>
        <w:left w:val="none" w:sz="0" w:space="0" w:color="auto"/>
        <w:bottom w:val="none" w:sz="0" w:space="0" w:color="auto"/>
        <w:right w:val="none" w:sz="0" w:space="0" w:color="auto"/>
      </w:divBdr>
    </w:div>
    <w:div w:id="415251387">
      <w:marLeft w:val="0"/>
      <w:marRight w:val="0"/>
      <w:marTop w:val="0"/>
      <w:marBottom w:val="180"/>
      <w:divBdr>
        <w:top w:val="none" w:sz="0" w:space="0" w:color="auto"/>
        <w:left w:val="none" w:sz="0" w:space="0" w:color="auto"/>
        <w:bottom w:val="none" w:sz="0" w:space="0" w:color="auto"/>
        <w:right w:val="none" w:sz="0" w:space="0" w:color="auto"/>
      </w:divBdr>
    </w:div>
    <w:div w:id="416438837">
      <w:marLeft w:val="0"/>
      <w:marRight w:val="0"/>
      <w:marTop w:val="0"/>
      <w:marBottom w:val="240"/>
      <w:divBdr>
        <w:top w:val="none" w:sz="0" w:space="0" w:color="auto"/>
        <w:left w:val="none" w:sz="0" w:space="0" w:color="auto"/>
        <w:bottom w:val="none" w:sz="0" w:space="0" w:color="auto"/>
        <w:right w:val="none" w:sz="0" w:space="0" w:color="auto"/>
      </w:divBdr>
    </w:div>
    <w:div w:id="418212343">
      <w:marLeft w:val="0"/>
      <w:marRight w:val="0"/>
      <w:marTop w:val="0"/>
      <w:marBottom w:val="0"/>
      <w:divBdr>
        <w:top w:val="none" w:sz="0" w:space="0" w:color="auto"/>
        <w:left w:val="none" w:sz="0" w:space="0" w:color="auto"/>
        <w:bottom w:val="none" w:sz="0" w:space="0" w:color="auto"/>
        <w:right w:val="none" w:sz="0" w:space="0" w:color="auto"/>
      </w:divBdr>
      <w:divsChild>
        <w:div w:id="539241279">
          <w:marLeft w:val="0"/>
          <w:marRight w:val="0"/>
          <w:marTop w:val="0"/>
          <w:marBottom w:val="0"/>
          <w:divBdr>
            <w:top w:val="none" w:sz="0" w:space="0" w:color="auto"/>
            <w:left w:val="none" w:sz="0" w:space="0" w:color="auto"/>
            <w:bottom w:val="none" w:sz="0" w:space="0" w:color="auto"/>
            <w:right w:val="none" w:sz="0" w:space="0" w:color="auto"/>
          </w:divBdr>
        </w:div>
      </w:divsChild>
    </w:div>
    <w:div w:id="420102517">
      <w:marLeft w:val="0"/>
      <w:marRight w:val="0"/>
      <w:marTop w:val="0"/>
      <w:marBottom w:val="0"/>
      <w:divBdr>
        <w:top w:val="none" w:sz="0" w:space="0" w:color="auto"/>
        <w:left w:val="none" w:sz="0" w:space="0" w:color="auto"/>
        <w:bottom w:val="none" w:sz="0" w:space="0" w:color="auto"/>
        <w:right w:val="none" w:sz="0" w:space="0" w:color="auto"/>
      </w:divBdr>
    </w:div>
    <w:div w:id="420219889">
      <w:marLeft w:val="0"/>
      <w:marRight w:val="0"/>
      <w:marTop w:val="0"/>
      <w:marBottom w:val="240"/>
      <w:divBdr>
        <w:top w:val="none" w:sz="0" w:space="0" w:color="auto"/>
        <w:left w:val="none" w:sz="0" w:space="0" w:color="auto"/>
        <w:bottom w:val="none" w:sz="0" w:space="0" w:color="auto"/>
        <w:right w:val="none" w:sz="0" w:space="0" w:color="auto"/>
      </w:divBdr>
    </w:div>
    <w:div w:id="420951008">
      <w:marLeft w:val="0"/>
      <w:marRight w:val="0"/>
      <w:marTop w:val="0"/>
      <w:marBottom w:val="240"/>
      <w:divBdr>
        <w:top w:val="none" w:sz="0" w:space="0" w:color="auto"/>
        <w:left w:val="none" w:sz="0" w:space="0" w:color="auto"/>
        <w:bottom w:val="none" w:sz="0" w:space="0" w:color="auto"/>
        <w:right w:val="none" w:sz="0" w:space="0" w:color="auto"/>
      </w:divBdr>
    </w:div>
    <w:div w:id="421413525">
      <w:marLeft w:val="0"/>
      <w:marRight w:val="0"/>
      <w:marTop w:val="0"/>
      <w:marBottom w:val="0"/>
      <w:divBdr>
        <w:top w:val="none" w:sz="0" w:space="0" w:color="auto"/>
        <w:left w:val="none" w:sz="0" w:space="0" w:color="auto"/>
        <w:bottom w:val="none" w:sz="0" w:space="0" w:color="auto"/>
        <w:right w:val="none" w:sz="0" w:space="0" w:color="auto"/>
      </w:divBdr>
    </w:div>
    <w:div w:id="421878699">
      <w:marLeft w:val="0"/>
      <w:marRight w:val="0"/>
      <w:marTop w:val="0"/>
      <w:marBottom w:val="180"/>
      <w:divBdr>
        <w:top w:val="none" w:sz="0" w:space="0" w:color="auto"/>
        <w:left w:val="none" w:sz="0" w:space="0" w:color="auto"/>
        <w:bottom w:val="none" w:sz="0" w:space="0" w:color="auto"/>
        <w:right w:val="none" w:sz="0" w:space="0" w:color="auto"/>
      </w:divBdr>
    </w:div>
    <w:div w:id="423066539">
      <w:marLeft w:val="0"/>
      <w:marRight w:val="0"/>
      <w:marTop w:val="0"/>
      <w:marBottom w:val="180"/>
      <w:divBdr>
        <w:top w:val="none" w:sz="0" w:space="0" w:color="auto"/>
        <w:left w:val="none" w:sz="0" w:space="0" w:color="auto"/>
        <w:bottom w:val="none" w:sz="0" w:space="0" w:color="auto"/>
        <w:right w:val="none" w:sz="0" w:space="0" w:color="auto"/>
      </w:divBdr>
    </w:div>
    <w:div w:id="423382462">
      <w:marLeft w:val="0"/>
      <w:marRight w:val="0"/>
      <w:marTop w:val="0"/>
      <w:marBottom w:val="0"/>
      <w:divBdr>
        <w:top w:val="none" w:sz="0" w:space="0" w:color="auto"/>
        <w:left w:val="none" w:sz="0" w:space="0" w:color="auto"/>
        <w:bottom w:val="none" w:sz="0" w:space="0" w:color="auto"/>
        <w:right w:val="none" w:sz="0" w:space="0" w:color="auto"/>
      </w:divBdr>
      <w:divsChild>
        <w:div w:id="1168324205">
          <w:marLeft w:val="0"/>
          <w:marRight w:val="0"/>
          <w:marTop w:val="0"/>
          <w:marBottom w:val="0"/>
          <w:divBdr>
            <w:top w:val="none" w:sz="0" w:space="0" w:color="auto"/>
            <w:left w:val="none" w:sz="0" w:space="0" w:color="auto"/>
            <w:bottom w:val="none" w:sz="0" w:space="0" w:color="auto"/>
            <w:right w:val="none" w:sz="0" w:space="0" w:color="auto"/>
          </w:divBdr>
        </w:div>
      </w:divsChild>
    </w:div>
    <w:div w:id="425229591">
      <w:marLeft w:val="0"/>
      <w:marRight w:val="0"/>
      <w:marTop w:val="0"/>
      <w:marBottom w:val="180"/>
      <w:divBdr>
        <w:top w:val="none" w:sz="0" w:space="0" w:color="auto"/>
        <w:left w:val="none" w:sz="0" w:space="0" w:color="auto"/>
        <w:bottom w:val="none" w:sz="0" w:space="0" w:color="auto"/>
        <w:right w:val="none" w:sz="0" w:space="0" w:color="auto"/>
      </w:divBdr>
    </w:div>
    <w:div w:id="425656998">
      <w:marLeft w:val="0"/>
      <w:marRight w:val="0"/>
      <w:marTop w:val="0"/>
      <w:marBottom w:val="180"/>
      <w:divBdr>
        <w:top w:val="none" w:sz="0" w:space="0" w:color="auto"/>
        <w:left w:val="none" w:sz="0" w:space="0" w:color="auto"/>
        <w:bottom w:val="none" w:sz="0" w:space="0" w:color="auto"/>
        <w:right w:val="none" w:sz="0" w:space="0" w:color="auto"/>
      </w:divBdr>
    </w:div>
    <w:div w:id="426657659">
      <w:marLeft w:val="0"/>
      <w:marRight w:val="0"/>
      <w:marTop w:val="180"/>
      <w:marBottom w:val="180"/>
      <w:divBdr>
        <w:top w:val="none" w:sz="0" w:space="0" w:color="auto"/>
        <w:left w:val="none" w:sz="0" w:space="0" w:color="auto"/>
        <w:bottom w:val="none" w:sz="0" w:space="0" w:color="auto"/>
        <w:right w:val="none" w:sz="0" w:space="0" w:color="auto"/>
      </w:divBdr>
    </w:div>
    <w:div w:id="426850294">
      <w:marLeft w:val="0"/>
      <w:marRight w:val="0"/>
      <w:marTop w:val="0"/>
      <w:marBottom w:val="240"/>
      <w:divBdr>
        <w:top w:val="none" w:sz="0" w:space="0" w:color="auto"/>
        <w:left w:val="none" w:sz="0" w:space="0" w:color="auto"/>
        <w:bottom w:val="none" w:sz="0" w:space="0" w:color="auto"/>
        <w:right w:val="none" w:sz="0" w:space="0" w:color="auto"/>
      </w:divBdr>
    </w:div>
    <w:div w:id="426854373">
      <w:marLeft w:val="0"/>
      <w:marRight w:val="0"/>
      <w:marTop w:val="0"/>
      <w:marBottom w:val="0"/>
      <w:divBdr>
        <w:top w:val="none" w:sz="0" w:space="0" w:color="auto"/>
        <w:left w:val="none" w:sz="0" w:space="0" w:color="auto"/>
        <w:bottom w:val="none" w:sz="0" w:space="0" w:color="auto"/>
        <w:right w:val="none" w:sz="0" w:space="0" w:color="auto"/>
      </w:divBdr>
      <w:divsChild>
        <w:div w:id="685403858">
          <w:marLeft w:val="0"/>
          <w:marRight w:val="0"/>
          <w:marTop w:val="0"/>
          <w:marBottom w:val="0"/>
          <w:divBdr>
            <w:top w:val="none" w:sz="0" w:space="0" w:color="auto"/>
            <w:left w:val="none" w:sz="0" w:space="0" w:color="auto"/>
            <w:bottom w:val="none" w:sz="0" w:space="0" w:color="auto"/>
            <w:right w:val="none" w:sz="0" w:space="0" w:color="auto"/>
          </w:divBdr>
        </w:div>
      </w:divsChild>
    </w:div>
    <w:div w:id="427315572">
      <w:marLeft w:val="0"/>
      <w:marRight w:val="0"/>
      <w:marTop w:val="180"/>
      <w:marBottom w:val="180"/>
      <w:divBdr>
        <w:top w:val="none" w:sz="0" w:space="0" w:color="auto"/>
        <w:left w:val="none" w:sz="0" w:space="0" w:color="auto"/>
        <w:bottom w:val="none" w:sz="0" w:space="0" w:color="auto"/>
        <w:right w:val="none" w:sz="0" w:space="0" w:color="auto"/>
      </w:divBdr>
    </w:div>
    <w:div w:id="429392363">
      <w:marLeft w:val="0"/>
      <w:marRight w:val="0"/>
      <w:marTop w:val="0"/>
      <w:marBottom w:val="240"/>
      <w:divBdr>
        <w:top w:val="none" w:sz="0" w:space="0" w:color="auto"/>
        <w:left w:val="none" w:sz="0" w:space="0" w:color="auto"/>
        <w:bottom w:val="none" w:sz="0" w:space="0" w:color="auto"/>
        <w:right w:val="none" w:sz="0" w:space="0" w:color="auto"/>
      </w:divBdr>
    </w:div>
    <w:div w:id="431441983">
      <w:marLeft w:val="0"/>
      <w:marRight w:val="0"/>
      <w:marTop w:val="0"/>
      <w:marBottom w:val="180"/>
      <w:divBdr>
        <w:top w:val="none" w:sz="0" w:space="0" w:color="auto"/>
        <w:left w:val="none" w:sz="0" w:space="0" w:color="auto"/>
        <w:bottom w:val="none" w:sz="0" w:space="0" w:color="auto"/>
        <w:right w:val="none" w:sz="0" w:space="0" w:color="auto"/>
      </w:divBdr>
    </w:div>
    <w:div w:id="431895616">
      <w:marLeft w:val="0"/>
      <w:marRight w:val="0"/>
      <w:marTop w:val="0"/>
      <w:marBottom w:val="0"/>
      <w:divBdr>
        <w:top w:val="none" w:sz="0" w:space="0" w:color="auto"/>
        <w:left w:val="none" w:sz="0" w:space="0" w:color="auto"/>
        <w:bottom w:val="none" w:sz="0" w:space="0" w:color="auto"/>
        <w:right w:val="none" w:sz="0" w:space="0" w:color="auto"/>
      </w:divBdr>
      <w:divsChild>
        <w:div w:id="911040846">
          <w:marLeft w:val="0"/>
          <w:marRight w:val="0"/>
          <w:marTop w:val="0"/>
          <w:marBottom w:val="0"/>
          <w:divBdr>
            <w:top w:val="none" w:sz="0" w:space="0" w:color="auto"/>
            <w:left w:val="none" w:sz="0" w:space="0" w:color="auto"/>
            <w:bottom w:val="none" w:sz="0" w:space="0" w:color="auto"/>
            <w:right w:val="none" w:sz="0" w:space="0" w:color="auto"/>
          </w:divBdr>
        </w:div>
      </w:divsChild>
    </w:div>
    <w:div w:id="432240462">
      <w:marLeft w:val="0"/>
      <w:marRight w:val="0"/>
      <w:marTop w:val="0"/>
      <w:marBottom w:val="0"/>
      <w:divBdr>
        <w:top w:val="none" w:sz="0" w:space="0" w:color="auto"/>
        <w:left w:val="none" w:sz="0" w:space="0" w:color="auto"/>
        <w:bottom w:val="none" w:sz="0" w:space="0" w:color="auto"/>
        <w:right w:val="none" w:sz="0" w:space="0" w:color="auto"/>
      </w:divBdr>
    </w:div>
    <w:div w:id="433091275">
      <w:marLeft w:val="0"/>
      <w:marRight w:val="0"/>
      <w:marTop w:val="100"/>
      <w:marBottom w:val="0"/>
      <w:divBdr>
        <w:top w:val="none" w:sz="0" w:space="0" w:color="auto"/>
        <w:left w:val="none" w:sz="0" w:space="0" w:color="auto"/>
        <w:bottom w:val="none" w:sz="0" w:space="0" w:color="auto"/>
        <w:right w:val="none" w:sz="0" w:space="0" w:color="auto"/>
      </w:divBdr>
    </w:div>
    <w:div w:id="433401112">
      <w:marLeft w:val="0"/>
      <w:marRight w:val="0"/>
      <w:marTop w:val="0"/>
      <w:marBottom w:val="180"/>
      <w:divBdr>
        <w:top w:val="none" w:sz="0" w:space="0" w:color="auto"/>
        <w:left w:val="none" w:sz="0" w:space="0" w:color="auto"/>
        <w:bottom w:val="none" w:sz="0" w:space="0" w:color="auto"/>
        <w:right w:val="none" w:sz="0" w:space="0" w:color="auto"/>
      </w:divBdr>
    </w:div>
    <w:div w:id="434325301">
      <w:marLeft w:val="0"/>
      <w:marRight w:val="0"/>
      <w:marTop w:val="0"/>
      <w:marBottom w:val="180"/>
      <w:divBdr>
        <w:top w:val="none" w:sz="0" w:space="0" w:color="auto"/>
        <w:left w:val="none" w:sz="0" w:space="0" w:color="auto"/>
        <w:bottom w:val="none" w:sz="0" w:space="0" w:color="auto"/>
        <w:right w:val="none" w:sz="0" w:space="0" w:color="auto"/>
      </w:divBdr>
    </w:div>
    <w:div w:id="434710310">
      <w:marLeft w:val="0"/>
      <w:marRight w:val="0"/>
      <w:marTop w:val="0"/>
      <w:marBottom w:val="180"/>
      <w:divBdr>
        <w:top w:val="none" w:sz="0" w:space="0" w:color="auto"/>
        <w:left w:val="none" w:sz="0" w:space="0" w:color="auto"/>
        <w:bottom w:val="none" w:sz="0" w:space="0" w:color="auto"/>
        <w:right w:val="none" w:sz="0" w:space="0" w:color="auto"/>
      </w:divBdr>
    </w:div>
    <w:div w:id="436366508">
      <w:marLeft w:val="0"/>
      <w:marRight w:val="0"/>
      <w:marTop w:val="0"/>
      <w:marBottom w:val="0"/>
      <w:divBdr>
        <w:top w:val="none" w:sz="0" w:space="0" w:color="auto"/>
        <w:left w:val="none" w:sz="0" w:space="0" w:color="auto"/>
        <w:bottom w:val="none" w:sz="0" w:space="0" w:color="auto"/>
        <w:right w:val="none" w:sz="0" w:space="0" w:color="auto"/>
      </w:divBdr>
    </w:div>
    <w:div w:id="436559416">
      <w:marLeft w:val="0"/>
      <w:marRight w:val="0"/>
      <w:marTop w:val="0"/>
      <w:marBottom w:val="0"/>
      <w:divBdr>
        <w:top w:val="none" w:sz="0" w:space="0" w:color="auto"/>
        <w:left w:val="none" w:sz="0" w:space="0" w:color="auto"/>
        <w:bottom w:val="none" w:sz="0" w:space="0" w:color="auto"/>
        <w:right w:val="none" w:sz="0" w:space="0" w:color="auto"/>
      </w:divBdr>
    </w:div>
    <w:div w:id="437062237">
      <w:marLeft w:val="0"/>
      <w:marRight w:val="0"/>
      <w:marTop w:val="0"/>
      <w:marBottom w:val="180"/>
      <w:divBdr>
        <w:top w:val="none" w:sz="0" w:space="0" w:color="auto"/>
        <w:left w:val="none" w:sz="0" w:space="0" w:color="auto"/>
        <w:bottom w:val="none" w:sz="0" w:space="0" w:color="auto"/>
        <w:right w:val="none" w:sz="0" w:space="0" w:color="auto"/>
      </w:divBdr>
    </w:div>
    <w:div w:id="437069271">
      <w:marLeft w:val="0"/>
      <w:marRight w:val="0"/>
      <w:marTop w:val="0"/>
      <w:marBottom w:val="0"/>
      <w:divBdr>
        <w:top w:val="none" w:sz="0" w:space="0" w:color="auto"/>
        <w:left w:val="none" w:sz="0" w:space="0" w:color="auto"/>
        <w:bottom w:val="none" w:sz="0" w:space="0" w:color="auto"/>
        <w:right w:val="none" w:sz="0" w:space="0" w:color="auto"/>
      </w:divBdr>
      <w:divsChild>
        <w:div w:id="1571161319">
          <w:marLeft w:val="0"/>
          <w:marRight w:val="0"/>
          <w:marTop w:val="0"/>
          <w:marBottom w:val="0"/>
          <w:divBdr>
            <w:top w:val="none" w:sz="0" w:space="0" w:color="auto"/>
            <w:left w:val="none" w:sz="0" w:space="0" w:color="auto"/>
            <w:bottom w:val="none" w:sz="0" w:space="0" w:color="auto"/>
            <w:right w:val="none" w:sz="0" w:space="0" w:color="auto"/>
          </w:divBdr>
        </w:div>
      </w:divsChild>
    </w:div>
    <w:div w:id="438068055">
      <w:marLeft w:val="0"/>
      <w:marRight w:val="0"/>
      <w:marTop w:val="180"/>
      <w:marBottom w:val="180"/>
      <w:divBdr>
        <w:top w:val="none" w:sz="0" w:space="0" w:color="auto"/>
        <w:left w:val="none" w:sz="0" w:space="0" w:color="auto"/>
        <w:bottom w:val="none" w:sz="0" w:space="0" w:color="auto"/>
        <w:right w:val="none" w:sz="0" w:space="0" w:color="auto"/>
      </w:divBdr>
    </w:div>
    <w:div w:id="438259753">
      <w:marLeft w:val="0"/>
      <w:marRight w:val="0"/>
      <w:marTop w:val="180"/>
      <w:marBottom w:val="180"/>
      <w:divBdr>
        <w:top w:val="none" w:sz="0" w:space="0" w:color="auto"/>
        <w:left w:val="none" w:sz="0" w:space="0" w:color="auto"/>
        <w:bottom w:val="none" w:sz="0" w:space="0" w:color="auto"/>
        <w:right w:val="none" w:sz="0" w:space="0" w:color="auto"/>
      </w:divBdr>
    </w:div>
    <w:div w:id="438524101">
      <w:marLeft w:val="0"/>
      <w:marRight w:val="0"/>
      <w:marTop w:val="180"/>
      <w:marBottom w:val="180"/>
      <w:divBdr>
        <w:top w:val="none" w:sz="0" w:space="0" w:color="auto"/>
        <w:left w:val="none" w:sz="0" w:space="0" w:color="auto"/>
        <w:bottom w:val="none" w:sz="0" w:space="0" w:color="auto"/>
        <w:right w:val="none" w:sz="0" w:space="0" w:color="auto"/>
      </w:divBdr>
    </w:div>
    <w:div w:id="439108205">
      <w:marLeft w:val="0"/>
      <w:marRight w:val="0"/>
      <w:marTop w:val="120"/>
      <w:marBottom w:val="120"/>
      <w:divBdr>
        <w:top w:val="none" w:sz="0" w:space="0" w:color="auto"/>
        <w:left w:val="none" w:sz="0" w:space="0" w:color="auto"/>
        <w:bottom w:val="none" w:sz="0" w:space="0" w:color="auto"/>
        <w:right w:val="none" w:sz="0" w:space="0" w:color="auto"/>
      </w:divBdr>
    </w:div>
    <w:div w:id="439447448">
      <w:marLeft w:val="0"/>
      <w:marRight w:val="0"/>
      <w:marTop w:val="0"/>
      <w:marBottom w:val="0"/>
      <w:divBdr>
        <w:top w:val="none" w:sz="0" w:space="0" w:color="auto"/>
        <w:left w:val="none" w:sz="0" w:space="0" w:color="auto"/>
        <w:bottom w:val="none" w:sz="0" w:space="0" w:color="auto"/>
        <w:right w:val="none" w:sz="0" w:space="0" w:color="auto"/>
      </w:divBdr>
      <w:divsChild>
        <w:div w:id="560599504">
          <w:marLeft w:val="0"/>
          <w:marRight w:val="0"/>
          <w:marTop w:val="0"/>
          <w:marBottom w:val="0"/>
          <w:divBdr>
            <w:top w:val="none" w:sz="0" w:space="0" w:color="auto"/>
            <w:left w:val="none" w:sz="0" w:space="0" w:color="auto"/>
            <w:bottom w:val="none" w:sz="0" w:space="0" w:color="auto"/>
            <w:right w:val="none" w:sz="0" w:space="0" w:color="auto"/>
          </w:divBdr>
        </w:div>
        <w:div w:id="1541016251">
          <w:marLeft w:val="0"/>
          <w:marRight w:val="0"/>
          <w:marTop w:val="0"/>
          <w:marBottom w:val="0"/>
          <w:divBdr>
            <w:top w:val="none" w:sz="0" w:space="0" w:color="auto"/>
            <w:left w:val="none" w:sz="0" w:space="0" w:color="auto"/>
            <w:bottom w:val="none" w:sz="0" w:space="0" w:color="auto"/>
            <w:right w:val="none" w:sz="0" w:space="0" w:color="auto"/>
          </w:divBdr>
        </w:div>
        <w:div w:id="720640745">
          <w:marLeft w:val="0"/>
          <w:marRight w:val="0"/>
          <w:marTop w:val="0"/>
          <w:marBottom w:val="0"/>
          <w:divBdr>
            <w:top w:val="none" w:sz="0" w:space="0" w:color="auto"/>
            <w:left w:val="none" w:sz="0" w:space="0" w:color="auto"/>
            <w:bottom w:val="none" w:sz="0" w:space="0" w:color="auto"/>
            <w:right w:val="none" w:sz="0" w:space="0" w:color="auto"/>
          </w:divBdr>
        </w:div>
      </w:divsChild>
    </w:div>
    <w:div w:id="439839481">
      <w:marLeft w:val="0"/>
      <w:marRight w:val="0"/>
      <w:marTop w:val="0"/>
      <w:marBottom w:val="240"/>
      <w:divBdr>
        <w:top w:val="none" w:sz="0" w:space="0" w:color="auto"/>
        <w:left w:val="none" w:sz="0" w:space="0" w:color="auto"/>
        <w:bottom w:val="none" w:sz="0" w:space="0" w:color="auto"/>
        <w:right w:val="none" w:sz="0" w:space="0" w:color="auto"/>
      </w:divBdr>
    </w:div>
    <w:div w:id="439909675">
      <w:marLeft w:val="0"/>
      <w:marRight w:val="0"/>
      <w:marTop w:val="0"/>
      <w:marBottom w:val="180"/>
      <w:divBdr>
        <w:top w:val="none" w:sz="0" w:space="0" w:color="auto"/>
        <w:left w:val="none" w:sz="0" w:space="0" w:color="auto"/>
        <w:bottom w:val="none" w:sz="0" w:space="0" w:color="auto"/>
        <w:right w:val="none" w:sz="0" w:space="0" w:color="auto"/>
      </w:divBdr>
    </w:div>
    <w:div w:id="441189935">
      <w:marLeft w:val="0"/>
      <w:marRight w:val="0"/>
      <w:marTop w:val="0"/>
      <w:marBottom w:val="240"/>
      <w:divBdr>
        <w:top w:val="none" w:sz="0" w:space="0" w:color="auto"/>
        <w:left w:val="none" w:sz="0" w:space="0" w:color="auto"/>
        <w:bottom w:val="none" w:sz="0" w:space="0" w:color="auto"/>
        <w:right w:val="none" w:sz="0" w:space="0" w:color="auto"/>
      </w:divBdr>
    </w:div>
    <w:div w:id="441268892">
      <w:marLeft w:val="0"/>
      <w:marRight w:val="0"/>
      <w:marTop w:val="0"/>
      <w:marBottom w:val="240"/>
      <w:divBdr>
        <w:top w:val="none" w:sz="0" w:space="0" w:color="auto"/>
        <w:left w:val="none" w:sz="0" w:space="0" w:color="auto"/>
        <w:bottom w:val="none" w:sz="0" w:space="0" w:color="auto"/>
        <w:right w:val="none" w:sz="0" w:space="0" w:color="auto"/>
      </w:divBdr>
    </w:div>
    <w:div w:id="442303756">
      <w:marLeft w:val="0"/>
      <w:marRight w:val="0"/>
      <w:marTop w:val="0"/>
      <w:marBottom w:val="0"/>
      <w:divBdr>
        <w:top w:val="none" w:sz="0" w:space="0" w:color="auto"/>
        <w:left w:val="none" w:sz="0" w:space="0" w:color="auto"/>
        <w:bottom w:val="none" w:sz="0" w:space="0" w:color="auto"/>
        <w:right w:val="none" w:sz="0" w:space="0" w:color="auto"/>
      </w:divBdr>
    </w:div>
    <w:div w:id="443159137">
      <w:marLeft w:val="0"/>
      <w:marRight w:val="0"/>
      <w:marTop w:val="0"/>
      <w:marBottom w:val="180"/>
      <w:divBdr>
        <w:top w:val="none" w:sz="0" w:space="0" w:color="auto"/>
        <w:left w:val="none" w:sz="0" w:space="0" w:color="auto"/>
        <w:bottom w:val="none" w:sz="0" w:space="0" w:color="auto"/>
        <w:right w:val="none" w:sz="0" w:space="0" w:color="auto"/>
      </w:divBdr>
    </w:div>
    <w:div w:id="443576994">
      <w:marLeft w:val="0"/>
      <w:marRight w:val="0"/>
      <w:marTop w:val="0"/>
      <w:marBottom w:val="240"/>
      <w:divBdr>
        <w:top w:val="none" w:sz="0" w:space="0" w:color="auto"/>
        <w:left w:val="none" w:sz="0" w:space="0" w:color="auto"/>
        <w:bottom w:val="none" w:sz="0" w:space="0" w:color="auto"/>
        <w:right w:val="none" w:sz="0" w:space="0" w:color="auto"/>
      </w:divBdr>
    </w:div>
    <w:div w:id="444470820">
      <w:marLeft w:val="0"/>
      <w:marRight w:val="0"/>
      <w:marTop w:val="120"/>
      <w:marBottom w:val="120"/>
      <w:divBdr>
        <w:top w:val="none" w:sz="0" w:space="0" w:color="auto"/>
        <w:left w:val="none" w:sz="0" w:space="0" w:color="auto"/>
        <w:bottom w:val="none" w:sz="0" w:space="0" w:color="auto"/>
        <w:right w:val="none" w:sz="0" w:space="0" w:color="auto"/>
      </w:divBdr>
    </w:div>
    <w:div w:id="444615117">
      <w:marLeft w:val="0"/>
      <w:marRight w:val="0"/>
      <w:marTop w:val="0"/>
      <w:marBottom w:val="180"/>
      <w:divBdr>
        <w:top w:val="none" w:sz="0" w:space="0" w:color="auto"/>
        <w:left w:val="none" w:sz="0" w:space="0" w:color="auto"/>
        <w:bottom w:val="none" w:sz="0" w:space="0" w:color="auto"/>
        <w:right w:val="none" w:sz="0" w:space="0" w:color="auto"/>
      </w:divBdr>
    </w:div>
    <w:div w:id="446002877">
      <w:marLeft w:val="0"/>
      <w:marRight w:val="0"/>
      <w:marTop w:val="180"/>
      <w:marBottom w:val="240"/>
      <w:divBdr>
        <w:top w:val="none" w:sz="0" w:space="0" w:color="auto"/>
        <w:left w:val="none" w:sz="0" w:space="0" w:color="auto"/>
        <w:bottom w:val="none" w:sz="0" w:space="0" w:color="auto"/>
        <w:right w:val="none" w:sz="0" w:space="0" w:color="auto"/>
      </w:divBdr>
    </w:div>
    <w:div w:id="446700977">
      <w:marLeft w:val="0"/>
      <w:marRight w:val="0"/>
      <w:marTop w:val="0"/>
      <w:marBottom w:val="240"/>
      <w:divBdr>
        <w:top w:val="none" w:sz="0" w:space="0" w:color="auto"/>
        <w:left w:val="none" w:sz="0" w:space="0" w:color="auto"/>
        <w:bottom w:val="none" w:sz="0" w:space="0" w:color="auto"/>
        <w:right w:val="none" w:sz="0" w:space="0" w:color="auto"/>
      </w:divBdr>
    </w:div>
    <w:div w:id="446703159">
      <w:marLeft w:val="0"/>
      <w:marRight w:val="0"/>
      <w:marTop w:val="0"/>
      <w:marBottom w:val="180"/>
      <w:divBdr>
        <w:top w:val="none" w:sz="0" w:space="0" w:color="auto"/>
        <w:left w:val="none" w:sz="0" w:space="0" w:color="auto"/>
        <w:bottom w:val="none" w:sz="0" w:space="0" w:color="auto"/>
        <w:right w:val="none" w:sz="0" w:space="0" w:color="auto"/>
      </w:divBdr>
    </w:div>
    <w:div w:id="447358148">
      <w:marLeft w:val="0"/>
      <w:marRight w:val="0"/>
      <w:marTop w:val="0"/>
      <w:marBottom w:val="180"/>
      <w:divBdr>
        <w:top w:val="none" w:sz="0" w:space="0" w:color="auto"/>
        <w:left w:val="none" w:sz="0" w:space="0" w:color="auto"/>
        <w:bottom w:val="none" w:sz="0" w:space="0" w:color="auto"/>
        <w:right w:val="none" w:sz="0" w:space="0" w:color="auto"/>
      </w:divBdr>
    </w:div>
    <w:div w:id="447554616">
      <w:marLeft w:val="0"/>
      <w:marRight w:val="0"/>
      <w:marTop w:val="0"/>
      <w:marBottom w:val="60"/>
      <w:divBdr>
        <w:top w:val="none" w:sz="0" w:space="0" w:color="auto"/>
        <w:left w:val="none" w:sz="0" w:space="0" w:color="auto"/>
        <w:bottom w:val="none" w:sz="0" w:space="0" w:color="auto"/>
        <w:right w:val="none" w:sz="0" w:space="0" w:color="auto"/>
      </w:divBdr>
    </w:div>
    <w:div w:id="448358429">
      <w:marLeft w:val="0"/>
      <w:marRight w:val="0"/>
      <w:marTop w:val="0"/>
      <w:marBottom w:val="0"/>
      <w:divBdr>
        <w:top w:val="none" w:sz="0" w:space="0" w:color="auto"/>
        <w:left w:val="none" w:sz="0" w:space="0" w:color="auto"/>
        <w:bottom w:val="none" w:sz="0" w:space="0" w:color="auto"/>
        <w:right w:val="none" w:sz="0" w:space="0" w:color="auto"/>
      </w:divBdr>
      <w:divsChild>
        <w:div w:id="134377771">
          <w:marLeft w:val="0"/>
          <w:marRight w:val="0"/>
          <w:marTop w:val="0"/>
          <w:marBottom w:val="0"/>
          <w:divBdr>
            <w:top w:val="none" w:sz="0" w:space="0" w:color="auto"/>
            <w:left w:val="none" w:sz="0" w:space="0" w:color="auto"/>
            <w:bottom w:val="none" w:sz="0" w:space="0" w:color="auto"/>
            <w:right w:val="none" w:sz="0" w:space="0" w:color="auto"/>
          </w:divBdr>
        </w:div>
      </w:divsChild>
    </w:div>
    <w:div w:id="450706290">
      <w:marLeft w:val="0"/>
      <w:marRight w:val="0"/>
      <w:marTop w:val="0"/>
      <w:marBottom w:val="0"/>
      <w:divBdr>
        <w:top w:val="none" w:sz="0" w:space="0" w:color="auto"/>
        <w:left w:val="none" w:sz="0" w:space="0" w:color="auto"/>
        <w:bottom w:val="none" w:sz="0" w:space="0" w:color="auto"/>
        <w:right w:val="none" w:sz="0" w:space="0" w:color="auto"/>
      </w:divBdr>
      <w:divsChild>
        <w:div w:id="1132285921">
          <w:marLeft w:val="0"/>
          <w:marRight w:val="0"/>
          <w:marTop w:val="0"/>
          <w:marBottom w:val="0"/>
          <w:divBdr>
            <w:top w:val="none" w:sz="0" w:space="0" w:color="auto"/>
            <w:left w:val="none" w:sz="0" w:space="0" w:color="auto"/>
            <w:bottom w:val="none" w:sz="0" w:space="0" w:color="auto"/>
            <w:right w:val="none" w:sz="0" w:space="0" w:color="auto"/>
          </w:divBdr>
        </w:div>
      </w:divsChild>
    </w:div>
    <w:div w:id="450709478">
      <w:marLeft w:val="0"/>
      <w:marRight w:val="0"/>
      <w:marTop w:val="0"/>
      <w:marBottom w:val="0"/>
      <w:divBdr>
        <w:top w:val="none" w:sz="0" w:space="0" w:color="auto"/>
        <w:left w:val="none" w:sz="0" w:space="0" w:color="auto"/>
        <w:bottom w:val="none" w:sz="0" w:space="0" w:color="auto"/>
        <w:right w:val="none" w:sz="0" w:space="0" w:color="auto"/>
      </w:divBdr>
    </w:div>
    <w:div w:id="451752258">
      <w:marLeft w:val="0"/>
      <w:marRight w:val="0"/>
      <w:marTop w:val="100"/>
      <w:marBottom w:val="180"/>
      <w:divBdr>
        <w:top w:val="none" w:sz="0" w:space="0" w:color="auto"/>
        <w:left w:val="none" w:sz="0" w:space="0" w:color="auto"/>
        <w:bottom w:val="none" w:sz="0" w:space="0" w:color="auto"/>
        <w:right w:val="none" w:sz="0" w:space="0" w:color="auto"/>
      </w:divBdr>
    </w:div>
    <w:div w:id="451899995">
      <w:marLeft w:val="0"/>
      <w:marRight w:val="0"/>
      <w:marTop w:val="0"/>
      <w:marBottom w:val="0"/>
      <w:divBdr>
        <w:top w:val="none" w:sz="0" w:space="0" w:color="auto"/>
        <w:left w:val="none" w:sz="0" w:space="0" w:color="auto"/>
        <w:bottom w:val="none" w:sz="0" w:space="0" w:color="auto"/>
        <w:right w:val="none" w:sz="0" w:space="0" w:color="auto"/>
      </w:divBdr>
      <w:divsChild>
        <w:div w:id="656736827">
          <w:marLeft w:val="0"/>
          <w:marRight w:val="0"/>
          <w:marTop w:val="0"/>
          <w:marBottom w:val="0"/>
          <w:divBdr>
            <w:top w:val="none" w:sz="0" w:space="0" w:color="auto"/>
            <w:left w:val="none" w:sz="0" w:space="0" w:color="auto"/>
            <w:bottom w:val="none" w:sz="0" w:space="0" w:color="auto"/>
            <w:right w:val="none" w:sz="0" w:space="0" w:color="auto"/>
          </w:divBdr>
        </w:div>
      </w:divsChild>
    </w:div>
    <w:div w:id="452094137">
      <w:marLeft w:val="0"/>
      <w:marRight w:val="0"/>
      <w:marTop w:val="0"/>
      <w:marBottom w:val="240"/>
      <w:divBdr>
        <w:top w:val="none" w:sz="0" w:space="0" w:color="auto"/>
        <w:left w:val="none" w:sz="0" w:space="0" w:color="auto"/>
        <w:bottom w:val="none" w:sz="0" w:space="0" w:color="auto"/>
        <w:right w:val="none" w:sz="0" w:space="0" w:color="auto"/>
      </w:divBdr>
    </w:div>
    <w:div w:id="452099249">
      <w:marLeft w:val="0"/>
      <w:marRight w:val="0"/>
      <w:marTop w:val="0"/>
      <w:marBottom w:val="240"/>
      <w:divBdr>
        <w:top w:val="none" w:sz="0" w:space="0" w:color="auto"/>
        <w:left w:val="none" w:sz="0" w:space="0" w:color="auto"/>
        <w:bottom w:val="none" w:sz="0" w:space="0" w:color="auto"/>
        <w:right w:val="none" w:sz="0" w:space="0" w:color="auto"/>
      </w:divBdr>
    </w:div>
    <w:div w:id="452208069">
      <w:marLeft w:val="0"/>
      <w:marRight w:val="0"/>
      <w:marTop w:val="0"/>
      <w:marBottom w:val="180"/>
      <w:divBdr>
        <w:top w:val="none" w:sz="0" w:space="0" w:color="auto"/>
        <w:left w:val="none" w:sz="0" w:space="0" w:color="auto"/>
        <w:bottom w:val="none" w:sz="0" w:space="0" w:color="auto"/>
        <w:right w:val="none" w:sz="0" w:space="0" w:color="auto"/>
      </w:divBdr>
    </w:div>
    <w:div w:id="453444535">
      <w:marLeft w:val="0"/>
      <w:marRight w:val="0"/>
      <w:marTop w:val="0"/>
      <w:marBottom w:val="180"/>
      <w:divBdr>
        <w:top w:val="none" w:sz="0" w:space="0" w:color="auto"/>
        <w:left w:val="none" w:sz="0" w:space="0" w:color="auto"/>
        <w:bottom w:val="none" w:sz="0" w:space="0" w:color="auto"/>
        <w:right w:val="none" w:sz="0" w:space="0" w:color="auto"/>
      </w:divBdr>
    </w:div>
    <w:div w:id="453908218">
      <w:marLeft w:val="0"/>
      <w:marRight w:val="0"/>
      <w:marTop w:val="100"/>
      <w:marBottom w:val="0"/>
      <w:divBdr>
        <w:top w:val="none" w:sz="0" w:space="0" w:color="auto"/>
        <w:left w:val="none" w:sz="0" w:space="0" w:color="auto"/>
        <w:bottom w:val="none" w:sz="0" w:space="0" w:color="auto"/>
        <w:right w:val="none" w:sz="0" w:space="0" w:color="auto"/>
      </w:divBdr>
    </w:div>
    <w:div w:id="453984377">
      <w:marLeft w:val="0"/>
      <w:marRight w:val="0"/>
      <w:marTop w:val="0"/>
      <w:marBottom w:val="240"/>
      <w:divBdr>
        <w:top w:val="none" w:sz="0" w:space="0" w:color="auto"/>
        <w:left w:val="none" w:sz="0" w:space="0" w:color="auto"/>
        <w:bottom w:val="none" w:sz="0" w:space="0" w:color="auto"/>
        <w:right w:val="none" w:sz="0" w:space="0" w:color="auto"/>
      </w:divBdr>
    </w:div>
    <w:div w:id="454518570">
      <w:marLeft w:val="0"/>
      <w:marRight w:val="0"/>
      <w:marTop w:val="0"/>
      <w:marBottom w:val="0"/>
      <w:divBdr>
        <w:top w:val="none" w:sz="0" w:space="0" w:color="auto"/>
        <w:left w:val="none" w:sz="0" w:space="0" w:color="auto"/>
        <w:bottom w:val="none" w:sz="0" w:space="0" w:color="auto"/>
        <w:right w:val="none" w:sz="0" w:space="0" w:color="auto"/>
      </w:divBdr>
    </w:div>
    <w:div w:id="455295157">
      <w:marLeft w:val="0"/>
      <w:marRight w:val="0"/>
      <w:marTop w:val="0"/>
      <w:marBottom w:val="240"/>
      <w:divBdr>
        <w:top w:val="none" w:sz="0" w:space="0" w:color="auto"/>
        <w:left w:val="none" w:sz="0" w:space="0" w:color="auto"/>
        <w:bottom w:val="none" w:sz="0" w:space="0" w:color="auto"/>
        <w:right w:val="none" w:sz="0" w:space="0" w:color="auto"/>
      </w:divBdr>
    </w:div>
    <w:div w:id="456025222">
      <w:marLeft w:val="0"/>
      <w:marRight w:val="0"/>
      <w:marTop w:val="180"/>
      <w:marBottom w:val="180"/>
      <w:divBdr>
        <w:top w:val="none" w:sz="0" w:space="0" w:color="auto"/>
        <w:left w:val="none" w:sz="0" w:space="0" w:color="auto"/>
        <w:bottom w:val="none" w:sz="0" w:space="0" w:color="auto"/>
        <w:right w:val="none" w:sz="0" w:space="0" w:color="auto"/>
      </w:divBdr>
    </w:div>
    <w:div w:id="457722932">
      <w:marLeft w:val="0"/>
      <w:marRight w:val="0"/>
      <w:marTop w:val="0"/>
      <w:marBottom w:val="240"/>
      <w:divBdr>
        <w:top w:val="none" w:sz="0" w:space="0" w:color="auto"/>
        <w:left w:val="none" w:sz="0" w:space="0" w:color="auto"/>
        <w:bottom w:val="none" w:sz="0" w:space="0" w:color="auto"/>
        <w:right w:val="none" w:sz="0" w:space="0" w:color="auto"/>
      </w:divBdr>
    </w:div>
    <w:div w:id="458303110">
      <w:marLeft w:val="0"/>
      <w:marRight w:val="0"/>
      <w:marTop w:val="180"/>
      <w:marBottom w:val="180"/>
      <w:divBdr>
        <w:top w:val="none" w:sz="0" w:space="0" w:color="auto"/>
        <w:left w:val="none" w:sz="0" w:space="0" w:color="auto"/>
        <w:bottom w:val="none" w:sz="0" w:space="0" w:color="auto"/>
        <w:right w:val="none" w:sz="0" w:space="0" w:color="auto"/>
      </w:divBdr>
    </w:div>
    <w:div w:id="460852624">
      <w:marLeft w:val="0"/>
      <w:marRight w:val="0"/>
      <w:marTop w:val="0"/>
      <w:marBottom w:val="0"/>
      <w:divBdr>
        <w:top w:val="none" w:sz="0" w:space="0" w:color="auto"/>
        <w:left w:val="none" w:sz="0" w:space="0" w:color="auto"/>
        <w:bottom w:val="none" w:sz="0" w:space="0" w:color="auto"/>
        <w:right w:val="none" w:sz="0" w:space="0" w:color="auto"/>
      </w:divBdr>
    </w:div>
    <w:div w:id="460879800">
      <w:marLeft w:val="0"/>
      <w:marRight w:val="0"/>
      <w:marTop w:val="0"/>
      <w:marBottom w:val="240"/>
      <w:divBdr>
        <w:top w:val="none" w:sz="0" w:space="0" w:color="auto"/>
        <w:left w:val="none" w:sz="0" w:space="0" w:color="auto"/>
        <w:bottom w:val="none" w:sz="0" w:space="0" w:color="auto"/>
        <w:right w:val="none" w:sz="0" w:space="0" w:color="auto"/>
      </w:divBdr>
    </w:div>
    <w:div w:id="461778027">
      <w:marLeft w:val="0"/>
      <w:marRight w:val="0"/>
      <w:marTop w:val="0"/>
      <w:marBottom w:val="180"/>
      <w:divBdr>
        <w:top w:val="none" w:sz="0" w:space="0" w:color="auto"/>
        <w:left w:val="none" w:sz="0" w:space="0" w:color="auto"/>
        <w:bottom w:val="none" w:sz="0" w:space="0" w:color="auto"/>
        <w:right w:val="none" w:sz="0" w:space="0" w:color="auto"/>
      </w:divBdr>
    </w:div>
    <w:div w:id="462038016">
      <w:marLeft w:val="0"/>
      <w:marRight w:val="0"/>
      <w:marTop w:val="0"/>
      <w:marBottom w:val="180"/>
      <w:divBdr>
        <w:top w:val="none" w:sz="0" w:space="0" w:color="auto"/>
        <w:left w:val="none" w:sz="0" w:space="0" w:color="auto"/>
        <w:bottom w:val="none" w:sz="0" w:space="0" w:color="auto"/>
        <w:right w:val="none" w:sz="0" w:space="0" w:color="auto"/>
      </w:divBdr>
    </w:div>
    <w:div w:id="463084736">
      <w:marLeft w:val="0"/>
      <w:marRight w:val="0"/>
      <w:marTop w:val="120"/>
      <w:marBottom w:val="120"/>
      <w:divBdr>
        <w:top w:val="none" w:sz="0" w:space="0" w:color="auto"/>
        <w:left w:val="none" w:sz="0" w:space="0" w:color="auto"/>
        <w:bottom w:val="none" w:sz="0" w:space="0" w:color="auto"/>
        <w:right w:val="none" w:sz="0" w:space="0" w:color="auto"/>
      </w:divBdr>
    </w:div>
    <w:div w:id="463546586">
      <w:marLeft w:val="0"/>
      <w:marRight w:val="0"/>
      <w:marTop w:val="0"/>
      <w:marBottom w:val="180"/>
      <w:divBdr>
        <w:top w:val="none" w:sz="0" w:space="0" w:color="auto"/>
        <w:left w:val="none" w:sz="0" w:space="0" w:color="auto"/>
        <w:bottom w:val="none" w:sz="0" w:space="0" w:color="auto"/>
        <w:right w:val="none" w:sz="0" w:space="0" w:color="auto"/>
      </w:divBdr>
    </w:div>
    <w:div w:id="464006044">
      <w:marLeft w:val="0"/>
      <w:marRight w:val="0"/>
      <w:marTop w:val="0"/>
      <w:marBottom w:val="240"/>
      <w:divBdr>
        <w:top w:val="none" w:sz="0" w:space="0" w:color="auto"/>
        <w:left w:val="none" w:sz="0" w:space="0" w:color="auto"/>
        <w:bottom w:val="none" w:sz="0" w:space="0" w:color="auto"/>
        <w:right w:val="none" w:sz="0" w:space="0" w:color="auto"/>
      </w:divBdr>
    </w:div>
    <w:div w:id="466242828">
      <w:marLeft w:val="0"/>
      <w:marRight w:val="0"/>
      <w:marTop w:val="0"/>
      <w:marBottom w:val="240"/>
      <w:divBdr>
        <w:top w:val="none" w:sz="0" w:space="0" w:color="auto"/>
        <w:left w:val="none" w:sz="0" w:space="0" w:color="auto"/>
        <w:bottom w:val="none" w:sz="0" w:space="0" w:color="auto"/>
        <w:right w:val="none" w:sz="0" w:space="0" w:color="auto"/>
      </w:divBdr>
    </w:div>
    <w:div w:id="467086315">
      <w:marLeft w:val="0"/>
      <w:marRight w:val="0"/>
      <w:marTop w:val="0"/>
      <w:marBottom w:val="180"/>
      <w:divBdr>
        <w:top w:val="none" w:sz="0" w:space="0" w:color="auto"/>
        <w:left w:val="none" w:sz="0" w:space="0" w:color="auto"/>
        <w:bottom w:val="none" w:sz="0" w:space="0" w:color="auto"/>
        <w:right w:val="none" w:sz="0" w:space="0" w:color="auto"/>
      </w:divBdr>
    </w:div>
    <w:div w:id="468936676">
      <w:marLeft w:val="0"/>
      <w:marRight w:val="0"/>
      <w:marTop w:val="100"/>
      <w:marBottom w:val="0"/>
      <w:divBdr>
        <w:top w:val="none" w:sz="0" w:space="0" w:color="auto"/>
        <w:left w:val="none" w:sz="0" w:space="0" w:color="auto"/>
        <w:bottom w:val="none" w:sz="0" w:space="0" w:color="auto"/>
        <w:right w:val="none" w:sz="0" w:space="0" w:color="auto"/>
      </w:divBdr>
    </w:div>
    <w:div w:id="469127992">
      <w:marLeft w:val="0"/>
      <w:marRight w:val="0"/>
      <w:marTop w:val="0"/>
      <w:marBottom w:val="0"/>
      <w:divBdr>
        <w:top w:val="none" w:sz="0" w:space="0" w:color="auto"/>
        <w:left w:val="none" w:sz="0" w:space="0" w:color="auto"/>
        <w:bottom w:val="none" w:sz="0" w:space="0" w:color="auto"/>
        <w:right w:val="none" w:sz="0" w:space="0" w:color="auto"/>
      </w:divBdr>
      <w:divsChild>
        <w:div w:id="1416319409">
          <w:marLeft w:val="0"/>
          <w:marRight w:val="0"/>
          <w:marTop w:val="0"/>
          <w:marBottom w:val="0"/>
          <w:divBdr>
            <w:top w:val="none" w:sz="0" w:space="0" w:color="auto"/>
            <w:left w:val="none" w:sz="0" w:space="0" w:color="auto"/>
            <w:bottom w:val="none" w:sz="0" w:space="0" w:color="auto"/>
            <w:right w:val="none" w:sz="0" w:space="0" w:color="auto"/>
          </w:divBdr>
        </w:div>
      </w:divsChild>
    </w:div>
    <w:div w:id="469251608">
      <w:marLeft w:val="0"/>
      <w:marRight w:val="0"/>
      <w:marTop w:val="0"/>
      <w:marBottom w:val="180"/>
      <w:divBdr>
        <w:top w:val="none" w:sz="0" w:space="0" w:color="auto"/>
        <w:left w:val="none" w:sz="0" w:space="0" w:color="auto"/>
        <w:bottom w:val="none" w:sz="0" w:space="0" w:color="auto"/>
        <w:right w:val="none" w:sz="0" w:space="0" w:color="auto"/>
      </w:divBdr>
    </w:div>
    <w:div w:id="469519972">
      <w:marLeft w:val="0"/>
      <w:marRight w:val="0"/>
      <w:marTop w:val="0"/>
      <w:marBottom w:val="180"/>
      <w:divBdr>
        <w:top w:val="none" w:sz="0" w:space="0" w:color="auto"/>
        <w:left w:val="none" w:sz="0" w:space="0" w:color="auto"/>
        <w:bottom w:val="none" w:sz="0" w:space="0" w:color="auto"/>
        <w:right w:val="none" w:sz="0" w:space="0" w:color="auto"/>
      </w:divBdr>
    </w:div>
    <w:div w:id="469979399">
      <w:marLeft w:val="0"/>
      <w:marRight w:val="0"/>
      <w:marTop w:val="0"/>
      <w:marBottom w:val="180"/>
      <w:divBdr>
        <w:top w:val="none" w:sz="0" w:space="0" w:color="auto"/>
        <w:left w:val="none" w:sz="0" w:space="0" w:color="auto"/>
        <w:bottom w:val="none" w:sz="0" w:space="0" w:color="auto"/>
        <w:right w:val="none" w:sz="0" w:space="0" w:color="auto"/>
      </w:divBdr>
    </w:div>
    <w:div w:id="470489879">
      <w:marLeft w:val="0"/>
      <w:marRight w:val="0"/>
      <w:marTop w:val="0"/>
      <w:marBottom w:val="0"/>
      <w:divBdr>
        <w:top w:val="none" w:sz="0" w:space="0" w:color="auto"/>
        <w:left w:val="none" w:sz="0" w:space="0" w:color="auto"/>
        <w:bottom w:val="none" w:sz="0" w:space="0" w:color="auto"/>
        <w:right w:val="none" w:sz="0" w:space="0" w:color="auto"/>
      </w:divBdr>
      <w:divsChild>
        <w:div w:id="600840648">
          <w:marLeft w:val="0"/>
          <w:marRight w:val="0"/>
          <w:marTop w:val="0"/>
          <w:marBottom w:val="0"/>
          <w:divBdr>
            <w:top w:val="none" w:sz="0" w:space="0" w:color="auto"/>
            <w:left w:val="none" w:sz="0" w:space="0" w:color="auto"/>
            <w:bottom w:val="none" w:sz="0" w:space="0" w:color="auto"/>
            <w:right w:val="none" w:sz="0" w:space="0" w:color="auto"/>
          </w:divBdr>
        </w:div>
      </w:divsChild>
    </w:div>
    <w:div w:id="470711625">
      <w:marLeft w:val="0"/>
      <w:marRight w:val="0"/>
      <w:marTop w:val="100"/>
      <w:marBottom w:val="180"/>
      <w:divBdr>
        <w:top w:val="none" w:sz="0" w:space="0" w:color="auto"/>
        <w:left w:val="none" w:sz="0" w:space="0" w:color="auto"/>
        <w:bottom w:val="none" w:sz="0" w:space="0" w:color="auto"/>
        <w:right w:val="none" w:sz="0" w:space="0" w:color="auto"/>
      </w:divBdr>
    </w:div>
    <w:div w:id="470943578">
      <w:marLeft w:val="0"/>
      <w:marRight w:val="0"/>
      <w:marTop w:val="0"/>
      <w:marBottom w:val="0"/>
      <w:divBdr>
        <w:top w:val="none" w:sz="0" w:space="0" w:color="auto"/>
        <w:left w:val="none" w:sz="0" w:space="0" w:color="auto"/>
        <w:bottom w:val="none" w:sz="0" w:space="0" w:color="auto"/>
        <w:right w:val="none" w:sz="0" w:space="0" w:color="auto"/>
      </w:divBdr>
      <w:divsChild>
        <w:div w:id="1261257250">
          <w:marLeft w:val="0"/>
          <w:marRight w:val="0"/>
          <w:marTop w:val="0"/>
          <w:marBottom w:val="0"/>
          <w:divBdr>
            <w:top w:val="none" w:sz="0" w:space="0" w:color="auto"/>
            <w:left w:val="none" w:sz="0" w:space="0" w:color="auto"/>
            <w:bottom w:val="none" w:sz="0" w:space="0" w:color="auto"/>
            <w:right w:val="none" w:sz="0" w:space="0" w:color="auto"/>
          </w:divBdr>
          <w:divsChild>
            <w:div w:id="1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246">
      <w:marLeft w:val="0"/>
      <w:marRight w:val="0"/>
      <w:marTop w:val="0"/>
      <w:marBottom w:val="180"/>
      <w:divBdr>
        <w:top w:val="none" w:sz="0" w:space="0" w:color="auto"/>
        <w:left w:val="none" w:sz="0" w:space="0" w:color="auto"/>
        <w:bottom w:val="none" w:sz="0" w:space="0" w:color="auto"/>
        <w:right w:val="none" w:sz="0" w:space="0" w:color="auto"/>
      </w:divBdr>
    </w:div>
    <w:div w:id="472333326">
      <w:marLeft w:val="0"/>
      <w:marRight w:val="0"/>
      <w:marTop w:val="0"/>
      <w:marBottom w:val="0"/>
      <w:divBdr>
        <w:top w:val="none" w:sz="0" w:space="0" w:color="auto"/>
        <w:left w:val="none" w:sz="0" w:space="0" w:color="auto"/>
        <w:bottom w:val="none" w:sz="0" w:space="0" w:color="auto"/>
        <w:right w:val="none" w:sz="0" w:space="0" w:color="auto"/>
      </w:divBdr>
    </w:div>
    <w:div w:id="473988595">
      <w:marLeft w:val="0"/>
      <w:marRight w:val="0"/>
      <w:marTop w:val="0"/>
      <w:marBottom w:val="0"/>
      <w:divBdr>
        <w:top w:val="none" w:sz="0" w:space="0" w:color="auto"/>
        <w:left w:val="none" w:sz="0" w:space="0" w:color="auto"/>
        <w:bottom w:val="none" w:sz="0" w:space="0" w:color="auto"/>
        <w:right w:val="none" w:sz="0" w:space="0" w:color="auto"/>
      </w:divBdr>
      <w:divsChild>
        <w:div w:id="1589659674">
          <w:marLeft w:val="0"/>
          <w:marRight w:val="0"/>
          <w:marTop w:val="0"/>
          <w:marBottom w:val="0"/>
          <w:divBdr>
            <w:top w:val="none" w:sz="0" w:space="0" w:color="auto"/>
            <w:left w:val="none" w:sz="0" w:space="0" w:color="auto"/>
            <w:bottom w:val="none" w:sz="0" w:space="0" w:color="auto"/>
            <w:right w:val="none" w:sz="0" w:space="0" w:color="auto"/>
          </w:divBdr>
        </w:div>
      </w:divsChild>
    </w:div>
    <w:div w:id="474376559">
      <w:marLeft w:val="0"/>
      <w:marRight w:val="0"/>
      <w:marTop w:val="0"/>
      <w:marBottom w:val="240"/>
      <w:divBdr>
        <w:top w:val="none" w:sz="0" w:space="0" w:color="auto"/>
        <w:left w:val="none" w:sz="0" w:space="0" w:color="auto"/>
        <w:bottom w:val="none" w:sz="0" w:space="0" w:color="auto"/>
        <w:right w:val="none" w:sz="0" w:space="0" w:color="auto"/>
      </w:divBdr>
    </w:div>
    <w:div w:id="474446163">
      <w:marLeft w:val="0"/>
      <w:marRight w:val="0"/>
      <w:marTop w:val="120"/>
      <w:marBottom w:val="240"/>
      <w:divBdr>
        <w:top w:val="none" w:sz="0" w:space="0" w:color="auto"/>
        <w:left w:val="none" w:sz="0" w:space="0" w:color="auto"/>
        <w:bottom w:val="none" w:sz="0" w:space="0" w:color="auto"/>
        <w:right w:val="none" w:sz="0" w:space="0" w:color="auto"/>
      </w:divBdr>
    </w:div>
    <w:div w:id="474638984">
      <w:marLeft w:val="0"/>
      <w:marRight w:val="0"/>
      <w:marTop w:val="0"/>
      <w:marBottom w:val="240"/>
      <w:divBdr>
        <w:top w:val="none" w:sz="0" w:space="0" w:color="auto"/>
        <w:left w:val="none" w:sz="0" w:space="0" w:color="auto"/>
        <w:bottom w:val="none" w:sz="0" w:space="0" w:color="auto"/>
        <w:right w:val="none" w:sz="0" w:space="0" w:color="auto"/>
      </w:divBdr>
    </w:div>
    <w:div w:id="475147247">
      <w:marLeft w:val="0"/>
      <w:marRight w:val="0"/>
      <w:marTop w:val="0"/>
      <w:marBottom w:val="0"/>
      <w:divBdr>
        <w:top w:val="none" w:sz="0" w:space="0" w:color="auto"/>
        <w:left w:val="none" w:sz="0" w:space="0" w:color="auto"/>
        <w:bottom w:val="none" w:sz="0" w:space="0" w:color="auto"/>
        <w:right w:val="none" w:sz="0" w:space="0" w:color="auto"/>
      </w:divBdr>
    </w:div>
    <w:div w:id="475875411">
      <w:marLeft w:val="0"/>
      <w:marRight w:val="0"/>
      <w:marTop w:val="0"/>
      <w:marBottom w:val="0"/>
      <w:divBdr>
        <w:top w:val="none" w:sz="0" w:space="0" w:color="auto"/>
        <w:left w:val="none" w:sz="0" w:space="0" w:color="auto"/>
        <w:bottom w:val="none" w:sz="0" w:space="0" w:color="auto"/>
        <w:right w:val="none" w:sz="0" w:space="0" w:color="auto"/>
      </w:divBdr>
      <w:divsChild>
        <w:div w:id="1290361546">
          <w:marLeft w:val="0"/>
          <w:marRight w:val="0"/>
          <w:marTop w:val="0"/>
          <w:marBottom w:val="0"/>
          <w:divBdr>
            <w:top w:val="none" w:sz="0" w:space="0" w:color="auto"/>
            <w:left w:val="none" w:sz="0" w:space="0" w:color="auto"/>
            <w:bottom w:val="none" w:sz="0" w:space="0" w:color="auto"/>
            <w:right w:val="none" w:sz="0" w:space="0" w:color="auto"/>
          </w:divBdr>
        </w:div>
      </w:divsChild>
    </w:div>
    <w:div w:id="476192438">
      <w:marLeft w:val="0"/>
      <w:marRight w:val="0"/>
      <w:marTop w:val="120"/>
      <w:marBottom w:val="240"/>
      <w:divBdr>
        <w:top w:val="none" w:sz="0" w:space="0" w:color="auto"/>
        <w:left w:val="none" w:sz="0" w:space="0" w:color="auto"/>
        <w:bottom w:val="none" w:sz="0" w:space="0" w:color="auto"/>
        <w:right w:val="none" w:sz="0" w:space="0" w:color="auto"/>
      </w:divBdr>
    </w:div>
    <w:div w:id="476996916">
      <w:marLeft w:val="0"/>
      <w:marRight w:val="0"/>
      <w:marTop w:val="0"/>
      <w:marBottom w:val="240"/>
      <w:divBdr>
        <w:top w:val="none" w:sz="0" w:space="0" w:color="auto"/>
        <w:left w:val="none" w:sz="0" w:space="0" w:color="auto"/>
        <w:bottom w:val="none" w:sz="0" w:space="0" w:color="auto"/>
        <w:right w:val="none" w:sz="0" w:space="0" w:color="auto"/>
      </w:divBdr>
    </w:div>
    <w:div w:id="477112580">
      <w:marLeft w:val="0"/>
      <w:marRight w:val="0"/>
      <w:marTop w:val="0"/>
      <w:marBottom w:val="180"/>
      <w:divBdr>
        <w:top w:val="none" w:sz="0" w:space="0" w:color="auto"/>
        <w:left w:val="none" w:sz="0" w:space="0" w:color="auto"/>
        <w:bottom w:val="none" w:sz="0" w:space="0" w:color="auto"/>
        <w:right w:val="none" w:sz="0" w:space="0" w:color="auto"/>
      </w:divBdr>
    </w:div>
    <w:div w:id="478307194">
      <w:marLeft w:val="0"/>
      <w:marRight w:val="0"/>
      <w:marTop w:val="0"/>
      <w:marBottom w:val="0"/>
      <w:divBdr>
        <w:top w:val="none" w:sz="0" w:space="0" w:color="auto"/>
        <w:left w:val="none" w:sz="0" w:space="0" w:color="auto"/>
        <w:bottom w:val="none" w:sz="0" w:space="0" w:color="auto"/>
        <w:right w:val="none" w:sz="0" w:space="0" w:color="auto"/>
      </w:divBdr>
      <w:divsChild>
        <w:div w:id="1435592925">
          <w:marLeft w:val="0"/>
          <w:marRight w:val="0"/>
          <w:marTop w:val="0"/>
          <w:marBottom w:val="0"/>
          <w:divBdr>
            <w:top w:val="none" w:sz="0" w:space="0" w:color="auto"/>
            <w:left w:val="none" w:sz="0" w:space="0" w:color="auto"/>
            <w:bottom w:val="none" w:sz="0" w:space="0" w:color="auto"/>
            <w:right w:val="none" w:sz="0" w:space="0" w:color="auto"/>
          </w:divBdr>
        </w:div>
      </w:divsChild>
    </w:div>
    <w:div w:id="478575719">
      <w:marLeft w:val="0"/>
      <w:marRight w:val="0"/>
      <w:marTop w:val="0"/>
      <w:marBottom w:val="180"/>
      <w:divBdr>
        <w:top w:val="none" w:sz="0" w:space="0" w:color="auto"/>
        <w:left w:val="none" w:sz="0" w:space="0" w:color="auto"/>
        <w:bottom w:val="none" w:sz="0" w:space="0" w:color="auto"/>
        <w:right w:val="none" w:sz="0" w:space="0" w:color="auto"/>
      </w:divBdr>
    </w:div>
    <w:div w:id="479427719">
      <w:marLeft w:val="0"/>
      <w:marRight w:val="0"/>
      <w:marTop w:val="180"/>
      <w:marBottom w:val="180"/>
      <w:divBdr>
        <w:top w:val="none" w:sz="0" w:space="0" w:color="auto"/>
        <w:left w:val="none" w:sz="0" w:space="0" w:color="auto"/>
        <w:bottom w:val="none" w:sz="0" w:space="0" w:color="auto"/>
        <w:right w:val="none" w:sz="0" w:space="0" w:color="auto"/>
      </w:divBdr>
    </w:div>
    <w:div w:id="480195375">
      <w:marLeft w:val="0"/>
      <w:marRight w:val="0"/>
      <w:marTop w:val="0"/>
      <w:marBottom w:val="180"/>
      <w:divBdr>
        <w:top w:val="none" w:sz="0" w:space="0" w:color="auto"/>
        <w:left w:val="none" w:sz="0" w:space="0" w:color="auto"/>
        <w:bottom w:val="none" w:sz="0" w:space="0" w:color="auto"/>
        <w:right w:val="none" w:sz="0" w:space="0" w:color="auto"/>
      </w:divBdr>
    </w:div>
    <w:div w:id="482242075">
      <w:marLeft w:val="0"/>
      <w:marRight w:val="0"/>
      <w:marTop w:val="0"/>
      <w:marBottom w:val="180"/>
      <w:divBdr>
        <w:top w:val="none" w:sz="0" w:space="0" w:color="auto"/>
        <w:left w:val="none" w:sz="0" w:space="0" w:color="auto"/>
        <w:bottom w:val="none" w:sz="0" w:space="0" w:color="auto"/>
        <w:right w:val="none" w:sz="0" w:space="0" w:color="auto"/>
      </w:divBdr>
    </w:div>
    <w:div w:id="483741294">
      <w:marLeft w:val="0"/>
      <w:marRight w:val="0"/>
      <w:marTop w:val="0"/>
      <w:marBottom w:val="0"/>
      <w:divBdr>
        <w:top w:val="none" w:sz="0" w:space="0" w:color="auto"/>
        <w:left w:val="none" w:sz="0" w:space="0" w:color="auto"/>
        <w:bottom w:val="none" w:sz="0" w:space="0" w:color="auto"/>
        <w:right w:val="none" w:sz="0" w:space="0" w:color="auto"/>
      </w:divBdr>
      <w:divsChild>
        <w:div w:id="459611881">
          <w:marLeft w:val="0"/>
          <w:marRight w:val="0"/>
          <w:marTop w:val="0"/>
          <w:marBottom w:val="0"/>
          <w:divBdr>
            <w:top w:val="none" w:sz="0" w:space="0" w:color="auto"/>
            <w:left w:val="none" w:sz="0" w:space="0" w:color="auto"/>
            <w:bottom w:val="none" w:sz="0" w:space="0" w:color="auto"/>
            <w:right w:val="none" w:sz="0" w:space="0" w:color="auto"/>
          </w:divBdr>
        </w:div>
        <w:div w:id="1691563689">
          <w:marLeft w:val="0"/>
          <w:marRight w:val="0"/>
          <w:marTop w:val="0"/>
          <w:marBottom w:val="0"/>
          <w:divBdr>
            <w:top w:val="none" w:sz="0" w:space="0" w:color="auto"/>
            <w:left w:val="none" w:sz="0" w:space="0" w:color="auto"/>
            <w:bottom w:val="none" w:sz="0" w:space="0" w:color="auto"/>
            <w:right w:val="none" w:sz="0" w:space="0" w:color="auto"/>
          </w:divBdr>
        </w:div>
        <w:div w:id="318775063">
          <w:marLeft w:val="0"/>
          <w:marRight w:val="0"/>
          <w:marTop w:val="0"/>
          <w:marBottom w:val="0"/>
          <w:divBdr>
            <w:top w:val="none" w:sz="0" w:space="0" w:color="auto"/>
            <w:left w:val="none" w:sz="0" w:space="0" w:color="auto"/>
            <w:bottom w:val="none" w:sz="0" w:space="0" w:color="auto"/>
            <w:right w:val="none" w:sz="0" w:space="0" w:color="auto"/>
          </w:divBdr>
        </w:div>
        <w:div w:id="1484857218">
          <w:marLeft w:val="0"/>
          <w:marRight w:val="0"/>
          <w:marTop w:val="0"/>
          <w:marBottom w:val="0"/>
          <w:divBdr>
            <w:top w:val="none" w:sz="0" w:space="0" w:color="auto"/>
            <w:left w:val="none" w:sz="0" w:space="0" w:color="auto"/>
            <w:bottom w:val="none" w:sz="0" w:space="0" w:color="auto"/>
            <w:right w:val="none" w:sz="0" w:space="0" w:color="auto"/>
          </w:divBdr>
        </w:div>
        <w:div w:id="1496725410">
          <w:marLeft w:val="0"/>
          <w:marRight w:val="0"/>
          <w:marTop w:val="0"/>
          <w:marBottom w:val="0"/>
          <w:divBdr>
            <w:top w:val="none" w:sz="0" w:space="0" w:color="auto"/>
            <w:left w:val="none" w:sz="0" w:space="0" w:color="auto"/>
            <w:bottom w:val="none" w:sz="0" w:space="0" w:color="auto"/>
            <w:right w:val="none" w:sz="0" w:space="0" w:color="auto"/>
          </w:divBdr>
        </w:div>
      </w:divsChild>
    </w:div>
    <w:div w:id="484395080">
      <w:marLeft w:val="0"/>
      <w:marRight w:val="0"/>
      <w:marTop w:val="0"/>
      <w:marBottom w:val="240"/>
      <w:divBdr>
        <w:top w:val="none" w:sz="0" w:space="0" w:color="auto"/>
        <w:left w:val="none" w:sz="0" w:space="0" w:color="auto"/>
        <w:bottom w:val="none" w:sz="0" w:space="0" w:color="auto"/>
        <w:right w:val="none" w:sz="0" w:space="0" w:color="auto"/>
      </w:divBdr>
    </w:div>
    <w:div w:id="487404861">
      <w:marLeft w:val="0"/>
      <w:marRight w:val="0"/>
      <w:marTop w:val="0"/>
      <w:marBottom w:val="180"/>
      <w:divBdr>
        <w:top w:val="none" w:sz="0" w:space="0" w:color="auto"/>
        <w:left w:val="none" w:sz="0" w:space="0" w:color="auto"/>
        <w:bottom w:val="none" w:sz="0" w:space="0" w:color="auto"/>
        <w:right w:val="none" w:sz="0" w:space="0" w:color="auto"/>
      </w:divBdr>
    </w:div>
    <w:div w:id="487939975">
      <w:marLeft w:val="0"/>
      <w:marRight w:val="0"/>
      <w:marTop w:val="0"/>
      <w:marBottom w:val="240"/>
      <w:divBdr>
        <w:top w:val="none" w:sz="0" w:space="0" w:color="auto"/>
        <w:left w:val="none" w:sz="0" w:space="0" w:color="auto"/>
        <w:bottom w:val="none" w:sz="0" w:space="0" w:color="auto"/>
        <w:right w:val="none" w:sz="0" w:space="0" w:color="auto"/>
      </w:divBdr>
    </w:div>
    <w:div w:id="488521743">
      <w:marLeft w:val="0"/>
      <w:marRight w:val="0"/>
      <w:marTop w:val="0"/>
      <w:marBottom w:val="0"/>
      <w:divBdr>
        <w:top w:val="none" w:sz="0" w:space="0" w:color="auto"/>
        <w:left w:val="none" w:sz="0" w:space="0" w:color="auto"/>
        <w:bottom w:val="none" w:sz="0" w:space="0" w:color="auto"/>
        <w:right w:val="none" w:sz="0" w:space="0" w:color="auto"/>
      </w:divBdr>
      <w:divsChild>
        <w:div w:id="1029405715">
          <w:marLeft w:val="0"/>
          <w:marRight w:val="0"/>
          <w:marTop w:val="0"/>
          <w:marBottom w:val="0"/>
          <w:divBdr>
            <w:top w:val="none" w:sz="0" w:space="0" w:color="auto"/>
            <w:left w:val="none" w:sz="0" w:space="0" w:color="auto"/>
            <w:bottom w:val="none" w:sz="0" w:space="0" w:color="auto"/>
            <w:right w:val="none" w:sz="0" w:space="0" w:color="auto"/>
          </w:divBdr>
        </w:div>
      </w:divsChild>
    </w:div>
    <w:div w:id="489562098">
      <w:marLeft w:val="0"/>
      <w:marRight w:val="0"/>
      <w:marTop w:val="180"/>
      <w:marBottom w:val="180"/>
      <w:divBdr>
        <w:top w:val="none" w:sz="0" w:space="0" w:color="auto"/>
        <w:left w:val="none" w:sz="0" w:space="0" w:color="auto"/>
        <w:bottom w:val="none" w:sz="0" w:space="0" w:color="auto"/>
        <w:right w:val="none" w:sz="0" w:space="0" w:color="auto"/>
      </w:divBdr>
    </w:div>
    <w:div w:id="490756078">
      <w:marLeft w:val="0"/>
      <w:marRight w:val="0"/>
      <w:marTop w:val="0"/>
      <w:marBottom w:val="240"/>
      <w:divBdr>
        <w:top w:val="none" w:sz="0" w:space="0" w:color="auto"/>
        <w:left w:val="none" w:sz="0" w:space="0" w:color="auto"/>
        <w:bottom w:val="none" w:sz="0" w:space="0" w:color="auto"/>
        <w:right w:val="none" w:sz="0" w:space="0" w:color="auto"/>
      </w:divBdr>
    </w:div>
    <w:div w:id="491062581">
      <w:marLeft w:val="0"/>
      <w:marRight w:val="0"/>
      <w:marTop w:val="0"/>
      <w:marBottom w:val="180"/>
      <w:divBdr>
        <w:top w:val="none" w:sz="0" w:space="0" w:color="auto"/>
        <w:left w:val="none" w:sz="0" w:space="0" w:color="auto"/>
        <w:bottom w:val="none" w:sz="0" w:space="0" w:color="auto"/>
        <w:right w:val="none" w:sz="0" w:space="0" w:color="auto"/>
      </w:divBdr>
    </w:div>
    <w:div w:id="492137042">
      <w:marLeft w:val="0"/>
      <w:marRight w:val="0"/>
      <w:marTop w:val="180"/>
      <w:marBottom w:val="180"/>
      <w:divBdr>
        <w:top w:val="none" w:sz="0" w:space="0" w:color="auto"/>
        <w:left w:val="none" w:sz="0" w:space="0" w:color="auto"/>
        <w:bottom w:val="none" w:sz="0" w:space="0" w:color="auto"/>
        <w:right w:val="none" w:sz="0" w:space="0" w:color="auto"/>
      </w:divBdr>
    </w:div>
    <w:div w:id="492182405">
      <w:marLeft w:val="0"/>
      <w:marRight w:val="0"/>
      <w:marTop w:val="0"/>
      <w:marBottom w:val="240"/>
      <w:divBdr>
        <w:top w:val="none" w:sz="0" w:space="0" w:color="auto"/>
        <w:left w:val="none" w:sz="0" w:space="0" w:color="auto"/>
        <w:bottom w:val="none" w:sz="0" w:space="0" w:color="auto"/>
        <w:right w:val="none" w:sz="0" w:space="0" w:color="auto"/>
      </w:divBdr>
    </w:div>
    <w:div w:id="492913111">
      <w:marLeft w:val="0"/>
      <w:marRight w:val="0"/>
      <w:marTop w:val="0"/>
      <w:marBottom w:val="0"/>
      <w:divBdr>
        <w:top w:val="none" w:sz="0" w:space="0" w:color="auto"/>
        <w:left w:val="none" w:sz="0" w:space="0" w:color="auto"/>
        <w:bottom w:val="none" w:sz="0" w:space="0" w:color="auto"/>
        <w:right w:val="none" w:sz="0" w:space="0" w:color="auto"/>
      </w:divBdr>
    </w:div>
    <w:div w:id="493379320">
      <w:marLeft w:val="0"/>
      <w:marRight w:val="0"/>
      <w:marTop w:val="0"/>
      <w:marBottom w:val="180"/>
      <w:divBdr>
        <w:top w:val="none" w:sz="0" w:space="0" w:color="auto"/>
        <w:left w:val="none" w:sz="0" w:space="0" w:color="auto"/>
        <w:bottom w:val="none" w:sz="0" w:space="0" w:color="auto"/>
        <w:right w:val="none" w:sz="0" w:space="0" w:color="auto"/>
      </w:divBdr>
    </w:div>
    <w:div w:id="493643419">
      <w:marLeft w:val="0"/>
      <w:marRight w:val="0"/>
      <w:marTop w:val="0"/>
      <w:marBottom w:val="0"/>
      <w:divBdr>
        <w:top w:val="none" w:sz="0" w:space="0" w:color="auto"/>
        <w:left w:val="none" w:sz="0" w:space="0" w:color="auto"/>
        <w:bottom w:val="none" w:sz="0" w:space="0" w:color="auto"/>
        <w:right w:val="none" w:sz="0" w:space="0" w:color="auto"/>
      </w:divBdr>
      <w:divsChild>
        <w:div w:id="2070766756">
          <w:marLeft w:val="0"/>
          <w:marRight w:val="0"/>
          <w:marTop w:val="0"/>
          <w:marBottom w:val="0"/>
          <w:divBdr>
            <w:top w:val="none" w:sz="0" w:space="0" w:color="auto"/>
            <w:left w:val="none" w:sz="0" w:space="0" w:color="auto"/>
            <w:bottom w:val="none" w:sz="0" w:space="0" w:color="auto"/>
            <w:right w:val="none" w:sz="0" w:space="0" w:color="auto"/>
          </w:divBdr>
        </w:div>
      </w:divsChild>
    </w:div>
    <w:div w:id="495655361">
      <w:marLeft w:val="0"/>
      <w:marRight w:val="0"/>
      <w:marTop w:val="0"/>
      <w:marBottom w:val="0"/>
      <w:divBdr>
        <w:top w:val="none" w:sz="0" w:space="0" w:color="auto"/>
        <w:left w:val="none" w:sz="0" w:space="0" w:color="auto"/>
        <w:bottom w:val="none" w:sz="0" w:space="0" w:color="auto"/>
        <w:right w:val="none" w:sz="0" w:space="0" w:color="auto"/>
      </w:divBdr>
      <w:divsChild>
        <w:div w:id="1212377897">
          <w:marLeft w:val="0"/>
          <w:marRight w:val="0"/>
          <w:marTop w:val="0"/>
          <w:marBottom w:val="0"/>
          <w:divBdr>
            <w:top w:val="none" w:sz="0" w:space="0" w:color="auto"/>
            <w:left w:val="none" w:sz="0" w:space="0" w:color="auto"/>
            <w:bottom w:val="none" w:sz="0" w:space="0" w:color="auto"/>
            <w:right w:val="none" w:sz="0" w:space="0" w:color="auto"/>
          </w:divBdr>
        </w:div>
      </w:divsChild>
    </w:div>
    <w:div w:id="496111107">
      <w:marLeft w:val="0"/>
      <w:marRight w:val="0"/>
      <w:marTop w:val="0"/>
      <w:marBottom w:val="240"/>
      <w:divBdr>
        <w:top w:val="none" w:sz="0" w:space="0" w:color="auto"/>
        <w:left w:val="none" w:sz="0" w:space="0" w:color="auto"/>
        <w:bottom w:val="none" w:sz="0" w:space="0" w:color="auto"/>
        <w:right w:val="none" w:sz="0" w:space="0" w:color="auto"/>
      </w:divBdr>
    </w:div>
    <w:div w:id="496464514">
      <w:marLeft w:val="0"/>
      <w:marRight w:val="0"/>
      <w:marTop w:val="0"/>
      <w:marBottom w:val="0"/>
      <w:divBdr>
        <w:top w:val="none" w:sz="0" w:space="0" w:color="auto"/>
        <w:left w:val="none" w:sz="0" w:space="0" w:color="auto"/>
        <w:bottom w:val="none" w:sz="0" w:space="0" w:color="auto"/>
        <w:right w:val="none" w:sz="0" w:space="0" w:color="auto"/>
      </w:divBdr>
      <w:divsChild>
        <w:div w:id="595405134">
          <w:marLeft w:val="0"/>
          <w:marRight w:val="0"/>
          <w:marTop w:val="0"/>
          <w:marBottom w:val="0"/>
          <w:divBdr>
            <w:top w:val="none" w:sz="0" w:space="0" w:color="auto"/>
            <w:left w:val="none" w:sz="0" w:space="0" w:color="auto"/>
            <w:bottom w:val="none" w:sz="0" w:space="0" w:color="auto"/>
            <w:right w:val="none" w:sz="0" w:space="0" w:color="auto"/>
          </w:divBdr>
        </w:div>
      </w:divsChild>
    </w:div>
    <w:div w:id="496843698">
      <w:marLeft w:val="0"/>
      <w:marRight w:val="0"/>
      <w:marTop w:val="0"/>
      <w:marBottom w:val="0"/>
      <w:divBdr>
        <w:top w:val="none" w:sz="0" w:space="0" w:color="auto"/>
        <w:left w:val="none" w:sz="0" w:space="0" w:color="auto"/>
        <w:bottom w:val="none" w:sz="0" w:space="0" w:color="auto"/>
        <w:right w:val="none" w:sz="0" w:space="0" w:color="auto"/>
      </w:divBdr>
      <w:divsChild>
        <w:div w:id="72164132">
          <w:marLeft w:val="0"/>
          <w:marRight w:val="0"/>
          <w:marTop w:val="0"/>
          <w:marBottom w:val="0"/>
          <w:divBdr>
            <w:top w:val="none" w:sz="0" w:space="0" w:color="auto"/>
            <w:left w:val="none" w:sz="0" w:space="0" w:color="auto"/>
            <w:bottom w:val="none" w:sz="0" w:space="0" w:color="auto"/>
            <w:right w:val="none" w:sz="0" w:space="0" w:color="auto"/>
          </w:divBdr>
        </w:div>
      </w:divsChild>
    </w:div>
    <w:div w:id="498155999">
      <w:marLeft w:val="0"/>
      <w:marRight w:val="0"/>
      <w:marTop w:val="0"/>
      <w:marBottom w:val="0"/>
      <w:divBdr>
        <w:top w:val="none" w:sz="0" w:space="0" w:color="auto"/>
        <w:left w:val="none" w:sz="0" w:space="0" w:color="auto"/>
        <w:bottom w:val="none" w:sz="0" w:space="0" w:color="auto"/>
        <w:right w:val="none" w:sz="0" w:space="0" w:color="auto"/>
      </w:divBdr>
    </w:div>
    <w:div w:id="498619023">
      <w:marLeft w:val="0"/>
      <w:marRight w:val="0"/>
      <w:marTop w:val="120"/>
      <w:marBottom w:val="120"/>
      <w:divBdr>
        <w:top w:val="none" w:sz="0" w:space="0" w:color="auto"/>
        <w:left w:val="none" w:sz="0" w:space="0" w:color="auto"/>
        <w:bottom w:val="none" w:sz="0" w:space="0" w:color="auto"/>
        <w:right w:val="none" w:sz="0" w:space="0" w:color="auto"/>
      </w:divBdr>
    </w:div>
    <w:div w:id="499347680">
      <w:marLeft w:val="0"/>
      <w:marRight w:val="0"/>
      <w:marTop w:val="180"/>
      <w:marBottom w:val="240"/>
      <w:divBdr>
        <w:top w:val="none" w:sz="0" w:space="0" w:color="auto"/>
        <w:left w:val="none" w:sz="0" w:space="0" w:color="auto"/>
        <w:bottom w:val="none" w:sz="0" w:space="0" w:color="auto"/>
        <w:right w:val="none" w:sz="0" w:space="0" w:color="auto"/>
      </w:divBdr>
    </w:div>
    <w:div w:id="499544011">
      <w:marLeft w:val="0"/>
      <w:marRight w:val="0"/>
      <w:marTop w:val="180"/>
      <w:marBottom w:val="180"/>
      <w:divBdr>
        <w:top w:val="none" w:sz="0" w:space="0" w:color="auto"/>
        <w:left w:val="none" w:sz="0" w:space="0" w:color="auto"/>
        <w:bottom w:val="none" w:sz="0" w:space="0" w:color="auto"/>
        <w:right w:val="none" w:sz="0" w:space="0" w:color="auto"/>
      </w:divBdr>
    </w:div>
    <w:div w:id="502673137">
      <w:marLeft w:val="0"/>
      <w:marRight w:val="0"/>
      <w:marTop w:val="0"/>
      <w:marBottom w:val="180"/>
      <w:divBdr>
        <w:top w:val="none" w:sz="0" w:space="0" w:color="auto"/>
        <w:left w:val="none" w:sz="0" w:space="0" w:color="auto"/>
        <w:bottom w:val="none" w:sz="0" w:space="0" w:color="auto"/>
        <w:right w:val="none" w:sz="0" w:space="0" w:color="auto"/>
      </w:divBdr>
    </w:div>
    <w:div w:id="503328164">
      <w:marLeft w:val="0"/>
      <w:marRight w:val="0"/>
      <w:marTop w:val="0"/>
      <w:marBottom w:val="180"/>
      <w:divBdr>
        <w:top w:val="none" w:sz="0" w:space="0" w:color="auto"/>
        <w:left w:val="none" w:sz="0" w:space="0" w:color="auto"/>
        <w:bottom w:val="none" w:sz="0" w:space="0" w:color="auto"/>
        <w:right w:val="none" w:sz="0" w:space="0" w:color="auto"/>
      </w:divBdr>
    </w:div>
    <w:div w:id="503670590">
      <w:marLeft w:val="0"/>
      <w:marRight w:val="0"/>
      <w:marTop w:val="0"/>
      <w:marBottom w:val="0"/>
      <w:divBdr>
        <w:top w:val="none" w:sz="0" w:space="0" w:color="auto"/>
        <w:left w:val="none" w:sz="0" w:space="0" w:color="auto"/>
        <w:bottom w:val="none" w:sz="0" w:space="0" w:color="auto"/>
        <w:right w:val="none" w:sz="0" w:space="0" w:color="auto"/>
      </w:divBdr>
      <w:divsChild>
        <w:div w:id="1643540105">
          <w:marLeft w:val="0"/>
          <w:marRight w:val="0"/>
          <w:marTop w:val="0"/>
          <w:marBottom w:val="0"/>
          <w:divBdr>
            <w:top w:val="none" w:sz="0" w:space="0" w:color="auto"/>
            <w:left w:val="none" w:sz="0" w:space="0" w:color="auto"/>
            <w:bottom w:val="none" w:sz="0" w:space="0" w:color="auto"/>
            <w:right w:val="none" w:sz="0" w:space="0" w:color="auto"/>
          </w:divBdr>
        </w:div>
      </w:divsChild>
    </w:div>
    <w:div w:id="503983982">
      <w:marLeft w:val="0"/>
      <w:marRight w:val="0"/>
      <w:marTop w:val="180"/>
      <w:marBottom w:val="180"/>
      <w:divBdr>
        <w:top w:val="none" w:sz="0" w:space="0" w:color="auto"/>
        <w:left w:val="none" w:sz="0" w:space="0" w:color="auto"/>
        <w:bottom w:val="none" w:sz="0" w:space="0" w:color="auto"/>
        <w:right w:val="none" w:sz="0" w:space="0" w:color="auto"/>
      </w:divBdr>
    </w:div>
    <w:div w:id="504831327">
      <w:marLeft w:val="0"/>
      <w:marRight w:val="0"/>
      <w:marTop w:val="0"/>
      <w:marBottom w:val="180"/>
      <w:divBdr>
        <w:top w:val="none" w:sz="0" w:space="0" w:color="auto"/>
        <w:left w:val="none" w:sz="0" w:space="0" w:color="auto"/>
        <w:bottom w:val="none" w:sz="0" w:space="0" w:color="auto"/>
        <w:right w:val="none" w:sz="0" w:space="0" w:color="auto"/>
      </w:divBdr>
    </w:div>
    <w:div w:id="506091735">
      <w:marLeft w:val="0"/>
      <w:marRight w:val="0"/>
      <w:marTop w:val="0"/>
      <w:marBottom w:val="0"/>
      <w:divBdr>
        <w:top w:val="none" w:sz="0" w:space="0" w:color="auto"/>
        <w:left w:val="none" w:sz="0" w:space="0" w:color="auto"/>
        <w:bottom w:val="none" w:sz="0" w:space="0" w:color="auto"/>
        <w:right w:val="none" w:sz="0" w:space="0" w:color="auto"/>
      </w:divBdr>
    </w:div>
    <w:div w:id="506672287">
      <w:marLeft w:val="0"/>
      <w:marRight w:val="0"/>
      <w:marTop w:val="100"/>
      <w:marBottom w:val="0"/>
      <w:divBdr>
        <w:top w:val="none" w:sz="0" w:space="0" w:color="auto"/>
        <w:left w:val="none" w:sz="0" w:space="0" w:color="auto"/>
        <w:bottom w:val="none" w:sz="0" w:space="0" w:color="auto"/>
        <w:right w:val="none" w:sz="0" w:space="0" w:color="auto"/>
      </w:divBdr>
      <w:divsChild>
        <w:div w:id="1948586664">
          <w:marLeft w:val="0"/>
          <w:marRight w:val="0"/>
          <w:marTop w:val="0"/>
          <w:marBottom w:val="0"/>
          <w:divBdr>
            <w:top w:val="none" w:sz="0" w:space="0" w:color="auto"/>
            <w:left w:val="none" w:sz="0" w:space="0" w:color="auto"/>
            <w:bottom w:val="none" w:sz="0" w:space="0" w:color="auto"/>
            <w:right w:val="none" w:sz="0" w:space="0" w:color="auto"/>
          </w:divBdr>
        </w:div>
      </w:divsChild>
    </w:div>
    <w:div w:id="507063885">
      <w:marLeft w:val="0"/>
      <w:marRight w:val="0"/>
      <w:marTop w:val="100"/>
      <w:marBottom w:val="0"/>
      <w:divBdr>
        <w:top w:val="none" w:sz="0" w:space="0" w:color="auto"/>
        <w:left w:val="none" w:sz="0" w:space="0" w:color="auto"/>
        <w:bottom w:val="none" w:sz="0" w:space="0" w:color="auto"/>
        <w:right w:val="none" w:sz="0" w:space="0" w:color="auto"/>
      </w:divBdr>
      <w:divsChild>
        <w:div w:id="1524199461">
          <w:marLeft w:val="0"/>
          <w:marRight w:val="0"/>
          <w:marTop w:val="0"/>
          <w:marBottom w:val="0"/>
          <w:divBdr>
            <w:top w:val="none" w:sz="0" w:space="0" w:color="auto"/>
            <w:left w:val="none" w:sz="0" w:space="0" w:color="auto"/>
            <w:bottom w:val="none" w:sz="0" w:space="0" w:color="auto"/>
            <w:right w:val="none" w:sz="0" w:space="0" w:color="auto"/>
          </w:divBdr>
        </w:div>
        <w:div w:id="1404835745">
          <w:marLeft w:val="0"/>
          <w:marRight w:val="0"/>
          <w:marTop w:val="0"/>
          <w:marBottom w:val="0"/>
          <w:divBdr>
            <w:top w:val="none" w:sz="0" w:space="0" w:color="auto"/>
            <w:left w:val="none" w:sz="0" w:space="0" w:color="auto"/>
            <w:bottom w:val="none" w:sz="0" w:space="0" w:color="auto"/>
            <w:right w:val="none" w:sz="0" w:space="0" w:color="auto"/>
          </w:divBdr>
        </w:div>
        <w:div w:id="415826708">
          <w:marLeft w:val="0"/>
          <w:marRight w:val="0"/>
          <w:marTop w:val="0"/>
          <w:marBottom w:val="0"/>
          <w:divBdr>
            <w:top w:val="none" w:sz="0" w:space="0" w:color="auto"/>
            <w:left w:val="none" w:sz="0" w:space="0" w:color="auto"/>
            <w:bottom w:val="none" w:sz="0" w:space="0" w:color="auto"/>
            <w:right w:val="none" w:sz="0" w:space="0" w:color="auto"/>
          </w:divBdr>
        </w:div>
        <w:div w:id="361057310">
          <w:marLeft w:val="0"/>
          <w:marRight w:val="0"/>
          <w:marTop w:val="0"/>
          <w:marBottom w:val="0"/>
          <w:divBdr>
            <w:top w:val="none" w:sz="0" w:space="0" w:color="auto"/>
            <w:left w:val="none" w:sz="0" w:space="0" w:color="auto"/>
            <w:bottom w:val="none" w:sz="0" w:space="0" w:color="auto"/>
            <w:right w:val="none" w:sz="0" w:space="0" w:color="auto"/>
          </w:divBdr>
        </w:div>
      </w:divsChild>
    </w:div>
    <w:div w:id="507601192">
      <w:marLeft w:val="0"/>
      <w:marRight w:val="0"/>
      <w:marTop w:val="0"/>
      <w:marBottom w:val="180"/>
      <w:divBdr>
        <w:top w:val="none" w:sz="0" w:space="0" w:color="auto"/>
        <w:left w:val="none" w:sz="0" w:space="0" w:color="auto"/>
        <w:bottom w:val="none" w:sz="0" w:space="0" w:color="auto"/>
        <w:right w:val="none" w:sz="0" w:space="0" w:color="auto"/>
      </w:divBdr>
    </w:div>
    <w:div w:id="508062105">
      <w:marLeft w:val="0"/>
      <w:marRight w:val="0"/>
      <w:marTop w:val="0"/>
      <w:marBottom w:val="0"/>
      <w:divBdr>
        <w:top w:val="none" w:sz="0" w:space="0" w:color="auto"/>
        <w:left w:val="none" w:sz="0" w:space="0" w:color="auto"/>
        <w:bottom w:val="none" w:sz="0" w:space="0" w:color="auto"/>
        <w:right w:val="none" w:sz="0" w:space="0" w:color="auto"/>
      </w:divBdr>
    </w:div>
    <w:div w:id="508522112">
      <w:marLeft w:val="0"/>
      <w:marRight w:val="0"/>
      <w:marTop w:val="100"/>
      <w:marBottom w:val="0"/>
      <w:divBdr>
        <w:top w:val="none" w:sz="0" w:space="0" w:color="auto"/>
        <w:left w:val="none" w:sz="0" w:space="0" w:color="auto"/>
        <w:bottom w:val="none" w:sz="0" w:space="0" w:color="auto"/>
        <w:right w:val="none" w:sz="0" w:space="0" w:color="auto"/>
      </w:divBdr>
    </w:div>
    <w:div w:id="508563551">
      <w:marLeft w:val="0"/>
      <w:marRight w:val="0"/>
      <w:marTop w:val="0"/>
      <w:marBottom w:val="240"/>
      <w:divBdr>
        <w:top w:val="none" w:sz="0" w:space="0" w:color="auto"/>
        <w:left w:val="none" w:sz="0" w:space="0" w:color="auto"/>
        <w:bottom w:val="none" w:sz="0" w:space="0" w:color="auto"/>
        <w:right w:val="none" w:sz="0" w:space="0" w:color="auto"/>
      </w:divBdr>
    </w:div>
    <w:div w:id="509107303">
      <w:marLeft w:val="0"/>
      <w:marRight w:val="0"/>
      <w:marTop w:val="180"/>
      <w:marBottom w:val="180"/>
      <w:divBdr>
        <w:top w:val="none" w:sz="0" w:space="0" w:color="auto"/>
        <w:left w:val="none" w:sz="0" w:space="0" w:color="auto"/>
        <w:bottom w:val="none" w:sz="0" w:space="0" w:color="auto"/>
        <w:right w:val="none" w:sz="0" w:space="0" w:color="auto"/>
      </w:divBdr>
    </w:div>
    <w:div w:id="509176210">
      <w:marLeft w:val="0"/>
      <w:marRight w:val="0"/>
      <w:marTop w:val="0"/>
      <w:marBottom w:val="0"/>
      <w:divBdr>
        <w:top w:val="none" w:sz="0" w:space="0" w:color="auto"/>
        <w:left w:val="none" w:sz="0" w:space="0" w:color="auto"/>
        <w:bottom w:val="none" w:sz="0" w:space="0" w:color="auto"/>
        <w:right w:val="none" w:sz="0" w:space="0" w:color="auto"/>
      </w:divBdr>
      <w:divsChild>
        <w:div w:id="272054907">
          <w:marLeft w:val="0"/>
          <w:marRight w:val="0"/>
          <w:marTop w:val="0"/>
          <w:marBottom w:val="0"/>
          <w:divBdr>
            <w:top w:val="none" w:sz="0" w:space="0" w:color="auto"/>
            <w:left w:val="none" w:sz="0" w:space="0" w:color="auto"/>
            <w:bottom w:val="none" w:sz="0" w:space="0" w:color="auto"/>
            <w:right w:val="none" w:sz="0" w:space="0" w:color="auto"/>
          </w:divBdr>
        </w:div>
      </w:divsChild>
    </w:div>
    <w:div w:id="509179412">
      <w:marLeft w:val="0"/>
      <w:marRight w:val="0"/>
      <w:marTop w:val="0"/>
      <w:marBottom w:val="180"/>
      <w:divBdr>
        <w:top w:val="none" w:sz="0" w:space="0" w:color="auto"/>
        <w:left w:val="none" w:sz="0" w:space="0" w:color="auto"/>
        <w:bottom w:val="none" w:sz="0" w:space="0" w:color="auto"/>
        <w:right w:val="none" w:sz="0" w:space="0" w:color="auto"/>
      </w:divBdr>
    </w:div>
    <w:div w:id="509371700">
      <w:marLeft w:val="0"/>
      <w:marRight w:val="0"/>
      <w:marTop w:val="180"/>
      <w:marBottom w:val="180"/>
      <w:divBdr>
        <w:top w:val="none" w:sz="0" w:space="0" w:color="auto"/>
        <w:left w:val="none" w:sz="0" w:space="0" w:color="auto"/>
        <w:bottom w:val="none" w:sz="0" w:space="0" w:color="auto"/>
        <w:right w:val="none" w:sz="0" w:space="0" w:color="auto"/>
      </w:divBdr>
    </w:div>
    <w:div w:id="511798286">
      <w:marLeft w:val="0"/>
      <w:marRight w:val="0"/>
      <w:marTop w:val="0"/>
      <w:marBottom w:val="240"/>
      <w:divBdr>
        <w:top w:val="none" w:sz="0" w:space="0" w:color="auto"/>
        <w:left w:val="none" w:sz="0" w:space="0" w:color="auto"/>
        <w:bottom w:val="none" w:sz="0" w:space="0" w:color="auto"/>
        <w:right w:val="none" w:sz="0" w:space="0" w:color="auto"/>
      </w:divBdr>
    </w:div>
    <w:div w:id="512258358">
      <w:marLeft w:val="0"/>
      <w:marRight w:val="0"/>
      <w:marTop w:val="0"/>
      <w:marBottom w:val="0"/>
      <w:divBdr>
        <w:top w:val="none" w:sz="0" w:space="0" w:color="auto"/>
        <w:left w:val="none" w:sz="0" w:space="0" w:color="auto"/>
        <w:bottom w:val="none" w:sz="0" w:space="0" w:color="auto"/>
        <w:right w:val="none" w:sz="0" w:space="0" w:color="auto"/>
      </w:divBdr>
    </w:div>
    <w:div w:id="512689558">
      <w:marLeft w:val="0"/>
      <w:marRight w:val="0"/>
      <w:marTop w:val="0"/>
      <w:marBottom w:val="0"/>
      <w:divBdr>
        <w:top w:val="none" w:sz="0" w:space="0" w:color="auto"/>
        <w:left w:val="none" w:sz="0" w:space="0" w:color="auto"/>
        <w:bottom w:val="none" w:sz="0" w:space="0" w:color="auto"/>
        <w:right w:val="none" w:sz="0" w:space="0" w:color="auto"/>
      </w:divBdr>
      <w:divsChild>
        <w:div w:id="1104888227">
          <w:marLeft w:val="0"/>
          <w:marRight w:val="0"/>
          <w:marTop w:val="0"/>
          <w:marBottom w:val="0"/>
          <w:divBdr>
            <w:top w:val="none" w:sz="0" w:space="0" w:color="auto"/>
            <w:left w:val="none" w:sz="0" w:space="0" w:color="auto"/>
            <w:bottom w:val="none" w:sz="0" w:space="0" w:color="auto"/>
            <w:right w:val="none" w:sz="0" w:space="0" w:color="auto"/>
          </w:divBdr>
        </w:div>
      </w:divsChild>
    </w:div>
    <w:div w:id="513812273">
      <w:marLeft w:val="0"/>
      <w:marRight w:val="0"/>
      <w:marTop w:val="0"/>
      <w:marBottom w:val="240"/>
      <w:divBdr>
        <w:top w:val="none" w:sz="0" w:space="0" w:color="auto"/>
        <w:left w:val="none" w:sz="0" w:space="0" w:color="auto"/>
        <w:bottom w:val="none" w:sz="0" w:space="0" w:color="auto"/>
        <w:right w:val="none" w:sz="0" w:space="0" w:color="auto"/>
      </w:divBdr>
    </w:div>
    <w:div w:id="514808750">
      <w:marLeft w:val="0"/>
      <w:marRight w:val="0"/>
      <w:marTop w:val="0"/>
      <w:marBottom w:val="240"/>
      <w:divBdr>
        <w:top w:val="none" w:sz="0" w:space="0" w:color="auto"/>
        <w:left w:val="none" w:sz="0" w:space="0" w:color="auto"/>
        <w:bottom w:val="none" w:sz="0" w:space="0" w:color="auto"/>
        <w:right w:val="none" w:sz="0" w:space="0" w:color="auto"/>
      </w:divBdr>
    </w:div>
    <w:div w:id="515312723">
      <w:marLeft w:val="0"/>
      <w:marRight w:val="0"/>
      <w:marTop w:val="0"/>
      <w:marBottom w:val="180"/>
      <w:divBdr>
        <w:top w:val="none" w:sz="0" w:space="0" w:color="auto"/>
        <w:left w:val="none" w:sz="0" w:space="0" w:color="auto"/>
        <w:bottom w:val="none" w:sz="0" w:space="0" w:color="auto"/>
        <w:right w:val="none" w:sz="0" w:space="0" w:color="auto"/>
      </w:divBdr>
    </w:div>
    <w:div w:id="515925484">
      <w:marLeft w:val="0"/>
      <w:marRight w:val="0"/>
      <w:marTop w:val="0"/>
      <w:marBottom w:val="240"/>
      <w:divBdr>
        <w:top w:val="none" w:sz="0" w:space="0" w:color="auto"/>
        <w:left w:val="none" w:sz="0" w:space="0" w:color="auto"/>
        <w:bottom w:val="none" w:sz="0" w:space="0" w:color="auto"/>
        <w:right w:val="none" w:sz="0" w:space="0" w:color="auto"/>
      </w:divBdr>
    </w:div>
    <w:div w:id="516192578">
      <w:marLeft w:val="0"/>
      <w:marRight w:val="0"/>
      <w:marTop w:val="120"/>
      <w:marBottom w:val="120"/>
      <w:divBdr>
        <w:top w:val="none" w:sz="0" w:space="0" w:color="auto"/>
        <w:left w:val="none" w:sz="0" w:space="0" w:color="auto"/>
        <w:bottom w:val="none" w:sz="0" w:space="0" w:color="auto"/>
        <w:right w:val="none" w:sz="0" w:space="0" w:color="auto"/>
      </w:divBdr>
    </w:div>
    <w:div w:id="516306861">
      <w:marLeft w:val="0"/>
      <w:marRight w:val="0"/>
      <w:marTop w:val="0"/>
      <w:marBottom w:val="0"/>
      <w:divBdr>
        <w:top w:val="none" w:sz="0" w:space="0" w:color="auto"/>
        <w:left w:val="none" w:sz="0" w:space="0" w:color="auto"/>
        <w:bottom w:val="none" w:sz="0" w:space="0" w:color="auto"/>
        <w:right w:val="none" w:sz="0" w:space="0" w:color="auto"/>
      </w:divBdr>
    </w:div>
    <w:div w:id="516309885">
      <w:marLeft w:val="0"/>
      <w:marRight w:val="0"/>
      <w:marTop w:val="0"/>
      <w:marBottom w:val="240"/>
      <w:divBdr>
        <w:top w:val="none" w:sz="0" w:space="0" w:color="auto"/>
        <w:left w:val="none" w:sz="0" w:space="0" w:color="auto"/>
        <w:bottom w:val="none" w:sz="0" w:space="0" w:color="auto"/>
        <w:right w:val="none" w:sz="0" w:space="0" w:color="auto"/>
      </w:divBdr>
    </w:div>
    <w:div w:id="516384818">
      <w:marLeft w:val="0"/>
      <w:marRight w:val="0"/>
      <w:marTop w:val="0"/>
      <w:marBottom w:val="180"/>
      <w:divBdr>
        <w:top w:val="none" w:sz="0" w:space="0" w:color="auto"/>
        <w:left w:val="none" w:sz="0" w:space="0" w:color="auto"/>
        <w:bottom w:val="none" w:sz="0" w:space="0" w:color="auto"/>
        <w:right w:val="none" w:sz="0" w:space="0" w:color="auto"/>
      </w:divBdr>
    </w:div>
    <w:div w:id="516503342">
      <w:marLeft w:val="0"/>
      <w:marRight w:val="0"/>
      <w:marTop w:val="120"/>
      <w:marBottom w:val="180"/>
      <w:divBdr>
        <w:top w:val="none" w:sz="0" w:space="0" w:color="auto"/>
        <w:left w:val="none" w:sz="0" w:space="0" w:color="auto"/>
        <w:bottom w:val="none" w:sz="0" w:space="0" w:color="auto"/>
        <w:right w:val="none" w:sz="0" w:space="0" w:color="auto"/>
      </w:divBdr>
    </w:div>
    <w:div w:id="516576279">
      <w:marLeft w:val="0"/>
      <w:marRight w:val="0"/>
      <w:marTop w:val="0"/>
      <w:marBottom w:val="240"/>
      <w:divBdr>
        <w:top w:val="none" w:sz="0" w:space="0" w:color="auto"/>
        <w:left w:val="none" w:sz="0" w:space="0" w:color="auto"/>
        <w:bottom w:val="none" w:sz="0" w:space="0" w:color="auto"/>
        <w:right w:val="none" w:sz="0" w:space="0" w:color="auto"/>
      </w:divBdr>
    </w:div>
    <w:div w:id="516696432">
      <w:marLeft w:val="0"/>
      <w:marRight w:val="0"/>
      <w:marTop w:val="0"/>
      <w:marBottom w:val="180"/>
      <w:divBdr>
        <w:top w:val="none" w:sz="0" w:space="0" w:color="auto"/>
        <w:left w:val="none" w:sz="0" w:space="0" w:color="auto"/>
        <w:bottom w:val="none" w:sz="0" w:space="0" w:color="auto"/>
        <w:right w:val="none" w:sz="0" w:space="0" w:color="auto"/>
      </w:divBdr>
    </w:div>
    <w:div w:id="516817065">
      <w:marLeft w:val="0"/>
      <w:marRight w:val="0"/>
      <w:marTop w:val="100"/>
      <w:marBottom w:val="0"/>
      <w:divBdr>
        <w:top w:val="none" w:sz="0" w:space="0" w:color="auto"/>
        <w:left w:val="none" w:sz="0" w:space="0" w:color="auto"/>
        <w:bottom w:val="none" w:sz="0" w:space="0" w:color="auto"/>
        <w:right w:val="none" w:sz="0" w:space="0" w:color="auto"/>
      </w:divBdr>
      <w:divsChild>
        <w:div w:id="889074931">
          <w:marLeft w:val="0"/>
          <w:marRight w:val="0"/>
          <w:marTop w:val="0"/>
          <w:marBottom w:val="0"/>
          <w:divBdr>
            <w:top w:val="none" w:sz="0" w:space="0" w:color="auto"/>
            <w:left w:val="none" w:sz="0" w:space="0" w:color="auto"/>
            <w:bottom w:val="none" w:sz="0" w:space="0" w:color="auto"/>
            <w:right w:val="none" w:sz="0" w:space="0" w:color="auto"/>
          </w:divBdr>
        </w:div>
        <w:div w:id="2017226839">
          <w:marLeft w:val="0"/>
          <w:marRight w:val="0"/>
          <w:marTop w:val="0"/>
          <w:marBottom w:val="0"/>
          <w:divBdr>
            <w:top w:val="none" w:sz="0" w:space="0" w:color="auto"/>
            <w:left w:val="none" w:sz="0" w:space="0" w:color="auto"/>
            <w:bottom w:val="none" w:sz="0" w:space="0" w:color="auto"/>
            <w:right w:val="none" w:sz="0" w:space="0" w:color="auto"/>
          </w:divBdr>
        </w:div>
      </w:divsChild>
    </w:div>
    <w:div w:id="516819074">
      <w:marLeft w:val="0"/>
      <w:marRight w:val="0"/>
      <w:marTop w:val="0"/>
      <w:marBottom w:val="0"/>
      <w:divBdr>
        <w:top w:val="none" w:sz="0" w:space="0" w:color="auto"/>
        <w:left w:val="none" w:sz="0" w:space="0" w:color="auto"/>
        <w:bottom w:val="none" w:sz="0" w:space="0" w:color="auto"/>
        <w:right w:val="none" w:sz="0" w:space="0" w:color="auto"/>
      </w:divBdr>
      <w:divsChild>
        <w:div w:id="1797672759">
          <w:marLeft w:val="0"/>
          <w:marRight w:val="0"/>
          <w:marTop w:val="0"/>
          <w:marBottom w:val="0"/>
          <w:divBdr>
            <w:top w:val="none" w:sz="0" w:space="0" w:color="auto"/>
            <w:left w:val="none" w:sz="0" w:space="0" w:color="auto"/>
            <w:bottom w:val="none" w:sz="0" w:space="0" w:color="auto"/>
            <w:right w:val="none" w:sz="0" w:space="0" w:color="auto"/>
          </w:divBdr>
        </w:div>
      </w:divsChild>
    </w:div>
    <w:div w:id="516819685">
      <w:marLeft w:val="0"/>
      <w:marRight w:val="0"/>
      <w:marTop w:val="120"/>
      <w:marBottom w:val="120"/>
      <w:divBdr>
        <w:top w:val="none" w:sz="0" w:space="0" w:color="auto"/>
        <w:left w:val="none" w:sz="0" w:space="0" w:color="auto"/>
        <w:bottom w:val="none" w:sz="0" w:space="0" w:color="auto"/>
        <w:right w:val="none" w:sz="0" w:space="0" w:color="auto"/>
      </w:divBdr>
    </w:div>
    <w:div w:id="517349358">
      <w:marLeft w:val="0"/>
      <w:marRight w:val="0"/>
      <w:marTop w:val="0"/>
      <w:marBottom w:val="180"/>
      <w:divBdr>
        <w:top w:val="none" w:sz="0" w:space="0" w:color="auto"/>
        <w:left w:val="none" w:sz="0" w:space="0" w:color="auto"/>
        <w:bottom w:val="none" w:sz="0" w:space="0" w:color="auto"/>
        <w:right w:val="none" w:sz="0" w:space="0" w:color="auto"/>
      </w:divBdr>
    </w:div>
    <w:div w:id="517618469">
      <w:marLeft w:val="0"/>
      <w:marRight w:val="0"/>
      <w:marTop w:val="0"/>
      <w:marBottom w:val="240"/>
      <w:divBdr>
        <w:top w:val="none" w:sz="0" w:space="0" w:color="auto"/>
        <w:left w:val="none" w:sz="0" w:space="0" w:color="auto"/>
        <w:bottom w:val="none" w:sz="0" w:space="0" w:color="auto"/>
        <w:right w:val="none" w:sz="0" w:space="0" w:color="auto"/>
      </w:divBdr>
    </w:div>
    <w:div w:id="520244410">
      <w:marLeft w:val="0"/>
      <w:marRight w:val="0"/>
      <w:marTop w:val="0"/>
      <w:marBottom w:val="240"/>
      <w:divBdr>
        <w:top w:val="none" w:sz="0" w:space="0" w:color="auto"/>
        <w:left w:val="none" w:sz="0" w:space="0" w:color="auto"/>
        <w:bottom w:val="none" w:sz="0" w:space="0" w:color="auto"/>
        <w:right w:val="none" w:sz="0" w:space="0" w:color="auto"/>
      </w:divBdr>
    </w:div>
    <w:div w:id="521164102">
      <w:marLeft w:val="0"/>
      <w:marRight w:val="0"/>
      <w:marTop w:val="0"/>
      <w:marBottom w:val="180"/>
      <w:divBdr>
        <w:top w:val="none" w:sz="0" w:space="0" w:color="auto"/>
        <w:left w:val="none" w:sz="0" w:space="0" w:color="auto"/>
        <w:bottom w:val="none" w:sz="0" w:space="0" w:color="auto"/>
        <w:right w:val="none" w:sz="0" w:space="0" w:color="auto"/>
      </w:divBdr>
    </w:div>
    <w:div w:id="523522986">
      <w:marLeft w:val="0"/>
      <w:marRight w:val="0"/>
      <w:marTop w:val="0"/>
      <w:marBottom w:val="180"/>
      <w:divBdr>
        <w:top w:val="none" w:sz="0" w:space="0" w:color="auto"/>
        <w:left w:val="none" w:sz="0" w:space="0" w:color="auto"/>
        <w:bottom w:val="none" w:sz="0" w:space="0" w:color="auto"/>
        <w:right w:val="none" w:sz="0" w:space="0" w:color="auto"/>
      </w:divBdr>
    </w:div>
    <w:div w:id="524293278">
      <w:marLeft w:val="0"/>
      <w:marRight w:val="0"/>
      <w:marTop w:val="0"/>
      <w:marBottom w:val="240"/>
      <w:divBdr>
        <w:top w:val="none" w:sz="0" w:space="0" w:color="auto"/>
        <w:left w:val="none" w:sz="0" w:space="0" w:color="auto"/>
        <w:bottom w:val="none" w:sz="0" w:space="0" w:color="auto"/>
        <w:right w:val="none" w:sz="0" w:space="0" w:color="auto"/>
      </w:divBdr>
    </w:div>
    <w:div w:id="525678304">
      <w:marLeft w:val="0"/>
      <w:marRight w:val="0"/>
      <w:marTop w:val="0"/>
      <w:marBottom w:val="180"/>
      <w:divBdr>
        <w:top w:val="none" w:sz="0" w:space="0" w:color="auto"/>
        <w:left w:val="none" w:sz="0" w:space="0" w:color="auto"/>
        <w:bottom w:val="none" w:sz="0" w:space="0" w:color="auto"/>
        <w:right w:val="none" w:sz="0" w:space="0" w:color="auto"/>
      </w:divBdr>
    </w:div>
    <w:div w:id="525868036">
      <w:marLeft w:val="0"/>
      <w:marRight w:val="0"/>
      <w:marTop w:val="0"/>
      <w:marBottom w:val="180"/>
      <w:divBdr>
        <w:top w:val="none" w:sz="0" w:space="0" w:color="auto"/>
        <w:left w:val="none" w:sz="0" w:space="0" w:color="auto"/>
        <w:bottom w:val="none" w:sz="0" w:space="0" w:color="auto"/>
        <w:right w:val="none" w:sz="0" w:space="0" w:color="auto"/>
      </w:divBdr>
    </w:div>
    <w:div w:id="526067990">
      <w:marLeft w:val="0"/>
      <w:marRight w:val="0"/>
      <w:marTop w:val="0"/>
      <w:marBottom w:val="180"/>
      <w:divBdr>
        <w:top w:val="none" w:sz="0" w:space="0" w:color="auto"/>
        <w:left w:val="none" w:sz="0" w:space="0" w:color="auto"/>
        <w:bottom w:val="none" w:sz="0" w:space="0" w:color="auto"/>
        <w:right w:val="none" w:sz="0" w:space="0" w:color="auto"/>
      </w:divBdr>
    </w:div>
    <w:div w:id="526143087">
      <w:marLeft w:val="0"/>
      <w:marRight w:val="0"/>
      <w:marTop w:val="0"/>
      <w:marBottom w:val="240"/>
      <w:divBdr>
        <w:top w:val="none" w:sz="0" w:space="0" w:color="auto"/>
        <w:left w:val="none" w:sz="0" w:space="0" w:color="auto"/>
        <w:bottom w:val="none" w:sz="0" w:space="0" w:color="auto"/>
        <w:right w:val="none" w:sz="0" w:space="0" w:color="auto"/>
      </w:divBdr>
    </w:div>
    <w:div w:id="527065459">
      <w:marLeft w:val="0"/>
      <w:marRight w:val="0"/>
      <w:marTop w:val="0"/>
      <w:marBottom w:val="180"/>
      <w:divBdr>
        <w:top w:val="none" w:sz="0" w:space="0" w:color="auto"/>
        <w:left w:val="none" w:sz="0" w:space="0" w:color="auto"/>
        <w:bottom w:val="none" w:sz="0" w:space="0" w:color="auto"/>
        <w:right w:val="none" w:sz="0" w:space="0" w:color="auto"/>
      </w:divBdr>
    </w:div>
    <w:div w:id="527917228">
      <w:marLeft w:val="0"/>
      <w:marRight w:val="0"/>
      <w:marTop w:val="0"/>
      <w:marBottom w:val="240"/>
      <w:divBdr>
        <w:top w:val="none" w:sz="0" w:space="0" w:color="auto"/>
        <w:left w:val="none" w:sz="0" w:space="0" w:color="auto"/>
        <w:bottom w:val="none" w:sz="0" w:space="0" w:color="auto"/>
        <w:right w:val="none" w:sz="0" w:space="0" w:color="auto"/>
      </w:divBdr>
    </w:div>
    <w:div w:id="528765450">
      <w:marLeft w:val="0"/>
      <w:marRight w:val="0"/>
      <w:marTop w:val="0"/>
      <w:marBottom w:val="0"/>
      <w:divBdr>
        <w:top w:val="none" w:sz="0" w:space="0" w:color="auto"/>
        <w:left w:val="none" w:sz="0" w:space="0" w:color="auto"/>
        <w:bottom w:val="none" w:sz="0" w:space="0" w:color="auto"/>
        <w:right w:val="none" w:sz="0" w:space="0" w:color="auto"/>
      </w:divBdr>
    </w:div>
    <w:div w:id="529222739">
      <w:marLeft w:val="0"/>
      <w:marRight w:val="0"/>
      <w:marTop w:val="120"/>
      <w:marBottom w:val="240"/>
      <w:divBdr>
        <w:top w:val="none" w:sz="0" w:space="0" w:color="auto"/>
        <w:left w:val="none" w:sz="0" w:space="0" w:color="auto"/>
        <w:bottom w:val="none" w:sz="0" w:space="0" w:color="auto"/>
        <w:right w:val="none" w:sz="0" w:space="0" w:color="auto"/>
      </w:divBdr>
    </w:div>
    <w:div w:id="529270410">
      <w:marLeft w:val="0"/>
      <w:marRight w:val="0"/>
      <w:marTop w:val="180"/>
      <w:marBottom w:val="180"/>
      <w:divBdr>
        <w:top w:val="none" w:sz="0" w:space="0" w:color="auto"/>
        <w:left w:val="none" w:sz="0" w:space="0" w:color="auto"/>
        <w:bottom w:val="none" w:sz="0" w:space="0" w:color="auto"/>
        <w:right w:val="none" w:sz="0" w:space="0" w:color="auto"/>
      </w:divBdr>
    </w:div>
    <w:div w:id="529341810">
      <w:marLeft w:val="0"/>
      <w:marRight w:val="0"/>
      <w:marTop w:val="180"/>
      <w:marBottom w:val="180"/>
      <w:divBdr>
        <w:top w:val="none" w:sz="0" w:space="0" w:color="auto"/>
        <w:left w:val="none" w:sz="0" w:space="0" w:color="auto"/>
        <w:bottom w:val="none" w:sz="0" w:space="0" w:color="auto"/>
        <w:right w:val="none" w:sz="0" w:space="0" w:color="auto"/>
      </w:divBdr>
    </w:div>
    <w:div w:id="529341943">
      <w:marLeft w:val="0"/>
      <w:marRight w:val="0"/>
      <w:marTop w:val="0"/>
      <w:marBottom w:val="180"/>
      <w:divBdr>
        <w:top w:val="none" w:sz="0" w:space="0" w:color="auto"/>
        <w:left w:val="none" w:sz="0" w:space="0" w:color="auto"/>
        <w:bottom w:val="none" w:sz="0" w:space="0" w:color="auto"/>
        <w:right w:val="none" w:sz="0" w:space="0" w:color="auto"/>
      </w:divBdr>
    </w:div>
    <w:div w:id="530724138">
      <w:marLeft w:val="0"/>
      <w:marRight w:val="0"/>
      <w:marTop w:val="0"/>
      <w:marBottom w:val="0"/>
      <w:divBdr>
        <w:top w:val="none" w:sz="0" w:space="0" w:color="auto"/>
        <w:left w:val="none" w:sz="0" w:space="0" w:color="auto"/>
        <w:bottom w:val="none" w:sz="0" w:space="0" w:color="auto"/>
        <w:right w:val="none" w:sz="0" w:space="0" w:color="auto"/>
      </w:divBdr>
      <w:divsChild>
        <w:div w:id="478494795">
          <w:marLeft w:val="0"/>
          <w:marRight w:val="0"/>
          <w:marTop w:val="0"/>
          <w:marBottom w:val="0"/>
          <w:divBdr>
            <w:top w:val="none" w:sz="0" w:space="0" w:color="auto"/>
            <w:left w:val="none" w:sz="0" w:space="0" w:color="auto"/>
            <w:bottom w:val="none" w:sz="0" w:space="0" w:color="auto"/>
            <w:right w:val="none" w:sz="0" w:space="0" w:color="auto"/>
          </w:divBdr>
        </w:div>
      </w:divsChild>
    </w:div>
    <w:div w:id="532113681">
      <w:marLeft w:val="0"/>
      <w:marRight w:val="0"/>
      <w:marTop w:val="0"/>
      <w:marBottom w:val="0"/>
      <w:divBdr>
        <w:top w:val="none" w:sz="0" w:space="0" w:color="auto"/>
        <w:left w:val="none" w:sz="0" w:space="0" w:color="auto"/>
        <w:bottom w:val="none" w:sz="0" w:space="0" w:color="auto"/>
        <w:right w:val="none" w:sz="0" w:space="0" w:color="auto"/>
      </w:divBdr>
      <w:divsChild>
        <w:div w:id="2112315813">
          <w:marLeft w:val="0"/>
          <w:marRight w:val="0"/>
          <w:marTop w:val="0"/>
          <w:marBottom w:val="0"/>
          <w:divBdr>
            <w:top w:val="none" w:sz="0" w:space="0" w:color="auto"/>
            <w:left w:val="none" w:sz="0" w:space="0" w:color="auto"/>
            <w:bottom w:val="none" w:sz="0" w:space="0" w:color="auto"/>
            <w:right w:val="none" w:sz="0" w:space="0" w:color="auto"/>
          </w:divBdr>
        </w:div>
      </w:divsChild>
    </w:div>
    <w:div w:id="532184122">
      <w:marLeft w:val="0"/>
      <w:marRight w:val="0"/>
      <w:marTop w:val="100"/>
      <w:marBottom w:val="0"/>
      <w:divBdr>
        <w:top w:val="none" w:sz="0" w:space="0" w:color="auto"/>
        <w:left w:val="none" w:sz="0" w:space="0" w:color="auto"/>
        <w:bottom w:val="none" w:sz="0" w:space="0" w:color="auto"/>
        <w:right w:val="none" w:sz="0" w:space="0" w:color="auto"/>
      </w:divBdr>
    </w:div>
    <w:div w:id="532960131">
      <w:marLeft w:val="0"/>
      <w:marRight w:val="0"/>
      <w:marTop w:val="0"/>
      <w:marBottom w:val="0"/>
      <w:divBdr>
        <w:top w:val="none" w:sz="0" w:space="0" w:color="auto"/>
        <w:left w:val="none" w:sz="0" w:space="0" w:color="auto"/>
        <w:bottom w:val="none" w:sz="0" w:space="0" w:color="auto"/>
        <w:right w:val="none" w:sz="0" w:space="0" w:color="auto"/>
      </w:divBdr>
      <w:divsChild>
        <w:div w:id="1817457765">
          <w:marLeft w:val="0"/>
          <w:marRight w:val="0"/>
          <w:marTop w:val="0"/>
          <w:marBottom w:val="0"/>
          <w:divBdr>
            <w:top w:val="none" w:sz="0" w:space="0" w:color="auto"/>
            <w:left w:val="none" w:sz="0" w:space="0" w:color="auto"/>
            <w:bottom w:val="none" w:sz="0" w:space="0" w:color="auto"/>
            <w:right w:val="none" w:sz="0" w:space="0" w:color="auto"/>
          </w:divBdr>
        </w:div>
      </w:divsChild>
    </w:div>
    <w:div w:id="532964255">
      <w:marLeft w:val="0"/>
      <w:marRight w:val="0"/>
      <w:marTop w:val="0"/>
      <w:marBottom w:val="0"/>
      <w:divBdr>
        <w:top w:val="none" w:sz="0" w:space="0" w:color="auto"/>
        <w:left w:val="none" w:sz="0" w:space="0" w:color="auto"/>
        <w:bottom w:val="none" w:sz="0" w:space="0" w:color="auto"/>
        <w:right w:val="none" w:sz="0" w:space="0" w:color="auto"/>
      </w:divBdr>
      <w:divsChild>
        <w:div w:id="760179163">
          <w:marLeft w:val="0"/>
          <w:marRight w:val="0"/>
          <w:marTop w:val="0"/>
          <w:marBottom w:val="180"/>
          <w:divBdr>
            <w:top w:val="none" w:sz="0" w:space="0" w:color="auto"/>
            <w:left w:val="none" w:sz="0" w:space="0" w:color="auto"/>
            <w:bottom w:val="none" w:sz="0" w:space="0" w:color="auto"/>
            <w:right w:val="none" w:sz="0" w:space="0" w:color="auto"/>
          </w:divBdr>
        </w:div>
      </w:divsChild>
    </w:div>
    <w:div w:id="533076290">
      <w:marLeft w:val="0"/>
      <w:marRight w:val="0"/>
      <w:marTop w:val="0"/>
      <w:marBottom w:val="0"/>
      <w:divBdr>
        <w:top w:val="none" w:sz="0" w:space="0" w:color="auto"/>
        <w:left w:val="none" w:sz="0" w:space="0" w:color="auto"/>
        <w:bottom w:val="none" w:sz="0" w:space="0" w:color="auto"/>
        <w:right w:val="none" w:sz="0" w:space="0" w:color="auto"/>
      </w:divBdr>
      <w:divsChild>
        <w:div w:id="774057321">
          <w:marLeft w:val="0"/>
          <w:marRight w:val="0"/>
          <w:marTop w:val="0"/>
          <w:marBottom w:val="0"/>
          <w:divBdr>
            <w:top w:val="none" w:sz="0" w:space="0" w:color="auto"/>
            <w:left w:val="none" w:sz="0" w:space="0" w:color="auto"/>
            <w:bottom w:val="none" w:sz="0" w:space="0" w:color="auto"/>
            <w:right w:val="none" w:sz="0" w:space="0" w:color="auto"/>
          </w:divBdr>
        </w:div>
      </w:divsChild>
    </w:div>
    <w:div w:id="534001139">
      <w:marLeft w:val="0"/>
      <w:marRight w:val="0"/>
      <w:marTop w:val="0"/>
      <w:marBottom w:val="240"/>
      <w:divBdr>
        <w:top w:val="none" w:sz="0" w:space="0" w:color="auto"/>
        <w:left w:val="none" w:sz="0" w:space="0" w:color="auto"/>
        <w:bottom w:val="none" w:sz="0" w:space="0" w:color="auto"/>
        <w:right w:val="none" w:sz="0" w:space="0" w:color="auto"/>
      </w:divBdr>
    </w:div>
    <w:div w:id="535392786">
      <w:marLeft w:val="0"/>
      <w:marRight w:val="0"/>
      <w:marTop w:val="180"/>
      <w:marBottom w:val="180"/>
      <w:divBdr>
        <w:top w:val="none" w:sz="0" w:space="0" w:color="auto"/>
        <w:left w:val="none" w:sz="0" w:space="0" w:color="auto"/>
        <w:bottom w:val="none" w:sz="0" w:space="0" w:color="auto"/>
        <w:right w:val="none" w:sz="0" w:space="0" w:color="auto"/>
      </w:divBdr>
    </w:div>
    <w:div w:id="535581173">
      <w:marLeft w:val="0"/>
      <w:marRight w:val="0"/>
      <w:marTop w:val="0"/>
      <w:marBottom w:val="180"/>
      <w:divBdr>
        <w:top w:val="none" w:sz="0" w:space="0" w:color="auto"/>
        <w:left w:val="none" w:sz="0" w:space="0" w:color="auto"/>
        <w:bottom w:val="none" w:sz="0" w:space="0" w:color="auto"/>
        <w:right w:val="none" w:sz="0" w:space="0" w:color="auto"/>
      </w:divBdr>
    </w:div>
    <w:div w:id="536089486">
      <w:marLeft w:val="0"/>
      <w:marRight w:val="0"/>
      <w:marTop w:val="0"/>
      <w:marBottom w:val="240"/>
      <w:divBdr>
        <w:top w:val="none" w:sz="0" w:space="0" w:color="auto"/>
        <w:left w:val="none" w:sz="0" w:space="0" w:color="auto"/>
        <w:bottom w:val="none" w:sz="0" w:space="0" w:color="auto"/>
        <w:right w:val="none" w:sz="0" w:space="0" w:color="auto"/>
      </w:divBdr>
    </w:div>
    <w:div w:id="538013512">
      <w:marLeft w:val="0"/>
      <w:marRight w:val="0"/>
      <w:marTop w:val="0"/>
      <w:marBottom w:val="180"/>
      <w:divBdr>
        <w:top w:val="none" w:sz="0" w:space="0" w:color="auto"/>
        <w:left w:val="none" w:sz="0" w:space="0" w:color="auto"/>
        <w:bottom w:val="none" w:sz="0" w:space="0" w:color="auto"/>
        <w:right w:val="none" w:sz="0" w:space="0" w:color="auto"/>
      </w:divBdr>
    </w:div>
    <w:div w:id="538469225">
      <w:marLeft w:val="0"/>
      <w:marRight w:val="0"/>
      <w:marTop w:val="120"/>
      <w:marBottom w:val="180"/>
      <w:divBdr>
        <w:top w:val="none" w:sz="0" w:space="0" w:color="auto"/>
        <w:left w:val="none" w:sz="0" w:space="0" w:color="auto"/>
        <w:bottom w:val="none" w:sz="0" w:space="0" w:color="auto"/>
        <w:right w:val="none" w:sz="0" w:space="0" w:color="auto"/>
      </w:divBdr>
    </w:div>
    <w:div w:id="538904836">
      <w:marLeft w:val="0"/>
      <w:marRight w:val="0"/>
      <w:marTop w:val="0"/>
      <w:marBottom w:val="0"/>
      <w:divBdr>
        <w:top w:val="none" w:sz="0" w:space="0" w:color="auto"/>
        <w:left w:val="none" w:sz="0" w:space="0" w:color="auto"/>
        <w:bottom w:val="none" w:sz="0" w:space="0" w:color="auto"/>
        <w:right w:val="none" w:sz="0" w:space="0" w:color="auto"/>
      </w:divBdr>
      <w:divsChild>
        <w:div w:id="1676376020">
          <w:marLeft w:val="0"/>
          <w:marRight w:val="0"/>
          <w:marTop w:val="0"/>
          <w:marBottom w:val="0"/>
          <w:divBdr>
            <w:top w:val="none" w:sz="0" w:space="0" w:color="auto"/>
            <w:left w:val="none" w:sz="0" w:space="0" w:color="auto"/>
            <w:bottom w:val="none" w:sz="0" w:space="0" w:color="auto"/>
            <w:right w:val="none" w:sz="0" w:space="0" w:color="auto"/>
          </w:divBdr>
        </w:div>
      </w:divsChild>
    </w:div>
    <w:div w:id="539053968">
      <w:marLeft w:val="0"/>
      <w:marRight w:val="0"/>
      <w:marTop w:val="0"/>
      <w:marBottom w:val="180"/>
      <w:divBdr>
        <w:top w:val="none" w:sz="0" w:space="0" w:color="auto"/>
        <w:left w:val="none" w:sz="0" w:space="0" w:color="auto"/>
        <w:bottom w:val="none" w:sz="0" w:space="0" w:color="auto"/>
        <w:right w:val="none" w:sz="0" w:space="0" w:color="auto"/>
      </w:divBdr>
    </w:div>
    <w:div w:id="539704917">
      <w:marLeft w:val="0"/>
      <w:marRight w:val="0"/>
      <w:marTop w:val="0"/>
      <w:marBottom w:val="0"/>
      <w:divBdr>
        <w:top w:val="none" w:sz="0" w:space="0" w:color="auto"/>
        <w:left w:val="none" w:sz="0" w:space="0" w:color="auto"/>
        <w:bottom w:val="none" w:sz="0" w:space="0" w:color="auto"/>
        <w:right w:val="none" w:sz="0" w:space="0" w:color="auto"/>
      </w:divBdr>
    </w:div>
    <w:div w:id="540172270">
      <w:marLeft w:val="0"/>
      <w:marRight w:val="0"/>
      <w:marTop w:val="0"/>
      <w:marBottom w:val="180"/>
      <w:divBdr>
        <w:top w:val="none" w:sz="0" w:space="0" w:color="auto"/>
        <w:left w:val="none" w:sz="0" w:space="0" w:color="auto"/>
        <w:bottom w:val="none" w:sz="0" w:space="0" w:color="auto"/>
        <w:right w:val="none" w:sz="0" w:space="0" w:color="auto"/>
      </w:divBdr>
    </w:div>
    <w:div w:id="540286364">
      <w:marLeft w:val="0"/>
      <w:marRight w:val="0"/>
      <w:marTop w:val="0"/>
      <w:marBottom w:val="180"/>
      <w:divBdr>
        <w:top w:val="none" w:sz="0" w:space="0" w:color="auto"/>
        <w:left w:val="none" w:sz="0" w:space="0" w:color="auto"/>
        <w:bottom w:val="none" w:sz="0" w:space="0" w:color="auto"/>
        <w:right w:val="none" w:sz="0" w:space="0" w:color="auto"/>
      </w:divBdr>
    </w:div>
    <w:div w:id="541595543">
      <w:marLeft w:val="0"/>
      <w:marRight w:val="0"/>
      <w:marTop w:val="120"/>
      <w:marBottom w:val="240"/>
      <w:divBdr>
        <w:top w:val="none" w:sz="0" w:space="0" w:color="auto"/>
        <w:left w:val="none" w:sz="0" w:space="0" w:color="auto"/>
        <w:bottom w:val="none" w:sz="0" w:space="0" w:color="auto"/>
        <w:right w:val="none" w:sz="0" w:space="0" w:color="auto"/>
      </w:divBdr>
    </w:div>
    <w:div w:id="541748687">
      <w:marLeft w:val="0"/>
      <w:marRight w:val="0"/>
      <w:marTop w:val="0"/>
      <w:marBottom w:val="180"/>
      <w:divBdr>
        <w:top w:val="none" w:sz="0" w:space="0" w:color="auto"/>
        <w:left w:val="none" w:sz="0" w:space="0" w:color="auto"/>
        <w:bottom w:val="none" w:sz="0" w:space="0" w:color="auto"/>
        <w:right w:val="none" w:sz="0" w:space="0" w:color="auto"/>
      </w:divBdr>
    </w:div>
    <w:div w:id="543176256">
      <w:marLeft w:val="0"/>
      <w:marRight w:val="0"/>
      <w:marTop w:val="0"/>
      <w:marBottom w:val="180"/>
      <w:divBdr>
        <w:top w:val="none" w:sz="0" w:space="0" w:color="auto"/>
        <w:left w:val="none" w:sz="0" w:space="0" w:color="auto"/>
        <w:bottom w:val="none" w:sz="0" w:space="0" w:color="auto"/>
        <w:right w:val="none" w:sz="0" w:space="0" w:color="auto"/>
      </w:divBdr>
    </w:div>
    <w:div w:id="543713029">
      <w:marLeft w:val="0"/>
      <w:marRight w:val="0"/>
      <w:marTop w:val="0"/>
      <w:marBottom w:val="0"/>
      <w:divBdr>
        <w:top w:val="none" w:sz="0" w:space="0" w:color="auto"/>
        <w:left w:val="none" w:sz="0" w:space="0" w:color="auto"/>
        <w:bottom w:val="none" w:sz="0" w:space="0" w:color="auto"/>
        <w:right w:val="none" w:sz="0" w:space="0" w:color="auto"/>
      </w:divBdr>
    </w:div>
    <w:div w:id="544676605">
      <w:marLeft w:val="0"/>
      <w:marRight w:val="0"/>
      <w:marTop w:val="0"/>
      <w:marBottom w:val="180"/>
      <w:divBdr>
        <w:top w:val="none" w:sz="0" w:space="0" w:color="auto"/>
        <w:left w:val="none" w:sz="0" w:space="0" w:color="auto"/>
        <w:bottom w:val="none" w:sz="0" w:space="0" w:color="auto"/>
        <w:right w:val="none" w:sz="0" w:space="0" w:color="auto"/>
      </w:divBdr>
    </w:div>
    <w:div w:id="545335148">
      <w:marLeft w:val="0"/>
      <w:marRight w:val="0"/>
      <w:marTop w:val="0"/>
      <w:marBottom w:val="0"/>
      <w:divBdr>
        <w:top w:val="none" w:sz="0" w:space="0" w:color="auto"/>
        <w:left w:val="none" w:sz="0" w:space="0" w:color="auto"/>
        <w:bottom w:val="none" w:sz="0" w:space="0" w:color="auto"/>
        <w:right w:val="none" w:sz="0" w:space="0" w:color="auto"/>
      </w:divBdr>
      <w:divsChild>
        <w:div w:id="567615304">
          <w:marLeft w:val="0"/>
          <w:marRight w:val="0"/>
          <w:marTop w:val="0"/>
          <w:marBottom w:val="0"/>
          <w:divBdr>
            <w:top w:val="none" w:sz="0" w:space="0" w:color="auto"/>
            <w:left w:val="none" w:sz="0" w:space="0" w:color="auto"/>
            <w:bottom w:val="none" w:sz="0" w:space="0" w:color="auto"/>
            <w:right w:val="none" w:sz="0" w:space="0" w:color="auto"/>
          </w:divBdr>
        </w:div>
      </w:divsChild>
    </w:div>
    <w:div w:id="545340037">
      <w:marLeft w:val="0"/>
      <w:marRight w:val="0"/>
      <w:marTop w:val="180"/>
      <w:marBottom w:val="180"/>
      <w:divBdr>
        <w:top w:val="none" w:sz="0" w:space="0" w:color="auto"/>
        <w:left w:val="none" w:sz="0" w:space="0" w:color="auto"/>
        <w:bottom w:val="none" w:sz="0" w:space="0" w:color="auto"/>
        <w:right w:val="none" w:sz="0" w:space="0" w:color="auto"/>
      </w:divBdr>
    </w:div>
    <w:div w:id="545870614">
      <w:marLeft w:val="0"/>
      <w:marRight w:val="0"/>
      <w:marTop w:val="0"/>
      <w:marBottom w:val="240"/>
      <w:divBdr>
        <w:top w:val="none" w:sz="0" w:space="0" w:color="auto"/>
        <w:left w:val="none" w:sz="0" w:space="0" w:color="auto"/>
        <w:bottom w:val="none" w:sz="0" w:space="0" w:color="auto"/>
        <w:right w:val="none" w:sz="0" w:space="0" w:color="auto"/>
      </w:divBdr>
    </w:div>
    <w:div w:id="545994902">
      <w:marLeft w:val="0"/>
      <w:marRight w:val="0"/>
      <w:marTop w:val="0"/>
      <w:marBottom w:val="240"/>
      <w:divBdr>
        <w:top w:val="none" w:sz="0" w:space="0" w:color="auto"/>
        <w:left w:val="none" w:sz="0" w:space="0" w:color="auto"/>
        <w:bottom w:val="none" w:sz="0" w:space="0" w:color="auto"/>
        <w:right w:val="none" w:sz="0" w:space="0" w:color="auto"/>
      </w:divBdr>
    </w:div>
    <w:div w:id="546070292">
      <w:marLeft w:val="0"/>
      <w:marRight w:val="0"/>
      <w:marTop w:val="0"/>
      <w:marBottom w:val="180"/>
      <w:divBdr>
        <w:top w:val="none" w:sz="0" w:space="0" w:color="auto"/>
        <w:left w:val="none" w:sz="0" w:space="0" w:color="auto"/>
        <w:bottom w:val="none" w:sz="0" w:space="0" w:color="auto"/>
        <w:right w:val="none" w:sz="0" w:space="0" w:color="auto"/>
      </w:divBdr>
    </w:div>
    <w:div w:id="546725318">
      <w:marLeft w:val="0"/>
      <w:marRight w:val="0"/>
      <w:marTop w:val="100"/>
      <w:marBottom w:val="240"/>
      <w:divBdr>
        <w:top w:val="none" w:sz="0" w:space="0" w:color="auto"/>
        <w:left w:val="none" w:sz="0" w:space="0" w:color="auto"/>
        <w:bottom w:val="none" w:sz="0" w:space="0" w:color="auto"/>
        <w:right w:val="none" w:sz="0" w:space="0" w:color="auto"/>
      </w:divBdr>
      <w:divsChild>
        <w:div w:id="357045194">
          <w:marLeft w:val="0"/>
          <w:marRight w:val="0"/>
          <w:marTop w:val="0"/>
          <w:marBottom w:val="0"/>
          <w:divBdr>
            <w:top w:val="none" w:sz="0" w:space="0" w:color="auto"/>
            <w:left w:val="none" w:sz="0" w:space="0" w:color="auto"/>
            <w:bottom w:val="none" w:sz="0" w:space="0" w:color="auto"/>
            <w:right w:val="none" w:sz="0" w:space="0" w:color="auto"/>
          </w:divBdr>
        </w:div>
      </w:divsChild>
    </w:div>
    <w:div w:id="547104363">
      <w:marLeft w:val="0"/>
      <w:marRight w:val="0"/>
      <w:marTop w:val="0"/>
      <w:marBottom w:val="240"/>
      <w:divBdr>
        <w:top w:val="none" w:sz="0" w:space="0" w:color="auto"/>
        <w:left w:val="none" w:sz="0" w:space="0" w:color="auto"/>
        <w:bottom w:val="none" w:sz="0" w:space="0" w:color="auto"/>
        <w:right w:val="none" w:sz="0" w:space="0" w:color="auto"/>
      </w:divBdr>
    </w:div>
    <w:div w:id="548303622">
      <w:marLeft w:val="0"/>
      <w:marRight w:val="0"/>
      <w:marTop w:val="0"/>
      <w:marBottom w:val="0"/>
      <w:divBdr>
        <w:top w:val="none" w:sz="0" w:space="0" w:color="auto"/>
        <w:left w:val="none" w:sz="0" w:space="0" w:color="auto"/>
        <w:bottom w:val="none" w:sz="0" w:space="0" w:color="auto"/>
        <w:right w:val="none" w:sz="0" w:space="0" w:color="auto"/>
      </w:divBdr>
      <w:divsChild>
        <w:div w:id="1714385322">
          <w:marLeft w:val="0"/>
          <w:marRight w:val="0"/>
          <w:marTop w:val="0"/>
          <w:marBottom w:val="0"/>
          <w:divBdr>
            <w:top w:val="none" w:sz="0" w:space="0" w:color="auto"/>
            <w:left w:val="none" w:sz="0" w:space="0" w:color="auto"/>
            <w:bottom w:val="none" w:sz="0" w:space="0" w:color="auto"/>
            <w:right w:val="none" w:sz="0" w:space="0" w:color="auto"/>
          </w:divBdr>
        </w:div>
      </w:divsChild>
    </w:div>
    <w:div w:id="548342178">
      <w:marLeft w:val="0"/>
      <w:marRight w:val="0"/>
      <w:marTop w:val="0"/>
      <w:marBottom w:val="180"/>
      <w:divBdr>
        <w:top w:val="none" w:sz="0" w:space="0" w:color="auto"/>
        <w:left w:val="none" w:sz="0" w:space="0" w:color="auto"/>
        <w:bottom w:val="none" w:sz="0" w:space="0" w:color="auto"/>
        <w:right w:val="none" w:sz="0" w:space="0" w:color="auto"/>
      </w:divBdr>
    </w:div>
    <w:div w:id="548345242">
      <w:marLeft w:val="0"/>
      <w:marRight w:val="0"/>
      <w:marTop w:val="120"/>
      <w:marBottom w:val="120"/>
      <w:divBdr>
        <w:top w:val="none" w:sz="0" w:space="0" w:color="auto"/>
        <w:left w:val="none" w:sz="0" w:space="0" w:color="auto"/>
        <w:bottom w:val="none" w:sz="0" w:space="0" w:color="auto"/>
        <w:right w:val="none" w:sz="0" w:space="0" w:color="auto"/>
      </w:divBdr>
    </w:div>
    <w:div w:id="549414083">
      <w:marLeft w:val="0"/>
      <w:marRight w:val="0"/>
      <w:marTop w:val="180"/>
      <w:marBottom w:val="180"/>
      <w:divBdr>
        <w:top w:val="none" w:sz="0" w:space="0" w:color="auto"/>
        <w:left w:val="none" w:sz="0" w:space="0" w:color="auto"/>
        <w:bottom w:val="none" w:sz="0" w:space="0" w:color="auto"/>
        <w:right w:val="none" w:sz="0" w:space="0" w:color="auto"/>
      </w:divBdr>
    </w:div>
    <w:div w:id="549459096">
      <w:marLeft w:val="0"/>
      <w:marRight w:val="0"/>
      <w:marTop w:val="180"/>
      <w:marBottom w:val="180"/>
      <w:divBdr>
        <w:top w:val="none" w:sz="0" w:space="0" w:color="auto"/>
        <w:left w:val="none" w:sz="0" w:space="0" w:color="auto"/>
        <w:bottom w:val="none" w:sz="0" w:space="0" w:color="auto"/>
        <w:right w:val="none" w:sz="0" w:space="0" w:color="auto"/>
      </w:divBdr>
    </w:div>
    <w:div w:id="550532886">
      <w:marLeft w:val="0"/>
      <w:marRight w:val="0"/>
      <w:marTop w:val="0"/>
      <w:marBottom w:val="180"/>
      <w:divBdr>
        <w:top w:val="none" w:sz="0" w:space="0" w:color="auto"/>
        <w:left w:val="none" w:sz="0" w:space="0" w:color="auto"/>
        <w:bottom w:val="none" w:sz="0" w:space="0" w:color="auto"/>
        <w:right w:val="none" w:sz="0" w:space="0" w:color="auto"/>
      </w:divBdr>
    </w:div>
    <w:div w:id="550650988">
      <w:marLeft w:val="0"/>
      <w:marRight w:val="0"/>
      <w:marTop w:val="120"/>
      <w:marBottom w:val="120"/>
      <w:divBdr>
        <w:top w:val="none" w:sz="0" w:space="0" w:color="auto"/>
        <w:left w:val="none" w:sz="0" w:space="0" w:color="auto"/>
        <w:bottom w:val="none" w:sz="0" w:space="0" w:color="auto"/>
        <w:right w:val="none" w:sz="0" w:space="0" w:color="auto"/>
      </w:divBdr>
    </w:div>
    <w:div w:id="550700550">
      <w:marLeft w:val="0"/>
      <w:marRight w:val="0"/>
      <w:marTop w:val="120"/>
      <w:marBottom w:val="120"/>
      <w:divBdr>
        <w:top w:val="none" w:sz="0" w:space="0" w:color="auto"/>
        <w:left w:val="none" w:sz="0" w:space="0" w:color="auto"/>
        <w:bottom w:val="none" w:sz="0" w:space="0" w:color="auto"/>
        <w:right w:val="none" w:sz="0" w:space="0" w:color="auto"/>
      </w:divBdr>
    </w:div>
    <w:div w:id="551500390">
      <w:marLeft w:val="0"/>
      <w:marRight w:val="0"/>
      <w:marTop w:val="180"/>
      <w:marBottom w:val="180"/>
      <w:divBdr>
        <w:top w:val="none" w:sz="0" w:space="0" w:color="auto"/>
        <w:left w:val="none" w:sz="0" w:space="0" w:color="auto"/>
        <w:bottom w:val="none" w:sz="0" w:space="0" w:color="auto"/>
        <w:right w:val="none" w:sz="0" w:space="0" w:color="auto"/>
      </w:divBdr>
    </w:div>
    <w:div w:id="551696009">
      <w:marLeft w:val="0"/>
      <w:marRight w:val="0"/>
      <w:marTop w:val="0"/>
      <w:marBottom w:val="0"/>
      <w:divBdr>
        <w:top w:val="none" w:sz="0" w:space="0" w:color="auto"/>
        <w:left w:val="none" w:sz="0" w:space="0" w:color="auto"/>
        <w:bottom w:val="none" w:sz="0" w:space="0" w:color="auto"/>
        <w:right w:val="none" w:sz="0" w:space="0" w:color="auto"/>
      </w:divBdr>
    </w:div>
    <w:div w:id="552078555">
      <w:marLeft w:val="0"/>
      <w:marRight w:val="0"/>
      <w:marTop w:val="180"/>
      <w:marBottom w:val="180"/>
      <w:divBdr>
        <w:top w:val="none" w:sz="0" w:space="0" w:color="auto"/>
        <w:left w:val="none" w:sz="0" w:space="0" w:color="auto"/>
        <w:bottom w:val="none" w:sz="0" w:space="0" w:color="auto"/>
        <w:right w:val="none" w:sz="0" w:space="0" w:color="auto"/>
      </w:divBdr>
    </w:div>
    <w:div w:id="552497884">
      <w:marLeft w:val="0"/>
      <w:marRight w:val="0"/>
      <w:marTop w:val="0"/>
      <w:marBottom w:val="0"/>
      <w:divBdr>
        <w:top w:val="none" w:sz="0" w:space="0" w:color="auto"/>
        <w:left w:val="none" w:sz="0" w:space="0" w:color="auto"/>
        <w:bottom w:val="none" w:sz="0" w:space="0" w:color="auto"/>
        <w:right w:val="none" w:sz="0" w:space="0" w:color="auto"/>
      </w:divBdr>
      <w:divsChild>
        <w:div w:id="1076241314">
          <w:marLeft w:val="0"/>
          <w:marRight w:val="0"/>
          <w:marTop w:val="0"/>
          <w:marBottom w:val="0"/>
          <w:divBdr>
            <w:top w:val="none" w:sz="0" w:space="0" w:color="auto"/>
            <w:left w:val="none" w:sz="0" w:space="0" w:color="auto"/>
            <w:bottom w:val="none" w:sz="0" w:space="0" w:color="auto"/>
            <w:right w:val="none" w:sz="0" w:space="0" w:color="auto"/>
          </w:divBdr>
        </w:div>
      </w:divsChild>
    </w:div>
    <w:div w:id="552815039">
      <w:marLeft w:val="0"/>
      <w:marRight w:val="0"/>
      <w:marTop w:val="0"/>
      <w:marBottom w:val="0"/>
      <w:divBdr>
        <w:top w:val="none" w:sz="0" w:space="0" w:color="auto"/>
        <w:left w:val="none" w:sz="0" w:space="0" w:color="auto"/>
        <w:bottom w:val="none" w:sz="0" w:space="0" w:color="auto"/>
        <w:right w:val="none" w:sz="0" w:space="0" w:color="auto"/>
      </w:divBdr>
      <w:divsChild>
        <w:div w:id="687753642">
          <w:marLeft w:val="0"/>
          <w:marRight w:val="0"/>
          <w:marTop w:val="0"/>
          <w:marBottom w:val="0"/>
          <w:divBdr>
            <w:top w:val="none" w:sz="0" w:space="0" w:color="auto"/>
            <w:left w:val="none" w:sz="0" w:space="0" w:color="auto"/>
            <w:bottom w:val="none" w:sz="0" w:space="0" w:color="auto"/>
            <w:right w:val="none" w:sz="0" w:space="0" w:color="auto"/>
          </w:divBdr>
        </w:div>
      </w:divsChild>
    </w:div>
    <w:div w:id="553543403">
      <w:marLeft w:val="0"/>
      <w:marRight w:val="0"/>
      <w:marTop w:val="0"/>
      <w:marBottom w:val="240"/>
      <w:divBdr>
        <w:top w:val="none" w:sz="0" w:space="0" w:color="auto"/>
        <w:left w:val="none" w:sz="0" w:space="0" w:color="auto"/>
        <w:bottom w:val="none" w:sz="0" w:space="0" w:color="auto"/>
        <w:right w:val="none" w:sz="0" w:space="0" w:color="auto"/>
      </w:divBdr>
    </w:div>
    <w:div w:id="553809509">
      <w:marLeft w:val="0"/>
      <w:marRight w:val="0"/>
      <w:marTop w:val="0"/>
      <w:marBottom w:val="0"/>
      <w:divBdr>
        <w:top w:val="none" w:sz="0" w:space="0" w:color="auto"/>
        <w:left w:val="none" w:sz="0" w:space="0" w:color="auto"/>
        <w:bottom w:val="none" w:sz="0" w:space="0" w:color="auto"/>
        <w:right w:val="none" w:sz="0" w:space="0" w:color="auto"/>
      </w:divBdr>
    </w:div>
    <w:div w:id="554588774">
      <w:marLeft w:val="0"/>
      <w:marRight w:val="0"/>
      <w:marTop w:val="0"/>
      <w:marBottom w:val="0"/>
      <w:divBdr>
        <w:top w:val="none" w:sz="0" w:space="0" w:color="auto"/>
        <w:left w:val="none" w:sz="0" w:space="0" w:color="auto"/>
        <w:bottom w:val="none" w:sz="0" w:space="0" w:color="auto"/>
        <w:right w:val="none" w:sz="0" w:space="0" w:color="auto"/>
      </w:divBdr>
    </w:div>
    <w:div w:id="554779934">
      <w:marLeft w:val="0"/>
      <w:marRight w:val="0"/>
      <w:marTop w:val="180"/>
      <w:marBottom w:val="180"/>
      <w:divBdr>
        <w:top w:val="none" w:sz="0" w:space="0" w:color="auto"/>
        <w:left w:val="none" w:sz="0" w:space="0" w:color="auto"/>
        <w:bottom w:val="none" w:sz="0" w:space="0" w:color="auto"/>
        <w:right w:val="none" w:sz="0" w:space="0" w:color="auto"/>
      </w:divBdr>
    </w:div>
    <w:div w:id="555122188">
      <w:marLeft w:val="0"/>
      <w:marRight w:val="0"/>
      <w:marTop w:val="0"/>
      <w:marBottom w:val="240"/>
      <w:divBdr>
        <w:top w:val="none" w:sz="0" w:space="0" w:color="auto"/>
        <w:left w:val="none" w:sz="0" w:space="0" w:color="auto"/>
        <w:bottom w:val="none" w:sz="0" w:space="0" w:color="auto"/>
        <w:right w:val="none" w:sz="0" w:space="0" w:color="auto"/>
      </w:divBdr>
    </w:div>
    <w:div w:id="555287838">
      <w:marLeft w:val="0"/>
      <w:marRight w:val="0"/>
      <w:marTop w:val="0"/>
      <w:marBottom w:val="0"/>
      <w:divBdr>
        <w:top w:val="none" w:sz="0" w:space="0" w:color="auto"/>
        <w:left w:val="none" w:sz="0" w:space="0" w:color="auto"/>
        <w:bottom w:val="none" w:sz="0" w:space="0" w:color="auto"/>
        <w:right w:val="none" w:sz="0" w:space="0" w:color="auto"/>
      </w:divBdr>
    </w:div>
    <w:div w:id="555507346">
      <w:marLeft w:val="0"/>
      <w:marRight w:val="0"/>
      <w:marTop w:val="0"/>
      <w:marBottom w:val="240"/>
      <w:divBdr>
        <w:top w:val="none" w:sz="0" w:space="0" w:color="auto"/>
        <w:left w:val="none" w:sz="0" w:space="0" w:color="auto"/>
        <w:bottom w:val="none" w:sz="0" w:space="0" w:color="auto"/>
        <w:right w:val="none" w:sz="0" w:space="0" w:color="auto"/>
      </w:divBdr>
    </w:div>
    <w:div w:id="555702431">
      <w:marLeft w:val="0"/>
      <w:marRight w:val="0"/>
      <w:marTop w:val="0"/>
      <w:marBottom w:val="180"/>
      <w:divBdr>
        <w:top w:val="none" w:sz="0" w:space="0" w:color="auto"/>
        <w:left w:val="none" w:sz="0" w:space="0" w:color="auto"/>
        <w:bottom w:val="none" w:sz="0" w:space="0" w:color="auto"/>
        <w:right w:val="none" w:sz="0" w:space="0" w:color="auto"/>
      </w:divBdr>
    </w:div>
    <w:div w:id="555817389">
      <w:marLeft w:val="0"/>
      <w:marRight w:val="0"/>
      <w:marTop w:val="0"/>
      <w:marBottom w:val="240"/>
      <w:divBdr>
        <w:top w:val="none" w:sz="0" w:space="0" w:color="auto"/>
        <w:left w:val="none" w:sz="0" w:space="0" w:color="auto"/>
        <w:bottom w:val="none" w:sz="0" w:space="0" w:color="auto"/>
        <w:right w:val="none" w:sz="0" w:space="0" w:color="auto"/>
      </w:divBdr>
    </w:div>
    <w:div w:id="556086723">
      <w:marLeft w:val="0"/>
      <w:marRight w:val="0"/>
      <w:marTop w:val="180"/>
      <w:marBottom w:val="180"/>
      <w:divBdr>
        <w:top w:val="none" w:sz="0" w:space="0" w:color="auto"/>
        <w:left w:val="none" w:sz="0" w:space="0" w:color="auto"/>
        <w:bottom w:val="none" w:sz="0" w:space="0" w:color="auto"/>
        <w:right w:val="none" w:sz="0" w:space="0" w:color="auto"/>
      </w:divBdr>
    </w:div>
    <w:div w:id="556361485">
      <w:marLeft w:val="0"/>
      <w:marRight w:val="0"/>
      <w:marTop w:val="0"/>
      <w:marBottom w:val="0"/>
      <w:divBdr>
        <w:top w:val="none" w:sz="0" w:space="0" w:color="auto"/>
        <w:left w:val="none" w:sz="0" w:space="0" w:color="auto"/>
        <w:bottom w:val="none" w:sz="0" w:space="0" w:color="auto"/>
        <w:right w:val="none" w:sz="0" w:space="0" w:color="auto"/>
      </w:divBdr>
      <w:divsChild>
        <w:div w:id="741754722">
          <w:marLeft w:val="0"/>
          <w:marRight w:val="0"/>
          <w:marTop w:val="0"/>
          <w:marBottom w:val="0"/>
          <w:divBdr>
            <w:top w:val="none" w:sz="0" w:space="0" w:color="auto"/>
            <w:left w:val="none" w:sz="0" w:space="0" w:color="auto"/>
            <w:bottom w:val="none" w:sz="0" w:space="0" w:color="auto"/>
            <w:right w:val="none" w:sz="0" w:space="0" w:color="auto"/>
          </w:divBdr>
        </w:div>
      </w:divsChild>
    </w:div>
    <w:div w:id="556551312">
      <w:marLeft w:val="0"/>
      <w:marRight w:val="0"/>
      <w:marTop w:val="0"/>
      <w:marBottom w:val="180"/>
      <w:divBdr>
        <w:top w:val="none" w:sz="0" w:space="0" w:color="auto"/>
        <w:left w:val="none" w:sz="0" w:space="0" w:color="auto"/>
        <w:bottom w:val="none" w:sz="0" w:space="0" w:color="auto"/>
        <w:right w:val="none" w:sz="0" w:space="0" w:color="auto"/>
      </w:divBdr>
    </w:div>
    <w:div w:id="556867362">
      <w:marLeft w:val="0"/>
      <w:marRight w:val="0"/>
      <w:marTop w:val="0"/>
      <w:marBottom w:val="240"/>
      <w:divBdr>
        <w:top w:val="none" w:sz="0" w:space="0" w:color="auto"/>
        <w:left w:val="none" w:sz="0" w:space="0" w:color="auto"/>
        <w:bottom w:val="none" w:sz="0" w:space="0" w:color="auto"/>
        <w:right w:val="none" w:sz="0" w:space="0" w:color="auto"/>
      </w:divBdr>
    </w:div>
    <w:div w:id="557789432">
      <w:marLeft w:val="0"/>
      <w:marRight w:val="0"/>
      <w:marTop w:val="0"/>
      <w:marBottom w:val="180"/>
      <w:divBdr>
        <w:top w:val="none" w:sz="0" w:space="0" w:color="auto"/>
        <w:left w:val="none" w:sz="0" w:space="0" w:color="auto"/>
        <w:bottom w:val="none" w:sz="0" w:space="0" w:color="auto"/>
        <w:right w:val="none" w:sz="0" w:space="0" w:color="auto"/>
      </w:divBdr>
    </w:div>
    <w:div w:id="558395701">
      <w:marLeft w:val="0"/>
      <w:marRight w:val="0"/>
      <w:marTop w:val="0"/>
      <w:marBottom w:val="180"/>
      <w:divBdr>
        <w:top w:val="none" w:sz="0" w:space="0" w:color="auto"/>
        <w:left w:val="none" w:sz="0" w:space="0" w:color="auto"/>
        <w:bottom w:val="none" w:sz="0" w:space="0" w:color="auto"/>
        <w:right w:val="none" w:sz="0" w:space="0" w:color="auto"/>
      </w:divBdr>
    </w:div>
    <w:div w:id="560480777">
      <w:marLeft w:val="0"/>
      <w:marRight w:val="0"/>
      <w:marTop w:val="0"/>
      <w:marBottom w:val="240"/>
      <w:divBdr>
        <w:top w:val="none" w:sz="0" w:space="0" w:color="auto"/>
        <w:left w:val="none" w:sz="0" w:space="0" w:color="auto"/>
        <w:bottom w:val="none" w:sz="0" w:space="0" w:color="auto"/>
        <w:right w:val="none" w:sz="0" w:space="0" w:color="auto"/>
      </w:divBdr>
    </w:div>
    <w:div w:id="560756646">
      <w:marLeft w:val="0"/>
      <w:marRight w:val="0"/>
      <w:marTop w:val="0"/>
      <w:marBottom w:val="180"/>
      <w:divBdr>
        <w:top w:val="none" w:sz="0" w:space="0" w:color="auto"/>
        <w:left w:val="none" w:sz="0" w:space="0" w:color="auto"/>
        <w:bottom w:val="none" w:sz="0" w:space="0" w:color="auto"/>
        <w:right w:val="none" w:sz="0" w:space="0" w:color="auto"/>
      </w:divBdr>
    </w:div>
    <w:div w:id="561402741">
      <w:marLeft w:val="0"/>
      <w:marRight w:val="0"/>
      <w:marTop w:val="0"/>
      <w:marBottom w:val="0"/>
      <w:divBdr>
        <w:top w:val="none" w:sz="0" w:space="0" w:color="auto"/>
        <w:left w:val="none" w:sz="0" w:space="0" w:color="auto"/>
        <w:bottom w:val="none" w:sz="0" w:space="0" w:color="auto"/>
        <w:right w:val="none" w:sz="0" w:space="0" w:color="auto"/>
      </w:divBdr>
      <w:divsChild>
        <w:div w:id="1422793077">
          <w:marLeft w:val="0"/>
          <w:marRight w:val="0"/>
          <w:marTop w:val="0"/>
          <w:marBottom w:val="0"/>
          <w:divBdr>
            <w:top w:val="none" w:sz="0" w:space="0" w:color="auto"/>
            <w:left w:val="none" w:sz="0" w:space="0" w:color="auto"/>
            <w:bottom w:val="none" w:sz="0" w:space="0" w:color="auto"/>
            <w:right w:val="none" w:sz="0" w:space="0" w:color="auto"/>
          </w:divBdr>
        </w:div>
      </w:divsChild>
    </w:div>
    <w:div w:id="561715380">
      <w:marLeft w:val="0"/>
      <w:marRight w:val="0"/>
      <w:marTop w:val="0"/>
      <w:marBottom w:val="0"/>
      <w:divBdr>
        <w:top w:val="none" w:sz="0" w:space="0" w:color="auto"/>
        <w:left w:val="none" w:sz="0" w:space="0" w:color="auto"/>
        <w:bottom w:val="none" w:sz="0" w:space="0" w:color="auto"/>
        <w:right w:val="none" w:sz="0" w:space="0" w:color="auto"/>
      </w:divBdr>
    </w:div>
    <w:div w:id="561984773">
      <w:marLeft w:val="0"/>
      <w:marRight w:val="0"/>
      <w:marTop w:val="0"/>
      <w:marBottom w:val="0"/>
      <w:divBdr>
        <w:top w:val="none" w:sz="0" w:space="0" w:color="auto"/>
        <w:left w:val="none" w:sz="0" w:space="0" w:color="auto"/>
        <w:bottom w:val="none" w:sz="0" w:space="0" w:color="auto"/>
        <w:right w:val="none" w:sz="0" w:space="0" w:color="auto"/>
      </w:divBdr>
    </w:div>
    <w:div w:id="562525401">
      <w:marLeft w:val="0"/>
      <w:marRight w:val="0"/>
      <w:marTop w:val="0"/>
      <w:marBottom w:val="240"/>
      <w:divBdr>
        <w:top w:val="none" w:sz="0" w:space="0" w:color="auto"/>
        <w:left w:val="none" w:sz="0" w:space="0" w:color="auto"/>
        <w:bottom w:val="none" w:sz="0" w:space="0" w:color="auto"/>
        <w:right w:val="none" w:sz="0" w:space="0" w:color="auto"/>
      </w:divBdr>
    </w:div>
    <w:div w:id="562833230">
      <w:marLeft w:val="0"/>
      <w:marRight w:val="0"/>
      <w:marTop w:val="0"/>
      <w:marBottom w:val="240"/>
      <w:divBdr>
        <w:top w:val="none" w:sz="0" w:space="0" w:color="auto"/>
        <w:left w:val="none" w:sz="0" w:space="0" w:color="auto"/>
        <w:bottom w:val="none" w:sz="0" w:space="0" w:color="auto"/>
        <w:right w:val="none" w:sz="0" w:space="0" w:color="auto"/>
      </w:divBdr>
    </w:div>
    <w:div w:id="563176123">
      <w:marLeft w:val="0"/>
      <w:marRight w:val="0"/>
      <w:marTop w:val="0"/>
      <w:marBottom w:val="240"/>
      <w:divBdr>
        <w:top w:val="none" w:sz="0" w:space="0" w:color="auto"/>
        <w:left w:val="none" w:sz="0" w:space="0" w:color="auto"/>
        <w:bottom w:val="none" w:sz="0" w:space="0" w:color="auto"/>
        <w:right w:val="none" w:sz="0" w:space="0" w:color="auto"/>
      </w:divBdr>
    </w:div>
    <w:div w:id="568417407">
      <w:marLeft w:val="0"/>
      <w:marRight w:val="0"/>
      <w:marTop w:val="0"/>
      <w:marBottom w:val="60"/>
      <w:divBdr>
        <w:top w:val="none" w:sz="0" w:space="0" w:color="auto"/>
        <w:left w:val="none" w:sz="0" w:space="0" w:color="auto"/>
        <w:bottom w:val="none" w:sz="0" w:space="0" w:color="auto"/>
        <w:right w:val="none" w:sz="0" w:space="0" w:color="auto"/>
      </w:divBdr>
    </w:div>
    <w:div w:id="570163882">
      <w:marLeft w:val="0"/>
      <w:marRight w:val="0"/>
      <w:marTop w:val="180"/>
      <w:marBottom w:val="180"/>
      <w:divBdr>
        <w:top w:val="none" w:sz="0" w:space="0" w:color="auto"/>
        <w:left w:val="none" w:sz="0" w:space="0" w:color="auto"/>
        <w:bottom w:val="none" w:sz="0" w:space="0" w:color="auto"/>
        <w:right w:val="none" w:sz="0" w:space="0" w:color="auto"/>
      </w:divBdr>
    </w:div>
    <w:div w:id="570891708">
      <w:marLeft w:val="0"/>
      <w:marRight w:val="0"/>
      <w:marTop w:val="0"/>
      <w:marBottom w:val="240"/>
      <w:divBdr>
        <w:top w:val="none" w:sz="0" w:space="0" w:color="auto"/>
        <w:left w:val="none" w:sz="0" w:space="0" w:color="auto"/>
        <w:bottom w:val="none" w:sz="0" w:space="0" w:color="auto"/>
        <w:right w:val="none" w:sz="0" w:space="0" w:color="auto"/>
      </w:divBdr>
    </w:div>
    <w:div w:id="570963906">
      <w:marLeft w:val="0"/>
      <w:marRight w:val="0"/>
      <w:marTop w:val="0"/>
      <w:marBottom w:val="0"/>
      <w:divBdr>
        <w:top w:val="none" w:sz="0" w:space="0" w:color="auto"/>
        <w:left w:val="none" w:sz="0" w:space="0" w:color="auto"/>
        <w:bottom w:val="none" w:sz="0" w:space="0" w:color="auto"/>
        <w:right w:val="none" w:sz="0" w:space="0" w:color="auto"/>
      </w:divBdr>
      <w:divsChild>
        <w:div w:id="1584488229">
          <w:marLeft w:val="0"/>
          <w:marRight w:val="0"/>
          <w:marTop w:val="0"/>
          <w:marBottom w:val="0"/>
          <w:divBdr>
            <w:top w:val="none" w:sz="0" w:space="0" w:color="auto"/>
            <w:left w:val="none" w:sz="0" w:space="0" w:color="auto"/>
            <w:bottom w:val="none" w:sz="0" w:space="0" w:color="auto"/>
            <w:right w:val="none" w:sz="0" w:space="0" w:color="auto"/>
          </w:divBdr>
        </w:div>
      </w:divsChild>
    </w:div>
    <w:div w:id="571698296">
      <w:marLeft w:val="0"/>
      <w:marRight w:val="0"/>
      <w:marTop w:val="180"/>
      <w:marBottom w:val="180"/>
      <w:divBdr>
        <w:top w:val="none" w:sz="0" w:space="0" w:color="auto"/>
        <w:left w:val="none" w:sz="0" w:space="0" w:color="auto"/>
        <w:bottom w:val="none" w:sz="0" w:space="0" w:color="auto"/>
        <w:right w:val="none" w:sz="0" w:space="0" w:color="auto"/>
      </w:divBdr>
    </w:div>
    <w:div w:id="572466865">
      <w:marLeft w:val="0"/>
      <w:marRight w:val="0"/>
      <w:marTop w:val="0"/>
      <w:marBottom w:val="180"/>
      <w:divBdr>
        <w:top w:val="none" w:sz="0" w:space="0" w:color="auto"/>
        <w:left w:val="none" w:sz="0" w:space="0" w:color="auto"/>
        <w:bottom w:val="none" w:sz="0" w:space="0" w:color="auto"/>
        <w:right w:val="none" w:sz="0" w:space="0" w:color="auto"/>
      </w:divBdr>
    </w:div>
    <w:div w:id="572545173">
      <w:marLeft w:val="0"/>
      <w:marRight w:val="0"/>
      <w:marTop w:val="0"/>
      <w:marBottom w:val="180"/>
      <w:divBdr>
        <w:top w:val="none" w:sz="0" w:space="0" w:color="auto"/>
        <w:left w:val="none" w:sz="0" w:space="0" w:color="auto"/>
        <w:bottom w:val="none" w:sz="0" w:space="0" w:color="auto"/>
        <w:right w:val="none" w:sz="0" w:space="0" w:color="auto"/>
      </w:divBdr>
    </w:div>
    <w:div w:id="572855011">
      <w:marLeft w:val="0"/>
      <w:marRight w:val="0"/>
      <w:marTop w:val="180"/>
      <w:marBottom w:val="180"/>
      <w:divBdr>
        <w:top w:val="none" w:sz="0" w:space="0" w:color="auto"/>
        <w:left w:val="none" w:sz="0" w:space="0" w:color="auto"/>
        <w:bottom w:val="none" w:sz="0" w:space="0" w:color="auto"/>
        <w:right w:val="none" w:sz="0" w:space="0" w:color="auto"/>
      </w:divBdr>
    </w:div>
    <w:div w:id="573660278">
      <w:marLeft w:val="0"/>
      <w:marRight w:val="0"/>
      <w:marTop w:val="0"/>
      <w:marBottom w:val="240"/>
      <w:divBdr>
        <w:top w:val="none" w:sz="0" w:space="0" w:color="auto"/>
        <w:left w:val="none" w:sz="0" w:space="0" w:color="auto"/>
        <w:bottom w:val="none" w:sz="0" w:space="0" w:color="auto"/>
        <w:right w:val="none" w:sz="0" w:space="0" w:color="auto"/>
      </w:divBdr>
    </w:div>
    <w:div w:id="574047478">
      <w:marLeft w:val="0"/>
      <w:marRight w:val="0"/>
      <w:marTop w:val="120"/>
      <w:marBottom w:val="120"/>
      <w:divBdr>
        <w:top w:val="none" w:sz="0" w:space="0" w:color="auto"/>
        <w:left w:val="none" w:sz="0" w:space="0" w:color="auto"/>
        <w:bottom w:val="none" w:sz="0" w:space="0" w:color="auto"/>
        <w:right w:val="none" w:sz="0" w:space="0" w:color="auto"/>
      </w:divBdr>
    </w:div>
    <w:div w:id="574321851">
      <w:marLeft w:val="0"/>
      <w:marRight w:val="0"/>
      <w:marTop w:val="100"/>
      <w:marBottom w:val="0"/>
      <w:divBdr>
        <w:top w:val="none" w:sz="0" w:space="0" w:color="auto"/>
        <w:left w:val="none" w:sz="0" w:space="0" w:color="auto"/>
        <w:bottom w:val="none" w:sz="0" w:space="0" w:color="auto"/>
        <w:right w:val="none" w:sz="0" w:space="0" w:color="auto"/>
      </w:divBdr>
    </w:div>
    <w:div w:id="575552370">
      <w:marLeft w:val="0"/>
      <w:marRight w:val="0"/>
      <w:marTop w:val="0"/>
      <w:marBottom w:val="180"/>
      <w:divBdr>
        <w:top w:val="none" w:sz="0" w:space="0" w:color="auto"/>
        <w:left w:val="none" w:sz="0" w:space="0" w:color="auto"/>
        <w:bottom w:val="none" w:sz="0" w:space="0" w:color="auto"/>
        <w:right w:val="none" w:sz="0" w:space="0" w:color="auto"/>
      </w:divBdr>
    </w:div>
    <w:div w:id="575558295">
      <w:marLeft w:val="0"/>
      <w:marRight w:val="0"/>
      <w:marTop w:val="180"/>
      <w:marBottom w:val="0"/>
      <w:divBdr>
        <w:top w:val="none" w:sz="0" w:space="0" w:color="auto"/>
        <w:left w:val="none" w:sz="0" w:space="0" w:color="auto"/>
        <w:bottom w:val="none" w:sz="0" w:space="0" w:color="auto"/>
        <w:right w:val="none" w:sz="0" w:space="0" w:color="auto"/>
      </w:divBdr>
    </w:div>
    <w:div w:id="576788889">
      <w:marLeft w:val="0"/>
      <w:marRight w:val="0"/>
      <w:marTop w:val="0"/>
      <w:marBottom w:val="240"/>
      <w:divBdr>
        <w:top w:val="none" w:sz="0" w:space="0" w:color="auto"/>
        <w:left w:val="none" w:sz="0" w:space="0" w:color="auto"/>
        <w:bottom w:val="none" w:sz="0" w:space="0" w:color="auto"/>
        <w:right w:val="none" w:sz="0" w:space="0" w:color="auto"/>
      </w:divBdr>
    </w:div>
    <w:div w:id="577329086">
      <w:marLeft w:val="0"/>
      <w:marRight w:val="0"/>
      <w:marTop w:val="180"/>
      <w:marBottom w:val="180"/>
      <w:divBdr>
        <w:top w:val="none" w:sz="0" w:space="0" w:color="auto"/>
        <w:left w:val="none" w:sz="0" w:space="0" w:color="auto"/>
        <w:bottom w:val="none" w:sz="0" w:space="0" w:color="auto"/>
        <w:right w:val="none" w:sz="0" w:space="0" w:color="auto"/>
      </w:divBdr>
    </w:div>
    <w:div w:id="577903424">
      <w:marLeft w:val="0"/>
      <w:marRight w:val="0"/>
      <w:marTop w:val="0"/>
      <w:marBottom w:val="240"/>
      <w:divBdr>
        <w:top w:val="none" w:sz="0" w:space="0" w:color="auto"/>
        <w:left w:val="none" w:sz="0" w:space="0" w:color="auto"/>
        <w:bottom w:val="none" w:sz="0" w:space="0" w:color="auto"/>
        <w:right w:val="none" w:sz="0" w:space="0" w:color="auto"/>
      </w:divBdr>
    </w:div>
    <w:div w:id="578489588">
      <w:marLeft w:val="0"/>
      <w:marRight w:val="0"/>
      <w:marTop w:val="0"/>
      <w:marBottom w:val="180"/>
      <w:divBdr>
        <w:top w:val="none" w:sz="0" w:space="0" w:color="auto"/>
        <w:left w:val="none" w:sz="0" w:space="0" w:color="auto"/>
        <w:bottom w:val="none" w:sz="0" w:space="0" w:color="auto"/>
        <w:right w:val="none" w:sz="0" w:space="0" w:color="auto"/>
      </w:divBdr>
    </w:div>
    <w:div w:id="578514689">
      <w:marLeft w:val="0"/>
      <w:marRight w:val="0"/>
      <w:marTop w:val="0"/>
      <w:marBottom w:val="180"/>
      <w:divBdr>
        <w:top w:val="none" w:sz="0" w:space="0" w:color="auto"/>
        <w:left w:val="none" w:sz="0" w:space="0" w:color="auto"/>
        <w:bottom w:val="none" w:sz="0" w:space="0" w:color="auto"/>
        <w:right w:val="none" w:sz="0" w:space="0" w:color="auto"/>
      </w:divBdr>
    </w:div>
    <w:div w:id="579489546">
      <w:marLeft w:val="0"/>
      <w:marRight w:val="0"/>
      <w:marTop w:val="0"/>
      <w:marBottom w:val="240"/>
      <w:divBdr>
        <w:top w:val="none" w:sz="0" w:space="0" w:color="auto"/>
        <w:left w:val="none" w:sz="0" w:space="0" w:color="auto"/>
        <w:bottom w:val="none" w:sz="0" w:space="0" w:color="auto"/>
        <w:right w:val="none" w:sz="0" w:space="0" w:color="auto"/>
      </w:divBdr>
    </w:div>
    <w:div w:id="580525462">
      <w:marLeft w:val="0"/>
      <w:marRight w:val="0"/>
      <w:marTop w:val="0"/>
      <w:marBottom w:val="0"/>
      <w:divBdr>
        <w:top w:val="none" w:sz="0" w:space="0" w:color="auto"/>
        <w:left w:val="none" w:sz="0" w:space="0" w:color="auto"/>
        <w:bottom w:val="none" w:sz="0" w:space="0" w:color="auto"/>
        <w:right w:val="none" w:sz="0" w:space="0" w:color="auto"/>
      </w:divBdr>
      <w:divsChild>
        <w:div w:id="907688424">
          <w:marLeft w:val="0"/>
          <w:marRight w:val="0"/>
          <w:marTop w:val="0"/>
          <w:marBottom w:val="0"/>
          <w:divBdr>
            <w:top w:val="none" w:sz="0" w:space="0" w:color="auto"/>
            <w:left w:val="none" w:sz="0" w:space="0" w:color="auto"/>
            <w:bottom w:val="none" w:sz="0" w:space="0" w:color="auto"/>
            <w:right w:val="none" w:sz="0" w:space="0" w:color="auto"/>
          </w:divBdr>
        </w:div>
      </w:divsChild>
    </w:div>
    <w:div w:id="580605461">
      <w:marLeft w:val="0"/>
      <w:marRight w:val="0"/>
      <w:marTop w:val="0"/>
      <w:marBottom w:val="0"/>
      <w:divBdr>
        <w:top w:val="none" w:sz="0" w:space="0" w:color="auto"/>
        <w:left w:val="none" w:sz="0" w:space="0" w:color="auto"/>
        <w:bottom w:val="none" w:sz="0" w:space="0" w:color="auto"/>
        <w:right w:val="none" w:sz="0" w:space="0" w:color="auto"/>
      </w:divBdr>
    </w:div>
    <w:div w:id="580723471">
      <w:marLeft w:val="0"/>
      <w:marRight w:val="0"/>
      <w:marTop w:val="180"/>
      <w:marBottom w:val="180"/>
      <w:divBdr>
        <w:top w:val="none" w:sz="0" w:space="0" w:color="auto"/>
        <w:left w:val="none" w:sz="0" w:space="0" w:color="auto"/>
        <w:bottom w:val="none" w:sz="0" w:space="0" w:color="auto"/>
        <w:right w:val="none" w:sz="0" w:space="0" w:color="auto"/>
      </w:divBdr>
    </w:div>
    <w:div w:id="582496267">
      <w:marLeft w:val="0"/>
      <w:marRight w:val="0"/>
      <w:marTop w:val="0"/>
      <w:marBottom w:val="0"/>
      <w:divBdr>
        <w:top w:val="none" w:sz="0" w:space="0" w:color="auto"/>
        <w:left w:val="none" w:sz="0" w:space="0" w:color="auto"/>
        <w:bottom w:val="none" w:sz="0" w:space="0" w:color="auto"/>
        <w:right w:val="none" w:sz="0" w:space="0" w:color="auto"/>
      </w:divBdr>
    </w:div>
    <w:div w:id="582689644">
      <w:marLeft w:val="0"/>
      <w:marRight w:val="0"/>
      <w:marTop w:val="60"/>
      <w:marBottom w:val="60"/>
      <w:divBdr>
        <w:top w:val="none" w:sz="0" w:space="0" w:color="auto"/>
        <w:left w:val="none" w:sz="0" w:space="0" w:color="auto"/>
        <w:bottom w:val="none" w:sz="0" w:space="0" w:color="auto"/>
        <w:right w:val="none" w:sz="0" w:space="0" w:color="auto"/>
      </w:divBdr>
    </w:div>
    <w:div w:id="584074946">
      <w:marLeft w:val="0"/>
      <w:marRight w:val="0"/>
      <w:marTop w:val="0"/>
      <w:marBottom w:val="240"/>
      <w:divBdr>
        <w:top w:val="none" w:sz="0" w:space="0" w:color="auto"/>
        <w:left w:val="none" w:sz="0" w:space="0" w:color="auto"/>
        <w:bottom w:val="none" w:sz="0" w:space="0" w:color="auto"/>
        <w:right w:val="none" w:sz="0" w:space="0" w:color="auto"/>
      </w:divBdr>
    </w:div>
    <w:div w:id="586495771">
      <w:marLeft w:val="0"/>
      <w:marRight w:val="0"/>
      <w:marTop w:val="0"/>
      <w:marBottom w:val="0"/>
      <w:divBdr>
        <w:top w:val="none" w:sz="0" w:space="0" w:color="auto"/>
        <w:left w:val="none" w:sz="0" w:space="0" w:color="auto"/>
        <w:bottom w:val="none" w:sz="0" w:space="0" w:color="auto"/>
        <w:right w:val="none" w:sz="0" w:space="0" w:color="auto"/>
      </w:divBdr>
    </w:div>
    <w:div w:id="586500789">
      <w:marLeft w:val="0"/>
      <w:marRight w:val="0"/>
      <w:marTop w:val="180"/>
      <w:marBottom w:val="180"/>
      <w:divBdr>
        <w:top w:val="none" w:sz="0" w:space="0" w:color="auto"/>
        <w:left w:val="none" w:sz="0" w:space="0" w:color="auto"/>
        <w:bottom w:val="none" w:sz="0" w:space="0" w:color="auto"/>
        <w:right w:val="none" w:sz="0" w:space="0" w:color="auto"/>
      </w:divBdr>
    </w:div>
    <w:div w:id="586891324">
      <w:marLeft w:val="0"/>
      <w:marRight w:val="0"/>
      <w:marTop w:val="0"/>
      <w:marBottom w:val="0"/>
      <w:divBdr>
        <w:top w:val="none" w:sz="0" w:space="0" w:color="auto"/>
        <w:left w:val="none" w:sz="0" w:space="0" w:color="auto"/>
        <w:bottom w:val="none" w:sz="0" w:space="0" w:color="auto"/>
        <w:right w:val="none" w:sz="0" w:space="0" w:color="auto"/>
      </w:divBdr>
      <w:divsChild>
        <w:div w:id="2118675094">
          <w:marLeft w:val="0"/>
          <w:marRight w:val="0"/>
          <w:marTop w:val="0"/>
          <w:marBottom w:val="0"/>
          <w:divBdr>
            <w:top w:val="none" w:sz="0" w:space="0" w:color="auto"/>
            <w:left w:val="none" w:sz="0" w:space="0" w:color="auto"/>
            <w:bottom w:val="none" w:sz="0" w:space="0" w:color="auto"/>
            <w:right w:val="none" w:sz="0" w:space="0" w:color="auto"/>
          </w:divBdr>
        </w:div>
      </w:divsChild>
    </w:div>
    <w:div w:id="587078907">
      <w:marLeft w:val="0"/>
      <w:marRight w:val="0"/>
      <w:marTop w:val="180"/>
      <w:marBottom w:val="180"/>
      <w:divBdr>
        <w:top w:val="none" w:sz="0" w:space="0" w:color="auto"/>
        <w:left w:val="none" w:sz="0" w:space="0" w:color="auto"/>
        <w:bottom w:val="none" w:sz="0" w:space="0" w:color="auto"/>
        <w:right w:val="none" w:sz="0" w:space="0" w:color="auto"/>
      </w:divBdr>
    </w:div>
    <w:div w:id="588778458">
      <w:marLeft w:val="0"/>
      <w:marRight w:val="0"/>
      <w:marTop w:val="0"/>
      <w:marBottom w:val="240"/>
      <w:divBdr>
        <w:top w:val="none" w:sz="0" w:space="0" w:color="auto"/>
        <w:left w:val="none" w:sz="0" w:space="0" w:color="auto"/>
        <w:bottom w:val="none" w:sz="0" w:space="0" w:color="auto"/>
        <w:right w:val="none" w:sz="0" w:space="0" w:color="auto"/>
      </w:divBdr>
    </w:div>
    <w:div w:id="589044011">
      <w:marLeft w:val="0"/>
      <w:marRight w:val="0"/>
      <w:marTop w:val="0"/>
      <w:marBottom w:val="0"/>
      <w:divBdr>
        <w:top w:val="none" w:sz="0" w:space="0" w:color="auto"/>
        <w:left w:val="none" w:sz="0" w:space="0" w:color="auto"/>
        <w:bottom w:val="none" w:sz="0" w:space="0" w:color="auto"/>
        <w:right w:val="none" w:sz="0" w:space="0" w:color="auto"/>
      </w:divBdr>
      <w:divsChild>
        <w:div w:id="860244394">
          <w:marLeft w:val="0"/>
          <w:marRight w:val="0"/>
          <w:marTop w:val="0"/>
          <w:marBottom w:val="0"/>
          <w:divBdr>
            <w:top w:val="none" w:sz="0" w:space="0" w:color="auto"/>
            <w:left w:val="none" w:sz="0" w:space="0" w:color="auto"/>
            <w:bottom w:val="none" w:sz="0" w:space="0" w:color="auto"/>
            <w:right w:val="none" w:sz="0" w:space="0" w:color="auto"/>
          </w:divBdr>
        </w:div>
      </w:divsChild>
    </w:div>
    <w:div w:id="589195492">
      <w:marLeft w:val="0"/>
      <w:marRight w:val="0"/>
      <w:marTop w:val="0"/>
      <w:marBottom w:val="180"/>
      <w:divBdr>
        <w:top w:val="none" w:sz="0" w:space="0" w:color="auto"/>
        <w:left w:val="none" w:sz="0" w:space="0" w:color="auto"/>
        <w:bottom w:val="none" w:sz="0" w:space="0" w:color="auto"/>
        <w:right w:val="none" w:sz="0" w:space="0" w:color="auto"/>
      </w:divBdr>
    </w:div>
    <w:div w:id="590503476">
      <w:marLeft w:val="0"/>
      <w:marRight w:val="0"/>
      <w:marTop w:val="0"/>
      <w:marBottom w:val="240"/>
      <w:divBdr>
        <w:top w:val="none" w:sz="0" w:space="0" w:color="auto"/>
        <w:left w:val="none" w:sz="0" w:space="0" w:color="auto"/>
        <w:bottom w:val="none" w:sz="0" w:space="0" w:color="auto"/>
        <w:right w:val="none" w:sz="0" w:space="0" w:color="auto"/>
      </w:divBdr>
    </w:div>
    <w:div w:id="590550491">
      <w:marLeft w:val="0"/>
      <w:marRight w:val="0"/>
      <w:marTop w:val="0"/>
      <w:marBottom w:val="180"/>
      <w:divBdr>
        <w:top w:val="none" w:sz="0" w:space="0" w:color="auto"/>
        <w:left w:val="none" w:sz="0" w:space="0" w:color="auto"/>
        <w:bottom w:val="none" w:sz="0" w:space="0" w:color="auto"/>
        <w:right w:val="none" w:sz="0" w:space="0" w:color="auto"/>
      </w:divBdr>
    </w:div>
    <w:div w:id="591476028">
      <w:marLeft w:val="0"/>
      <w:marRight w:val="0"/>
      <w:marTop w:val="0"/>
      <w:marBottom w:val="0"/>
      <w:divBdr>
        <w:top w:val="none" w:sz="0" w:space="0" w:color="auto"/>
        <w:left w:val="none" w:sz="0" w:space="0" w:color="auto"/>
        <w:bottom w:val="none" w:sz="0" w:space="0" w:color="auto"/>
        <w:right w:val="none" w:sz="0" w:space="0" w:color="auto"/>
      </w:divBdr>
      <w:divsChild>
        <w:div w:id="1668441386">
          <w:marLeft w:val="0"/>
          <w:marRight w:val="0"/>
          <w:marTop w:val="0"/>
          <w:marBottom w:val="0"/>
          <w:divBdr>
            <w:top w:val="none" w:sz="0" w:space="0" w:color="auto"/>
            <w:left w:val="none" w:sz="0" w:space="0" w:color="auto"/>
            <w:bottom w:val="none" w:sz="0" w:space="0" w:color="auto"/>
            <w:right w:val="none" w:sz="0" w:space="0" w:color="auto"/>
          </w:divBdr>
        </w:div>
      </w:divsChild>
    </w:div>
    <w:div w:id="591935265">
      <w:marLeft w:val="0"/>
      <w:marRight w:val="0"/>
      <w:marTop w:val="100"/>
      <w:marBottom w:val="0"/>
      <w:divBdr>
        <w:top w:val="none" w:sz="0" w:space="0" w:color="auto"/>
        <w:left w:val="none" w:sz="0" w:space="0" w:color="auto"/>
        <w:bottom w:val="none" w:sz="0" w:space="0" w:color="auto"/>
        <w:right w:val="none" w:sz="0" w:space="0" w:color="auto"/>
      </w:divBdr>
    </w:div>
    <w:div w:id="592206600">
      <w:marLeft w:val="0"/>
      <w:marRight w:val="0"/>
      <w:marTop w:val="0"/>
      <w:marBottom w:val="0"/>
      <w:divBdr>
        <w:top w:val="none" w:sz="0" w:space="0" w:color="auto"/>
        <w:left w:val="none" w:sz="0" w:space="0" w:color="auto"/>
        <w:bottom w:val="none" w:sz="0" w:space="0" w:color="auto"/>
        <w:right w:val="none" w:sz="0" w:space="0" w:color="auto"/>
      </w:divBdr>
    </w:div>
    <w:div w:id="593054919">
      <w:marLeft w:val="0"/>
      <w:marRight w:val="0"/>
      <w:marTop w:val="0"/>
      <w:marBottom w:val="0"/>
      <w:divBdr>
        <w:top w:val="none" w:sz="0" w:space="0" w:color="auto"/>
        <w:left w:val="none" w:sz="0" w:space="0" w:color="auto"/>
        <w:bottom w:val="none" w:sz="0" w:space="0" w:color="auto"/>
        <w:right w:val="none" w:sz="0" w:space="0" w:color="auto"/>
      </w:divBdr>
      <w:divsChild>
        <w:div w:id="908268866">
          <w:marLeft w:val="0"/>
          <w:marRight w:val="0"/>
          <w:marTop w:val="0"/>
          <w:marBottom w:val="0"/>
          <w:divBdr>
            <w:top w:val="none" w:sz="0" w:space="0" w:color="auto"/>
            <w:left w:val="none" w:sz="0" w:space="0" w:color="auto"/>
            <w:bottom w:val="none" w:sz="0" w:space="0" w:color="auto"/>
            <w:right w:val="none" w:sz="0" w:space="0" w:color="auto"/>
          </w:divBdr>
        </w:div>
      </w:divsChild>
    </w:div>
    <w:div w:id="593829658">
      <w:marLeft w:val="0"/>
      <w:marRight w:val="0"/>
      <w:marTop w:val="0"/>
      <w:marBottom w:val="240"/>
      <w:divBdr>
        <w:top w:val="none" w:sz="0" w:space="0" w:color="auto"/>
        <w:left w:val="none" w:sz="0" w:space="0" w:color="auto"/>
        <w:bottom w:val="none" w:sz="0" w:space="0" w:color="auto"/>
        <w:right w:val="none" w:sz="0" w:space="0" w:color="auto"/>
      </w:divBdr>
    </w:div>
    <w:div w:id="594674087">
      <w:marLeft w:val="0"/>
      <w:marRight w:val="0"/>
      <w:marTop w:val="0"/>
      <w:marBottom w:val="180"/>
      <w:divBdr>
        <w:top w:val="none" w:sz="0" w:space="0" w:color="auto"/>
        <w:left w:val="none" w:sz="0" w:space="0" w:color="auto"/>
        <w:bottom w:val="none" w:sz="0" w:space="0" w:color="auto"/>
        <w:right w:val="none" w:sz="0" w:space="0" w:color="auto"/>
      </w:divBdr>
    </w:div>
    <w:div w:id="596400913">
      <w:marLeft w:val="0"/>
      <w:marRight w:val="0"/>
      <w:marTop w:val="120"/>
      <w:marBottom w:val="120"/>
      <w:divBdr>
        <w:top w:val="none" w:sz="0" w:space="0" w:color="auto"/>
        <w:left w:val="none" w:sz="0" w:space="0" w:color="auto"/>
        <w:bottom w:val="none" w:sz="0" w:space="0" w:color="auto"/>
        <w:right w:val="none" w:sz="0" w:space="0" w:color="auto"/>
      </w:divBdr>
    </w:div>
    <w:div w:id="597179707">
      <w:marLeft w:val="0"/>
      <w:marRight w:val="0"/>
      <w:marTop w:val="0"/>
      <w:marBottom w:val="240"/>
      <w:divBdr>
        <w:top w:val="none" w:sz="0" w:space="0" w:color="auto"/>
        <w:left w:val="none" w:sz="0" w:space="0" w:color="auto"/>
        <w:bottom w:val="none" w:sz="0" w:space="0" w:color="auto"/>
        <w:right w:val="none" w:sz="0" w:space="0" w:color="auto"/>
      </w:divBdr>
    </w:div>
    <w:div w:id="597446824">
      <w:marLeft w:val="0"/>
      <w:marRight w:val="0"/>
      <w:marTop w:val="0"/>
      <w:marBottom w:val="180"/>
      <w:divBdr>
        <w:top w:val="none" w:sz="0" w:space="0" w:color="auto"/>
        <w:left w:val="none" w:sz="0" w:space="0" w:color="auto"/>
        <w:bottom w:val="none" w:sz="0" w:space="0" w:color="auto"/>
        <w:right w:val="none" w:sz="0" w:space="0" w:color="auto"/>
      </w:divBdr>
    </w:div>
    <w:div w:id="599222839">
      <w:marLeft w:val="0"/>
      <w:marRight w:val="0"/>
      <w:marTop w:val="100"/>
      <w:marBottom w:val="0"/>
      <w:divBdr>
        <w:top w:val="none" w:sz="0" w:space="0" w:color="auto"/>
        <w:left w:val="none" w:sz="0" w:space="0" w:color="auto"/>
        <w:bottom w:val="none" w:sz="0" w:space="0" w:color="auto"/>
        <w:right w:val="none" w:sz="0" w:space="0" w:color="auto"/>
      </w:divBdr>
      <w:divsChild>
        <w:div w:id="38939846">
          <w:marLeft w:val="0"/>
          <w:marRight w:val="0"/>
          <w:marTop w:val="0"/>
          <w:marBottom w:val="0"/>
          <w:divBdr>
            <w:top w:val="none" w:sz="0" w:space="0" w:color="auto"/>
            <w:left w:val="none" w:sz="0" w:space="0" w:color="auto"/>
            <w:bottom w:val="none" w:sz="0" w:space="0" w:color="auto"/>
            <w:right w:val="none" w:sz="0" w:space="0" w:color="auto"/>
          </w:divBdr>
        </w:div>
        <w:div w:id="839852346">
          <w:marLeft w:val="0"/>
          <w:marRight w:val="0"/>
          <w:marTop w:val="0"/>
          <w:marBottom w:val="0"/>
          <w:divBdr>
            <w:top w:val="none" w:sz="0" w:space="0" w:color="auto"/>
            <w:left w:val="none" w:sz="0" w:space="0" w:color="auto"/>
            <w:bottom w:val="none" w:sz="0" w:space="0" w:color="auto"/>
            <w:right w:val="none" w:sz="0" w:space="0" w:color="auto"/>
          </w:divBdr>
        </w:div>
        <w:div w:id="1257012924">
          <w:marLeft w:val="0"/>
          <w:marRight w:val="0"/>
          <w:marTop w:val="0"/>
          <w:marBottom w:val="0"/>
          <w:divBdr>
            <w:top w:val="none" w:sz="0" w:space="0" w:color="auto"/>
            <w:left w:val="none" w:sz="0" w:space="0" w:color="auto"/>
            <w:bottom w:val="none" w:sz="0" w:space="0" w:color="auto"/>
            <w:right w:val="none" w:sz="0" w:space="0" w:color="auto"/>
          </w:divBdr>
        </w:div>
        <w:div w:id="746194387">
          <w:marLeft w:val="0"/>
          <w:marRight w:val="0"/>
          <w:marTop w:val="0"/>
          <w:marBottom w:val="0"/>
          <w:divBdr>
            <w:top w:val="none" w:sz="0" w:space="0" w:color="auto"/>
            <w:left w:val="none" w:sz="0" w:space="0" w:color="auto"/>
            <w:bottom w:val="none" w:sz="0" w:space="0" w:color="auto"/>
            <w:right w:val="none" w:sz="0" w:space="0" w:color="auto"/>
          </w:divBdr>
        </w:div>
        <w:div w:id="2118788829">
          <w:marLeft w:val="0"/>
          <w:marRight w:val="0"/>
          <w:marTop w:val="0"/>
          <w:marBottom w:val="0"/>
          <w:divBdr>
            <w:top w:val="none" w:sz="0" w:space="0" w:color="auto"/>
            <w:left w:val="none" w:sz="0" w:space="0" w:color="auto"/>
            <w:bottom w:val="none" w:sz="0" w:space="0" w:color="auto"/>
            <w:right w:val="none" w:sz="0" w:space="0" w:color="auto"/>
          </w:divBdr>
        </w:div>
      </w:divsChild>
    </w:div>
    <w:div w:id="599752385">
      <w:marLeft w:val="0"/>
      <w:marRight w:val="0"/>
      <w:marTop w:val="180"/>
      <w:marBottom w:val="0"/>
      <w:divBdr>
        <w:top w:val="none" w:sz="0" w:space="0" w:color="auto"/>
        <w:left w:val="none" w:sz="0" w:space="0" w:color="auto"/>
        <w:bottom w:val="none" w:sz="0" w:space="0" w:color="auto"/>
        <w:right w:val="none" w:sz="0" w:space="0" w:color="auto"/>
      </w:divBdr>
    </w:div>
    <w:div w:id="599798029">
      <w:marLeft w:val="0"/>
      <w:marRight w:val="0"/>
      <w:marTop w:val="0"/>
      <w:marBottom w:val="0"/>
      <w:divBdr>
        <w:top w:val="none" w:sz="0" w:space="0" w:color="auto"/>
        <w:left w:val="none" w:sz="0" w:space="0" w:color="auto"/>
        <w:bottom w:val="none" w:sz="0" w:space="0" w:color="auto"/>
        <w:right w:val="none" w:sz="0" w:space="0" w:color="auto"/>
      </w:divBdr>
      <w:divsChild>
        <w:div w:id="987436578">
          <w:marLeft w:val="0"/>
          <w:marRight w:val="0"/>
          <w:marTop w:val="0"/>
          <w:marBottom w:val="0"/>
          <w:divBdr>
            <w:top w:val="none" w:sz="0" w:space="0" w:color="auto"/>
            <w:left w:val="none" w:sz="0" w:space="0" w:color="auto"/>
            <w:bottom w:val="none" w:sz="0" w:space="0" w:color="auto"/>
            <w:right w:val="none" w:sz="0" w:space="0" w:color="auto"/>
          </w:divBdr>
        </w:div>
      </w:divsChild>
    </w:div>
    <w:div w:id="600649408">
      <w:marLeft w:val="0"/>
      <w:marRight w:val="0"/>
      <w:marTop w:val="100"/>
      <w:marBottom w:val="0"/>
      <w:divBdr>
        <w:top w:val="none" w:sz="0" w:space="0" w:color="auto"/>
        <w:left w:val="none" w:sz="0" w:space="0" w:color="auto"/>
        <w:bottom w:val="none" w:sz="0" w:space="0" w:color="auto"/>
        <w:right w:val="none" w:sz="0" w:space="0" w:color="auto"/>
      </w:divBdr>
      <w:divsChild>
        <w:div w:id="228998301">
          <w:marLeft w:val="0"/>
          <w:marRight w:val="0"/>
          <w:marTop w:val="0"/>
          <w:marBottom w:val="0"/>
          <w:divBdr>
            <w:top w:val="none" w:sz="0" w:space="0" w:color="auto"/>
            <w:left w:val="none" w:sz="0" w:space="0" w:color="auto"/>
            <w:bottom w:val="none" w:sz="0" w:space="0" w:color="auto"/>
            <w:right w:val="none" w:sz="0" w:space="0" w:color="auto"/>
          </w:divBdr>
        </w:div>
      </w:divsChild>
    </w:div>
    <w:div w:id="601227955">
      <w:marLeft w:val="0"/>
      <w:marRight w:val="0"/>
      <w:marTop w:val="180"/>
      <w:marBottom w:val="180"/>
      <w:divBdr>
        <w:top w:val="none" w:sz="0" w:space="0" w:color="auto"/>
        <w:left w:val="none" w:sz="0" w:space="0" w:color="auto"/>
        <w:bottom w:val="none" w:sz="0" w:space="0" w:color="auto"/>
        <w:right w:val="none" w:sz="0" w:space="0" w:color="auto"/>
      </w:divBdr>
    </w:div>
    <w:div w:id="602693415">
      <w:marLeft w:val="0"/>
      <w:marRight w:val="0"/>
      <w:marTop w:val="180"/>
      <w:marBottom w:val="180"/>
      <w:divBdr>
        <w:top w:val="none" w:sz="0" w:space="0" w:color="auto"/>
        <w:left w:val="none" w:sz="0" w:space="0" w:color="auto"/>
        <w:bottom w:val="none" w:sz="0" w:space="0" w:color="auto"/>
        <w:right w:val="none" w:sz="0" w:space="0" w:color="auto"/>
      </w:divBdr>
    </w:div>
    <w:div w:id="603076573">
      <w:marLeft w:val="0"/>
      <w:marRight w:val="0"/>
      <w:marTop w:val="0"/>
      <w:marBottom w:val="240"/>
      <w:divBdr>
        <w:top w:val="none" w:sz="0" w:space="0" w:color="auto"/>
        <w:left w:val="none" w:sz="0" w:space="0" w:color="auto"/>
        <w:bottom w:val="none" w:sz="0" w:space="0" w:color="auto"/>
        <w:right w:val="none" w:sz="0" w:space="0" w:color="auto"/>
      </w:divBdr>
    </w:div>
    <w:div w:id="604074898">
      <w:marLeft w:val="0"/>
      <w:marRight w:val="0"/>
      <w:marTop w:val="0"/>
      <w:marBottom w:val="0"/>
      <w:divBdr>
        <w:top w:val="none" w:sz="0" w:space="0" w:color="auto"/>
        <w:left w:val="none" w:sz="0" w:space="0" w:color="auto"/>
        <w:bottom w:val="none" w:sz="0" w:space="0" w:color="auto"/>
        <w:right w:val="none" w:sz="0" w:space="0" w:color="auto"/>
      </w:divBdr>
      <w:divsChild>
        <w:div w:id="1218669643">
          <w:marLeft w:val="0"/>
          <w:marRight w:val="0"/>
          <w:marTop w:val="0"/>
          <w:marBottom w:val="0"/>
          <w:divBdr>
            <w:top w:val="none" w:sz="0" w:space="0" w:color="auto"/>
            <w:left w:val="none" w:sz="0" w:space="0" w:color="auto"/>
            <w:bottom w:val="none" w:sz="0" w:space="0" w:color="auto"/>
            <w:right w:val="none" w:sz="0" w:space="0" w:color="auto"/>
          </w:divBdr>
        </w:div>
      </w:divsChild>
    </w:div>
    <w:div w:id="604533131">
      <w:marLeft w:val="0"/>
      <w:marRight w:val="0"/>
      <w:marTop w:val="0"/>
      <w:marBottom w:val="240"/>
      <w:divBdr>
        <w:top w:val="none" w:sz="0" w:space="0" w:color="auto"/>
        <w:left w:val="none" w:sz="0" w:space="0" w:color="auto"/>
        <w:bottom w:val="none" w:sz="0" w:space="0" w:color="auto"/>
        <w:right w:val="none" w:sz="0" w:space="0" w:color="auto"/>
      </w:divBdr>
    </w:div>
    <w:div w:id="605776384">
      <w:marLeft w:val="0"/>
      <w:marRight w:val="0"/>
      <w:marTop w:val="0"/>
      <w:marBottom w:val="0"/>
      <w:divBdr>
        <w:top w:val="none" w:sz="0" w:space="0" w:color="auto"/>
        <w:left w:val="none" w:sz="0" w:space="0" w:color="auto"/>
        <w:bottom w:val="none" w:sz="0" w:space="0" w:color="auto"/>
        <w:right w:val="none" w:sz="0" w:space="0" w:color="auto"/>
      </w:divBdr>
    </w:div>
    <w:div w:id="605891418">
      <w:marLeft w:val="0"/>
      <w:marRight w:val="0"/>
      <w:marTop w:val="0"/>
      <w:marBottom w:val="180"/>
      <w:divBdr>
        <w:top w:val="none" w:sz="0" w:space="0" w:color="auto"/>
        <w:left w:val="none" w:sz="0" w:space="0" w:color="auto"/>
        <w:bottom w:val="none" w:sz="0" w:space="0" w:color="auto"/>
        <w:right w:val="none" w:sz="0" w:space="0" w:color="auto"/>
      </w:divBdr>
    </w:div>
    <w:div w:id="606815100">
      <w:marLeft w:val="0"/>
      <w:marRight w:val="0"/>
      <w:marTop w:val="0"/>
      <w:marBottom w:val="240"/>
      <w:divBdr>
        <w:top w:val="none" w:sz="0" w:space="0" w:color="auto"/>
        <w:left w:val="none" w:sz="0" w:space="0" w:color="auto"/>
        <w:bottom w:val="none" w:sz="0" w:space="0" w:color="auto"/>
        <w:right w:val="none" w:sz="0" w:space="0" w:color="auto"/>
      </w:divBdr>
    </w:div>
    <w:div w:id="607005880">
      <w:marLeft w:val="0"/>
      <w:marRight w:val="0"/>
      <w:marTop w:val="120"/>
      <w:marBottom w:val="120"/>
      <w:divBdr>
        <w:top w:val="none" w:sz="0" w:space="0" w:color="auto"/>
        <w:left w:val="none" w:sz="0" w:space="0" w:color="auto"/>
        <w:bottom w:val="none" w:sz="0" w:space="0" w:color="auto"/>
        <w:right w:val="none" w:sz="0" w:space="0" w:color="auto"/>
      </w:divBdr>
    </w:div>
    <w:div w:id="607156676">
      <w:marLeft w:val="0"/>
      <w:marRight w:val="0"/>
      <w:marTop w:val="0"/>
      <w:marBottom w:val="0"/>
      <w:divBdr>
        <w:top w:val="none" w:sz="0" w:space="0" w:color="auto"/>
        <w:left w:val="none" w:sz="0" w:space="0" w:color="auto"/>
        <w:bottom w:val="none" w:sz="0" w:space="0" w:color="auto"/>
        <w:right w:val="none" w:sz="0" w:space="0" w:color="auto"/>
      </w:divBdr>
    </w:div>
    <w:div w:id="607468206">
      <w:marLeft w:val="0"/>
      <w:marRight w:val="0"/>
      <w:marTop w:val="0"/>
      <w:marBottom w:val="240"/>
      <w:divBdr>
        <w:top w:val="none" w:sz="0" w:space="0" w:color="auto"/>
        <w:left w:val="none" w:sz="0" w:space="0" w:color="auto"/>
        <w:bottom w:val="none" w:sz="0" w:space="0" w:color="auto"/>
        <w:right w:val="none" w:sz="0" w:space="0" w:color="auto"/>
      </w:divBdr>
    </w:div>
    <w:div w:id="607468397">
      <w:marLeft w:val="0"/>
      <w:marRight w:val="0"/>
      <w:marTop w:val="0"/>
      <w:marBottom w:val="180"/>
      <w:divBdr>
        <w:top w:val="none" w:sz="0" w:space="0" w:color="auto"/>
        <w:left w:val="none" w:sz="0" w:space="0" w:color="auto"/>
        <w:bottom w:val="none" w:sz="0" w:space="0" w:color="auto"/>
        <w:right w:val="none" w:sz="0" w:space="0" w:color="auto"/>
      </w:divBdr>
    </w:div>
    <w:div w:id="607928990">
      <w:marLeft w:val="0"/>
      <w:marRight w:val="0"/>
      <w:marTop w:val="0"/>
      <w:marBottom w:val="0"/>
      <w:divBdr>
        <w:top w:val="none" w:sz="0" w:space="0" w:color="auto"/>
        <w:left w:val="none" w:sz="0" w:space="0" w:color="auto"/>
        <w:bottom w:val="none" w:sz="0" w:space="0" w:color="auto"/>
        <w:right w:val="none" w:sz="0" w:space="0" w:color="auto"/>
      </w:divBdr>
      <w:divsChild>
        <w:div w:id="1277173816">
          <w:marLeft w:val="0"/>
          <w:marRight w:val="0"/>
          <w:marTop w:val="0"/>
          <w:marBottom w:val="0"/>
          <w:divBdr>
            <w:top w:val="none" w:sz="0" w:space="0" w:color="auto"/>
            <w:left w:val="none" w:sz="0" w:space="0" w:color="auto"/>
            <w:bottom w:val="none" w:sz="0" w:space="0" w:color="auto"/>
            <w:right w:val="none" w:sz="0" w:space="0" w:color="auto"/>
          </w:divBdr>
        </w:div>
      </w:divsChild>
    </w:div>
    <w:div w:id="608970105">
      <w:marLeft w:val="0"/>
      <w:marRight w:val="0"/>
      <w:marTop w:val="0"/>
      <w:marBottom w:val="180"/>
      <w:divBdr>
        <w:top w:val="none" w:sz="0" w:space="0" w:color="auto"/>
        <w:left w:val="none" w:sz="0" w:space="0" w:color="auto"/>
        <w:bottom w:val="none" w:sz="0" w:space="0" w:color="auto"/>
        <w:right w:val="none" w:sz="0" w:space="0" w:color="auto"/>
      </w:divBdr>
    </w:div>
    <w:div w:id="609048660">
      <w:marLeft w:val="0"/>
      <w:marRight w:val="0"/>
      <w:marTop w:val="0"/>
      <w:marBottom w:val="180"/>
      <w:divBdr>
        <w:top w:val="none" w:sz="0" w:space="0" w:color="auto"/>
        <w:left w:val="none" w:sz="0" w:space="0" w:color="auto"/>
        <w:bottom w:val="none" w:sz="0" w:space="0" w:color="auto"/>
        <w:right w:val="none" w:sz="0" w:space="0" w:color="auto"/>
      </w:divBdr>
    </w:div>
    <w:div w:id="609317160">
      <w:marLeft w:val="0"/>
      <w:marRight w:val="0"/>
      <w:marTop w:val="0"/>
      <w:marBottom w:val="240"/>
      <w:divBdr>
        <w:top w:val="none" w:sz="0" w:space="0" w:color="auto"/>
        <w:left w:val="none" w:sz="0" w:space="0" w:color="auto"/>
        <w:bottom w:val="none" w:sz="0" w:space="0" w:color="auto"/>
        <w:right w:val="none" w:sz="0" w:space="0" w:color="auto"/>
      </w:divBdr>
    </w:div>
    <w:div w:id="610476465">
      <w:marLeft w:val="0"/>
      <w:marRight w:val="0"/>
      <w:marTop w:val="0"/>
      <w:marBottom w:val="240"/>
      <w:divBdr>
        <w:top w:val="none" w:sz="0" w:space="0" w:color="auto"/>
        <w:left w:val="none" w:sz="0" w:space="0" w:color="auto"/>
        <w:bottom w:val="none" w:sz="0" w:space="0" w:color="auto"/>
        <w:right w:val="none" w:sz="0" w:space="0" w:color="auto"/>
      </w:divBdr>
    </w:div>
    <w:div w:id="611322897">
      <w:marLeft w:val="0"/>
      <w:marRight w:val="0"/>
      <w:marTop w:val="0"/>
      <w:marBottom w:val="180"/>
      <w:divBdr>
        <w:top w:val="none" w:sz="0" w:space="0" w:color="auto"/>
        <w:left w:val="none" w:sz="0" w:space="0" w:color="auto"/>
        <w:bottom w:val="none" w:sz="0" w:space="0" w:color="auto"/>
        <w:right w:val="none" w:sz="0" w:space="0" w:color="auto"/>
      </w:divBdr>
    </w:div>
    <w:div w:id="611325307">
      <w:marLeft w:val="0"/>
      <w:marRight w:val="0"/>
      <w:marTop w:val="180"/>
      <w:marBottom w:val="180"/>
      <w:divBdr>
        <w:top w:val="none" w:sz="0" w:space="0" w:color="auto"/>
        <w:left w:val="none" w:sz="0" w:space="0" w:color="auto"/>
        <w:bottom w:val="none" w:sz="0" w:space="0" w:color="auto"/>
        <w:right w:val="none" w:sz="0" w:space="0" w:color="auto"/>
      </w:divBdr>
    </w:div>
    <w:div w:id="612513656">
      <w:marLeft w:val="0"/>
      <w:marRight w:val="0"/>
      <w:marTop w:val="240"/>
      <w:marBottom w:val="240"/>
      <w:divBdr>
        <w:top w:val="none" w:sz="0" w:space="0" w:color="auto"/>
        <w:left w:val="none" w:sz="0" w:space="0" w:color="auto"/>
        <w:bottom w:val="none" w:sz="0" w:space="0" w:color="auto"/>
        <w:right w:val="none" w:sz="0" w:space="0" w:color="auto"/>
      </w:divBdr>
    </w:div>
    <w:div w:id="612513857">
      <w:marLeft w:val="0"/>
      <w:marRight w:val="0"/>
      <w:marTop w:val="0"/>
      <w:marBottom w:val="240"/>
      <w:divBdr>
        <w:top w:val="none" w:sz="0" w:space="0" w:color="auto"/>
        <w:left w:val="none" w:sz="0" w:space="0" w:color="auto"/>
        <w:bottom w:val="none" w:sz="0" w:space="0" w:color="auto"/>
        <w:right w:val="none" w:sz="0" w:space="0" w:color="auto"/>
      </w:divBdr>
    </w:div>
    <w:div w:id="615019683">
      <w:marLeft w:val="0"/>
      <w:marRight w:val="0"/>
      <w:marTop w:val="0"/>
      <w:marBottom w:val="180"/>
      <w:divBdr>
        <w:top w:val="none" w:sz="0" w:space="0" w:color="auto"/>
        <w:left w:val="none" w:sz="0" w:space="0" w:color="auto"/>
        <w:bottom w:val="none" w:sz="0" w:space="0" w:color="auto"/>
        <w:right w:val="none" w:sz="0" w:space="0" w:color="auto"/>
      </w:divBdr>
    </w:div>
    <w:div w:id="615671827">
      <w:marLeft w:val="0"/>
      <w:marRight w:val="0"/>
      <w:marTop w:val="0"/>
      <w:marBottom w:val="240"/>
      <w:divBdr>
        <w:top w:val="none" w:sz="0" w:space="0" w:color="auto"/>
        <w:left w:val="none" w:sz="0" w:space="0" w:color="auto"/>
        <w:bottom w:val="none" w:sz="0" w:space="0" w:color="auto"/>
        <w:right w:val="none" w:sz="0" w:space="0" w:color="auto"/>
      </w:divBdr>
    </w:div>
    <w:div w:id="616061129">
      <w:marLeft w:val="0"/>
      <w:marRight w:val="0"/>
      <w:marTop w:val="0"/>
      <w:marBottom w:val="180"/>
      <w:divBdr>
        <w:top w:val="none" w:sz="0" w:space="0" w:color="auto"/>
        <w:left w:val="none" w:sz="0" w:space="0" w:color="auto"/>
        <w:bottom w:val="none" w:sz="0" w:space="0" w:color="auto"/>
        <w:right w:val="none" w:sz="0" w:space="0" w:color="auto"/>
      </w:divBdr>
    </w:div>
    <w:div w:id="616988207">
      <w:marLeft w:val="0"/>
      <w:marRight w:val="0"/>
      <w:marTop w:val="0"/>
      <w:marBottom w:val="0"/>
      <w:divBdr>
        <w:top w:val="none" w:sz="0" w:space="0" w:color="auto"/>
        <w:left w:val="none" w:sz="0" w:space="0" w:color="auto"/>
        <w:bottom w:val="none" w:sz="0" w:space="0" w:color="auto"/>
        <w:right w:val="none" w:sz="0" w:space="0" w:color="auto"/>
      </w:divBdr>
    </w:div>
    <w:div w:id="617417496">
      <w:marLeft w:val="0"/>
      <w:marRight w:val="0"/>
      <w:marTop w:val="0"/>
      <w:marBottom w:val="0"/>
      <w:divBdr>
        <w:top w:val="none" w:sz="0" w:space="0" w:color="auto"/>
        <w:left w:val="none" w:sz="0" w:space="0" w:color="auto"/>
        <w:bottom w:val="none" w:sz="0" w:space="0" w:color="auto"/>
        <w:right w:val="none" w:sz="0" w:space="0" w:color="auto"/>
      </w:divBdr>
    </w:div>
    <w:div w:id="617564444">
      <w:marLeft w:val="0"/>
      <w:marRight w:val="0"/>
      <w:marTop w:val="120"/>
      <w:marBottom w:val="120"/>
      <w:divBdr>
        <w:top w:val="none" w:sz="0" w:space="0" w:color="auto"/>
        <w:left w:val="none" w:sz="0" w:space="0" w:color="auto"/>
        <w:bottom w:val="none" w:sz="0" w:space="0" w:color="auto"/>
        <w:right w:val="none" w:sz="0" w:space="0" w:color="auto"/>
      </w:divBdr>
    </w:div>
    <w:div w:id="618949910">
      <w:marLeft w:val="0"/>
      <w:marRight w:val="0"/>
      <w:marTop w:val="0"/>
      <w:marBottom w:val="240"/>
      <w:divBdr>
        <w:top w:val="none" w:sz="0" w:space="0" w:color="auto"/>
        <w:left w:val="none" w:sz="0" w:space="0" w:color="auto"/>
        <w:bottom w:val="none" w:sz="0" w:space="0" w:color="auto"/>
        <w:right w:val="none" w:sz="0" w:space="0" w:color="auto"/>
      </w:divBdr>
    </w:div>
    <w:div w:id="619382184">
      <w:marLeft w:val="0"/>
      <w:marRight w:val="0"/>
      <w:marTop w:val="0"/>
      <w:marBottom w:val="240"/>
      <w:divBdr>
        <w:top w:val="none" w:sz="0" w:space="0" w:color="auto"/>
        <w:left w:val="none" w:sz="0" w:space="0" w:color="auto"/>
        <w:bottom w:val="none" w:sz="0" w:space="0" w:color="auto"/>
        <w:right w:val="none" w:sz="0" w:space="0" w:color="auto"/>
      </w:divBdr>
    </w:div>
    <w:div w:id="620306764">
      <w:marLeft w:val="0"/>
      <w:marRight w:val="0"/>
      <w:marTop w:val="0"/>
      <w:marBottom w:val="180"/>
      <w:divBdr>
        <w:top w:val="none" w:sz="0" w:space="0" w:color="auto"/>
        <w:left w:val="none" w:sz="0" w:space="0" w:color="auto"/>
        <w:bottom w:val="none" w:sz="0" w:space="0" w:color="auto"/>
        <w:right w:val="none" w:sz="0" w:space="0" w:color="auto"/>
      </w:divBdr>
    </w:div>
    <w:div w:id="621959823">
      <w:marLeft w:val="0"/>
      <w:marRight w:val="0"/>
      <w:marTop w:val="0"/>
      <w:marBottom w:val="180"/>
      <w:divBdr>
        <w:top w:val="none" w:sz="0" w:space="0" w:color="auto"/>
        <w:left w:val="none" w:sz="0" w:space="0" w:color="auto"/>
        <w:bottom w:val="none" w:sz="0" w:space="0" w:color="auto"/>
        <w:right w:val="none" w:sz="0" w:space="0" w:color="auto"/>
      </w:divBdr>
    </w:div>
    <w:div w:id="622275619">
      <w:marLeft w:val="0"/>
      <w:marRight w:val="0"/>
      <w:marTop w:val="0"/>
      <w:marBottom w:val="180"/>
      <w:divBdr>
        <w:top w:val="none" w:sz="0" w:space="0" w:color="auto"/>
        <w:left w:val="none" w:sz="0" w:space="0" w:color="auto"/>
        <w:bottom w:val="none" w:sz="0" w:space="0" w:color="auto"/>
        <w:right w:val="none" w:sz="0" w:space="0" w:color="auto"/>
      </w:divBdr>
    </w:div>
    <w:div w:id="622731466">
      <w:marLeft w:val="0"/>
      <w:marRight w:val="0"/>
      <w:marTop w:val="0"/>
      <w:marBottom w:val="180"/>
      <w:divBdr>
        <w:top w:val="none" w:sz="0" w:space="0" w:color="auto"/>
        <w:left w:val="none" w:sz="0" w:space="0" w:color="auto"/>
        <w:bottom w:val="none" w:sz="0" w:space="0" w:color="auto"/>
        <w:right w:val="none" w:sz="0" w:space="0" w:color="auto"/>
      </w:divBdr>
    </w:div>
    <w:div w:id="623586319">
      <w:marLeft w:val="0"/>
      <w:marRight w:val="0"/>
      <w:marTop w:val="0"/>
      <w:marBottom w:val="0"/>
      <w:divBdr>
        <w:top w:val="none" w:sz="0" w:space="0" w:color="auto"/>
        <w:left w:val="none" w:sz="0" w:space="0" w:color="auto"/>
        <w:bottom w:val="none" w:sz="0" w:space="0" w:color="auto"/>
        <w:right w:val="none" w:sz="0" w:space="0" w:color="auto"/>
      </w:divBdr>
      <w:divsChild>
        <w:div w:id="1080562213">
          <w:marLeft w:val="0"/>
          <w:marRight w:val="0"/>
          <w:marTop w:val="0"/>
          <w:marBottom w:val="0"/>
          <w:divBdr>
            <w:top w:val="none" w:sz="0" w:space="0" w:color="auto"/>
            <w:left w:val="none" w:sz="0" w:space="0" w:color="auto"/>
            <w:bottom w:val="none" w:sz="0" w:space="0" w:color="auto"/>
            <w:right w:val="none" w:sz="0" w:space="0" w:color="auto"/>
          </w:divBdr>
        </w:div>
      </w:divsChild>
    </w:div>
    <w:div w:id="624384193">
      <w:marLeft w:val="0"/>
      <w:marRight w:val="0"/>
      <w:marTop w:val="180"/>
      <w:marBottom w:val="180"/>
      <w:divBdr>
        <w:top w:val="none" w:sz="0" w:space="0" w:color="auto"/>
        <w:left w:val="none" w:sz="0" w:space="0" w:color="auto"/>
        <w:bottom w:val="none" w:sz="0" w:space="0" w:color="auto"/>
        <w:right w:val="none" w:sz="0" w:space="0" w:color="auto"/>
      </w:divBdr>
    </w:div>
    <w:div w:id="624852836">
      <w:marLeft w:val="0"/>
      <w:marRight w:val="0"/>
      <w:marTop w:val="0"/>
      <w:marBottom w:val="180"/>
      <w:divBdr>
        <w:top w:val="none" w:sz="0" w:space="0" w:color="auto"/>
        <w:left w:val="none" w:sz="0" w:space="0" w:color="auto"/>
        <w:bottom w:val="none" w:sz="0" w:space="0" w:color="auto"/>
        <w:right w:val="none" w:sz="0" w:space="0" w:color="auto"/>
      </w:divBdr>
    </w:div>
    <w:div w:id="626157285">
      <w:marLeft w:val="0"/>
      <w:marRight w:val="0"/>
      <w:marTop w:val="0"/>
      <w:marBottom w:val="0"/>
      <w:divBdr>
        <w:top w:val="none" w:sz="0" w:space="0" w:color="auto"/>
        <w:left w:val="none" w:sz="0" w:space="0" w:color="auto"/>
        <w:bottom w:val="none" w:sz="0" w:space="0" w:color="auto"/>
        <w:right w:val="none" w:sz="0" w:space="0" w:color="auto"/>
      </w:divBdr>
      <w:divsChild>
        <w:div w:id="1051154733">
          <w:marLeft w:val="0"/>
          <w:marRight w:val="0"/>
          <w:marTop w:val="0"/>
          <w:marBottom w:val="0"/>
          <w:divBdr>
            <w:top w:val="none" w:sz="0" w:space="0" w:color="auto"/>
            <w:left w:val="none" w:sz="0" w:space="0" w:color="auto"/>
            <w:bottom w:val="none" w:sz="0" w:space="0" w:color="auto"/>
            <w:right w:val="none" w:sz="0" w:space="0" w:color="auto"/>
          </w:divBdr>
        </w:div>
      </w:divsChild>
    </w:div>
    <w:div w:id="627591984">
      <w:marLeft w:val="0"/>
      <w:marRight w:val="0"/>
      <w:marTop w:val="0"/>
      <w:marBottom w:val="0"/>
      <w:divBdr>
        <w:top w:val="none" w:sz="0" w:space="0" w:color="auto"/>
        <w:left w:val="none" w:sz="0" w:space="0" w:color="auto"/>
        <w:bottom w:val="none" w:sz="0" w:space="0" w:color="auto"/>
        <w:right w:val="none" w:sz="0" w:space="0" w:color="auto"/>
      </w:divBdr>
      <w:divsChild>
        <w:div w:id="874926100">
          <w:marLeft w:val="0"/>
          <w:marRight w:val="0"/>
          <w:marTop w:val="0"/>
          <w:marBottom w:val="0"/>
          <w:divBdr>
            <w:top w:val="none" w:sz="0" w:space="0" w:color="auto"/>
            <w:left w:val="none" w:sz="0" w:space="0" w:color="auto"/>
            <w:bottom w:val="none" w:sz="0" w:space="0" w:color="auto"/>
            <w:right w:val="none" w:sz="0" w:space="0" w:color="auto"/>
          </w:divBdr>
        </w:div>
      </w:divsChild>
    </w:div>
    <w:div w:id="628097741">
      <w:marLeft w:val="0"/>
      <w:marRight w:val="0"/>
      <w:marTop w:val="120"/>
      <w:marBottom w:val="120"/>
      <w:divBdr>
        <w:top w:val="none" w:sz="0" w:space="0" w:color="auto"/>
        <w:left w:val="none" w:sz="0" w:space="0" w:color="auto"/>
        <w:bottom w:val="none" w:sz="0" w:space="0" w:color="auto"/>
        <w:right w:val="none" w:sz="0" w:space="0" w:color="auto"/>
      </w:divBdr>
    </w:div>
    <w:div w:id="628972455">
      <w:marLeft w:val="0"/>
      <w:marRight w:val="0"/>
      <w:marTop w:val="0"/>
      <w:marBottom w:val="0"/>
      <w:divBdr>
        <w:top w:val="none" w:sz="0" w:space="0" w:color="auto"/>
        <w:left w:val="none" w:sz="0" w:space="0" w:color="auto"/>
        <w:bottom w:val="none" w:sz="0" w:space="0" w:color="auto"/>
        <w:right w:val="none" w:sz="0" w:space="0" w:color="auto"/>
      </w:divBdr>
    </w:div>
    <w:div w:id="630021256">
      <w:marLeft w:val="0"/>
      <w:marRight w:val="0"/>
      <w:marTop w:val="0"/>
      <w:marBottom w:val="0"/>
      <w:divBdr>
        <w:top w:val="none" w:sz="0" w:space="0" w:color="auto"/>
        <w:left w:val="none" w:sz="0" w:space="0" w:color="auto"/>
        <w:bottom w:val="none" w:sz="0" w:space="0" w:color="auto"/>
        <w:right w:val="none" w:sz="0" w:space="0" w:color="auto"/>
      </w:divBdr>
      <w:divsChild>
        <w:div w:id="1679848955">
          <w:marLeft w:val="0"/>
          <w:marRight w:val="0"/>
          <w:marTop w:val="0"/>
          <w:marBottom w:val="0"/>
          <w:divBdr>
            <w:top w:val="none" w:sz="0" w:space="0" w:color="auto"/>
            <w:left w:val="none" w:sz="0" w:space="0" w:color="auto"/>
            <w:bottom w:val="none" w:sz="0" w:space="0" w:color="auto"/>
            <w:right w:val="none" w:sz="0" w:space="0" w:color="auto"/>
          </w:divBdr>
        </w:div>
        <w:div w:id="1158226317">
          <w:marLeft w:val="0"/>
          <w:marRight w:val="0"/>
          <w:marTop w:val="0"/>
          <w:marBottom w:val="0"/>
          <w:divBdr>
            <w:top w:val="none" w:sz="0" w:space="0" w:color="auto"/>
            <w:left w:val="none" w:sz="0" w:space="0" w:color="auto"/>
            <w:bottom w:val="none" w:sz="0" w:space="0" w:color="auto"/>
            <w:right w:val="none" w:sz="0" w:space="0" w:color="auto"/>
          </w:divBdr>
        </w:div>
      </w:divsChild>
    </w:div>
    <w:div w:id="630357906">
      <w:marLeft w:val="0"/>
      <w:marRight w:val="0"/>
      <w:marTop w:val="0"/>
      <w:marBottom w:val="0"/>
      <w:divBdr>
        <w:top w:val="none" w:sz="0" w:space="0" w:color="auto"/>
        <w:left w:val="none" w:sz="0" w:space="0" w:color="auto"/>
        <w:bottom w:val="none" w:sz="0" w:space="0" w:color="auto"/>
        <w:right w:val="none" w:sz="0" w:space="0" w:color="auto"/>
      </w:divBdr>
    </w:div>
    <w:div w:id="631255654">
      <w:marLeft w:val="0"/>
      <w:marRight w:val="0"/>
      <w:marTop w:val="0"/>
      <w:marBottom w:val="240"/>
      <w:divBdr>
        <w:top w:val="none" w:sz="0" w:space="0" w:color="auto"/>
        <w:left w:val="none" w:sz="0" w:space="0" w:color="auto"/>
        <w:bottom w:val="none" w:sz="0" w:space="0" w:color="auto"/>
        <w:right w:val="none" w:sz="0" w:space="0" w:color="auto"/>
      </w:divBdr>
    </w:div>
    <w:div w:id="632519007">
      <w:marLeft w:val="0"/>
      <w:marRight w:val="0"/>
      <w:marTop w:val="0"/>
      <w:marBottom w:val="0"/>
      <w:divBdr>
        <w:top w:val="none" w:sz="0" w:space="0" w:color="auto"/>
        <w:left w:val="none" w:sz="0" w:space="0" w:color="auto"/>
        <w:bottom w:val="none" w:sz="0" w:space="0" w:color="auto"/>
        <w:right w:val="none" w:sz="0" w:space="0" w:color="auto"/>
      </w:divBdr>
      <w:divsChild>
        <w:div w:id="356395515">
          <w:marLeft w:val="0"/>
          <w:marRight w:val="0"/>
          <w:marTop w:val="0"/>
          <w:marBottom w:val="0"/>
          <w:divBdr>
            <w:top w:val="none" w:sz="0" w:space="0" w:color="auto"/>
            <w:left w:val="none" w:sz="0" w:space="0" w:color="auto"/>
            <w:bottom w:val="none" w:sz="0" w:space="0" w:color="auto"/>
            <w:right w:val="none" w:sz="0" w:space="0" w:color="auto"/>
          </w:divBdr>
        </w:div>
      </w:divsChild>
    </w:div>
    <w:div w:id="633368940">
      <w:marLeft w:val="0"/>
      <w:marRight w:val="0"/>
      <w:marTop w:val="0"/>
      <w:marBottom w:val="0"/>
      <w:divBdr>
        <w:top w:val="none" w:sz="0" w:space="0" w:color="auto"/>
        <w:left w:val="none" w:sz="0" w:space="0" w:color="auto"/>
        <w:bottom w:val="none" w:sz="0" w:space="0" w:color="auto"/>
        <w:right w:val="none" w:sz="0" w:space="0" w:color="auto"/>
      </w:divBdr>
      <w:divsChild>
        <w:div w:id="135070201">
          <w:marLeft w:val="0"/>
          <w:marRight w:val="0"/>
          <w:marTop w:val="0"/>
          <w:marBottom w:val="0"/>
          <w:divBdr>
            <w:top w:val="none" w:sz="0" w:space="0" w:color="auto"/>
            <w:left w:val="none" w:sz="0" w:space="0" w:color="auto"/>
            <w:bottom w:val="none" w:sz="0" w:space="0" w:color="auto"/>
            <w:right w:val="none" w:sz="0" w:space="0" w:color="auto"/>
          </w:divBdr>
        </w:div>
      </w:divsChild>
    </w:div>
    <w:div w:id="634146338">
      <w:marLeft w:val="0"/>
      <w:marRight w:val="0"/>
      <w:marTop w:val="0"/>
      <w:marBottom w:val="180"/>
      <w:divBdr>
        <w:top w:val="none" w:sz="0" w:space="0" w:color="auto"/>
        <w:left w:val="none" w:sz="0" w:space="0" w:color="auto"/>
        <w:bottom w:val="none" w:sz="0" w:space="0" w:color="auto"/>
        <w:right w:val="none" w:sz="0" w:space="0" w:color="auto"/>
      </w:divBdr>
    </w:div>
    <w:div w:id="634799233">
      <w:marLeft w:val="0"/>
      <w:marRight w:val="0"/>
      <w:marTop w:val="0"/>
      <w:marBottom w:val="240"/>
      <w:divBdr>
        <w:top w:val="none" w:sz="0" w:space="0" w:color="auto"/>
        <w:left w:val="none" w:sz="0" w:space="0" w:color="auto"/>
        <w:bottom w:val="none" w:sz="0" w:space="0" w:color="auto"/>
        <w:right w:val="none" w:sz="0" w:space="0" w:color="auto"/>
      </w:divBdr>
    </w:div>
    <w:div w:id="635716736">
      <w:marLeft w:val="0"/>
      <w:marRight w:val="0"/>
      <w:marTop w:val="0"/>
      <w:marBottom w:val="180"/>
      <w:divBdr>
        <w:top w:val="none" w:sz="0" w:space="0" w:color="auto"/>
        <w:left w:val="none" w:sz="0" w:space="0" w:color="auto"/>
        <w:bottom w:val="none" w:sz="0" w:space="0" w:color="auto"/>
        <w:right w:val="none" w:sz="0" w:space="0" w:color="auto"/>
      </w:divBdr>
    </w:div>
    <w:div w:id="636564994">
      <w:marLeft w:val="0"/>
      <w:marRight w:val="0"/>
      <w:marTop w:val="0"/>
      <w:marBottom w:val="0"/>
      <w:divBdr>
        <w:top w:val="none" w:sz="0" w:space="0" w:color="auto"/>
        <w:left w:val="none" w:sz="0" w:space="0" w:color="auto"/>
        <w:bottom w:val="none" w:sz="0" w:space="0" w:color="auto"/>
        <w:right w:val="none" w:sz="0" w:space="0" w:color="auto"/>
      </w:divBdr>
      <w:divsChild>
        <w:div w:id="1345354084">
          <w:marLeft w:val="0"/>
          <w:marRight w:val="0"/>
          <w:marTop w:val="0"/>
          <w:marBottom w:val="0"/>
          <w:divBdr>
            <w:top w:val="none" w:sz="0" w:space="0" w:color="auto"/>
            <w:left w:val="none" w:sz="0" w:space="0" w:color="auto"/>
            <w:bottom w:val="none" w:sz="0" w:space="0" w:color="auto"/>
            <w:right w:val="none" w:sz="0" w:space="0" w:color="auto"/>
          </w:divBdr>
        </w:div>
      </w:divsChild>
    </w:div>
    <w:div w:id="637497901">
      <w:marLeft w:val="0"/>
      <w:marRight w:val="0"/>
      <w:marTop w:val="180"/>
      <w:marBottom w:val="180"/>
      <w:divBdr>
        <w:top w:val="none" w:sz="0" w:space="0" w:color="auto"/>
        <w:left w:val="none" w:sz="0" w:space="0" w:color="auto"/>
        <w:bottom w:val="none" w:sz="0" w:space="0" w:color="auto"/>
        <w:right w:val="none" w:sz="0" w:space="0" w:color="auto"/>
      </w:divBdr>
    </w:div>
    <w:div w:id="637878569">
      <w:marLeft w:val="0"/>
      <w:marRight w:val="0"/>
      <w:marTop w:val="0"/>
      <w:marBottom w:val="240"/>
      <w:divBdr>
        <w:top w:val="none" w:sz="0" w:space="0" w:color="auto"/>
        <w:left w:val="none" w:sz="0" w:space="0" w:color="auto"/>
        <w:bottom w:val="none" w:sz="0" w:space="0" w:color="auto"/>
        <w:right w:val="none" w:sz="0" w:space="0" w:color="auto"/>
      </w:divBdr>
    </w:div>
    <w:div w:id="638152091">
      <w:marLeft w:val="0"/>
      <w:marRight w:val="0"/>
      <w:marTop w:val="0"/>
      <w:marBottom w:val="240"/>
      <w:divBdr>
        <w:top w:val="none" w:sz="0" w:space="0" w:color="auto"/>
        <w:left w:val="none" w:sz="0" w:space="0" w:color="auto"/>
        <w:bottom w:val="none" w:sz="0" w:space="0" w:color="auto"/>
        <w:right w:val="none" w:sz="0" w:space="0" w:color="auto"/>
      </w:divBdr>
    </w:div>
    <w:div w:id="638344292">
      <w:marLeft w:val="0"/>
      <w:marRight w:val="0"/>
      <w:marTop w:val="0"/>
      <w:marBottom w:val="180"/>
      <w:divBdr>
        <w:top w:val="none" w:sz="0" w:space="0" w:color="auto"/>
        <w:left w:val="none" w:sz="0" w:space="0" w:color="auto"/>
        <w:bottom w:val="none" w:sz="0" w:space="0" w:color="auto"/>
        <w:right w:val="none" w:sz="0" w:space="0" w:color="auto"/>
      </w:divBdr>
    </w:div>
    <w:div w:id="639464097">
      <w:marLeft w:val="0"/>
      <w:marRight w:val="0"/>
      <w:marTop w:val="0"/>
      <w:marBottom w:val="0"/>
      <w:divBdr>
        <w:top w:val="none" w:sz="0" w:space="0" w:color="auto"/>
        <w:left w:val="none" w:sz="0" w:space="0" w:color="auto"/>
        <w:bottom w:val="none" w:sz="0" w:space="0" w:color="auto"/>
        <w:right w:val="none" w:sz="0" w:space="0" w:color="auto"/>
      </w:divBdr>
      <w:divsChild>
        <w:div w:id="723020451">
          <w:marLeft w:val="0"/>
          <w:marRight w:val="0"/>
          <w:marTop w:val="0"/>
          <w:marBottom w:val="0"/>
          <w:divBdr>
            <w:top w:val="none" w:sz="0" w:space="0" w:color="auto"/>
            <w:left w:val="none" w:sz="0" w:space="0" w:color="auto"/>
            <w:bottom w:val="none" w:sz="0" w:space="0" w:color="auto"/>
            <w:right w:val="none" w:sz="0" w:space="0" w:color="auto"/>
          </w:divBdr>
        </w:div>
      </w:divsChild>
    </w:div>
    <w:div w:id="640422683">
      <w:marLeft w:val="0"/>
      <w:marRight w:val="0"/>
      <w:marTop w:val="0"/>
      <w:marBottom w:val="240"/>
      <w:divBdr>
        <w:top w:val="none" w:sz="0" w:space="0" w:color="auto"/>
        <w:left w:val="none" w:sz="0" w:space="0" w:color="auto"/>
        <w:bottom w:val="none" w:sz="0" w:space="0" w:color="auto"/>
        <w:right w:val="none" w:sz="0" w:space="0" w:color="auto"/>
      </w:divBdr>
    </w:div>
    <w:div w:id="640962779">
      <w:marLeft w:val="0"/>
      <w:marRight w:val="0"/>
      <w:marTop w:val="0"/>
      <w:marBottom w:val="0"/>
      <w:divBdr>
        <w:top w:val="none" w:sz="0" w:space="0" w:color="auto"/>
        <w:left w:val="none" w:sz="0" w:space="0" w:color="auto"/>
        <w:bottom w:val="none" w:sz="0" w:space="0" w:color="auto"/>
        <w:right w:val="none" w:sz="0" w:space="0" w:color="auto"/>
      </w:divBdr>
    </w:div>
    <w:div w:id="641425860">
      <w:marLeft w:val="0"/>
      <w:marRight w:val="0"/>
      <w:marTop w:val="0"/>
      <w:marBottom w:val="180"/>
      <w:divBdr>
        <w:top w:val="none" w:sz="0" w:space="0" w:color="auto"/>
        <w:left w:val="none" w:sz="0" w:space="0" w:color="auto"/>
        <w:bottom w:val="none" w:sz="0" w:space="0" w:color="auto"/>
        <w:right w:val="none" w:sz="0" w:space="0" w:color="auto"/>
      </w:divBdr>
    </w:div>
    <w:div w:id="641886755">
      <w:marLeft w:val="0"/>
      <w:marRight w:val="0"/>
      <w:marTop w:val="180"/>
      <w:marBottom w:val="180"/>
      <w:divBdr>
        <w:top w:val="none" w:sz="0" w:space="0" w:color="auto"/>
        <w:left w:val="none" w:sz="0" w:space="0" w:color="auto"/>
        <w:bottom w:val="none" w:sz="0" w:space="0" w:color="auto"/>
        <w:right w:val="none" w:sz="0" w:space="0" w:color="auto"/>
      </w:divBdr>
    </w:div>
    <w:div w:id="642275179">
      <w:marLeft w:val="0"/>
      <w:marRight w:val="0"/>
      <w:marTop w:val="120"/>
      <w:marBottom w:val="120"/>
      <w:divBdr>
        <w:top w:val="none" w:sz="0" w:space="0" w:color="auto"/>
        <w:left w:val="none" w:sz="0" w:space="0" w:color="auto"/>
        <w:bottom w:val="none" w:sz="0" w:space="0" w:color="auto"/>
        <w:right w:val="none" w:sz="0" w:space="0" w:color="auto"/>
      </w:divBdr>
    </w:div>
    <w:div w:id="642350719">
      <w:marLeft w:val="0"/>
      <w:marRight w:val="0"/>
      <w:marTop w:val="0"/>
      <w:marBottom w:val="180"/>
      <w:divBdr>
        <w:top w:val="none" w:sz="0" w:space="0" w:color="auto"/>
        <w:left w:val="none" w:sz="0" w:space="0" w:color="auto"/>
        <w:bottom w:val="none" w:sz="0" w:space="0" w:color="auto"/>
        <w:right w:val="none" w:sz="0" w:space="0" w:color="auto"/>
      </w:divBdr>
    </w:div>
    <w:div w:id="642389128">
      <w:marLeft w:val="0"/>
      <w:marRight w:val="0"/>
      <w:marTop w:val="0"/>
      <w:marBottom w:val="240"/>
      <w:divBdr>
        <w:top w:val="none" w:sz="0" w:space="0" w:color="auto"/>
        <w:left w:val="none" w:sz="0" w:space="0" w:color="auto"/>
        <w:bottom w:val="none" w:sz="0" w:space="0" w:color="auto"/>
        <w:right w:val="none" w:sz="0" w:space="0" w:color="auto"/>
      </w:divBdr>
    </w:div>
    <w:div w:id="643313613">
      <w:marLeft w:val="0"/>
      <w:marRight w:val="0"/>
      <w:marTop w:val="0"/>
      <w:marBottom w:val="0"/>
      <w:divBdr>
        <w:top w:val="none" w:sz="0" w:space="0" w:color="auto"/>
        <w:left w:val="none" w:sz="0" w:space="0" w:color="auto"/>
        <w:bottom w:val="none" w:sz="0" w:space="0" w:color="auto"/>
        <w:right w:val="none" w:sz="0" w:space="0" w:color="auto"/>
      </w:divBdr>
    </w:div>
    <w:div w:id="643706103">
      <w:marLeft w:val="0"/>
      <w:marRight w:val="0"/>
      <w:marTop w:val="180"/>
      <w:marBottom w:val="180"/>
      <w:divBdr>
        <w:top w:val="none" w:sz="0" w:space="0" w:color="auto"/>
        <w:left w:val="none" w:sz="0" w:space="0" w:color="auto"/>
        <w:bottom w:val="none" w:sz="0" w:space="0" w:color="auto"/>
        <w:right w:val="none" w:sz="0" w:space="0" w:color="auto"/>
      </w:divBdr>
    </w:div>
    <w:div w:id="644093694">
      <w:marLeft w:val="0"/>
      <w:marRight w:val="0"/>
      <w:marTop w:val="180"/>
      <w:marBottom w:val="180"/>
      <w:divBdr>
        <w:top w:val="none" w:sz="0" w:space="0" w:color="auto"/>
        <w:left w:val="none" w:sz="0" w:space="0" w:color="auto"/>
        <w:bottom w:val="none" w:sz="0" w:space="0" w:color="auto"/>
        <w:right w:val="none" w:sz="0" w:space="0" w:color="auto"/>
      </w:divBdr>
    </w:div>
    <w:div w:id="645548874">
      <w:marLeft w:val="0"/>
      <w:marRight w:val="0"/>
      <w:marTop w:val="0"/>
      <w:marBottom w:val="180"/>
      <w:divBdr>
        <w:top w:val="none" w:sz="0" w:space="0" w:color="auto"/>
        <w:left w:val="none" w:sz="0" w:space="0" w:color="auto"/>
        <w:bottom w:val="none" w:sz="0" w:space="0" w:color="auto"/>
        <w:right w:val="none" w:sz="0" w:space="0" w:color="auto"/>
      </w:divBdr>
    </w:div>
    <w:div w:id="646326740">
      <w:marLeft w:val="0"/>
      <w:marRight w:val="0"/>
      <w:marTop w:val="0"/>
      <w:marBottom w:val="180"/>
      <w:divBdr>
        <w:top w:val="none" w:sz="0" w:space="0" w:color="auto"/>
        <w:left w:val="none" w:sz="0" w:space="0" w:color="auto"/>
        <w:bottom w:val="none" w:sz="0" w:space="0" w:color="auto"/>
        <w:right w:val="none" w:sz="0" w:space="0" w:color="auto"/>
      </w:divBdr>
    </w:div>
    <w:div w:id="646403171">
      <w:marLeft w:val="0"/>
      <w:marRight w:val="0"/>
      <w:marTop w:val="0"/>
      <w:marBottom w:val="120"/>
      <w:divBdr>
        <w:top w:val="none" w:sz="0" w:space="0" w:color="auto"/>
        <w:left w:val="none" w:sz="0" w:space="0" w:color="auto"/>
        <w:bottom w:val="none" w:sz="0" w:space="0" w:color="auto"/>
        <w:right w:val="none" w:sz="0" w:space="0" w:color="auto"/>
      </w:divBdr>
    </w:div>
    <w:div w:id="646714351">
      <w:marLeft w:val="0"/>
      <w:marRight w:val="0"/>
      <w:marTop w:val="0"/>
      <w:marBottom w:val="60"/>
      <w:divBdr>
        <w:top w:val="none" w:sz="0" w:space="0" w:color="auto"/>
        <w:left w:val="none" w:sz="0" w:space="0" w:color="auto"/>
        <w:bottom w:val="none" w:sz="0" w:space="0" w:color="auto"/>
        <w:right w:val="none" w:sz="0" w:space="0" w:color="auto"/>
      </w:divBdr>
    </w:div>
    <w:div w:id="647129257">
      <w:marLeft w:val="0"/>
      <w:marRight w:val="0"/>
      <w:marTop w:val="180"/>
      <w:marBottom w:val="180"/>
      <w:divBdr>
        <w:top w:val="none" w:sz="0" w:space="0" w:color="auto"/>
        <w:left w:val="none" w:sz="0" w:space="0" w:color="auto"/>
        <w:bottom w:val="none" w:sz="0" w:space="0" w:color="auto"/>
        <w:right w:val="none" w:sz="0" w:space="0" w:color="auto"/>
      </w:divBdr>
    </w:div>
    <w:div w:id="647250243">
      <w:marLeft w:val="0"/>
      <w:marRight w:val="0"/>
      <w:marTop w:val="0"/>
      <w:marBottom w:val="240"/>
      <w:divBdr>
        <w:top w:val="none" w:sz="0" w:space="0" w:color="auto"/>
        <w:left w:val="none" w:sz="0" w:space="0" w:color="auto"/>
        <w:bottom w:val="none" w:sz="0" w:space="0" w:color="auto"/>
        <w:right w:val="none" w:sz="0" w:space="0" w:color="auto"/>
      </w:divBdr>
    </w:div>
    <w:div w:id="647327184">
      <w:marLeft w:val="0"/>
      <w:marRight w:val="0"/>
      <w:marTop w:val="120"/>
      <w:marBottom w:val="120"/>
      <w:divBdr>
        <w:top w:val="none" w:sz="0" w:space="0" w:color="auto"/>
        <w:left w:val="none" w:sz="0" w:space="0" w:color="auto"/>
        <w:bottom w:val="none" w:sz="0" w:space="0" w:color="auto"/>
        <w:right w:val="none" w:sz="0" w:space="0" w:color="auto"/>
      </w:divBdr>
    </w:div>
    <w:div w:id="647704889">
      <w:marLeft w:val="0"/>
      <w:marRight w:val="0"/>
      <w:marTop w:val="180"/>
      <w:marBottom w:val="180"/>
      <w:divBdr>
        <w:top w:val="none" w:sz="0" w:space="0" w:color="auto"/>
        <w:left w:val="none" w:sz="0" w:space="0" w:color="auto"/>
        <w:bottom w:val="none" w:sz="0" w:space="0" w:color="auto"/>
        <w:right w:val="none" w:sz="0" w:space="0" w:color="auto"/>
      </w:divBdr>
    </w:div>
    <w:div w:id="648823761">
      <w:marLeft w:val="0"/>
      <w:marRight w:val="0"/>
      <w:marTop w:val="0"/>
      <w:marBottom w:val="240"/>
      <w:divBdr>
        <w:top w:val="none" w:sz="0" w:space="0" w:color="auto"/>
        <w:left w:val="none" w:sz="0" w:space="0" w:color="auto"/>
        <w:bottom w:val="none" w:sz="0" w:space="0" w:color="auto"/>
        <w:right w:val="none" w:sz="0" w:space="0" w:color="auto"/>
      </w:divBdr>
    </w:div>
    <w:div w:id="650445070">
      <w:marLeft w:val="0"/>
      <w:marRight w:val="0"/>
      <w:marTop w:val="0"/>
      <w:marBottom w:val="0"/>
      <w:divBdr>
        <w:top w:val="none" w:sz="0" w:space="0" w:color="auto"/>
        <w:left w:val="none" w:sz="0" w:space="0" w:color="auto"/>
        <w:bottom w:val="none" w:sz="0" w:space="0" w:color="auto"/>
        <w:right w:val="none" w:sz="0" w:space="0" w:color="auto"/>
      </w:divBdr>
      <w:divsChild>
        <w:div w:id="496651610">
          <w:marLeft w:val="0"/>
          <w:marRight w:val="0"/>
          <w:marTop w:val="0"/>
          <w:marBottom w:val="0"/>
          <w:divBdr>
            <w:top w:val="none" w:sz="0" w:space="0" w:color="auto"/>
            <w:left w:val="none" w:sz="0" w:space="0" w:color="auto"/>
            <w:bottom w:val="none" w:sz="0" w:space="0" w:color="auto"/>
            <w:right w:val="none" w:sz="0" w:space="0" w:color="auto"/>
          </w:divBdr>
          <w:divsChild>
            <w:div w:id="13806665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2836547">
      <w:marLeft w:val="0"/>
      <w:marRight w:val="0"/>
      <w:marTop w:val="0"/>
      <w:marBottom w:val="0"/>
      <w:divBdr>
        <w:top w:val="none" w:sz="0" w:space="0" w:color="auto"/>
        <w:left w:val="none" w:sz="0" w:space="0" w:color="auto"/>
        <w:bottom w:val="none" w:sz="0" w:space="0" w:color="auto"/>
        <w:right w:val="none" w:sz="0" w:space="0" w:color="auto"/>
      </w:divBdr>
    </w:div>
    <w:div w:id="652947386">
      <w:marLeft w:val="0"/>
      <w:marRight w:val="0"/>
      <w:marTop w:val="0"/>
      <w:marBottom w:val="240"/>
      <w:divBdr>
        <w:top w:val="none" w:sz="0" w:space="0" w:color="auto"/>
        <w:left w:val="none" w:sz="0" w:space="0" w:color="auto"/>
        <w:bottom w:val="none" w:sz="0" w:space="0" w:color="auto"/>
        <w:right w:val="none" w:sz="0" w:space="0" w:color="auto"/>
      </w:divBdr>
    </w:div>
    <w:div w:id="653097936">
      <w:marLeft w:val="0"/>
      <w:marRight w:val="0"/>
      <w:marTop w:val="0"/>
      <w:marBottom w:val="180"/>
      <w:divBdr>
        <w:top w:val="none" w:sz="0" w:space="0" w:color="auto"/>
        <w:left w:val="none" w:sz="0" w:space="0" w:color="auto"/>
        <w:bottom w:val="none" w:sz="0" w:space="0" w:color="auto"/>
        <w:right w:val="none" w:sz="0" w:space="0" w:color="auto"/>
      </w:divBdr>
    </w:div>
    <w:div w:id="654458374">
      <w:marLeft w:val="0"/>
      <w:marRight w:val="0"/>
      <w:marTop w:val="100"/>
      <w:marBottom w:val="0"/>
      <w:divBdr>
        <w:top w:val="none" w:sz="0" w:space="0" w:color="auto"/>
        <w:left w:val="none" w:sz="0" w:space="0" w:color="auto"/>
        <w:bottom w:val="none" w:sz="0" w:space="0" w:color="auto"/>
        <w:right w:val="none" w:sz="0" w:space="0" w:color="auto"/>
      </w:divBdr>
    </w:div>
    <w:div w:id="655110314">
      <w:marLeft w:val="0"/>
      <w:marRight w:val="0"/>
      <w:marTop w:val="0"/>
      <w:marBottom w:val="180"/>
      <w:divBdr>
        <w:top w:val="none" w:sz="0" w:space="0" w:color="auto"/>
        <w:left w:val="none" w:sz="0" w:space="0" w:color="auto"/>
        <w:bottom w:val="none" w:sz="0" w:space="0" w:color="auto"/>
        <w:right w:val="none" w:sz="0" w:space="0" w:color="auto"/>
      </w:divBdr>
    </w:div>
    <w:div w:id="655766035">
      <w:marLeft w:val="0"/>
      <w:marRight w:val="0"/>
      <w:marTop w:val="180"/>
      <w:marBottom w:val="180"/>
      <w:divBdr>
        <w:top w:val="none" w:sz="0" w:space="0" w:color="auto"/>
        <w:left w:val="none" w:sz="0" w:space="0" w:color="auto"/>
        <w:bottom w:val="none" w:sz="0" w:space="0" w:color="auto"/>
        <w:right w:val="none" w:sz="0" w:space="0" w:color="auto"/>
      </w:divBdr>
    </w:div>
    <w:div w:id="656346083">
      <w:marLeft w:val="0"/>
      <w:marRight w:val="0"/>
      <w:marTop w:val="0"/>
      <w:marBottom w:val="0"/>
      <w:divBdr>
        <w:top w:val="none" w:sz="0" w:space="0" w:color="auto"/>
        <w:left w:val="none" w:sz="0" w:space="0" w:color="auto"/>
        <w:bottom w:val="none" w:sz="0" w:space="0" w:color="auto"/>
        <w:right w:val="none" w:sz="0" w:space="0" w:color="auto"/>
      </w:divBdr>
    </w:div>
    <w:div w:id="656955716">
      <w:marLeft w:val="0"/>
      <w:marRight w:val="0"/>
      <w:marTop w:val="180"/>
      <w:marBottom w:val="180"/>
      <w:divBdr>
        <w:top w:val="none" w:sz="0" w:space="0" w:color="auto"/>
        <w:left w:val="none" w:sz="0" w:space="0" w:color="auto"/>
        <w:bottom w:val="none" w:sz="0" w:space="0" w:color="auto"/>
        <w:right w:val="none" w:sz="0" w:space="0" w:color="auto"/>
      </w:divBdr>
    </w:div>
    <w:div w:id="660036637">
      <w:marLeft w:val="0"/>
      <w:marRight w:val="0"/>
      <w:marTop w:val="0"/>
      <w:marBottom w:val="0"/>
      <w:divBdr>
        <w:top w:val="none" w:sz="0" w:space="0" w:color="auto"/>
        <w:left w:val="none" w:sz="0" w:space="0" w:color="auto"/>
        <w:bottom w:val="none" w:sz="0" w:space="0" w:color="auto"/>
        <w:right w:val="none" w:sz="0" w:space="0" w:color="auto"/>
      </w:divBdr>
    </w:div>
    <w:div w:id="661739303">
      <w:marLeft w:val="0"/>
      <w:marRight w:val="0"/>
      <w:marTop w:val="0"/>
      <w:marBottom w:val="240"/>
      <w:divBdr>
        <w:top w:val="none" w:sz="0" w:space="0" w:color="auto"/>
        <w:left w:val="none" w:sz="0" w:space="0" w:color="auto"/>
        <w:bottom w:val="none" w:sz="0" w:space="0" w:color="auto"/>
        <w:right w:val="none" w:sz="0" w:space="0" w:color="auto"/>
      </w:divBdr>
    </w:div>
    <w:div w:id="662702729">
      <w:marLeft w:val="0"/>
      <w:marRight w:val="0"/>
      <w:marTop w:val="0"/>
      <w:marBottom w:val="0"/>
      <w:divBdr>
        <w:top w:val="none" w:sz="0" w:space="0" w:color="auto"/>
        <w:left w:val="none" w:sz="0" w:space="0" w:color="auto"/>
        <w:bottom w:val="none" w:sz="0" w:space="0" w:color="auto"/>
        <w:right w:val="none" w:sz="0" w:space="0" w:color="auto"/>
      </w:divBdr>
      <w:divsChild>
        <w:div w:id="1426923303">
          <w:marLeft w:val="0"/>
          <w:marRight w:val="0"/>
          <w:marTop w:val="0"/>
          <w:marBottom w:val="0"/>
          <w:divBdr>
            <w:top w:val="none" w:sz="0" w:space="0" w:color="auto"/>
            <w:left w:val="none" w:sz="0" w:space="0" w:color="auto"/>
            <w:bottom w:val="none" w:sz="0" w:space="0" w:color="auto"/>
            <w:right w:val="none" w:sz="0" w:space="0" w:color="auto"/>
          </w:divBdr>
        </w:div>
      </w:divsChild>
    </w:div>
    <w:div w:id="663321044">
      <w:marLeft w:val="0"/>
      <w:marRight w:val="0"/>
      <w:marTop w:val="0"/>
      <w:marBottom w:val="0"/>
      <w:divBdr>
        <w:top w:val="none" w:sz="0" w:space="0" w:color="auto"/>
        <w:left w:val="none" w:sz="0" w:space="0" w:color="auto"/>
        <w:bottom w:val="none" w:sz="0" w:space="0" w:color="auto"/>
        <w:right w:val="none" w:sz="0" w:space="0" w:color="auto"/>
      </w:divBdr>
    </w:div>
    <w:div w:id="664212695">
      <w:marLeft w:val="0"/>
      <w:marRight w:val="0"/>
      <w:marTop w:val="0"/>
      <w:marBottom w:val="0"/>
      <w:divBdr>
        <w:top w:val="none" w:sz="0" w:space="0" w:color="auto"/>
        <w:left w:val="none" w:sz="0" w:space="0" w:color="auto"/>
        <w:bottom w:val="none" w:sz="0" w:space="0" w:color="auto"/>
        <w:right w:val="none" w:sz="0" w:space="0" w:color="auto"/>
      </w:divBdr>
      <w:divsChild>
        <w:div w:id="1438065030">
          <w:marLeft w:val="0"/>
          <w:marRight w:val="0"/>
          <w:marTop w:val="0"/>
          <w:marBottom w:val="0"/>
          <w:divBdr>
            <w:top w:val="none" w:sz="0" w:space="0" w:color="auto"/>
            <w:left w:val="none" w:sz="0" w:space="0" w:color="auto"/>
            <w:bottom w:val="none" w:sz="0" w:space="0" w:color="auto"/>
            <w:right w:val="none" w:sz="0" w:space="0" w:color="auto"/>
          </w:divBdr>
        </w:div>
      </w:divsChild>
    </w:div>
    <w:div w:id="667825964">
      <w:marLeft w:val="0"/>
      <w:marRight w:val="0"/>
      <w:marTop w:val="0"/>
      <w:marBottom w:val="240"/>
      <w:divBdr>
        <w:top w:val="none" w:sz="0" w:space="0" w:color="auto"/>
        <w:left w:val="none" w:sz="0" w:space="0" w:color="auto"/>
        <w:bottom w:val="none" w:sz="0" w:space="0" w:color="auto"/>
        <w:right w:val="none" w:sz="0" w:space="0" w:color="auto"/>
      </w:divBdr>
    </w:div>
    <w:div w:id="668756312">
      <w:marLeft w:val="0"/>
      <w:marRight w:val="0"/>
      <w:marTop w:val="0"/>
      <w:marBottom w:val="180"/>
      <w:divBdr>
        <w:top w:val="none" w:sz="0" w:space="0" w:color="auto"/>
        <w:left w:val="none" w:sz="0" w:space="0" w:color="auto"/>
        <w:bottom w:val="none" w:sz="0" w:space="0" w:color="auto"/>
        <w:right w:val="none" w:sz="0" w:space="0" w:color="auto"/>
      </w:divBdr>
    </w:div>
    <w:div w:id="669137074">
      <w:marLeft w:val="0"/>
      <w:marRight w:val="0"/>
      <w:marTop w:val="0"/>
      <w:marBottom w:val="180"/>
      <w:divBdr>
        <w:top w:val="none" w:sz="0" w:space="0" w:color="auto"/>
        <w:left w:val="none" w:sz="0" w:space="0" w:color="auto"/>
        <w:bottom w:val="none" w:sz="0" w:space="0" w:color="auto"/>
        <w:right w:val="none" w:sz="0" w:space="0" w:color="auto"/>
      </w:divBdr>
    </w:div>
    <w:div w:id="670910807">
      <w:marLeft w:val="0"/>
      <w:marRight w:val="0"/>
      <w:marTop w:val="0"/>
      <w:marBottom w:val="0"/>
      <w:divBdr>
        <w:top w:val="none" w:sz="0" w:space="0" w:color="auto"/>
        <w:left w:val="none" w:sz="0" w:space="0" w:color="auto"/>
        <w:bottom w:val="none" w:sz="0" w:space="0" w:color="auto"/>
        <w:right w:val="none" w:sz="0" w:space="0" w:color="auto"/>
      </w:divBdr>
      <w:divsChild>
        <w:div w:id="1368797652">
          <w:marLeft w:val="0"/>
          <w:marRight w:val="0"/>
          <w:marTop w:val="0"/>
          <w:marBottom w:val="0"/>
          <w:divBdr>
            <w:top w:val="none" w:sz="0" w:space="0" w:color="auto"/>
            <w:left w:val="none" w:sz="0" w:space="0" w:color="auto"/>
            <w:bottom w:val="none" w:sz="0" w:space="0" w:color="auto"/>
            <w:right w:val="none" w:sz="0" w:space="0" w:color="auto"/>
          </w:divBdr>
        </w:div>
      </w:divsChild>
    </w:div>
    <w:div w:id="671419974">
      <w:marLeft w:val="0"/>
      <w:marRight w:val="0"/>
      <w:marTop w:val="0"/>
      <w:marBottom w:val="240"/>
      <w:divBdr>
        <w:top w:val="none" w:sz="0" w:space="0" w:color="auto"/>
        <w:left w:val="none" w:sz="0" w:space="0" w:color="auto"/>
        <w:bottom w:val="none" w:sz="0" w:space="0" w:color="auto"/>
        <w:right w:val="none" w:sz="0" w:space="0" w:color="auto"/>
      </w:divBdr>
    </w:div>
    <w:div w:id="671834799">
      <w:marLeft w:val="0"/>
      <w:marRight w:val="0"/>
      <w:marTop w:val="120"/>
      <w:marBottom w:val="180"/>
      <w:divBdr>
        <w:top w:val="none" w:sz="0" w:space="0" w:color="auto"/>
        <w:left w:val="none" w:sz="0" w:space="0" w:color="auto"/>
        <w:bottom w:val="none" w:sz="0" w:space="0" w:color="auto"/>
        <w:right w:val="none" w:sz="0" w:space="0" w:color="auto"/>
      </w:divBdr>
    </w:div>
    <w:div w:id="671956509">
      <w:marLeft w:val="0"/>
      <w:marRight w:val="0"/>
      <w:marTop w:val="0"/>
      <w:marBottom w:val="240"/>
      <w:divBdr>
        <w:top w:val="none" w:sz="0" w:space="0" w:color="auto"/>
        <w:left w:val="none" w:sz="0" w:space="0" w:color="auto"/>
        <w:bottom w:val="none" w:sz="0" w:space="0" w:color="auto"/>
        <w:right w:val="none" w:sz="0" w:space="0" w:color="auto"/>
      </w:divBdr>
    </w:div>
    <w:div w:id="673803313">
      <w:marLeft w:val="0"/>
      <w:marRight w:val="0"/>
      <w:marTop w:val="0"/>
      <w:marBottom w:val="240"/>
      <w:divBdr>
        <w:top w:val="none" w:sz="0" w:space="0" w:color="auto"/>
        <w:left w:val="none" w:sz="0" w:space="0" w:color="auto"/>
        <w:bottom w:val="none" w:sz="0" w:space="0" w:color="auto"/>
        <w:right w:val="none" w:sz="0" w:space="0" w:color="auto"/>
      </w:divBdr>
    </w:div>
    <w:div w:id="673846076">
      <w:marLeft w:val="0"/>
      <w:marRight w:val="0"/>
      <w:marTop w:val="0"/>
      <w:marBottom w:val="0"/>
      <w:divBdr>
        <w:top w:val="none" w:sz="0" w:space="0" w:color="auto"/>
        <w:left w:val="none" w:sz="0" w:space="0" w:color="auto"/>
        <w:bottom w:val="none" w:sz="0" w:space="0" w:color="auto"/>
        <w:right w:val="none" w:sz="0" w:space="0" w:color="auto"/>
      </w:divBdr>
      <w:divsChild>
        <w:div w:id="1231575908">
          <w:marLeft w:val="0"/>
          <w:marRight w:val="0"/>
          <w:marTop w:val="0"/>
          <w:marBottom w:val="0"/>
          <w:divBdr>
            <w:top w:val="none" w:sz="0" w:space="0" w:color="auto"/>
            <w:left w:val="none" w:sz="0" w:space="0" w:color="auto"/>
            <w:bottom w:val="none" w:sz="0" w:space="0" w:color="auto"/>
            <w:right w:val="none" w:sz="0" w:space="0" w:color="auto"/>
          </w:divBdr>
        </w:div>
      </w:divsChild>
    </w:div>
    <w:div w:id="674234507">
      <w:marLeft w:val="0"/>
      <w:marRight w:val="0"/>
      <w:marTop w:val="0"/>
      <w:marBottom w:val="0"/>
      <w:divBdr>
        <w:top w:val="none" w:sz="0" w:space="0" w:color="auto"/>
        <w:left w:val="none" w:sz="0" w:space="0" w:color="auto"/>
        <w:bottom w:val="none" w:sz="0" w:space="0" w:color="auto"/>
        <w:right w:val="none" w:sz="0" w:space="0" w:color="auto"/>
      </w:divBdr>
    </w:div>
    <w:div w:id="674304184">
      <w:marLeft w:val="0"/>
      <w:marRight w:val="0"/>
      <w:marTop w:val="180"/>
      <w:marBottom w:val="180"/>
      <w:divBdr>
        <w:top w:val="none" w:sz="0" w:space="0" w:color="auto"/>
        <w:left w:val="none" w:sz="0" w:space="0" w:color="auto"/>
        <w:bottom w:val="none" w:sz="0" w:space="0" w:color="auto"/>
        <w:right w:val="none" w:sz="0" w:space="0" w:color="auto"/>
      </w:divBdr>
    </w:div>
    <w:div w:id="675768133">
      <w:marLeft w:val="0"/>
      <w:marRight w:val="0"/>
      <w:marTop w:val="0"/>
      <w:marBottom w:val="180"/>
      <w:divBdr>
        <w:top w:val="none" w:sz="0" w:space="0" w:color="auto"/>
        <w:left w:val="none" w:sz="0" w:space="0" w:color="auto"/>
        <w:bottom w:val="none" w:sz="0" w:space="0" w:color="auto"/>
        <w:right w:val="none" w:sz="0" w:space="0" w:color="auto"/>
      </w:divBdr>
    </w:div>
    <w:div w:id="675887533">
      <w:marLeft w:val="0"/>
      <w:marRight w:val="0"/>
      <w:marTop w:val="180"/>
      <w:marBottom w:val="180"/>
      <w:divBdr>
        <w:top w:val="none" w:sz="0" w:space="0" w:color="auto"/>
        <w:left w:val="none" w:sz="0" w:space="0" w:color="auto"/>
        <w:bottom w:val="none" w:sz="0" w:space="0" w:color="auto"/>
        <w:right w:val="none" w:sz="0" w:space="0" w:color="auto"/>
      </w:divBdr>
    </w:div>
    <w:div w:id="677271861">
      <w:marLeft w:val="0"/>
      <w:marRight w:val="0"/>
      <w:marTop w:val="0"/>
      <w:marBottom w:val="180"/>
      <w:divBdr>
        <w:top w:val="none" w:sz="0" w:space="0" w:color="auto"/>
        <w:left w:val="none" w:sz="0" w:space="0" w:color="auto"/>
        <w:bottom w:val="none" w:sz="0" w:space="0" w:color="auto"/>
        <w:right w:val="none" w:sz="0" w:space="0" w:color="auto"/>
      </w:divBdr>
    </w:div>
    <w:div w:id="677849939">
      <w:marLeft w:val="0"/>
      <w:marRight w:val="0"/>
      <w:marTop w:val="0"/>
      <w:marBottom w:val="240"/>
      <w:divBdr>
        <w:top w:val="none" w:sz="0" w:space="0" w:color="auto"/>
        <w:left w:val="none" w:sz="0" w:space="0" w:color="auto"/>
        <w:bottom w:val="none" w:sz="0" w:space="0" w:color="auto"/>
        <w:right w:val="none" w:sz="0" w:space="0" w:color="auto"/>
      </w:divBdr>
    </w:div>
    <w:div w:id="678316535">
      <w:marLeft w:val="0"/>
      <w:marRight w:val="0"/>
      <w:marTop w:val="0"/>
      <w:marBottom w:val="180"/>
      <w:divBdr>
        <w:top w:val="none" w:sz="0" w:space="0" w:color="auto"/>
        <w:left w:val="none" w:sz="0" w:space="0" w:color="auto"/>
        <w:bottom w:val="none" w:sz="0" w:space="0" w:color="auto"/>
        <w:right w:val="none" w:sz="0" w:space="0" w:color="auto"/>
      </w:divBdr>
    </w:div>
    <w:div w:id="679311378">
      <w:marLeft w:val="0"/>
      <w:marRight w:val="0"/>
      <w:marTop w:val="100"/>
      <w:marBottom w:val="0"/>
      <w:divBdr>
        <w:top w:val="none" w:sz="0" w:space="0" w:color="auto"/>
        <w:left w:val="none" w:sz="0" w:space="0" w:color="auto"/>
        <w:bottom w:val="none" w:sz="0" w:space="0" w:color="auto"/>
        <w:right w:val="none" w:sz="0" w:space="0" w:color="auto"/>
      </w:divBdr>
    </w:div>
    <w:div w:id="681706597">
      <w:marLeft w:val="0"/>
      <w:marRight w:val="0"/>
      <w:marTop w:val="0"/>
      <w:marBottom w:val="240"/>
      <w:divBdr>
        <w:top w:val="none" w:sz="0" w:space="0" w:color="auto"/>
        <w:left w:val="none" w:sz="0" w:space="0" w:color="auto"/>
        <w:bottom w:val="none" w:sz="0" w:space="0" w:color="auto"/>
        <w:right w:val="none" w:sz="0" w:space="0" w:color="auto"/>
      </w:divBdr>
    </w:div>
    <w:div w:id="682054144">
      <w:marLeft w:val="0"/>
      <w:marRight w:val="0"/>
      <w:marTop w:val="0"/>
      <w:marBottom w:val="0"/>
      <w:divBdr>
        <w:top w:val="none" w:sz="0" w:space="0" w:color="auto"/>
        <w:left w:val="none" w:sz="0" w:space="0" w:color="auto"/>
        <w:bottom w:val="none" w:sz="0" w:space="0" w:color="auto"/>
        <w:right w:val="none" w:sz="0" w:space="0" w:color="auto"/>
      </w:divBdr>
      <w:divsChild>
        <w:div w:id="1358118791">
          <w:marLeft w:val="0"/>
          <w:marRight w:val="0"/>
          <w:marTop w:val="0"/>
          <w:marBottom w:val="0"/>
          <w:divBdr>
            <w:top w:val="none" w:sz="0" w:space="0" w:color="auto"/>
            <w:left w:val="none" w:sz="0" w:space="0" w:color="auto"/>
            <w:bottom w:val="none" w:sz="0" w:space="0" w:color="auto"/>
            <w:right w:val="none" w:sz="0" w:space="0" w:color="auto"/>
          </w:divBdr>
        </w:div>
      </w:divsChild>
    </w:div>
    <w:div w:id="682710045">
      <w:marLeft w:val="0"/>
      <w:marRight w:val="0"/>
      <w:marTop w:val="0"/>
      <w:marBottom w:val="180"/>
      <w:divBdr>
        <w:top w:val="none" w:sz="0" w:space="0" w:color="auto"/>
        <w:left w:val="none" w:sz="0" w:space="0" w:color="auto"/>
        <w:bottom w:val="none" w:sz="0" w:space="0" w:color="auto"/>
        <w:right w:val="none" w:sz="0" w:space="0" w:color="auto"/>
      </w:divBdr>
    </w:div>
    <w:div w:id="682824942">
      <w:marLeft w:val="0"/>
      <w:marRight w:val="0"/>
      <w:marTop w:val="180"/>
      <w:marBottom w:val="180"/>
      <w:divBdr>
        <w:top w:val="none" w:sz="0" w:space="0" w:color="auto"/>
        <w:left w:val="none" w:sz="0" w:space="0" w:color="auto"/>
        <w:bottom w:val="none" w:sz="0" w:space="0" w:color="auto"/>
        <w:right w:val="none" w:sz="0" w:space="0" w:color="auto"/>
      </w:divBdr>
    </w:div>
    <w:div w:id="682827156">
      <w:marLeft w:val="0"/>
      <w:marRight w:val="0"/>
      <w:marTop w:val="0"/>
      <w:marBottom w:val="240"/>
      <w:divBdr>
        <w:top w:val="none" w:sz="0" w:space="0" w:color="auto"/>
        <w:left w:val="none" w:sz="0" w:space="0" w:color="auto"/>
        <w:bottom w:val="none" w:sz="0" w:space="0" w:color="auto"/>
        <w:right w:val="none" w:sz="0" w:space="0" w:color="auto"/>
      </w:divBdr>
    </w:div>
    <w:div w:id="683048343">
      <w:marLeft w:val="0"/>
      <w:marRight w:val="0"/>
      <w:marTop w:val="0"/>
      <w:marBottom w:val="180"/>
      <w:divBdr>
        <w:top w:val="none" w:sz="0" w:space="0" w:color="auto"/>
        <w:left w:val="none" w:sz="0" w:space="0" w:color="auto"/>
        <w:bottom w:val="none" w:sz="0" w:space="0" w:color="auto"/>
        <w:right w:val="none" w:sz="0" w:space="0" w:color="auto"/>
      </w:divBdr>
    </w:div>
    <w:div w:id="683673612">
      <w:marLeft w:val="0"/>
      <w:marRight w:val="0"/>
      <w:marTop w:val="0"/>
      <w:marBottom w:val="0"/>
      <w:divBdr>
        <w:top w:val="none" w:sz="0" w:space="0" w:color="auto"/>
        <w:left w:val="none" w:sz="0" w:space="0" w:color="auto"/>
        <w:bottom w:val="none" w:sz="0" w:space="0" w:color="auto"/>
        <w:right w:val="none" w:sz="0" w:space="0" w:color="auto"/>
      </w:divBdr>
    </w:div>
    <w:div w:id="684021046">
      <w:marLeft w:val="0"/>
      <w:marRight w:val="0"/>
      <w:marTop w:val="0"/>
      <w:marBottom w:val="0"/>
      <w:divBdr>
        <w:top w:val="none" w:sz="0" w:space="0" w:color="auto"/>
        <w:left w:val="none" w:sz="0" w:space="0" w:color="auto"/>
        <w:bottom w:val="none" w:sz="0" w:space="0" w:color="auto"/>
        <w:right w:val="none" w:sz="0" w:space="0" w:color="auto"/>
      </w:divBdr>
    </w:div>
    <w:div w:id="684359272">
      <w:marLeft w:val="0"/>
      <w:marRight w:val="0"/>
      <w:marTop w:val="180"/>
      <w:marBottom w:val="180"/>
      <w:divBdr>
        <w:top w:val="none" w:sz="0" w:space="0" w:color="auto"/>
        <w:left w:val="none" w:sz="0" w:space="0" w:color="auto"/>
        <w:bottom w:val="none" w:sz="0" w:space="0" w:color="auto"/>
        <w:right w:val="none" w:sz="0" w:space="0" w:color="auto"/>
      </w:divBdr>
    </w:div>
    <w:div w:id="684552109">
      <w:marLeft w:val="0"/>
      <w:marRight w:val="0"/>
      <w:marTop w:val="0"/>
      <w:marBottom w:val="240"/>
      <w:divBdr>
        <w:top w:val="none" w:sz="0" w:space="0" w:color="auto"/>
        <w:left w:val="none" w:sz="0" w:space="0" w:color="auto"/>
        <w:bottom w:val="none" w:sz="0" w:space="0" w:color="auto"/>
        <w:right w:val="none" w:sz="0" w:space="0" w:color="auto"/>
      </w:divBdr>
    </w:div>
    <w:div w:id="684671653">
      <w:marLeft w:val="0"/>
      <w:marRight w:val="0"/>
      <w:marTop w:val="0"/>
      <w:marBottom w:val="240"/>
      <w:divBdr>
        <w:top w:val="none" w:sz="0" w:space="0" w:color="auto"/>
        <w:left w:val="none" w:sz="0" w:space="0" w:color="auto"/>
        <w:bottom w:val="none" w:sz="0" w:space="0" w:color="auto"/>
        <w:right w:val="none" w:sz="0" w:space="0" w:color="auto"/>
      </w:divBdr>
    </w:div>
    <w:div w:id="685255867">
      <w:marLeft w:val="0"/>
      <w:marRight w:val="0"/>
      <w:marTop w:val="180"/>
      <w:marBottom w:val="180"/>
      <w:divBdr>
        <w:top w:val="none" w:sz="0" w:space="0" w:color="auto"/>
        <w:left w:val="none" w:sz="0" w:space="0" w:color="auto"/>
        <w:bottom w:val="none" w:sz="0" w:space="0" w:color="auto"/>
        <w:right w:val="none" w:sz="0" w:space="0" w:color="auto"/>
      </w:divBdr>
    </w:div>
    <w:div w:id="685523139">
      <w:marLeft w:val="0"/>
      <w:marRight w:val="0"/>
      <w:marTop w:val="180"/>
      <w:marBottom w:val="180"/>
      <w:divBdr>
        <w:top w:val="none" w:sz="0" w:space="0" w:color="auto"/>
        <w:left w:val="none" w:sz="0" w:space="0" w:color="auto"/>
        <w:bottom w:val="none" w:sz="0" w:space="0" w:color="auto"/>
        <w:right w:val="none" w:sz="0" w:space="0" w:color="auto"/>
      </w:divBdr>
    </w:div>
    <w:div w:id="685717263">
      <w:marLeft w:val="0"/>
      <w:marRight w:val="0"/>
      <w:marTop w:val="0"/>
      <w:marBottom w:val="0"/>
      <w:divBdr>
        <w:top w:val="none" w:sz="0" w:space="0" w:color="auto"/>
        <w:left w:val="none" w:sz="0" w:space="0" w:color="auto"/>
        <w:bottom w:val="none" w:sz="0" w:space="0" w:color="auto"/>
        <w:right w:val="none" w:sz="0" w:space="0" w:color="auto"/>
      </w:divBdr>
    </w:div>
    <w:div w:id="686062430">
      <w:marLeft w:val="0"/>
      <w:marRight w:val="0"/>
      <w:marTop w:val="0"/>
      <w:marBottom w:val="180"/>
      <w:divBdr>
        <w:top w:val="none" w:sz="0" w:space="0" w:color="auto"/>
        <w:left w:val="none" w:sz="0" w:space="0" w:color="auto"/>
        <w:bottom w:val="none" w:sz="0" w:space="0" w:color="auto"/>
        <w:right w:val="none" w:sz="0" w:space="0" w:color="auto"/>
      </w:divBdr>
    </w:div>
    <w:div w:id="686834698">
      <w:marLeft w:val="0"/>
      <w:marRight w:val="0"/>
      <w:marTop w:val="0"/>
      <w:marBottom w:val="0"/>
      <w:divBdr>
        <w:top w:val="none" w:sz="0" w:space="0" w:color="auto"/>
        <w:left w:val="none" w:sz="0" w:space="0" w:color="auto"/>
        <w:bottom w:val="none" w:sz="0" w:space="0" w:color="auto"/>
        <w:right w:val="none" w:sz="0" w:space="0" w:color="auto"/>
      </w:divBdr>
    </w:div>
    <w:div w:id="687177165">
      <w:marLeft w:val="0"/>
      <w:marRight w:val="0"/>
      <w:marTop w:val="0"/>
      <w:marBottom w:val="0"/>
      <w:divBdr>
        <w:top w:val="none" w:sz="0" w:space="0" w:color="auto"/>
        <w:left w:val="none" w:sz="0" w:space="0" w:color="auto"/>
        <w:bottom w:val="none" w:sz="0" w:space="0" w:color="auto"/>
        <w:right w:val="none" w:sz="0" w:space="0" w:color="auto"/>
      </w:divBdr>
    </w:div>
    <w:div w:id="687872666">
      <w:marLeft w:val="0"/>
      <w:marRight w:val="0"/>
      <w:marTop w:val="0"/>
      <w:marBottom w:val="180"/>
      <w:divBdr>
        <w:top w:val="none" w:sz="0" w:space="0" w:color="auto"/>
        <w:left w:val="none" w:sz="0" w:space="0" w:color="auto"/>
        <w:bottom w:val="none" w:sz="0" w:space="0" w:color="auto"/>
        <w:right w:val="none" w:sz="0" w:space="0" w:color="auto"/>
      </w:divBdr>
    </w:div>
    <w:div w:id="687951231">
      <w:marLeft w:val="0"/>
      <w:marRight w:val="0"/>
      <w:marTop w:val="120"/>
      <w:marBottom w:val="120"/>
      <w:divBdr>
        <w:top w:val="none" w:sz="0" w:space="0" w:color="auto"/>
        <w:left w:val="none" w:sz="0" w:space="0" w:color="auto"/>
        <w:bottom w:val="none" w:sz="0" w:space="0" w:color="auto"/>
        <w:right w:val="none" w:sz="0" w:space="0" w:color="auto"/>
      </w:divBdr>
    </w:div>
    <w:div w:id="688024461">
      <w:marLeft w:val="0"/>
      <w:marRight w:val="0"/>
      <w:marTop w:val="0"/>
      <w:marBottom w:val="180"/>
      <w:divBdr>
        <w:top w:val="none" w:sz="0" w:space="0" w:color="auto"/>
        <w:left w:val="none" w:sz="0" w:space="0" w:color="auto"/>
        <w:bottom w:val="none" w:sz="0" w:space="0" w:color="auto"/>
        <w:right w:val="none" w:sz="0" w:space="0" w:color="auto"/>
      </w:divBdr>
    </w:div>
    <w:div w:id="688062742">
      <w:marLeft w:val="0"/>
      <w:marRight w:val="0"/>
      <w:marTop w:val="180"/>
      <w:marBottom w:val="180"/>
      <w:divBdr>
        <w:top w:val="none" w:sz="0" w:space="0" w:color="auto"/>
        <w:left w:val="none" w:sz="0" w:space="0" w:color="auto"/>
        <w:bottom w:val="none" w:sz="0" w:space="0" w:color="auto"/>
        <w:right w:val="none" w:sz="0" w:space="0" w:color="auto"/>
      </w:divBdr>
    </w:div>
    <w:div w:id="688337199">
      <w:marLeft w:val="0"/>
      <w:marRight w:val="0"/>
      <w:marTop w:val="100"/>
      <w:marBottom w:val="240"/>
      <w:divBdr>
        <w:top w:val="none" w:sz="0" w:space="0" w:color="auto"/>
        <w:left w:val="none" w:sz="0" w:space="0" w:color="auto"/>
        <w:bottom w:val="none" w:sz="0" w:space="0" w:color="auto"/>
        <w:right w:val="none" w:sz="0" w:space="0" w:color="auto"/>
      </w:divBdr>
    </w:div>
    <w:div w:id="688533531">
      <w:marLeft w:val="0"/>
      <w:marRight w:val="0"/>
      <w:marTop w:val="0"/>
      <w:marBottom w:val="240"/>
      <w:divBdr>
        <w:top w:val="none" w:sz="0" w:space="0" w:color="auto"/>
        <w:left w:val="none" w:sz="0" w:space="0" w:color="auto"/>
        <w:bottom w:val="none" w:sz="0" w:space="0" w:color="auto"/>
        <w:right w:val="none" w:sz="0" w:space="0" w:color="auto"/>
      </w:divBdr>
    </w:div>
    <w:div w:id="688676265">
      <w:marLeft w:val="0"/>
      <w:marRight w:val="0"/>
      <w:marTop w:val="0"/>
      <w:marBottom w:val="180"/>
      <w:divBdr>
        <w:top w:val="none" w:sz="0" w:space="0" w:color="auto"/>
        <w:left w:val="none" w:sz="0" w:space="0" w:color="auto"/>
        <w:bottom w:val="none" w:sz="0" w:space="0" w:color="auto"/>
        <w:right w:val="none" w:sz="0" w:space="0" w:color="auto"/>
      </w:divBdr>
    </w:div>
    <w:div w:id="690182835">
      <w:marLeft w:val="0"/>
      <w:marRight w:val="0"/>
      <w:marTop w:val="0"/>
      <w:marBottom w:val="180"/>
      <w:divBdr>
        <w:top w:val="none" w:sz="0" w:space="0" w:color="auto"/>
        <w:left w:val="none" w:sz="0" w:space="0" w:color="auto"/>
        <w:bottom w:val="none" w:sz="0" w:space="0" w:color="auto"/>
        <w:right w:val="none" w:sz="0" w:space="0" w:color="auto"/>
      </w:divBdr>
    </w:div>
    <w:div w:id="690449137">
      <w:marLeft w:val="0"/>
      <w:marRight w:val="0"/>
      <w:marTop w:val="180"/>
      <w:marBottom w:val="180"/>
      <w:divBdr>
        <w:top w:val="none" w:sz="0" w:space="0" w:color="auto"/>
        <w:left w:val="none" w:sz="0" w:space="0" w:color="auto"/>
        <w:bottom w:val="none" w:sz="0" w:space="0" w:color="auto"/>
        <w:right w:val="none" w:sz="0" w:space="0" w:color="auto"/>
      </w:divBdr>
    </w:div>
    <w:div w:id="690495166">
      <w:marLeft w:val="0"/>
      <w:marRight w:val="0"/>
      <w:marTop w:val="0"/>
      <w:marBottom w:val="240"/>
      <w:divBdr>
        <w:top w:val="none" w:sz="0" w:space="0" w:color="auto"/>
        <w:left w:val="none" w:sz="0" w:space="0" w:color="auto"/>
        <w:bottom w:val="none" w:sz="0" w:space="0" w:color="auto"/>
        <w:right w:val="none" w:sz="0" w:space="0" w:color="auto"/>
      </w:divBdr>
    </w:div>
    <w:div w:id="691149344">
      <w:marLeft w:val="0"/>
      <w:marRight w:val="0"/>
      <w:marTop w:val="0"/>
      <w:marBottom w:val="0"/>
      <w:divBdr>
        <w:top w:val="none" w:sz="0" w:space="0" w:color="auto"/>
        <w:left w:val="none" w:sz="0" w:space="0" w:color="auto"/>
        <w:bottom w:val="none" w:sz="0" w:space="0" w:color="auto"/>
        <w:right w:val="none" w:sz="0" w:space="0" w:color="auto"/>
      </w:divBdr>
    </w:div>
    <w:div w:id="691608790">
      <w:marLeft w:val="0"/>
      <w:marRight w:val="0"/>
      <w:marTop w:val="0"/>
      <w:marBottom w:val="180"/>
      <w:divBdr>
        <w:top w:val="none" w:sz="0" w:space="0" w:color="auto"/>
        <w:left w:val="none" w:sz="0" w:space="0" w:color="auto"/>
        <w:bottom w:val="none" w:sz="0" w:space="0" w:color="auto"/>
        <w:right w:val="none" w:sz="0" w:space="0" w:color="auto"/>
      </w:divBdr>
    </w:div>
    <w:div w:id="691614660">
      <w:marLeft w:val="0"/>
      <w:marRight w:val="0"/>
      <w:marTop w:val="0"/>
      <w:marBottom w:val="180"/>
      <w:divBdr>
        <w:top w:val="none" w:sz="0" w:space="0" w:color="auto"/>
        <w:left w:val="none" w:sz="0" w:space="0" w:color="auto"/>
        <w:bottom w:val="none" w:sz="0" w:space="0" w:color="auto"/>
        <w:right w:val="none" w:sz="0" w:space="0" w:color="auto"/>
      </w:divBdr>
    </w:div>
    <w:div w:id="691882352">
      <w:marLeft w:val="0"/>
      <w:marRight w:val="0"/>
      <w:marTop w:val="0"/>
      <w:marBottom w:val="0"/>
      <w:divBdr>
        <w:top w:val="none" w:sz="0" w:space="0" w:color="auto"/>
        <w:left w:val="none" w:sz="0" w:space="0" w:color="auto"/>
        <w:bottom w:val="none" w:sz="0" w:space="0" w:color="auto"/>
        <w:right w:val="none" w:sz="0" w:space="0" w:color="auto"/>
      </w:divBdr>
      <w:divsChild>
        <w:div w:id="2039625526">
          <w:marLeft w:val="0"/>
          <w:marRight w:val="0"/>
          <w:marTop w:val="0"/>
          <w:marBottom w:val="0"/>
          <w:divBdr>
            <w:top w:val="none" w:sz="0" w:space="0" w:color="auto"/>
            <w:left w:val="none" w:sz="0" w:space="0" w:color="auto"/>
            <w:bottom w:val="none" w:sz="0" w:space="0" w:color="auto"/>
            <w:right w:val="none" w:sz="0" w:space="0" w:color="auto"/>
          </w:divBdr>
        </w:div>
      </w:divsChild>
    </w:div>
    <w:div w:id="692150760">
      <w:marLeft w:val="0"/>
      <w:marRight w:val="0"/>
      <w:marTop w:val="180"/>
      <w:marBottom w:val="180"/>
      <w:divBdr>
        <w:top w:val="none" w:sz="0" w:space="0" w:color="auto"/>
        <w:left w:val="none" w:sz="0" w:space="0" w:color="auto"/>
        <w:bottom w:val="none" w:sz="0" w:space="0" w:color="auto"/>
        <w:right w:val="none" w:sz="0" w:space="0" w:color="auto"/>
      </w:divBdr>
    </w:div>
    <w:div w:id="693387582">
      <w:marLeft w:val="0"/>
      <w:marRight w:val="0"/>
      <w:marTop w:val="0"/>
      <w:marBottom w:val="0"/>
      <w:divBdr>
        <w:top w:val="none" w:sz="0" w:space="0" w:color="auto"/>
        <w:left w:val="none" w:sz="0" w:space="0" w:color="auto"/>
        <w:bottom w:val="none" w:sz="0" w:space="0" w:color="auto"/>
        <w:right w:val="none" w:sz="0" w:space="0" w:color="auto"/>
      </w:divBdr>
      <w:divsChild>
        <w:div w:id="983850020">
          <w:marLeft w:val="0"/>
          <w:marRight w:val="0"/>
          <w:marTop w:val="0"/>
          <w:marBottom w:val="0"/>
          <w:divBdr>
            <w:top w:val="none" w:sz="0" w:space="0" w:color="auto"/>
            <w:left w:val="none" w:sz="0" w:space="0" w:color="auto"/>
            <w:bottom w:val="none" w:sz="0" w:space="0" w:color="auto"/>
            <w:right w:val="none" w:sz="0" w:space="0" w:color="auto"/>
          </w:divBdr>
        </w:div>
        <w:div w:id="2130968796">
          <w:marLeft w:val="0"/>
          <w:marRight w:val="0"/>
          <w:marTop w:val="0"/>
          <w:marBottom w:val="0"/>
          <w:divBdr>
            <w:top w:val="none" w:sz="0" w:space="0" w:color="auto"/>
            <w:left w:val="none" w:sz="0" w:space="0" w:color="auto"/>
            <w:bottom w:val="none" w:sz="0" w:space="0" w:color="auto"/>
            <w:right w:val="none" w:sz="0" w:space="0" w:color="auto"/>
          </w:divBdr>
        </w:div>
      </w:divsChild>
    </w:div>
    <w:div w:id="693774760">
      <w:marLeft w:val="0"/>
      <w:marRight w:val="0"/>
      <w:marTop w:val="0"/>
      <w:marBottom w:val="0"/>
      <w:divBdr>
        <w:top w:val="none" w:sz="0" w:space="0" w:color="auto"/>
        <w:left w:val="none" w:sz="0" w:space="0" w:color="auto"/>
        <w:bottom w:val="none" w:sz="0" w:space="0" w:color="auto"/>
        <w:right w:val="none" w:sz="0" w:space="0" w:color="auto"/>
      </w:divBdr>
      <w:divsChild>
        <w:div w:id="1373916890">
          <w:marLeft w:val="0"/>
          <w:marRight w:val="0"/>
          <w:marTop w:val="0"/>
          <w:marBottom w:val="0"/>
          <w:divBdr>
            <w:top w:val="none" w:sz="0" w:space="0" w:color="auto"/>
            <w:left w:val="none" w:sz="0" w:space="0" w:color="auto"/>
            <w:bottom w:val="none" w:sz="0" w:space="0" w:color="auto"/>
            <w:right w:val="none" w:sz="0" w:space="0" w:color="auto"/>
          </w:divBdr>
        </w:div>
      </w:divsChild>
    </w:div>
    <w:div w:id="695734605">
      <w:marLeft w:val="0"/>
      <w:marRight w:val="0"/>
      <w:marTop w:val="0"/>
      <w:marBottom w:val="180"/>
      <w:divBdr>
        <w:top w:val="none" w:sz="0" w:space="0" w:color="auto"/>
        <w:left w:val="none" w:sz="0" w:space="0" w:color="auto"/>
        <w:bottom w:val="none" w:sz="0" w:space="0" w:color="auto"/>
        <w:right w:val="none" w:sz="0" w:space="0" w:color="auto"/>
      </w:divBdr>
    </w:div>
    <w:div w:id="696002668">
      <w:marLeft w:val="0"/>
      <w:marRight w:val="0"/>
      <w:marTop w:val="0"/>
      <w:marBottom w:val="120"/>
      <w:divBdr>
        <w:top w:val="none" w:sz="0" w:space="0" w:color="auto"/>
        <w:left w:val="none" w:sz="0" w:space="0" w:color="auto"/>
        <w:bottom w:val="none" w:sz="0" w:space="0" w:color="auto"/>
        <w:right w:val="none" w:sz="0" w:space="0" w:color="auto"/>
      </w:divBdr>
    </w:div>
    <w:div w:id="696469074">
      <w:marLeft w:val="0"/>
      <w:marRight w:val="0"/>
      <w:marTop w:val="0"/>
      <w:marBottom w:val="180"/>
      <w:divBdr>
        <w:top w:val="none" w:sz="0" w:space="0" w:color="auto"/>
        <w:left w:val="none" w:sz="0" w:space="0" w:color="auto"/>
        <w:bottom w:val="none" w:sz="0" w:space="0" w:color="auto"/>
        <w:right w:val="none" w:sz="0" w:space="0" w:color="auto"/>
      </w:divBdr>
    </w:div>
    <w:div w:id="696657503">
      <w:marLeft w:val="0"/>
      <w:marRight w:val="0"/>
      <w:marTop w:val="0"/>
      <w:marBottom w:val="0"/>
      <w:divBdr>
        <w:top w:val="none" w:sz="0" w:space="0" w:color="auto"/>
        <w:left w:val="none" w:sz="0" w:space="0" w:color="auto"/>
        <w:bottom w:val="none" w:sz="0" w:space="0" w:color="auto"/>
        <w:right w:val="none" w:sz="0" w:space="0" w:color="auto"/>
      </w:divBdr>
    </w:div>
    <w:div w:id="697464793">
      <w:marLeft w:val="0"/>
      <w:marRight w:val="0"/>
      <w:marTop w:val="0"/>
      <w:marBottom w:val="180"/>
      <w:divBdr>
        <w:top w:val="none" w:sz="0" w:space="0" w:color="auto"/>
        <w:left w:val="none" w:sz="0" w:space="0" w:color="auto"/>
        <w:bottom w:val="none" w:sz="0" w:space="0" w:color="auto"/>
        <w:right w:val="none" w:sz="0" w:space="0" w:color="auto"/>
      </w:divBdr>
    </w:div>
    <w:div w:id="697971672">
      <w:marLeft w:val="0"/>
      <w:marRight w:val="0"/>
      <w:marTop w:val="0"/>
      <w:marBottom w:val="240"/>
      <w:divBdr>
        <w:top w:val="none" w:sz="0" w:space="0" w:color="auto"/>
        <w:left w:val="none" w:sz="0" w:space="0" w:color="auto"/>
        <w:bottom w:val="none" w:sz="0" w:space="0" w:color="auto"/>
        <w:right w:val="none" w:sz="0" w:space="0" w:color="auto"/>
      </w:divBdr>
    </w:div>
    <w:div w:id="699359164">
      <w:marLeft w:val="0"/>
      <w:marRight w:val="0"/>
      <w:marTop w:val="0"/>
      <w:marBottom w:val="240"/>
      <w:divBdr>
        <w:top w:val="none" w:sz="0" w:space="0" w:color="auto"/>
        <w:left w:val="none" w:sz="0" w:space="0" w:color="auto"/>
        <w:bottom w:val="none" w:sz="0" w:space="0" w:color="auto"/>
        <w:right w:val="none" w:sz="0" w:space="0" w:color="auto"/>
      </w:divBdr>
    </w:div>
    <w:div w:id="700202379">
      <w:marLeft w:val="0"/>
      <w:marRight w:val="0"/>
      <w:marTop w:val="0"/>
      <w:marBottom w:val="0"/>
      <w:divBdr>
        <w:top w:val="none" w:sz="0" w:space="0" w:color="auto"/>
        <w:left w:val="none" w:sz="0" w:space="0" w:color="auto"/>
        <w:bottom w:val="none" w:sz="0" w:space="0" w:color="auto"/>
        <w:right w:val="none" w:sz="0" w:space="0" w:color="auto"/>
      </w:divBdr>
      <w:divsChild>
        <w:div w:id="872422166">
          <w:marLeft w:val="0"/>
          <w:marRight w:val="0"/>
          <w:marTop w:val="0"/>
          <w:marBottom w:val="0"/>
          <w:divBdr>
            <w:top w:val="none" w:sz="0" w:space="0" w:color="auto"/>
            <w:left w:val="none" w:sz="0" w:space="0" w:color="auto"/>
            <w:bottom w:val="none" w:sz="0" w:space="0" w:color="auto"/>
            <w:right w:val="none" w:sz="0" w:space="0" w:color="auto"/>
          </w:divBdr>
        </w:div>
      </w:divsChild>
    </w:div>
    <w:div w:id="700588463">
      <w:marLeft w:val="0"/>
      <w:marRight w:val="0"/>
      <w:marTop w:val="0"/>
      <w:marBottom w:val="0"/>
      <w:divBdr>
        <w:top w:val="none" w:sz="0" w:space="0" w:color="auto"/>
        <w:left w:val="none" w:sz="0" w:space="0" w:color="auto"/>
        <w:bottom w:val="none" w:sz="0" w:space="0" w:color="auto"/>
        <w:right w:val="none" w:sz="0" w:space="0" w:color="auto"/>
      </w:divBdr>
    </w:div>
    <w:div w:id="701243903">
      <w:marLeft w:val="0"/>
      <w:marRight w:val="0"/>
      <w:marTop w:val="0"/>
      <w:marBottom w:val="0"/>
      <w:divBdr>
        <w:top w:val="none" w:sz="0" w:space="0" w:color="auto"/>
        <w:left w:val="none" w:sz="0" w:space="0" w:color="auto"/>
        <w:bottom w:val="none" w:sz="0" w:space="0" w:color="auto"/>
        <w:right w:val="none" w:sz="0" w:space="0" w:color="auto"/>
      </w:divBdr>
      <w:divsChild>
        <w:div w:id="1689288127">
          <w:marLeft w:val="0"/>
          <w:marRight w:val="0"/>
          <w:marTop w:val="0"/>
          <w:marBottom w:val="0"/>
          <w:divBdr>
            <w:top w:val="none" w:sz="0" w:space="0" w:color="auto"/>
            <w:left w:val="none" w:sz="0" w:space="0" w:color="auto"/>
            <w:bottom w:val="none" w:sz="0" w:space="0" w:color="auto"/>
            <w:right w:val="none" w:sz="0" w:space="0" w:color="auto"/>
          </w:divBdr>
          <w:divsChild>
            <w:div w:id="333457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3092696">
      <w:marLeft w:val="0"/>
      <w:marRight w:val="0"/>
      <w:marTop w:val="0"/>
      <w:marBottom w:val="240"/>
      <w:divBdr>
        <w:top w:val="none" w:sz="0" w:space="0" w:color="auto"/>
        <w:left w:val="none" w:sz="0" w:space="0" w:color="auto"/>
        <w:bottom w:val="none" w:sz="0" w:space="0" w:color="auto"/>
        <w:right w:val="none" w:sz="0" w:space="0" w:color="auto"/>
      </w:divBdr>
    </w:div>
    <w:div w:id="703361946">
      <w:marLeft w:val="0"/>
      <w:marRight w:val="0"/>
      <w:marTop w:val="0"/>
      <w:marBottom w:val="180"/>
      <w:divBdr>
        <w:top w:val="none" w:sz="0" w:space="0" w:color="auto"/>
        <w:left w:val="none" w:sz="0" w:space="0" w:color="auto"/>
        <w:bottom w:val="none" w:sz="0" w:space="0" w:color="auto"/>
        <w:right w:val="none" w:sz="0" w:space="0" w:color="auto"/>
      </w:divBdr>
    </w:div>
    <w:div w:id="704405990">
      <w:marLeft w:val="0"/>
      <w:marRight w:val="0"/>
      <w:marTop w:val="0"/>
      <w:marBottom w:val="240"/>
      <w:divBdr>
        <w:top w:val="none" w:sz="0" w:space="0" w:color="auto"/>
        <w:left w:val="none" w:sz="0" w:space="0" w:color="auto"/>
        <w:bottom w:val="none" w:sz="0" w:space="0" w:color="auto"/>
        <w:right w:val="none" w:sz="0" w:space="0" w:color="auto"/>
      </w:divBdr>
    </w:div>
    <w:div w:id="705104718">
      <w:marLeft w:val="0"/>
      <w:marRight w:val="0"/>
      <w:marTop w:val="0"/>
      <w:marBottom w:val="240"/>
      <w:divBdr>
        <w:top w:val="none" w:sz="0" w:space="0" w:color="auto"/>
        <w:left w:val="none" w:sz="0" w:space="0" w:color="auto"/>
        <w:bottom w:val="none" w:sz="0" w:space="0" w:color="auto"/>
        <w:right w:val="none" w:sz="0" w:space="0" w:color="auto"/>
      </w:divBdr>
    </w:div>
    <w:div w:id="705760412">
      <w:marLeft w:val="0"/>
      <w:marRight w:val="0"/>
      <w:marTop w:val="0"/>
      <w:marBottom w:val="0"/>
      <w:divBdr>
        <w:top w:val="none" w:sz="0" w:space="0" w:color="auto"/>
        <w:left w:val="none" w:sz="0" w:space="0" w:color="auto"/>
        <w:bottom w:val="none" w:sz="0" w:space="0" w:color="auto"/>
        <w:right w:val="none" w:sz="0" w:space="0" w:color="auto"/>
      </w:divBdr>
      <w:divsChild>
        <w:div w:id="164442090">
          <w:marLeft w:val="0"/>
          <w:marRight w:val="0"/>
          <w:marTop w:val="0"/>
          <w:marBottom w:val="0"/>
          <w:divBdr>
            <w:top w:val="none" w:sz="0" w:space="0" w:color="auto"/>
            <w:left w:val="none" w:sz="0" w:space="0" w:color="auto"/>
            <w:bottom w:val="none" w:sz="0" w:space="0" w:color="auto"/>
            <w:right w:val="none" w:sz="0" w:space="0" w:color="auto"/>
          </w:divBdr>
        </w:div>
      </w:divsChild>
    </w:div>
    <w:div w:id="707799786">
      <w:marLeft w:val="0"/>
      <w:marRight w:val="0"/>
      <w:marTop w:val="0"/>
      <w:marBottom w:val="0"/>
      <w:divBdr>
        <w:top w:val="none" w:sz="0" w:space="0" w:color="auto"/>
        <w:left w:val="none" w:sz="0" w:space="0" w:color="auto"/>
        <w:bottom w:val="none" w:sz="0" w:space="0" w:color="auto"/>
        <w:right w:val="none" w:sz="0" w:space="0" w:color="auto"/>
      </w:divBdr>
      <w:divsChild>
        <w:div w:id="36207042">
          <w:marLeft w:val="0"/>
          <w:marRight w:val="0"/>
          <w:marTop w:val="0"/>
          <w:marBottom w:val="0"/>
          <w:divBdr>
            <w:top w:val="none" w:sz="0" w:space="0" w:color="auto"/>
            <w:left w:val="none" w:sz="0" w:space="0" w:color="auto"/>
            <w:bottom w:val="none" w:sz="0" w:space="0" w:color="auto"/>
            <w:right w:val="none" w:sz="0" w:space="0" w:color="auto"/>
          </w:divBdr>
        </w:div>
      </w:divsChild>
    </w:div>
    <w:div w:id="707950819">
      <w:marLeft w:val="0"/>
      <w:marRight w:val="0"/>
      <w:marTop w:val="0"/>
      <w:marBottom w:val="0"/>
      <w:divBdr>
        <w:top w:val="none" w:sz="0" w:space="0" w:color="auto"/>
        <w:left w:val="none" w:sz="0" w:space="0" w:color="auto"/>
        <w:bottom w:val="none" w:sz="0" w:space="0" w:color="auto"/>
        <w:right w:val="none" w:sz="0" w:space="0" w:color="auto"/>
      </w:divBdr>
      <w:divsChild>
        <w:div w:id="1349987759">
          <w:marLeft w:val="0"/>
          <w:marRight w:val="0"/>
          <w:marTop w:val="0"/>
          <w:marBottom w:val="0"/>
          <w:divBdr>
            <w:top w:val="none" w:sz="0" w:space="0" w:color="auto"/>
            <w:left w:val="none" w:sz="0" w:space="0" w:color="auto"/>
            <w:bottom w:val="none" w:sz="0" w:space="0" w:color="auto"/>
            <w:right w:val="none" w:sz="0" w:space="0" w:color="auto"/>
          </w:divBdr>
        </w:div>
      </w:divsChild>
    </w:div>
    <w:div w:id="708068481">
      <w:marLeft w:val="0"/>
      <w:marRight w:val="0"/>
      <w:marTop w:val="0"/>
      <w:marBottom w:val="240"/>
      <w:divBdr>
        <w:top w:val="none" w:sz="0" w:space="0" w:color="auto"/>
        <w:left w:val="none" w:sz="0" w:space="0" w:color="auto"/>
        <w:bottom w:val="none" w:sz="0" w:space="0" w:color="auto"/>
        <w:right w:val="none" w:sz="0" w:space="0" w:color="auto"/>
      </w:divBdr>
    </w:div>
    <w:div w:id="708652479">
      <w:marLeft w:val="0"/>
      <w:marRight w:val="0"/>
      <w:marTop w:val="0"/>
      <w:marBottom w:val="180"/>
      <w:divBdr>
        <w:top w:val="none" w:sz="0" w:space="0" w:color="auto"/>
        <w:left w:val="none" w:sz="0" w:space="0" w:color="auto"/>
        <w:bottom w:val="none" w:sz="0" w:space="0" w:color="auto"/>
        <w:right w:val="none" w:sz="0" w:space="0" w:color="auto"/>
      </w:divBdr>
    </w:div>
    <w:div w:id="709652864">
      <w:marLeft w:val="0"/>
      <w:marRight w:val="0"/>
      <w:marTop w:val="0"/>
      <w:marBottom w:val="180"/>
      <w:divBdr>
        <w:top w:val="none" w:sz="0" w:space="0" w:color="auto"/>
        <w:left w:val="none" w:sz="0" w:space="0" w:color="auto"/>
        <w:bottom w:val="none" w:sz="0" w:space="0" w:color="auto"/>
        <w:right w:val="none" w:sz="0" w:space="0" w:color="auto"/>
      </w:divBdr>
    </w:div>
    <w:div w:id="710106351">
      <w:marLeft w:val="0"/>
      <w:marRight w:val="0"/>
      <w:marTop w:val="0"/>
      <w:marBottom w:val="0"/>
      <w:divBdr>
        <w:top w:val="none" w:sz="0" w:space="0" w:color="auto"/>
        <w:left w:val="none" w:sz="0" w:space="0" w:color="auto"/>
        <w:bottom w:val="none" w:sz="0" w:space="0" w:color="auto"/>
        <w:right w:val="none" w:sz="0" w:space="0" w:color="auto"/>
      </w:divBdr>
    </w:div>
    <w:div w:id="710610566">
      <w:marLeft w:val="0"/>
      <w:marRight w:val="0"/>
      <w:marTop w:val="0"/>
      <w:marBottom w:val="180"/>
      <w:divBdr>
        <w:top w:val="none" w:sz="0" w:space="0" w:color="auto"/>
        <w:left w:val="none" w:sz="0" w:space="0" w:color="auto"/>
        <w:bottom w:val="none" w:sz="0" w:space="0" w:color="auto"/>
        <w:right w:val="none" w:sz="0" w:space="0" w:color="auto"/>
      </w:divBdr>
    </w:div>
    <w:div w:id="710881998">
      <w:marLeft w:val="0"/>
      <w:marRight w:val="0"/>
      <w:marTop w:val="0"/>
      <w:marBottom w:val="180"/>
      <w:divBdr>
        <w:top w:val="none" w:sz="0" w:space="0" w:color="auto"/>
        <w:left w:val="none" w:sz="0" w:space="0" w:color="auto"/>
        <w:bottom w:val="none" w:sz="0" w:space="0" w:color="auto"/>
        <w:right w:val="none" w:sz="0" w:space="0" w:color="auto"/>
      </w:divBdr>
    </w:div>
    <w:div w:id="711152823">
      <w:marLeft w:val="0"/>
      <w:marRight w:val="0"/>
      <w:marTop w:val="0"/>
      <w:marBottom w:val="180"/>
      <w:divBdr>
        <w:top w:val="none" w:sz="0" w:space="0" w:color="auto"/>
        <w:left w:val="none" w:sz="0" w:space="0" w:color="auto"/>
        <w:bottom w:val="none" w:sz="0" w:space="0" w:color="auto"/>
        <w:right w:val="none" w:sz="0" w:space="0" w:color="auto"/>
      </w:divBdr>
    </w:div>
    <w:div w:id="712537231">
      <w:marLeft w:val="0"/>
      <w:marRight w:val="0"/>
      <w:marTop w:val="0"/>
      <w:marBottom w:val="180"/>
      <w:divBdr>
        <w:top w:val="none" w:sz="0" w:space="0" w:color="auto"/>
        <w:left w:val="none" w:sz="0" w:space="0" w:color="auto"/>
        <w:bottom w:val="none" w:sz="0" w:space="0" w:color="auto"/>
        <w:right w:val="none" w:sz="0" w:space="0" w:color="auto"/>
      </w:divBdr>
    </w:div>
    <w:div w:id="712777318">
      <w:marLeft w:val="0"/>
      <w:marRight w:val="0"/>
      <w:marTop w:val="0"/>
      <w:marBottom w:val="240"/>
      <w:divBdr>
        <w:top w:val="none" w:sz="0" w:space="0" w:color="auto"/>
        <w:left w:val="none" w:sz="0" w:space="0" w:color="auto"/>
        <w:bottom w:val="none" w:sz="0" w:space="0" w:color="auto"/>
        <w:right w:val="none" w:sz="0" w:space="0" w:color="auto"/>
      </w:divBdr>
    </w:div>
    <w:div w:id="714549849">
      <w:marLeft w:val="0"/>
      <w:marRight w:val="0"/>
      <w:marTop w:val="0"/>
      <w:marBottom w:val="0"/>
      <w:divBdr>
        <w:top w:val="none" w:sz="0" w:space="0" w:color="auto"/>
        <w:left w:val="none" w:sz="0" w:space="0" w:color="auto"/>
        <w:bottom w:val="none" w:sz="0" w:space="0" w:color="auto"/>
        <w:right w:val="none" w:sz="0" w:space="0" w:color="auto"/>
      </w:divBdr>
      <w:divsChild>
        <w:div w:id="1882134230">
          <w:marLeft w:val="0"/>
          <w:marRight w:val="0"/>
          <w:marTop w:val="0"/>
          <w:marBottom w:val="0"/>
          <w:divBdr>
            <w:top w:val="none" w:sz="0" w:space="0" w:color="auto"/>
            <w:left w:val="none" w:sz="0" w:space="0" w:color="auto"/>
            <w:bottom w:val="none" w:sz="0" w:space="0" w:color="auto"/>
            <w:right w:val="none" w:sz="0" w:space="0" w:color="auto"/>
          </w:divBdr>
        </w:div>
      </w:divsChild>
    </w:div>
    <w:div w:id="714938007">
      <w:marLeft w:val="0"/>
      <w:marRight w:val="0"/>
      <w:marTop w:val="180"/>
      <w:marBottom w:val="180"/>
      <w:divBdr>
        <w:top w:val="none" w:sz="0" w:space="0" w:color="auto"/>
        <w:left w:val="none" w:sz="0" w:space="0" w:color="auto"/>
        <w:bottom w:val="none" w:sz="0" w:space="0" w:color="auto"/>
        <w:right w:val="none" w:sz="0" w:space="0" w:color="auto"/>
      </w:divBdr>
    </w:div>
    <w:div w:id="715082723">
      <w:marLeft w:val="0"/>
      <w:marRight w:val="0"/>
      <w:marTop w:val="0"/>
      <w:marBottom w:val="0"/>
      <w:divBdr>
        <w:top w:val="none" w:sz="0" w:space="0" w:color="auto"/>
        <w:left w:val="none" w:sz="0" w:space="0" w:color="auto"/>
        <w:bottom w:val="none" w:sz="0" w:space="0" w:color="auto"/>
        <w:right w:val="none" w:sz="0" w:space="0" w:color="auto"/>
      </w:divBdr>
    </w:div>
    <w:div w:id="715784550">
      <w:marLeft w:val="0"/>
      <w:marRight w:val="0"/>
      <w:marTop w:val="0"/>
      <w:marBottom w:val="240"/>
      <w:divBdr>
        <w:top w:val="none" w:sz="0" w:space="0" w:color="auto"/>
        <w:left w:val="none" w:sz="0" w:space="0" w:color="auto"/>
        <w:bottom w:val="none" w:sz="0" w:space="0" w:color="auto"/>
        <w:right w:val="none" w:sz="0" w:space="0" w:color="auto"/>
      </w:divBdr>
    </w:div>
    <w:div w:id="716011304">
      <w:marLeft w:val="0"/>
      <w:marRight w:val="0"/>
      <w:marTop w:val="0"/>
      <w:marBottom w:val="240"/>
      <w:divBdr>
        <w:top w:val="none" w:sz="0" w:space="0" w:color="auto"/>
        <w:left w:val="none" w:sz="0" w:space="0" w:color="auto"/>
        <w:bottom w:val="none" w:sz="0" w:space="0" w:color="auto"/>
        <w:right w:val="none" w:sz="0" w:space="0" w:color="auto"/>
      </w:divBdr>
    </w:div>
    <w:div w:id="716202877">
      <w:marLeft w:val="0"/>
      <w:marRight w:val="0"/>
      <w:marTop w:val="180"/>
      <w:marBottom w:val="180"/>
      <w:divBdr>
        <w:top w:val="none" w:sz="0" w:space="0" w:color="auto"/>
        <w:left w:val="none" w:sz="0" w:space="0" w:color="auto"/>
        <w:bottom w:val="none" w:sz="0" w:space="0" w:color="auto"/>
        <w:right w:val="none" w:sz="0" w:space="0" w:color="auto"/>
      </w:divBdr>
    </w:div>
    <w:div w:id="716467599">
      <w:marLeft w:val="0"/>
      <w:marRight w:val="0"/>
      <w:marTop w:val="0"/>
      <w:marBottom w:val="240"/>
      <w:divBdr>
        <w:top w:val="none" w:sz="0" w:space="0" w:color="auto"/>
        <w:left w:val="none" w:sz="0" w:space="0" w:color="auto"/>
        <w:bottom w:val="none" w:sz="0" w:space="0" w:color="auto"/>
        <w:right w:val="none" w:sz="0" w:space="0" w:color="auto"/>
      </w:divBdr>
    </w:div>
    <w:div w:id="717048655">
      <w:marLeft w:val="0"/>
      <w:marRight w:val="0"/>
      <w:marTop w:val="0"/>
      <w:marBottom w:val="240"/>
      <w:divBdr>
        <w:top w:val="none" w:sz="0" w:space="0" w:color="auto"/>
        <w:left w:val="none" w:sz="0" w:space="0" w:color="auto"/>
        <w:bottom w:val="none" w:sz="0" w:space="0" w:color="auto"/>
        <w:right w:val="none" w:sz="0" w:space="0" w:color="auto"/>
      </w:divBdr>
    </w:div>
    <w:div w:id="718091123">
      <w:marLeft w:val="0"/>
      <w:marRight w:val="0"/>
      <w:marTop w:val="100"/>
      <w:marBottom w:val="180"/>
      <w:divBdr>
        <w:top w:val="none" w:sz="0" w:space="0" w:color="auto"/>
        <w:left w:val="none" w:sz="0" w:space="0" w:color="auto"/>
        <w:bottom w:val="none" w:sz="0" w:space="0" w:color="auto"/>
        <w:right w:val="none" w:sz="0" w:space="0" w:color="auto"/>
      </w:divBdr>
    </w:div>
    <w:div w:id="718356447">
      <w:marLeft w:val="0"/>
      <w:marRight w:val="0"/>
      <w:marTop w:val="0"/>
      <w:marBottom w:val="0"/>
      <w:divBdr>
        <w:top w:val="none" w:sz="0" w:space="0" w:color="auto"/>
        <w:left w:val="none" w:sz="0" w:space="0" w:color="auto"/>
        <w:bottom w:val="none" w:sz="0" w:space="0" w:color="auto"/>
        <w:right w:val="none" w:sz="0" w:space="0" w:color="auto"/>
      </w:divBdr>
      <w:divsChild>
        <w:div w:id="519927777">
          <w:marLeft w:val="0"/>
          <w:marRight w:val="0"/>
          <w:marTop w:val="0"/>
          <w:marBottom w:val="0"/>
          <w:divBdr>
            <w:top w:val="none" w:sz="0" w:space="0" w:color="auto"/>
            <w:left w:val="none" w:sz="0" w:space="0" w:color="auto"/>
            <w:bottom w:val="none" w:sz="0" w:space="0" w:color="auto"/>
            <w:right w:val="none" w:sz="0" w:space="0" w:color="auto"/>
          </w:divBdr>
        </w:div>
      </w:divsChild>
    </w:div>
    <w:div w:id="719015968">
      <w:marLeft w:val="0"/>
      <w:marRight w:val="0"/>
      <w:marTop w:val="0"/>
      <w:marBottom w:val="180"/>
      <w:divBdr>
        <w:top w:val="none" w:sz="0" w:space="0" w:color="auto"/>
        <w:left w:val="none" w:sz="0" w:space="0" w:color="auto"/>
        <w:bottom w:val="none" w:sz="0" w:space="0" w:color="auto"/>
        <w:right w:val="none" w:sz="0" w:space="0" w:color="auto"/>
      </w:divBdr>
    </w:div>
    <w:div w:id="719669967">
      <w:marLeft w:val="0"/>
      <w:marRight w:val="0"/>
      <w:marTop w:val="0"/>
      <w:marBottom w:val="240"/>
      <w:divBdr>
        <w:top w:val="none" w:sz="0" w:space="0" w:color="auto"/>
        <w:left w:val="none" w:sz="0" w:space="0" w:color="auto"/>
        <w:bottom w:val="none" w:sz="0" w:space="0" w:color="auto"/>
        <w:right w:val="none" w:sz="0" w:space="0" w:color="auto"/>
      </w:divBdr>
    </w:div>
    <w:div w:id="719982168">
      <w:marLeft w:val="0"/>
      <w:marRight w:val="0"/>
      <w:marTop w:val="0"/>
      <w:marBottom w:val="0"/>
      <w:divBdr>
        <w:top w:val="none" w:sz="0" w:space="0" w:color="auto"/>
        <w:left w:val="none" w:sz="0" w:space="0" w:color="auto"/>
        <w:bottom w:val="none" w:sz="0" w:space="0" w:color="auto"/>
        <w:right w:val="none" w:sz="0" w:space="0" w:color="auto"/>
      </w:divBdr>
    </w:div>
    <w:div w:id="721247501">
      <w:marLeft w:val="0"/>
      <w:marRight w:val="0"/>
      <w:marTop w:val="100"/>
      <w:marBottom w:val="0"/>
      <w:divBdr>
        <w:top w:val="none" w:sz="0" w:space="0" w:color="auto"/>
        <w:left w:val="none" w:sz="0" w:space="0" w:color="auto"/>
        <w:bottom w:val="none" w:sz="0" w:space="0" w:color="auto"/>
        <w:right w:val="none" w:sz="0" w:space="0" w:color="auto"/>
      </w:divBdr>
    </w:div>
    <w:div w:id="721711038">
      <w:marLeft w:val="0"/>
      <w:marRight w:val="0"/>
      <w:marTop w:val="0"/>
      <w:marBottom w:val="0"/>
      <w:divBdr>
        <w:top w:val="none" w:sz="0" w:space="0" w:color="auto"/>
        <w:left w:val="none" w:sz="0" w:space="0" w:color="auto"/>
        <w:bottom w:val="none" w:sz="0" w:space="0" w:color="auto"/>
        <w:right w:val="none" w:sz="0" w:space="0" w:color="auto"/>
      </w:divBdr>
      <w:divsChild>
        <w:div w:id="2013098513">
          <w:marLeft w:val="0"/>
          <w:marRight w:val="0"/>
          <w:marTop w:val="0"/>
          <w:marBottom w:val="0"/>
          <w:divBdr>
            <w:top w:val="none" w:sz="0" w:space="0" w:color="auto"/>
            <w:left w:val="none" w:sz="0" w:space="0" w:color="auto"/>
            <w:bottom w:val="none" w:sz="0" w:space="0" w:color="auto"/>
            <w:right w:val="none" w:sz="0" w:space="0" w:color="auto"/>
          </w:divBdr>
        </w:div>
      </w:divsChild>
    </w:div>
    <w:div w:id="723135921">
      <w:marLeft w:val="0"/>
      <w:marRight w:val="0"/>
      <w:marTop w:val="0"/>
      <w:marBottom w:val="0"/>
      <w:divBdr>
        <w:top w:val="none" w:sz="0" w:space="0" w:color="auto"/>
        <w:left w:val="none" w:sz="0" w:space="0" w:color="auto"/>
        <w:bottom w:val="none" w:sz="0" w:space="0" w:color="auto"/>
        <w:right w:val="none" w:sz="0" w:space="0" w:color="auto"/>
      </w:divBdr>
      <w:divsChild>
        <w:div w:id="269094650">
          <w:marLeft w:val="0"/>
          <w:marRight w:val="0"/>
          <w:marTop w:val="0"/>
          <w:marBottom w:val="0"/>
          <w:divBdr>
            <w:top w:val="none" w:sz="0" w:space="0" w:color="auto"/>
            <w:left w:val="none" w:sz="0" w:space="0" w:color="auto"/>
            <w:bottom w:val="none" w:sz="0" w:space="0" w:color="auto"/>
            <w:right w:val="none" w:sz="0" w:space="0" w:color="auto"/>
          </w:divBdr>
        </w:div>
      </w:divsChild>
    </w:div>
    <w:div w:id="723259213">
      <w:marLeft w:val="0"/>
      <w:marRight w:val="0"/>
      <w:marTop w:val="180"/>
      <w:marBottom w:val="180"/>
      <w:divBdr>
        <w:top w:val="none" w:sz="0" w:space="0" w:color="auto"/>
        <w:left w:val="none" w:sz="0" w:space="0" w:color="auto"/>
        <w:bottom w:val="none" w:sz="0" w:space="0" w:color="auto"/>
        <w:right w:val="none" w:sz="0" w:space="0" w:color="auto"/>
      </w:divBdr>
    </w:div>
    <w:div w:id="726803294">
      <w:marLeft w:val="0"/>
      <w:marRight w:val="0"/>
      <w:marTop w:val="0"/>
      <w:marBottom w:val="180"/>
      <w:divBdr>
        <w:top w:val="none" w:sz="0" w:space="0" w:color="auto"/>
        <w:left w:val="none" w:sz="0" w:space="0" w:color="auto"/>
        <w:bottom w:val="none" w:sz="0" w:space="0" w:color="auto"/>
        <w:right w:val="none" w:sz="0" w:space="0" w:color="auto"/>
      </w:divBdr>
    </w:div>
    <w:div w:id="726952736">
      <w:marLeft w:val="0"/>
      <w:marRight w:val="0"/>
      <w:marTop w:val="0"/>
      <w:marBottom w:val="240"/>
      <w:divBdr>
        <w:top w:val="none" w:sz="0" w:space="0" w:color="auto"/>
        <w:left w:val="none" w:sz="0" w:space="0" w:color="auto"/>
        <w:bottom w:val="none" w:sz="0" w:space="0" w:color="auto"/>
        <w:right w:val="none" w:sz="0" w:space="0" w:color="auto"/>
      </w:divBdr>
    </w:div>
    <w:div w:id="727264881">
      <w:marLeft w:val="0"/>
      <w:marRight w:val="0"/>
      <w:marTop w:val="0"/>
      <w:marBottom w:val="180"/>
      <w:divBdr>
        <w:top w:val="none" w:sz="0" w:space="0" w:color="auto"/>
        <w:left w:val="none" w:sz="0" w:space="0" w:color="auto"/>
        <w:bottom w:val="none" w:sz="0" w:space="0" w:color="auto"/>
        <w:right w:val="none" w:sz="0" w:space="0" w:color="auto"/>
      </w:divBdr>
    </w:div>
    <w:div w:id="727648264">
      <w:marLeft w:val="0"/>
      <w:marRight w:val="0"/>
      <w:marTop w:val="0"/>
      <w:marBottom w:val="0"/>
      <w:divBdr>
        <w:top w:val="none" w:sz="0" w:space="0" w:color="auto"/>
        <w:left w:val="none" w:sz="0" w:space="0" w:color="auto"/>
        <w:bottom w:val="none" w:sz="0" w:space="0" w:color="auto"/>
        <w:right w:val="none" w:sz="0" w:space="0" w:color="auto"/>
      </w:divBdr>
      <w:divsChild>
        <w:div w:id="1058937512">
          <w:marLeft w:val="0"/>
          <w:marRight w:val="0"/>
          <w:marTop w:val="0"/>
          <w:marBottom w:val="0"/>
          <w:divBdr>
            <w:top w:val="none" w:sz="0" w:space="0" w:color="auto"/>
            <w:left w:val="none" w:sz="0" w:space="0" w:color="auto"/>
            <w:bottom w:val="none" w:sz="0" w:space="0" w:color="auto"/>
            <w:right w:val="none" w:sz="0" w:space="0" w:color="auto"/>
          </w:divBdr>
        </w:div>
      </w:divsChild>
    </w:div>
    <w:div w:id="729501722">
      <w:marLeft w:val="0"/>
      <w:marRight w:val="0"/>
      <w:marTop w:val="0"/>
      <w:marBottom w:val="0"/>
      <w:divBdr>
        <w:top w:val="none" w:sz="0" w:space="0" w:color="auto"/>
        <w:left w:val="none" w:sz="0" w:space="0" w:color="auto"/>
        <w:bottom w:val="none" w:sz="0" w:space="0" w:color="auto"/>
        <w:right w:val="none" w:sz="0" w:space="0" w:color="auto"/>
      </w:divBdr>
      <w:divsChild>
        <w:div w:id="671879344">
          <w:marLeft w:val="0"/>
          <w:marRight w:val="0"/>
          <w:marTop w:val="0"/>
          <w:marBottom w:val="0"/>
          <w:divBdr>
            <w:top w:val="none" w:sz="0" w:space="0" w:color="auto"/>
            <w:left w:val="none" w:sz="0" w:space="0" w:color="auto"/>
            <w:bottom w:val="none" w:sz="0" w:space="0" w:color="auto"/>
            <w:right w:val="none" w:sz="0" w:space="0" w:color="auto"/>
          </w:divBdr>
        </w:div>
      </w:divsChild>
    </w:div>
    <w:div w:id="729772891">
      <w:marLeft w:val="0"/>
      <w:marRight w:val="0"/>
      <w:marTop w:val="0"/>
      <w:marBottom w:val="240"/>
      <w:divBdr>
        <w:top w:val="none" w:sz="0" w:space="0" w:color="auto"/>
        <w:left w:val="none" w:sz="0" w:space="0" w:color="auto"/>
        <w:bottom w:val="none" w:sz="0" w:space="0" w:color="auto"/>
        <w:right w:val="none" w:sz="0" w:space="0" w:color="auto"/>
      </w:divBdr>
    </w:div>
    <w:div w:id="730229590">
      <w:marLeft w:val="0"/>
      <w:marRight w:val="0"/>
      <w:marTop w:val="0"/>
      <w:marBottom w:val="0"/>
      <w:divBdr>
        <w:top w:val="none" w:sz="0" w:space="0" w:color="auto"/>
        <w:left w:val="none" w:sz="0" w:space="0" w:color="auto"/>
        <w:bottom w:val="none" w:sz="0" w:space="0" w:color="auto"/>
        <w:right w:val="none" w:sz="0" w:space="0" w:color="auto"/>
      </w:divBdr>
    </w:div>
    <w:div w:id="730693273">
      <w:marLeft w:val="0"/>
      <w:marRight w:val="0"/>
      <w:marTop w:val="0"/>
      <w:marBottom w:val="240"/>
      <w:divBdr>
        <w:top w:val="none" w:sz="0" w:space="0" w:color="auto"/>
        <w:left w:val="none" w:sz="0" w:space="0" w:color="auto"/>
        <w:bottom w:val="none" w:sz="0" w:space="0" w:color="auto"/>
        <w:right w:val="none" w:sz="0" w:space="0" w:color="auto"/>
      </w:divBdr>
    </w:div>
    <w:div w:id="731199245">
      <w:marLeft w:val="0"/>
      <w:marRight w:val="0"/>
      <w:marTop w:val="0"/>
      <w:marBottom w:val="180"/>
      <w:divBdr>
        <w:top w:val="none" w:sz="0" w:space="0" w:color="auto"/>
        <w:left w:val="none" w:sz="0" w:space="0" w:color="auto"/>
        <w:bottom w:val="none" w:sz="0" w:space="0" w:color="auto"/>
        <w:right w:val="none" w:sz="0" w:space="0" w:color="auto"/>
      </w:divBdr>
    </w:div>
    <w:div w:id="731385454">
      <w:marLeft w:val="0"/>
      <w:marRight w:val="0"/>
      <w:marTop w:val="0"/>
      <w:marBottom w:val="180"/>
      <w:divBdr>
        <w:top w:val="none" w:sz="0" w:space="0" w:color="auto"/>
        <w:left w:val="none" w:sz="0" w:space="0" w:color="auto"/>
        <w:bottom w:val="none" w:sz="0" w:space="0" w:color="auto"/>
        <w:right w:val="none" w:sz="0" w:space="0" w:color="auto"/>
      </w:divBdr>
    </w:div>
    <w:div w:id="731390115">
      <w:marLeft w:val="0"/>
      <w:marRight w:val="0"/>
      <w:marTop w:val="0"/>
      <w:marBottom w:val="180"/>
      <w:divBdr>
        <w:top w:val="none" w:sz="0" w:space="0" w:color="auto"/>
        <w:left w:val="none" w:sz="0" w:space="0" w:color="auto"/>
        <w:bottom w:val="none" w:sz="0" w:space="0" w:color="auto"/>
        <w:right w:val="none" w:sz="0" w:space="0" w:color="auto"/>
      </w:divBdr>
    </w:div>
    <w:div w:id="731462339">
      <w:marLeft w:val="0"/>
      <w:marRight w:val="0"/>
      <w:marTop w:val="120"/>
      <w:marBottom w:val="180"/>
      <w:divBdr>
        <w:top w:val="none" w:sz="0" w:space="0" w:color="auto"/>
        <w:left w:val="none" w:sz="0" w:space="0" w:color="auto"/>
        <w:bottom w:val="none" w:sz="0" w:space="0" w:color="auto"/>
        <w:right w:val="none" w:sz="0" w:space="0" w:color="auto"/>
      </w:divBdr>
    </w:div>
    <w:div w:id="731541899">
      <w:marLeft w:val="0"/>
      <w:marRight w:val="0"/>
      <w:marTop w:val="0"/>
      <w:marBottom w:val="0"/>
      <w:divBdr>
        <w:top w:val="none" w:sz="0" w:space="0" w:color="auto"/>
        <w:left w:val="none" w:sz="0" w:space="0" w:color="auto"/>
        <w:bottom w:val="none" w:sz="0" w:space="0" w:color="auto"/>
        <w:right w:val="none" w:sz="0" w:space="0" w:color="auto"/>
      </w:divBdr>
      <w:divsChild>
        <w:div w:id="83845952">
          <w:marLeft w:val="0"/>
          <w:marRight w:val="0"/>
          <w:marTop w:val="0"/>
          <w:marBottom w:val="0"/>
          <w:divBdr>
            <w:top w:val="none" w:sz="0" w:space="0" w:color="auto"/>
            <w:left w:val="none" w:sz="0" w:space="0" w:color="auto"/>
            <w:bottom w:val="none" w:sz="0" w:space="0" w:color="auto"/>
            <w:right w:val="none" w:sz="0" w:space="0" w:color="auto"/>
          </w:divBdr>
        </w:div>
      </w:divsChild>
    </w:div>
    <w:div w:id="731972324">
      <w:marLeft w:val="0"/>
      <w:marRight w:val="0"/>
      <w:marTop w:val="0"/>
      <w:marBottom w:val="0"/>
      <w:divBdr>
        <w:top w:val="none" w:sz="0" w:space="0" w:color="auto"/>
        <w:left w:val="none" w:sz="0" w:space="0" w:color="auto"/>
        <w:bottom w:val="none" w:sz="0" w:space="0" w:color="auto"/>
        <w:right w:val="none" w:sz="0" w:space="0" w:color="auto"/>
      </w:divBdr>
    </w:div>
    <w:div w:id="734357248">
      <w:marLeft w:val="0"/>
      <w:marRight w:val="0"/>
      <w:marTop w:val="0"/>
      <w:marBottom w:val="240"/>
      <w:divBdr>
        <w:top w:val="none" w:sz="0" w:space="0" w:color="auto"/>
        <w:left w:val="none" w:sz="0" w:space="0" w:color="auto"/>
        <w:bottom w:val="none" w:sz="0" w:space="0" w:color="auto"/>
        <w:right w:val="none" w:sz="0" w:space="0" w:color="auto"/>
      </w:divBdr>
    </w:div>
    <w:div w:id="734935518">
      <w:marLeft w:val="0"/>
      <w:marRight w:val="0"/>
      <w:marTop w:val="0"/>
      <w:marBottom w:val="180"/>
      <w:divBdr>
        <w:top w:val="none" w:sz="0" w:space="0" w:color="auto"/>
        <w:left w:val="none" w:sz="0" w:space="0" w:color="auto"/>
        <w:bottom w:val="none" w:sz="0" w:space="0" w:color="auto"/>
        <w:right w:val="none" w:sz="0" w:space="0" w:color="auto"/>
      </w:divBdr>
    </w:div>
    <w:div w:id="735519263">
      <w:marLeft w:val="0"/>
      <w:marRight w:val="0"/>
      <w:marTop w:val="0"/>
      <w:marBottom w:val="0"/>
      <w:divBdr>
        <w:top w:val="none" w:sz="0" w:space="0" w:color="auto"/>
        <w:left w:val="none" w:sz="0" w:space="0" w:color="auto"/>
        <w:bottom w:val="none" w:sz="0" w:space="0" w:color="auto"/>
        <w:right w:val="none" w:sz="0" w:space="0" w:color="auto"/>
      </w:divBdr>
    </w:div>
    <w:div w:id="736780398">
      <w:marLeft w:val="0"/>
      <w:marRight w:val="0"/>
      <w:marTop w:val="0"/>
      <w:marBottom w:val="0"/>
      <w:divBdr>
        <w:top w:val="none" w:sz="0" w:space="0" w:color="auto"/>
        <w:left w:val="none" w:sz="0" w:space="0" w:color="auto"/>
        <w:bottom w:val="none" w:sz="0" w:space="0" w:color="auto"/>
        <w:right w:val="none" w:sz="0" w:space="0" w:color="auto"/>
      </w:divBdr>
    </w:div>
    <w:div w:id="737674870">
      <w:marLeft w:val="0"/>
      <w:marRight w:val="0"/>
      <w:marTop w:val="0"/>
      <w:marBottom w:val="240"/>
      <w:divBdr>
        <w:top w:val="none" w:sz="0" w:space="0" w:color="auto"/>
        <w:left w:val="none" w:sz="0" w:space="0" w:color="auto"/>
        <w:bottom w:val="none" w:sz="0" w:space="0" w:color="auto"/>
        <w:right w:val="none" w:sz="0" w:space="0" w:color="auto"/>
      </w:divBdr>
    </w:div>
    <w:div w:id="738095335">
      <w:marLeft w:val="0"/>
      <w:marRight w:val="0"/>
      <w:marTop w:val="0"/>
      <w:marBottom w:val="180"/>
      <w:divBdr>
        <w:top w:val="none" w:sz="0" w:space="0" w:color="auto"/>
        <w:left w:val="none" w:sz="0" w:space="0" w:color="auto"/>
        <w:bottom w:val="none" w:sz="0" w:space="0" w:color="auto"/>
        <w:right w:val="none" w:sz="0" w:space="0" w:color="auto"/>
      </w:divBdr>
    </w:div>
    <w:div w:id="738939714">
      <w:marLeft w:val="0"/>
      <w:marRight w:val="0"/>
      <w:marTop w:val="0"/>
      <w:marBottom w:val="180"/>
      <w:divBdr>
        <w:top w:val="none" w:sz="0" w:space="0" w:color="auto"/>
        <w:left w:val="none" w:sz="0" w:space="0" w:color="auto"/>
        <w:bottom w:val="none" w:sz="0" w:space="0" w:color="auto"/>
        <w:right w:val="none" w:sz="0" w:space="0" w:color="auto"/>
      </w:divBdr>
    </w:div>
    <w:div w:id="739451683">
      <w:marLeft w:val="0"/>
      <w:marRight w:val="0"/>
      <w:marTop w:val="0"/>
      <w:marBottom w:val="240"/>
      <w:divBdr>
        <w:top w:val="none" w:sz="0" w:space="0" w:color="auto"/>
        <w:left w:val="none" w:sz="0" w:space="0" w:color="auto"/>
        <w:bottom w:val="none" w:sz="0" w:space="0" w:color="auto"/>
        <w:right w:val="none" w:sz="0" w:space="0" w:color="auto"/>
      </w:divBdr>
    </w:div>
    <w:div w:id="739715513">
      <w:marLeft w:val="0"/>
      <w:marRight w:val="0"/>
      <w:marTop w:val="0"/>
      <w:marBottom w:val="0"/>
      <w:divBdr>
        <w:top w:val="none" w:sz="0" w:space="0" w:color="auto"/>
        <w:left w:val="none" w:sz="0" w:space="0" w:color="auto"/>
        <w:bottom w:val="none" w:sz="0" w:space="0" w:color="auto"/>
        <w:right w:val="none" w:sz="0" w:space="0" w:color="auto"/>
      </w:divBdr>
      <w:divsChild>
        <w:div w:id="966084390">
          <w:marLeft w:val="0"/>
          <w:marRight w:val="0"/>
          <w:marTop w:val="0"/>
          <w:marBottom w:val="0"/>
          <w:divBdr>
            <w:top w:val="none" w:sz="0" w:space="0" w:color="auto"/>
            <w:left w:val="none" w:sz="0" w:space="0" w:color="auto"/>
            <w:bottom w:val="none" w:sz="0" w:space="0" w:color="auto"/>
            <w:right w:val="none" w:sz="0" w:space="0" w:color="auto"/>
          </w:divBdr>
        </w:div>
      </w:divsChild>
    </w:div>
    <w:div w:id="740758892">
      <w:marLeft w:val="0"/>
      <w:marRight w:val="0"/>
      <w:marTop w:val="180"/>
      <w:marBottom w:val="180"/>
      <w:divBdr>
        <w:top w:val="none" w:sz="0" w:space="0" w:color="auto"/>
        <w:left w:val="none" w:sz="0" w:space="0" w:color="auto"/>
        <w:bottom w:val="none" w:sz="0" w:space="0" w:color="auto"/>
        <w:right w:val="none" w:sz="0" w:space="0" w:color="auto"/>
      </w:divBdr>
    </w:div>
    <w:div w:id="741223669">
      <w:marLeft w:val="0"/>
      <w:marRight w:val="0"/>
      <w:marTop w:val="180"/>
      <w:marBottom w:val="180"/>
      <w:divBdr>
        <w:top w:val="none" w:sz="0" w:space="0" w:color="auto"/>
        <w:left w:val="none" w:sz="0" w:space="0" w:color="auto"/>
        <w:bottom w:val="none" w:sz="0" w:space="0" w:color="auto"/>
        <w:right w:val="none" w:sz="0" w:space="0" w:color="auto"/>
      </w:divBdr>
    </w:div>
    <w:div w:id="741686052">
      <w:marLeft w:val="0"/>
      <w:marRight w:val="0"/>
      <w:marTop w:val="0"/>
      <w:marBottom w:val="0"/>
      <w:divBdr>
        <w:top w:val="none" w:sz="0" w:space="0" w:color="auto"/>
        <w:left w:val="none" w:sz="0" w:space="0" w:color="auto"/>
        <w:bottom w:val="none" w:sz="0" w:space="0" w:color="auto"/>
        <w:right w:val="none" w:sz="0" w:space="0" w:color="auto"/>
      </w:divBdr>
      <w:divsChild>
        <w:div w:id="459036719">
          <w:marLeft w:val="0"/>
          <w:marRight w:val="0"/>
          <w:marTop w:val="0"/>
          <w:marBottom w:val="0"/>
          <w:divBdr>
            <w:top w:val="none" w:sz="0" w:space="0" w:color="auto"/>
            <w:left w:val="none" w:sz="0" w:space="0" w:color="auto"/>
            <w:bottom w:val="none" w:sz="0" w:space="0" w:color="auto"/>
            <w:right w:val="none" w:sz="0" w:space="0" w:color="auto"/>
          </w:divBdr>
        </w:div>
      </w:divsChild>
    </w:div>
    <w:div w:id="742261388">
      <w:marLeft w:val="0"/>
      <w:marRight w:val="0"/>
      <w:marTop w:val="0"/>
      <w:marBottom w:val="240"/>
      <w:divBdr>
        <w:top w:val="none" w:sz="0" w:space="0" w:color="auto"/>
        <w:left w:val="none" w:sz="0" w:space="0" w:color="auto"/>
        <w:bottom w:val="none" w:sz="0" w:space="0" w:color="auto"/>
        <w:right w:val="none" w:sz="0" w:space="0" w:color="auto"/>
      </w:divBdr>
    </w:div>
    <w:div w:id="742339159">
      <w:marLeft w:val="0"/>
      <w:marRight w:val="0"/>
      <w:marTop w:val="0"/>
      <w:marBottom w:val="240"/>
      <w:divBdr>
        <w:top w:val="none" w:sz="0" w:space="0" w:color="auto"/>
        <w:left w:val="none" w:sz="0" w:space="0" w:color="auto"/>
        <w:bottom w:val="none" w:sz="0" w:space="0" w:color="auto"/>
        <w:right w:val="none" w:sz="0" w:space="0" w:color="auto"/>
      </w:divBdr>
    </w:div>
    <w:div w:id="743526357">
      <w:marLeft w:val="0"/>
      <w:marRight w:val="0"/>
      <w:marTop w:val="0"/>
      <w:marBottom w:val="0"/>
      <w:divBdr>
        <w:top w:val="none" w:sz="0" w:space="0" w:color="auto"/>
        <w:left w:val="none" w:sz="0" w:space="0" w:color="auto"/>
        <w:bottom w:val="none" w:sz="0" w:space="0" w:color="auto"/>
        <w:right w:val="none" w:sz="0" w:space="0" w:color="auto"/>
      </w:divBdr>
      <w:divsChild>
        <w:div w:id="165443460">
          <w:marLeft w:val="0"/>
          <w:marRight w:val="0"/>
          <w:marTop w:val="0"/>
          <w:marBottom w:val="0"/>
          <w:divBdr>
            <w:top w:val="none" w:sz="0" w:space="0" w:color="auto"/>
            <w:left w:val="none" w:sz="0" w:space="0" w:color="auto"/>
            <w:bottom w:val="none" w:sz="0" w:space="0" w:color="auto"/>
            <w:right w:val="none" w:sz="0" w:space="0" w:color="auto"/>
          </w:divBdr>
        </w:div>
      </w:divsChild>
    </w:div>
    <w:div w:id="744760192">
      <w:marLeft w:val="0"/>
      <w:marRight w:val="0"/>
      <w:marTop w:val="0"/>
      <w:marBottom w:val="240"/>
      <w:divBdr>
        <w:top w:val="none" w:sz="0" w:space="0" w:color="auto"/>
        <w:left w:val="none" w:sz="0" w:space="0" w:color="auto"/>
        <w:bottom w:val="none" w:sz="0" w:space="0" w:color="auto"/>
        <w:right w:val="none" w:sz="0" w:space="0" w:color="auto"/>
      </w:divBdr>
    </w:div>
    <w:div w:id="746466021">
      <w:marLeft w:val="0"/>
      <w:marRight w:val="0"/>
      <w:marTop w:val="180"/>
      <w:marBottom w:val="180"/>
      <w:divBdr>
        <w:top w:val="none" w:sz="0" w:space="0" w:color="auto"/>
        <w:left w:val="none" w:sz="0" w:space="0" w:color="auto"/>
        <w:bottom w:val="none" w:sz="0" w:space="0" w:color="auto"/>
        <w:right w:val="none" w:sz="0" w:space="0" w:color="auto"/>
      </w:divBdr>
    </w:div>
    <w:div w:id="746532205">
      <w:marLeft w:val="0"/>
      <w:marRight w:val="0"/>
      <w:marTop w:val="0"/>
      <w:marBottom w:val="0"/>
      <w:divBdr>
        <w:top w:val="none" w:sz="0" w:space="0" w:color="auto"/>
        <w:left w:val="none" w:sz="0" w:space="0" w:color="auto"/>
        <w:bottom w:val="none" w:sz="0" w:space="0" w:color="auto"/>
        <w:right w:val="none" w:sz="0" w:space="0" w:color="auto"/>
      </w:divBdr>
    </w:div>
    <w:div w:id="747770430">
      <w:marLeft w:val="0"/>
      <w:marRight w:val="0"/>
      <w:marTop w:val="0"/>
      <w:marBottom w:val="180"/>
      <w:divBdr>
        <w:top w:val="none" w:sz="0" w:space="0" w:color="auto"/>
        <w:left w:val="none" w:sz="0" w:space="0" w:color="auto"/>
        <w:bottom w:val="none" w:sz="0" w:space="0" w:color="auto"/>
        <w:right w:val="none" w:sz="0" w:space="0" w:color="auto"/>
      </w:divBdr>
    </w:div>
    <w:div w:id="751122997">
      <w:marLeft w:val="0"/>
      <w:marRight w:val="0"/>
      <w:marTop w:val="0"/>
      <w:marBottom w:val="240"/>
      <w:divBdr>
        <w:top w:val="none" w:sz="0" w:space="0" w:color="auto"/>
        <w:left w:val="none" w:sz="0" w:space="0" w:color="auto"/>
        <w:bottom w:val="none" w:sz="0" w:space="0" w:color="auto"/>
        <w:right w:val="none" w:sz="0" w:space="0" w:color="auto"/>
      </w:divBdr>
    </w:div>
    <w:div w:id="751583189">
      <w:marLeft w:val="0"/>
      <w:marRight w:val="0"/>
      <w:marTop w:val="0"/>
      <w:marBottom w:val="0"/>
      <w:divBdr>
        <w:top w:val="none" w:sz="0" w:space="0" w:color="auto"/>
        <w:left w:val="none" w:sz="0" w:space="0" w:color="auto"/>
        <w:bottom w:val="none" w:sz="0" w:space="0" w:color="auto"/>
        <w:right w:val="none" w:sz="0" w:space="0" w:color="auto"/>
      </w:divBdr>
      <w:divsChild>
        <w:div w:id="889922143">
          <w:marLeft w:val="0"/>
          <w:marRight w:val="0"/>
          <w:marTop w:val="0"/>
          <w:marBottom w:val="0"/>
          <w:divBdr>
            <w:top w:val="none" w:sz="0" w:space="0" w:color="auto"/>
            <w:left w:val="none" w:sz="0" w:space="0" w:color="auto"/>
            <w:bottom w:val="none" w:sz="0" w:space="0" w:color="auto"/>
            <w:right w:val="none" w:sz="0" w:space="0" w:color="auto"/>
          </w:divBdr>
        </w:div>
      </w:divsChild>
    </w:div>
    <w:div w:id="752825790">
      <w:marLeft w:val="0"/>
      <w:marRight w:val="0"/>
      <w:marTop w:val="0"/>
      <w:marBottom w:val="180"/>
      <w:divBdr>
        <w:top w:val="none" w:sz="0" w:space="0" w:color="auto"/>
        <w:left w:val="none" w:sz="0" w:space="0" w:color="auto"/>
        <w:bottom w:val="none" w:sz="0" w:space="0" w:color="auto"/>
        <w:right w:val="none" w:sz="0" w:space="0" w:color="auto"/>
      </w:divBdr>
    </w:div>
    <w:div w:id="753015643">
      <w:marLeft w:val="0"/>
      <w:marRight w:val="0"/>
      <w:marTop w:val="0"/>
      <w:marBottom w:val="240"/>
      <w:divBdr>
        <w:top w:val="none" w:sz="0" w:space="0" w:color="auto"/>
        <w:left w:val="none" w:sz="0" w:space="0" w:color="auto"/>
        <w:bottom w:val="none" w:sz="0" w:space="0" w:color="auto"/>
        <w:right w:val="none" w:sz="0" w:space="0" w:color="auto"/>
      </w:divBdr>
    </w:div>
    <w:div w:id="753209590">
      <w:marLeft w:val="0"/>
      <w:marRight w:val="0"/>
      <w:marTop w:val="180"/>
      <w:marBottom w:val="180"/>
      <w:divBdr>
        <w:top w:val="none" w:sz="0" w:space="0" w:color="auto"/>
        <w:left w:val="none" w:sz="0" w:space="0" w:color="auto"/>
        <w:bottom w:val="none" w:sz="0" w:space="0" w:color="auto"/>
        <w:right w:val="none" w:sz="0" w:space="0" w:color="auto"/>
      </w:divBdr>
    </w:div>
    <w:div w:id="753626150">
      <w:marLeft w:val="0"/>
      <w:marRight w:val="0"/>
      <w:marTop w:val="0"/>
      <w:marBottom w:val="0"/>
      <w:divBdr>
        <w:top w:val="none" w:sz="0" w:space="0" w:color="auto"/>
        <w:left w:val="none" w:sz="0" w:space="0" w:color="auto"/>
        <w:bottom w:val="none" w:sz="0" w:space="0" w:color="auto"/>
        <w:right w:val="none" w:sz="0" w:space="0" w:color="auto"/>
      </w:divBdr>
      <w:divsChild>
        <w:div w:id="1597210003">
          <w:marLeft w:val="0"/>
          <w:marRight w:val="0"/>
          <w:marTop w:val="0"/>
          <w:marBottom w:val="0"/>
          <w:divBdr>
            <w:top w:val="none" w:sz="0" w:space="0" w:color="auto"/>
            <w:left w:val="none" w:sz="0" w:space="0" w:color="auto"/>
            <w:bottom w:val="none" w:sz="0" w:space="0" w:color="auto"/>
            <w:right w:val="none" w:sz="0" w:space="0" w:color="auto"/>
          </w:divBdr>
        </w:div>
      </w:divsChild>
    </w:div>
    <w:div w:id="754595182">
      <w:marLeft w:val="0"/>
      <w:marRight w:val="0"/>
      <w:marTop w:val="180"/>
      <w:marBottom w:val="180"/>
      <w:divBdr>
        <w:top w:val="none" w:sz="0" w:space="0" w:color="auto"/>
        <w:left w:val="none" w:sz="0" w:space="0" w:color="auto"/>
        <w:bottom w:val="none" w:sz="0" w:space="0" w:color="auto"/>
        <w:right w:val="none" w:sz="0" w:space="0" w:color="auto"/>
      </w:divBdr>
    </w:div>
    <w:div w:id="754937488">
      <w:marLeft w:val="0"/>
      <w:marRight w:val="0"/>
      <w:marTop w:val="0"/>
      <w:marBottom w:val="240"/>
      <w:divBdr>
        <w:top w:val="none" w:sz="0" w:space="0" w:color="auto"/>
        <w:left w:val="none" w:sz="0" w:space="0" w:color="auto"/>
        <w:bottom w:val="none" w:sz="0" w:space="0" w:color="auto"/>
        <w:right w:val="none" w:sz="0" w:space="0" w:color="auto"/>
      </w:divBdr>
    </w:div>
    <w:div w:id="755134094">
      <w:marLeft w:val="0"/>
      <w:marRight w:val="0"/>
      <w:marTop w:val="0"/>
      <w:marBottom w:val="240"/>
      <w:divBdr>
        <w:top w:val="none" w:sz="0" w:space="0" w:color="auto"/>
        <w:left w:val="none" w:sz="0" w:space="0" w:color="auto"/>
        <w:bottom w:val="none" w:sz="0" w:space="0" w:color="auto"/>
        <w:right w:val="none" w:sz="0" w:space="0" w:color="auto"/>
      </w:divBdr>
    </w:div>
    <w:div w:id="755323469">
      <w:marLeft w:val="0"/>
      <w:marRight w:val="0"/>
      <w:marTop w:val="0"/>
      <w:marBottom w:val="180"/>
      <w:divBdr>
        <w:top w:val="none" w:sz="0" w:space="0" w:color="auto"/>
        <w:left w:val="none" w:sz="0" w:space="0" w:color="auto"/>
        <w:bottom w:val="none" w:sz="0" w:space="0" w:color="auto"/>
        <w:right w:val="none" w:sz="0" w:space="0" w:color="auto"/>
      </w:divBdr>
    </w:div>
    <w:div w:id="755904959">
      <w:marLeft w:val="0"/>
      <w:marRight w:val="0"/>
      <w:marTop w:val="0"/>
      <w:marBottom w:val="0"/>
      <w:divBdr>
        <w:top w:val="none" w:sz="0" w:space="0" w:color="auto"/>
        <w:left w:val="none" w:sz="0" w:space="0" w:color="auto"/>
        <w:bottom w:val="none" w:sz="0" w:space="0" w:color="auto"/>
        <w:right w:val="none" w:sz="0" w:space="0" w:color="auto"/>
      </w:divBdr>
      <w:divsChild>
        <w:div w:id="134883952">
          <w:marLeft w:val="0"/>
          <w:marRight w:val="0"/>
          <w:marTop w:val="0"/>
          <w:marBottom w:val="0"/>
          <w:divBdr>
            <w:top w:val="none" w:sz="0" w:space="0" w:color="auto"/>
            <w:left w:val="none" w:sz="0" w:space="0" w:color="auto"/>
            <w:bottom w:val="none" w:sz="0" w:space="0" w:color="auto"/>
            <w:right w:val="none" w:sz="0" w:space="0" w:color="auto"/>
          </w:divBdr>
        </w:div>
      </w:divsChild>
    </w:div>
    <w:div w:id="757558920">
      <w:marLeft w:val="0"/>
      <w:marRight w:val="0"/>
      <w:marTop w:val="0"/>
      <w:marBottom w:val="180"/>
      <w:divBdr>
        <w:top w:val="none" w:sz="0" w:space="0" w:color="auto"/>
        <w:left w:val="none" w:sz="0" w:space="0" w:color="auto"/>
        <w:bottom w:val="none" w:sz="0" w:space="0" w:color="auto"/>
        <w:right w:val="none" w:sz="0" w:space="0" w:color="auto"/>
      </w:divBdr>
    </w:div>
    <w:div w:id="757604668">
      <w:marLeft w:val="0"/>
      <w:marRight w:val="0"/>
      <w:marTop w:val="0"/>
      <w:marBottom w:val="240"/>
      <w:divBdr>
        <w:top w:val="none" w:sz="0" w:space="0" w:color="auto"/>
        <w:left w:val="none" w:sz="0" w:space="0" w:color="auto"/>
        <w:bottom w:val="none" w:sz="0" w:space="0" w:color="auto"/>
        <w:right w:val="none" w:sz="0" w:space="0" w:color="auto"/>
      </w:divBdr>
    </w:div>
    <w:div w:id="758788893">
      <w:marLeft w:val="0"/>
      <w:marRight w:val="0"/>
      <w:marTop w:val="0"/>
      <w:marBottom w:val="240"/>
      <w:divBdr>
        <w:top w:val="none" w:sz="0" w:space="0" w:color="auto"/>
        <w:left w:val="none" w:sz="0" w:space="0" w:color="auto"/>
        <w:bottom w:val="none" w:sz="0" w:space="0" w:color="auto"/>
        <w:right w:val="none" w:sz="0" w:space="0" w:color="auto"/>
      </w:divBdr>
    </w:div>
    <w:div w:id="758794075">
      <w:marLeft w:val="0"/>
      <w:marRight w:val="0"/>
      <w:marTop w:val="0"/>
      <w:marBottom w:val="0"/>
      <w:divBdr>
        <w:top w:val="none" w:sz="0" w:space="0" w:color="auto"/>
        <w:left w:val="none" w:sz="0" w:space="0" w:color="auto"/>
        <w:bottom w:val="none" w:sz="0" w:space="0" w:color="auto"/>
        <w:right w:val="none" w:sz="0" w:space="0" w:color="auto"/>
      </w:divBdr>
    </w:div>
    <w:div w:id="759453816">
      <w:marLeft w:val="0"/>
      <w:marRight w:val="0"/>
      <w:marTop w:val="0"/>
      <w:marBottom w:val="0"/>
      <w:divBdr>
        <w:top w:val="none" w:sz="0" w:space="0" w:color="auto"/>
        <w:left w:val="none" w:sz="0" w:space="0" w:color="auto"/>
        <w:bottom w:val="none" w:sz="0" w:space="0" w:color="auto"/>
        <w:right w:val="none" w:sz="0" w:space="0" w:color="auto"/>
      </w:divBdr>
    </w:div>
    <w:div w:id="759762693">
      <w:marLeft w:val="0"/>
      <w:marRight w:val="0"/>
      <w:marTop w:val="0"/>
      <w:marBottom w:val="0"/>
      <w:divBdr>
        <w:top w:val="none" w:sz="0" w:space="0" w:color="auto"/>
        <w:left w:val="none" w:sz="0" w:space="0" w:color="auto"/>
        <w:bottom w:val="none" w:sz="0" w:space="0" w:color="auto"/>
        <w:right w:val="none" w:sz="0" w:space="0" w:color="auto"/>
      </w:divBdr>
    </w:div>
    <w:div w:id="759839339">
      <w:marLeft w:val="0"/>
      <w:marRight w:val="0"/>
      <w:marTop w:val="180"/>
      <w:marBottom w:val="180"/>
      <w:divBdr>
        <w:top w:val="none" w:sz="0" w:space="0" w:color="auto"/>
        <w:left w:val="none" w:sz="0" w:space="0" w:color="auto"/>
        <w:bottom w:val="none" w:sz="0" w:space="0" w:color="auto"/>
        <w:right w:val="none" w:sz="0" w:space="0" w:color="auto"/>
      </w:divBdr>
    </w:div>
    <w:div w:id="762142958">
      <w:marLeft w:val="0"/>
      <w:marRight w:val="0"/>
      <w:marTop w:val="180"/>
      <w:marBottom w:val="180"/>
      <w:divBdr>
        <w:top w:val="none" w:sz="0" w:space="0" w:color="auto"/>
        <w:left w:val="none" w:sz="0" w:space="0" w:color="auto"/>
        <w:bottom w:val="none" w:sz="0" w:space="0" w:color="auto"/>
        <w:right w:val="none" w:sz="0" w:space="0" w:color="auto"/>
      </w:divBdr>
    </w:div>
    <w:div w:id="763458378">
      <w:marLeft w:val="0"/>
      <w:marRight w:val="0"/>
      <w:marTop w:val="120"/>
      <w:marBottom w:val="120"/>
      <w:divBdr>
        <w:top w:val="none" w:sz="0" w:space="0" w:color="auto"/>
        <w:left w:val="none" w:sz="0" w:space="0" w:color="auto"/>
        <w:bottom w:val="none" w:sz="0" w:space="0" w:color="auto"/>
        <w:right w:val="none" w:sz="0" w:space="0" w:color="auto"/>
      </w:divBdr>
    </w:div>
    <w:div w:id="764424459">
      <w:marLeft w:val="0"/>
      <w:marRight w:val="0"/>
      <w:marTop w:val="0"/>
      <w:marBottom w:val="240"/>
      <w:divBdr>
        <w:top w:val="none" w:sz="0" w:space="0" w:color="auto"/>
        <w:left w:val="none" w:sz="0" w:space="0" w:color="auto"/>
        <w:bottom w:val="none" w:sz="0" w:space="0" w:color="auto"/>
        <w:right w:val="none" w:sz="0" w:space="0" w:color="auto"/>
      </w:divBdr>
    </w:div>
    <w:div w:id="764502411">
      <w:marLeft w:val="0"/>
      <w:marRight w:val="0"/>
      <w:marTop w:val="0"/>
      <w:marBottom w:val="0"/>
      <w:divBdr>
        <w:top w:val="none" w:sz="0" w:space="0" w:color="auto"/>
        <w:left w:val="none" w:sz="0" w:space="0" w:color="auto"/>
        <w:bottom w:val="none" w:sz="0" w:space="0" w:color="auto"/>
        <w:right w:val="none" w:sz="0" w:space="0" w:color="auto"/>
      </w:divBdr>
      <w:divsChild>
        <w:div w:id="1635479721">
          <w:marLeft w:val="0"/>
          <w:marRight w:val="0"/>
          <w:marTop w:val="0"/>
          <w:marBottom w:val="0"/>
          <w:divBdr>
            <w:top w:val="none" w:sz="0" w:space="0" w:color="auto"/>
            <w:left w:val="none" w:sz="0" w:space="0" w:color="auto"/>
            <w:bottom w:val="none" w:sz="0" w:space="0" w:color="auto"/>
            <w:right w:val="none" w:sz="0" w:space="0" w:color="auto"/>
          </w:divBdr>
        </w:div>
      </w:divsChild>
    </w:div>
    <w:div w:id="767114340">
      <w:marLeft w:val="0"/>
      <w:marRight w:val="0"/>
      <w:marTop w:val="0"/>
      <w:marBottom w:val="180"/>
      <w:divBdr>
        <w:top w:val="none" w:sz="0" w:space="0" w:color="auto"/>
        <w:left w:val="none" w:sz="0" w:space="0" w:color="auto"/>
        <w:bottom w:val="none" w:sz="0" w:space="0" w:color="auto"/>
        <w:right w:val="none" w:sz="0" w:space="0" w:color="auto"/>
      </w:divBdr>
    </w:div>
    <w:div w:id="767192477">
      <w:marLeft w:val="0"/>
      <w:marRight w:val="0"/>
      <w:marTop w:val="40"/>
      <w:marBottom w:val="0"/>
      <w:divBdr>
        <w:top w:val="none" w:sz="0" w:space="0" w:color="auto"/>
        <w:left w:val="none" w:sz="0" w:space="0" w:color="auto"/>
        <w:bottom w:val="none" w:sz="0" w:space="0" w:color="auto"/>
        <w:right w:val="none" w:sz="0" w:space="0" w:color="auto"/>
      </w:divBdr>
      <w:divsChild>
        <w:div w:id="958533913">
          <w:marLeft w:val="0"/>
          <w:marRight w:val="0"/>
          <w:marTop w:val="60"/>
          <w:marBottom w:val="180"/>
          <w:divBdr>
            <w:top w:val="none" w:sz="0" w:space="0" w:color="auto"/>
            <w:left w:val="none" w:sz="0" w:space="0" w:color="auto"/>
            <w:bottom w:val="none" w:sz="0" w:space="0" w:color="auto"/>
            <w:right w:val="none" w:sz="0" w:space="0" w:color="auto"/>
          </w:divBdr>
        </w:div>
        <w:div w:id="1983197313">
          <w:marLeft w:val="0"/>
          <w:marRight w:val="0"/>
          <w:marTop w:val="60"/>
          <w:marBottom w:val="180"/>
          <w:divBdr>
            <w:top w:val="none" w:sz="0" w:space="0" w:color="auto"/>
            <w:left w:val="none" w:sz="0" w:space="0" w:color="auto"/>
            <w:bottom w:val="none" w:sz="0" w:space="0" w:color="auto"/>
            <w:right w:val="none" w:sz="0" w:space="0" w:color="auto"/>
          </w:divBdr>
        </w:div>
        <w:div w:id="1732845224">
          <w:marLeft w:val="0"/>
          <w:marRight w:val="0"/>
          <w:marTop w:val="60"/>
          <w:marBottom w:val="180"/>
          <w:divBdr>
            <w:top w:val="none" w:sz="0" w:space="0" w:color="auto"/>
            <w:left w:val="none" w:sz="0" w:space="0" w:color="auto"/>
            <w:bottom w:val="none" w:sz="0" w:space="0" w:color="auto"/>
            <w:right w:val="none" w:sz="0" w:space="0" w:color="auto"/>
          </w:divBdr>
        </w:div>
        <w:div w:id="358820939">
          <w:marLeft w:val="0"/>
          <w:marRight w:val="0"/>
          <w:marTop w:val="60"/>
          <w:marBottom w:val="180"/>
          <w:divBdr>
            <w:top w:val="none" w:sz="0" w:space="0" w:color="auto"/>
            <w:left w:val="none" w:sz="0" w:space="0" w:color="auto"/>
            <w:bottom w:val="none" w:sz="0" w:space="0" w:color="auto"/>
            <w:right w:val="none" w:sz="0" w:space="0" w:color="auto"/>
          </w:divBdr>
        </w:div>
        <w:div w:id="1042941866">
          <w:marLeft w:val="0"/>
          <w:marRight w:val="0"/>
          <w:marTop w:val="60"/>
          <w:marBottom w:val="180"/>
          <w:divBdr>
            <w:top w:val="none" w:sz="0" w:space="0" w:color="auto"/>
            <w:left w:val="none" w:sz="0" w:space="0" w:color="auto"/>
            <w:bottom w:val="none" w:sz="0" w:space="0" w:color="auto"/>
            <w:right w:val="none" w:sz="0" w:space="0" w:color="auto"/>
          </w:divBdr>
        </w:div>
      </w:divsChild>
    </w:div>
    <w:div w:id="767309831">
      <w:marLeft w:val="0"/>
      <w:marRight w:val="0"/>
      <w:marTop w:val="0"/>
      <w:marBottom w:val="240"/>
      <w:divBdr>
        <w:top w:val="none" w:sz="0" w:space="0" w:color="auto"/>
        <w:left w:val="none" w:sz="0" w:space="0" w:color="auto"/>
        <w:bottom w:val="none" w:sz="0" w:space="0" w:color="auto"/>
        <w:right w:val="none" w:sz="0" w:space="0" w:color="auto"/>
      </w:divBdr>
    </w:div>
    <w:div w:id="767459233">
      <w:marLeft w:val="0"/>
      <w:marRight w:val="0"/>
      <w:marTop w:val="0"/>
      <w:marBottom w:val="240"/>
      <w:divBdr>
        <w:top w:val="none" w:sz="0" w:space="0" w:color="auto"/>
        <w:left w:val="none" w:sz="0" w:space="0" w:color="auto"/>
        <w:bottom w:val="none" w:sz="0" w:space="0" w:color="auto"/>
        <w:right w:val="none" w:sz="0" w:space="0" w:color="auto"/>
      </w:divBdr>
    </w:div>
    <w:div w:id="767506144">
      <w:marLeft w:val="0"/>
      <w:marRight w:val="0"/>
      <w:marTop w:val="0"/>
      <w:marBottom w:val="0"/>
      <w:divBdr>
        <w:top w:val="none" w:sz="0" w:space="0" w:color="auto"/>
        <w:left w:val="none" w:sz="0" w:space="0" w:color="auto"/>
        <w:bottom w:val="none" w:sz="0" w:space="0" w:color="auto"/>
        <w:right w:val="none" w:sz="0" w:space="0" w:color="auto"/>
      </w:divBdr>
    </w:div>
    <w:div w:id="767772119">
      <w:marLeft w:val="0"/>
      <w:marRight w:val="0"/>
      <w:marTop w:val="120"/>
      <w:marBottom w:val="120"/>
      <w:divBdr>
        <w:top w:val="none" w:sz="0" w:space="0" w:color="auto"/>
        <w:left w:val="none" w:sz="0" w:space="0" w:color="auto"/>
        <w:bottom w:val="none" w:sz="0" w:space="0" w:color="auto"/>
        <w:right w:val="none" w:sz="0" w:space="0" w:color="auto"/>
      </w:divBdr>
    </w:div>
    <w:div w:id="768698345">
      <w:marLeft w:val="0"/>
      <w:marRight w:val="0"/>
      <w:marTop w:val="0"/>
      <w:marBottom w:val="0"/>
      <w:divBdr>
        <w:top w:val="none" w:sz="0" w:space="0" w:color="auto"/>
        <w:left w:val="none" w:sz="0" w:space="0" w:color="auto"/>
        <w:bottom w:val="none" w:sz="0" w:space="0" w:color="auto"/>
        <w:right w:val="none" w:sz="0" w:space="0" w:color="auto"/>
      </w:divBdr>
    </w:div>
    <w:div w:id="768894867">
      <w:marLeft w:val="0"/>
      <w:marRight w:val="0"/>
      <w:marTop w:val="0"/>
      <w:marBottom w:val="0"/>
      <w:divBdr>
        <w:top w:val="none" w:sz="0" w:space="0" w:color="auto"/>
        <w:left w:val="none" w:sz="0" w:space="0" w:color="auto"/>
        <w:bottom w:val="none" w:sz="0" w:space="0" w:color="auto"/>
        <w:right w:val="none" w:sz="0" w:space="0" w:color="auto"/>
      </w:divBdr>
      <w:divsChild>
        <w:div w:id="1489202108">
          <w:marLeft w:val="0"/>
          <w:marRight w:val="0"/>
          <w:marTop w:val="0"/>
          <w:marBottom w:val="0"/>
          <w:divBdr>
            <w:top w:val="none" w:sz="0" w:space="0" w:color="auto"/>
            <w:left w:val="none" w:sz="0" w:space="0" w:color="auto"/>
            <w:bottom w:val="none" w:sz="0" w:space="0" w:color="auto"/>
            <w:right w:val="none" w:sz="0" w:space="0" w:color="auto"/>
          </w:divBdr>
        </w:div>
      </w:divsChild>
    </w:div>
    <w:div w:id="769357904">
      <w:marLeft w:val="0"/>
      <w:marRight w:val="0"/>
      <w:marTop w:val="0"/>
      <w:marBottom w:val="0"/>
      <w:divBdr>
        <w:top w:val="none" w:sz="0" w:space="0" w:color="auto"/>
        <w:left w:val="none" w:sz="0" w:space="0" w:color="auto"/>
        <w:bottom w:val="none" w:sz="0" w:space="0" w:color="auto"/>
        <w:right w:val="none" w:sz="0" w:space="0" w:color="auto"/>
      </w:divBdr>
    </w:div>
    <w:div w:id="769666089">
      <w:marLeft w:val="0"/>
      <w:marRight w:val="0"/>
      <w:marTop w:val="0"/>
      <w:marBottom w:val="0"/>
      <w:divBdr>
        <w:top w:val="none" w:sz="0" w:space="0" w:color="auto"/>
        <w:left w:val="none" w:sz="0" w:space="0" w:color="auto"/>
        <w:bottom w:val="none" w:sz="0" w:space="0" w:color="auto"/>
        <w:right w:val="none" w:sz="0" w:space="0" w:color="auto"/>
      </w:divBdr>
      <w:divsChild>
        <w:div w:id="584412606">
          <w:marLeft w:val="0"/>
          <w:marRight w:val="0"/>
          <w:marTop w:val="0"/>
          <w:marBottom w:val="0"/>
          <w:divBdr>
            <w:top w:val="none" w:sz="0" w:space="0" w:color="auto"/>
            <w:left w:val="none" w:sz="0" w:space="0" w:color="auto"/>
            <w:bottom w:val="none" w:sz="0" w:space="0" w:color="auto"/>
            <w:right w:val="none" w:sz="0" w:space="0" w:color="auto"/>
          </w:divBdr>
        </w:div>
      </w:divsChild>
    </w:div>
    <w:div w:id="769855620">
      <w:marLeft w:val="0"/>
      <w:marRight w:val="0"/>
      <w:marTop w:val="0"/>
      <w:marBottom w:val="0"/>
      <w:divBdr>
        <w:top w:val="none" w:sz="0" w:space="0" w:color="auto"/>
        <w:left w:val="none" w:sz="0" w:space="0" w:color="auto"/>
        <w:bottom w:val="none" w:sz="0" w:space="0" w:color="auto"/>
        <w:right w:val="none" w:sz="0" w:space="0" w:color="auto"/>
      </w:divBdr>
    </w:div>
    <w:div w:id="770854443">
      <w:marLeft w:val="0"/>
      <w:marRight w:val="0"/>
      <w:marTop w:val="180"/>
      <w:marBottom w:val="180"/>
      <w:divBdr>
        <w:top w:val="none" w:sz="0" w:space="0" w:color="auto"/>
        <w:left w:val="none" w:sz="0" w:space="0" w:color="auto"/>
        <w:bottom w:val="none" w:sz="0" w:space="0" w:color="auto"/>
        <w:right w:val="none" w:sz="0" w:space="0" w:color="auto"/>
      </w:divBdr>
    </w:div>
    <w:div w:id="771438139">
      <w:marLeft w:val="0"/>
      <w:marRight w:val="0"/>
      <w:marTop w:val="100"/>
      <w:marBottom w:val="180"/>
      <w:divBdr>
        <w:top w:val="none" w:sz="0" w:space="0" w:color="auto"/>
        <w:left w:val="none" w:sz="0" w:space="0" w:color="auto"/>
        <w:bottom w:val="none" w:sz="0" w:space="0" w:color="auto"/>
        <w:right w:val="none" w:sz="0" w:space="0" w:color="auto"/>
      </w:divBdr>
    </w:div>
    <w:div w:id="772018316">
      <w:marLeft w:val="0"/>
      <w:marRight w:val="0"/>
      <w:marTop w:val="180"/>
      <w:marBottom w:val="180"/>
      <w:divBdr>
        <w:top w:val="none" w:sz="0" w:space="0" w:color="auto"/>
        <w:left w:val="none" w:sz="0" w:space="0" w:color="auto"/>
        <w:bottom w:val="none" w:sz="0" w:space="0" w:color="auto"/>
        <w:right w:val="none" w:sz="0" w:space="0" w:color="auto"/>
      </w:divBdr>
    </w:div>
    <w:div w:id="772431499">
      <w:marLeft w:val="0"/>
      <w:marRight w:val="0"/>
      <w:marTop w:val="100"/>
      <w:marBottom w:val="0"/>
      <w:divBdr>
        <w:top w:val="none" w:sz="0" w:space="0" w:color="auto"/>
        <w:left w:val="none" w:sz="0" w:space="0" w:color="auto"/>
        <w:bottom w:val="none" w:sz="0" w:space="0" w:color="auto"/>
        <w:right w:val="none" w:sz="0" w:space="0" w:color="auto"/>
      </w:divBdr>
    </w:div>
    <w:div w:id="772942512">
      <w:marLeft w:val="0"/>
      <w:marRight w:val="0"/>
      <w:marTop w:val="0"/>
      <w:marBottom w:val="0"/>
      <w:divBdr>
        <w:top w:val="none" w:sz="0" w:space="0" w:color="auto"/>
        <w:left w:val="none" w:sz="0" w:space="0" w:color="auto"/>
        <w:bottom w:val="none" w:sz="0" w:space="0" w:color="auto"/>
        <w:right w:val="none" w:sz="0" w:space="0" w:color="auto"/>
      </w:divBdr>
      <w:divsChild>
        <w:div w:id="133184300">
          <w:marLeft w:val="0"/>
          <w:marRight w:val="0"/>
          <w:marTop w:val="0"/>
          <w:marBottom w:val="0"/>
          <w:divBdr>
            <w:top w:val="none" w:sz="0" w:space="0" w:color="auto"/>
            <w:left w:val="none" w:sz="0" w:space="0" w:color="auto"/>
            <w:bottom w:val="none" w:sz="0" w:space="0" w:color="auto"/>
            <w:right w:val="none" w:sz="0" w:space="0" w:color="auto"/>
          </w:divBdr>
        </w:div>
      </w:divsChild>
    </w:div>
    <w:div w:id="773011952">
      <w:marLeft w:val="0"/>
      <w:marRight w:val="0"/>
      <w:marTop w:val="0"/>
      <w:marBottom w:val="180"/>
      <w:divBdr>
        <w:top w:val="none" w:sz="0" w:space="0" w:color="auto"/>
        <w:left w:val="none" w:sz="0" w:space="0" w:color="auto"/>
        <w:bottom w:val="none" w:sz="0" w:space="0" w:color="auto"/>
        <w:right w:val="none" w:sz="0" w:space="0" w:color="auto"/>
      </w:divBdr>
    </w:div>
    <w:div w:id="776173443">
      <w:marLeft w:val="0"/>
      <w:marRight w:val="0"/>
      <w:marTop w:val="0"/>
      <w:marBottom w:val="0"/>
      <w:divBdr>
        <w:top w:val="none" w:sz="0" w:space="0" w:color="auto"/>
        <w:left w:val="none" w:sz="0" w:space="0" w:color="auto"/>
        <w:bottom w:val="none" w:sz="0" w:space="0" w:color="auto"/>
        <w:right w:val="none" w:sz="0" w:space="0" w:color="auto"/>
      </w:divBdr>
      <w:divsChild>
        <w:div w:id="1976523480">
          <w:marLeft w:val="0"/>
          <w:marRight w:val="0"/>
          <w:marTop w:val="0"/>
          <w:marBottom w:val="0"/>
          <w:divBdr>
            <w:top w:val="none" w:sz="0" w:space="0" w:color="auto"/>
            <w:left w:val="none" w:sz="0" w:space="0" w:color="auto"/>
            <w:bottom w:val="none" w:sz="0" w:space="0" w:color="auto"/>
            <w:right w:val="none" w:sz="0" w:space="0" w:color="auto"/>
          </w:divBdr>
        </w:div>
        <w:div w:id="595409294">
          <w:marLeft w:val="0"/>
          <w:marRight w:val="0"/>
          <w:marTop w:val="0"/>
          <w:marBottom w:val="0"/>
          <w:divBdr>
            <w:top w:val="none" w:sz="0" w:space="0" w:color="auto"/>
            <w:left w:val="none" w:sz="0" w:space="0" w:color="auto"/>
            <w:bottom w:val="none" w:sz="0" w:space="0" w:color="auto"/>
            <w:right w:val="none" w:sz="0" w:space="0" w:color="auto"/>
          </w:divBdr>
        </w:div>
      </w:divsChild>
    </w:div>
    <w:div w:id="777026956">
      <w:marLeft w:val="0"/>
      <w:marRight w:val="0"/>
      <w:marTop w:val="0"/>
      <w:marBottom w:val="0"/>
      <w:divBdr>
        <w:top w:val="none" w:sz="0" w:space="0" w:color="auto"/>
        <w:left w:val="none" w:sz="0" w:space="0" w:color="auto"/>
        <w:bottom w:val="none" w:sz="0" w:space="0" w:color="auto"/>
        <w:right w:val="none" w:sz="0" w:space="0" w:color="auto"/>
      </w:divBdr>
    </w:div>
    <w:div w:id="777796349">
      <w:marLeft w:val="0"/>
      <w:marRight w:val="0"/>
      <w:marTop w:val="180"/>
      <w:marBottom w:val="180"/>
      <w:divBdr>
        <w:top w:val="none" w:sz="0" w:space="0" w:color="auto"/>
        <w:left w:val="none" w:sz="0" w:space="0" w:color="auto"/>
        <w:bottom w:val="none" w:sz="0" w:space="0" w:color="auto"/>
        <w:right w:val="none" w:sz="0" w:space="0" w:color="auto"/>
      </w:divBdr>
    </w:div>
    <w:div w:id="778529969">
      <w:marLeft w:val="0"/>
      <w:marRight w:val="0"/>
      <w:marTop w:val="0"/>
      <w:marBottom w:val="0"/>
      <w:divBdr>
        <w:top w:val="none" w:sz="0" w:space="0" w:color="auto"/>
        <w:left w:val="none" w:sz="0" w:space="0" w:color="auto"/>
        <w:bottom w:val="none" w:sz="0" w:space="0" w:color="auto"/>
        <w:right w:val="none" w:sz="0" w:space="0" w:color="auto"/>
      </w:divBdr>
      <w:divsChild>
        <w:div w:id="1302659790">
          <w:marLeft w:val="0"/>
          <w:marRight w:val="0"/>
          <w:marTop w:val="0"/>
          <w:marBottom w:val="0"/>
          <w:divBdr>
            <w:top w:val="none" w:sz="0" w:space="0" w:color="auto"/>
            <w:left w:val="none" w:sz="0" w:space="0" w:color="auto"/>
            <w:bottom w:val="none" w:sz="0" w:space="0" w:color="auto"/>
            <w:right w:val="none" w:sz="0" w:space="0" w:color="auto"/>
          </w:divBdr>
        </w:div>
      </w:divsChild>
    </w:div>
    <w:div w:id="778791421">
      <w:marLeft w:val="0"/>
      <w:marRight w:val="0"/>
      <w:marTop w:val="60"/>
      <w:marBottom w:val="0"/>
      <w:divBdr>
        <w:top w:val="none" w:sz="0" w:space="0" w:color="auto"/>
        <w:left w:val="none" w:sz="0" w:space="0" w:color="auto"/>
        <w:bottom w:val="none" w:sz="0" w:space="0" w:color="auto"/>
        <w:right w:val="none" w:sz="0" w:space="0" w:color="auto"/>
      </w:divBdr>
    </w:div>
    <w:div w:id="779498360">
      <w:marLeft w:val="0"/>
      <w:marRight w:val="0"/>
      <w:marTop w:val="0"/>
      <w:marBottom w:val="0"/>
      <w:divBdr>
        <w:top w:val="none" w:sz="0" w:space="0" w:color="auto"/>
        <w:left w:val="none" w:sz="0" w:space="0" w:color="auto"/>
        <w:bottom w:val="none" w:sz="0" w:space="0" w:color="auto"/>
        <w:right w:val="none" w:sz="0" w:space="0" w:color="auto"/>
      </w:divBdr>
    </w:div>
    <w:div w:id="779841830">
      <w:marLeft w:val="0"/>
      <w:marRight w:val="0"/>
      <w:marTop w:val="0"/>
      <w:marBottom w:val="180"/>
      <w:divBdr>
        <w:top w:val="none" w:sz="0" w:space="0" w:color="auto"/>
        <w:left w:val="none" w:sz="0" w:space="0" w:color="auto"/>
        <w:bottom w:val="none" w:sz="0" w:space="0" w:color="auto"/>
        <w:right w:val="none" w:sz="0" w:space="0" w:color="auto"/>
      </w:divBdr>
    </w:div>
    <w:div w:id="781537865">
      <w:marLeft w:val="0"/>
      <w:marRight w:val="0"/>
      <w:marTop w:val="180"/>
      <w:marBottom w:val="180"/>
      <w:divBdr>
        <w:top w:val="none" w:sz="0" w:space="0" w:color="auto"/>
        <w:left w:val="none" w:sz="0" w:space="0" w:color="auto"/>
        <w:bottom w:val="none" w:sz="0" w:space="0" w:color="auto"/>
        <w:right w:val="none" w:sz="0" w:space="0" w:color="auto"/>
      </w:divBdr>
    </w:div>
    <w:div w:id="782042137">
      <w:marLeft w:val="0"/>
      <w:marRight w:val="0"/>
      <w:marTop w:val="0"/>
      <w:marBottom w:val="240"/>
      <w:divBdr>
        <w:top w:val="none" w:sz="0" w:space="0" w:color="auto"/>
        <w:left w:val="none" w:sz="0" w:space="0" w:color="auto"/>
        <w:bottom w:val="none" w:sz="0" w:space="0" w:color="auto"/>
        <w:right w:val="none" w:sz="0" w:space="0" w:color="auto"/>
      </w:divBdr>
    </w:div>
    <w:div w:id="782310123">
      <w:marLeft w:val="0"/>
      <w:marRight w:val="0"/>
      <w:marTop w:val="0"/>
      <w:marBottom w:val="0"/>
      <w:divBdr>
        <w:top w:val="none" w:sz="0" w:space="0" w:color="auto"/>
        <w:left w:val="none" w:sz="0" w:space="0" w:color="auto"/>
        <w:bottom w:val="none" w:sz="0" w:space="0" w:color="auto"/>
        <w:right w:val="none" w:sz="0" w:space="0" w:color="auto"/>
      </w:divBdr>
    </w:div>
    <w:div w:id="782923336">
      <w:marLeft w:val="0"/>
      <w:marRight w:val="0"/>
      <w:marTop w:val="0"/>
      <w:marBottom w:val="180"/>
      <w:divBdr>
        <w:top w:val="none" w:sz="0" w:space="0" w:color="auto"/>
        <w:left w:val="none" w:sz="0" w:space="0" w:color="auto"/>
        <w:bottom w:val="none" w:sz="0" w:space="0" w:color="auto"/>
        <w:right w:val="none" w:sz="0" w:space="0" w:color="auto"/>
      </w:divBdr>
    </w:div>
    <w:div w:id="784616429">
      <w:marLeft w:val="0"/>
      <w:marRight w:val="0"/>
      <w:marTop w:val="0"/>
      <w:marBottom w:val="240"/>
      <w:divBdr>
        <w:top w:val="none" w:sz="0" w:space="0" w:color="auto"/>
        <w:left w:val="none" w:sz="0" w:space="0" w:color="auto"/>
        <w:bottom w:val="none" w:sz="0" w:space="0" w:color="auto"/>
        <w:right w:val="none" w:sz="0" w:space="0" w:color="auto"/>
      </w:divBdr>
    </w:div>
    <w:div w:id="784884256">
      <w:marLeft w:val="0"/>
      <w:marRight w:val="0"/>
      <w:marTop w:val="100"/>
      <w:marBottom w:val="0"/>
      <w:divBdr>
        <w:top w:val="none" w:sz="0" w:space="0" w:color="auto"/>
        <w:left w:val="none" w:sz="0" w:space="0" w:color="auto"/>
        <w:bottom w:val="none" w:sz="0" w:space="0" w:color="auto"/>
        <w:right w:val="none" w:sz="0" w:space="0" w:color="auto"/>
      </w:divBdr>
    </w:div>
    <w:div w:id="785661188">
      <w:marLeft w:val="0"/>
      <w:marRight w:val="0"/>
      <w:marTop w:val="0"/>
      <w:marBottom w:val="180"/>
      <w:divBdr>
        <w:top w:val="none" w:sz="0" w:space="0" w:color="auto"/>
        <w:left w:val="none" w:sz="0" w:space="0" w:color="auto"/>
        <w:bottom w:val="none" w:sz="0" w:space="0" w:color="auto"/>
        <w:right w:val="none" w:sz="0" w:space="0" w:color="auto"/>
      </w:divBdr>
    </w:div>
    <w:div w:id="786241399">
      <w:marLeft w:val="0"/>
      <w:marRight w:val="0"/>
      <w:marTop w:val="180"/>
      <w:marBottom w:val="180"/>
      <w:divBdr>
        <w:top w:val="none" w:sz="0" w:space="0" w:color="auto"/>
        <w:left w:val="none" w:sz="0" w:space="0" w:color="auto"/>
        <w:bottom w:val="none" w:sz="0" w:space="0" w:color="auto"/>
        <w:right w:val="none" w:sz="0" w:space="0" w:color="auto"/>
      </w:divBdr>
    </w:div>
    <w:div w:id="786313597">
      <w:marLeft w:val="0"/>
      <w:marRight w:val="0"/>
      <w:marTop w:val="0"/>
      <w:marBottom w:val="240"/>
      <w:divBdr>
        <w:top w:val="none" w:sz="0" w:space="0" w:color="auto"/>
        <w:left w:val="none" w:sz="0" w:space="0" w:color="auto"/>
        <w:bottom w:val="none" w:sz="0" w:space="0" w:color="auto"/>
        <w:right w:val="none" w:sz="0" w:space="0" w:color="auto"/>
      </w:divBdr>
    </w:div>
    <w:div w:id="786512865">
      <w:marLeft w:val="0"/>
      <w:marRight w:val="0"/>
      <w:marTop w:val="180"/>
      <w:marBottom w:val="180"/>
      <w:divBdr>
        <w:top w:val="none" w:sz="0" w:space="0" w:color="auto"/>
        <w:left w:val="none" w:sz="0" w:space="0" w:color="auto"/>
        <w:bottom w:val="none" w:sz="0" w:space="0" w:color="auto"/>
        <w:right w:val="none" w:sz="0" w:space="0" w:color="auto"/>
      </w:divBdr>
    </w:div>
    <w:div w:id="786659421">
      <w:marLeft w:val="0"/>
      <w:marRight w:val="0"/>
      <w:marTop w:val="0"/>
      <w:marBottom w:val="180"/>
      <w:divBdr>
        <w:top w:val="none" w:sz="0" w:space="0" w:color="auto"/>
        <w:left w:val="none" w:sz="0" w:space="0" w:color="auto"/>
        <w:bottom w:val="none" w:sz="0" w:space="0" w:color="auto"/>
        <w:right w:val="none" w:sz="0" w:space="0" w:color="auto"/>
      </w:divBdr>
    </w:div>
    <w:div w:id="786894811">
      <w:marLeft w:val="0"/>
      <w:marRight w:val="0"/>
      <w:marTop w:val="0"/>
      <w:marBottom w:val="240"/>
      <w:divBdr>
        <w:top w:val="none" w:sz="0" w:space="0" w:color="auto"/>
        <w:left w:val="none" w:sz="0" w:space="0" w:color="auto"/>
        <w:bottom w:val="none" w:sz="0" w:space="0" w:color="auto"/>
        <w:right w:val="none" w:sz="0" w:space="0" w:color="auto"/>
      </w:divBdr>
    </w:div>
    <w:div w:id="788547620">
      <w:marLeft w:val="0"/>
      <w:marRight w:val="0"/>
      <w:marTop w:val="0"/>
      <w:marBottom w:val="180"/>
      <w:divBdr>
        <w:top w:val="none" w:sz="0" w:space="0" w:color="auto"/>
        <w:left w:val="none" w:sz="0" w:space="0" w:color="auto"/>
        <w:bottom w:val="none" w:sz="0" w:space="0" w:color="auto"/>
        <w:right w:val="none" w:sz="0" w:space="0" w:color="auto"/>
      </w:divBdr>
    </w:div>
    <w:div w:id="789713967">
      <w:marLeft w:val="0"/>
      <w:marRight w:val="0"/>
      <w:marTop w:val="0"/>
      <w:marBottom w:val="0"/>
      <w:divBdr>
        <w:top w:val="none" w:sz="0" w:space="0" w:color="auto"/>
        <w:left w:val="none" w:sz="0" w:space="0" w:color="auto"/>
        <w:bottom w:val="none" w:sz="0" w:space="0" w:color="auto"/>
        <w:right w:val="none" w:sz="0" w:space="0" w:color="auto"/>
      </w:divBdr>
      <w:divsChild>
        <w:div w:id="869030456">
          <w:marLeft w:val="0"/>
          <w:marRight w:val="0"/>
          <w:marTop w:val="0"/>
          <w:marBottom w:val="0"/>
          <w:divBdr>
            <w:top w:val="none" w:sz="0" w:space="0" w:color="auto"/>
            <w:left w:val="none" w:sz="0" w:space="0" w:color="auto"/>
            <w:bottom w:val="none" w:sz="0" w:space="0" w:color="auto"/>
            <w:right w:val="none" w:sz="0" w:space="0" w:color="auto"/>
          </w:divBdr>
        </w:div>
      </w:divsChild>
    </w:div>
    <w:div w:id="789981263">
      <w:marLeft w:val="0"/>
      <w:marRight w:val="0"/>
      <w:marTop w:val="0"/>
      <w:marBottom w:val="0"/>
      <w:divBdr>
        <w:top w:val="none" w:sz="0" w:space="0" w:color="auto"/>
        <w:left w:val="none" w:sz="0" w:space="0" w:color="auto"/>
        <w:bottom w:val="none" w:sz="0" w:space="0" w:color="auto"/>
        <w:right w:val="none" w:sz="0" w:space="0" w:color="auto"/>
      </w:divBdr>
      <w:divsChild>
        <w:div w:id="2099665817">
          <w:marLeft w:val="0"/>
          <w:marRight w:val="0"/>
          <w:marTop w:val="0"/>
          <w:marBottom w:val="0"/>
          <w:divBdr>
            <w:top w:val="none" w:sz="0" w:space="0" w:color="auto"/>
            <w:left w:val="none" w:sz="0" w:space="0" w:color="auto"/>
            <w:bottom w:val="none" w:sz="0" w:space="0" w:color="auto"/>
            <w:right w:val="none" w:sz="0" w:space="0" w:color="auto"/>
          </w:divBdr>
        </w:div>
      </w:divsChild>
    </w:div>
    <w:div w:id="790561625">
      <w:marLeft w:val="0"/>
      <w:marRight w:val="0"/>
      <w:marTop w:val="0"/>
      <w:marBottom w:val="180"/>
      <w:divBdr>
        <w:top w:val="none" w:sz="0" w:space="0" w:color="auto"/>
        <w:left w:val="none" w:sz="0" w:space="0" w:color="auto"/>
        <w:bottom w:val="none" w:sz="0" w:space="0" w:color="auto"/>
        <w:right w:val="none" w:sz="0" w:space="0" w:color="auto"/>
      </w:divBdr>
    </w:div>
    <w:div w:id="790973493">
      <w:marLeft w:val="0"/>
      <w:marRight w:val="0"/>
      <w:marTop w:val="0"/>
      <w:marBottom w:val="180"/>
      <w:divBdr>
        <w:top w:val="none" w:sz="0" w:space="0" w:color="auto"/>
        <w:left w:val="none" w:sz="0" w:space="0" w:color="auto"/>
        <w:bottom w:val="none" w:sz="0" w:space="0" w:color="auto"/>
        <w:right w:val="none" w:sz="0" w:space="0" w:color="auto"/>
      </w:divBdr>
    </w:div>
    <w:div w:id="791166414">
      <w:marLeft w:val="0"/>
      <w:marRight w:val="0"/>
      <w:marTop w:val="0"/>
      <w:marBottom w:val="180"/>
      <w:divBdr>
        <w:top w:val="none" w:sz="0" w:space="0" w:color="auto"/>
        <w:left w:val="none" w:sz="0" w:space="0" w:color="auto"/>
        <w:bottom w:val="none" w:sz="0" w:space="0" w:color="auto"/>
        <w:right w:val="none" w:sz="0" w:space="0" w:color="auto"/>
      </w:divBdr>
    </w:div>
    <w:div w:id="791939591">
      <w:marLeft w:val="0"/>
      <w:marRight w:val="0"/>
      <w:marTop w:val="0"/>
      <w:marBottom w:val="0"/>
      <w:divBdr>
        <w:top w:val="none" w:sz="0" w:space="0" w:color="auto"/>
        <w:left w:val="none" w:sz="0" w:space="0" w:color="auto"/>
        <w:bottom w:val="none" w:sz="0" w:space="0" w:color="auto"/>
        <w:right w:val="none" w:sz="0" w:space="0" w:color="auto"/>
      </w:divBdr>
    </w:div>
    <w:div w:id="793251073">
      <w:marLeft w:val="0"/>
      <w:marRight w:val="0"/>
      <w:marTop w:val="0"/>
      <w:marBottom w:val="240"/>
      <w:divBdr>
        <w:top w:val="none" w:sz="0" w:space="0" w:color="auto"/>
        <w:left w:val="none" w:sz="0" w:space="0" w:color="auto"/>
        <w:bottom w:val="none" w:sz="0" w:space="0" w:color="auto"/>
        <w:right w:val="none" w:sz="0" w:space="0" w:color="auto"/>
      </w:divBdr>
    </w:div>
    <w:div w:id="794717189">
      <w:marLeft w:val="0"/>
      <w:marRight w:val="0"/>
      <w:marTop w:val="0"/>
      <w:marBottom w:val="240"/>
      <w:divBdr>
        <w:top w:val="none" w:sz="0" w:space="0" w:color="auto"/>
        <w:left w:val="none" w:sz="0" w:space="0" w:color="auto"/>
        <w:bottom w:val="none" w:sz="0" w:space="0" w:color="auto"/>
        <w:right w:val="none" w:sz="0" w:space="0" w:color="auto"/>
      </w:divBdr>
    </w:div>
    <w:div w:id="794786845">
      <w:marLeft w:val="0"/>
      <w:marRight w:val="0"/>
      <w:marTop w:val="0"/>
      <w:marBottom w:val="240"/>
      <w:divBdr>
        <w:top w:val="none" w:sz="0" w:space="0" w:color="auto"/>
        <w:left w:val="none" w:sz="0" w:space="0" w:color="auto"/>
        <w:bottom w:val="none" w:sz="0" w:space="0" w:color="auto"/>
        <w:right w:val="none" w:sz="0" w:space="0" w:color="auto"/>
      </w:divBdr>
    </w:div>
    <w:div w:id="795680933">
      <w:marLeft w:val="0"/>
      <w:marRight w:val="0"/>
      <w:marTop w:val="0"/>
      <w:marBottom w:val="0"/>
      <w:divBdr>
        <w:top w:val="none" w:sz="0" w:space="0" w:color="auto"/>
        <w:left w:val="none" w:sz="0" w:space="0" w:color="auto"/>
        <w:bottom w:val="none" w:sz="0" w:space="0" w:color="auto"/>
        <w:right w:val="none" w:sz="0" w:space="0" w:color="auto"/>
      </w:divBdr>
    </w:div>
    <w:div w:id="796412256">
      <w:marLeft w:val="0"/>
      <w:marRight w:val="0"/>
      <w:marTop w:val="0"/>
      <w:marBottom w:val="180"/>
      <w:divBdr>
        <w:top w:val="none" w:sz="0" w:space="0" w:color="auto"/>
        <w:left w:val="none" w:sz="0" w:space="0" w:color="auto"/>
        <w:bottom w:val="none" w:sz="0" w:space="0" w:color="auto"/>
        <w:right w:val="none" w:sz="0" w:space="0" w:color="auto"/>
      </w:divBdr>
    </w:div>
    <w:div w:id="797144619">
      <w:marLeft w:val="0"/>
      <w:marRight w:val="0"/>
      <w:marTop w:val="0"/>
      <w:marBottom w:val="0"/>
      <w:divBdr>
        <w:top w:val="none" w:sz="0" w:space="0" w:color="auto"/>
        <w:left w:val="none" w:sz="0" w:space="0" w:color="auto"/>
        <w:bottom w:val="none" w:sz="0" w:space="0" w:color="auto"/>
        <w:right w:val="none" w:sz="0" w:space="0" w:color="auto"/>
      </w:divBdr>
    </w:div>
    <w:div w:id="798110778">
      <w:marLeft w:val="0"/>
      <w:marRight w:val="0"/>
      <w:marTop w:val="0"/>
      <w:marBottom w:val="0"/>
      <w:divBdr>
        <w:top w:val="none" w:sz="0" w:space="0" w:color="auto"/>
        <w:left w:val="none" w:sz="0" w:space="0" w:color="auto"/>
        <w:bottom w:val="none" w:sz="0" w:space="0" w:color="auto"/>
        <w:right w:val="none" w:sz="0" w:space="0" w:color="auto"/>
      </w:divBdr>
    </w:div>
    <w:div w:id="799032215">
      <w:marLeft w:val="0"/>
      <w:marRight w:val="0"/>
      <w:marTop w:val="0"/>
      <w:marBottom w:val="240"/>
      <w:divBdr>
        <w:top w:val="none" w:sz="0" w:space="0" w:color="auto"/>
        <w:left w:val="none" w:sz="0" w:space="0" w:color="auto"/>
        <w:bottom w:val="none" w:sz="0" w:space="0" w:color="auto"/>
        <w:right w:val="none" w:sz="0" w:space="0" w:color="auto"/>
      </w:divBdr>
    </w:div>
    <w:div w:id="799223134">
      <w:marLeft w:val="0"/>
      <w:marRight w:val="0"/>
      <w:marTop w:val="0"/>
      <w:marBottom w:val="180"/>
      <w:divBdr>
        <w:top w:val="none" w:sz="0" w:space="0" w:color="auto"/>
        <w:left w:val="none" w:sz="0" w:space="0" w:color="auto"/>
        <w:bottom w:val="none" w:sz="0" w:space="0" w:color="auto"/>
        <w:right w:val="none" w:sz="0" w:space="0" w:color="auto"/>
      </w:divBdr>
    </w:div>
    <w:div w:id="799570454">
      <w:marLeft w:val="0"/>
      <w:marRight w:val="0"/>
      <w:marTop w:val="0"/>
      <w:marBottom w:val="180"/>
      <w:divBdr>
        <w:top w:val="none" w:sz="0" w:space="0" w:color="auto"/>
        <w:left w:val="none" w:sz="0" w:space="0" w:color="auto"/>
        <w:bottom w:val="none" w:sz="0" w:space="0" w:color="auto"/>
        <w:right w:val="none" w:sz="0" w:space="0" w:color="auto"/>
      </w:divBdr>
    </w:div>
    <w:div w:id="800730094">
      <w:marLeft w:val="0"/>
      <w:marRight w:val="0"/>
      <w:marTop w:val="0"/>
      <w:marBottom w:val="180"/>
      <w:divBdr>
        <w:top w:val="none" w:sz="0" w:space="0" w:color="auto"/>
        <w:left w:val="none" w:sz="0" w:space="0" w:color="auto"/>
        <w:bottom w:val="none" w:sz="0" w:space="0" w:color="auto"/>
        <w:right w:val="none" w:sz="0" w:space="0" w:color="auto"/>
      </w:divBdr>
    </w:div>
    <w:div w:id="803163483">
      <w:marLeft w:val="0"/>
      <w:marRight w:val="0"/>
      <w:marTop w:val="0"/>
      <w:marBottom w:val="240"/>
      <w:divBdr>
        <w:top w:val="none" w:sz="0" w:space="0" w:color="auto"/>
        <w:left w:val="none" w:sz="0" w:space="0" w:color="auto"/>
        <w:bottom w:val="none" w:sz="0" w:space="0" w:color="auto"/>
        <w:right w:val="none" w:sz="0" w:space="0" w:color="auto"/>
      </w:divBdr>
    </w:div>
    <w:div w:id="803474234">
      <w:marLeft w:val="0"/>
      <w:marRight w:val="0"/>
      <w:marTop w:val="0"/>
      <w:marBottom w:val="0"/>
      <w:divBdr>
        <w:top w:val="none" w:sz="0" w:space="0" w:color="auto"/>
        <w:left w:val="none" w:sz="0" w:space="0" w:color="auto"/>
        <w:bottom w:val="none" w:sz="0" w:space="0" w:color="auto"/>
        <w:right w:val="none" w:sz="0" w:space="0" w:color="auto"/>
      </w:divBdr>
    </w:div>
    <w:div w:id="803810686">
      <w:marLeft w:val="0"/>
      <w:marRight w:val="0"/>
      <w:marTop w:val="0"/>
      <w:marBottom w:val="180"/>
      <w:divBdr>
        <w:top w:val="none" w:sz="0" w:space="0" w:color="auto"/>
        <w:left w:val="none" w:sz="0" w:space="0" w:color="auto"/>
        <w:bottom w:val="none" w:sz="0" w:space="0" w:color="auto"/>
        <w:right w:val="none" w:sz="0" w:space="0" w:color="auto"/>
      </w:divBdr>
    </w:div>
    <w:div w:id="804395572">
      <w:marLeft w:val="0"/>
      <w:marRight w:val="0"/>
      <w:marTop w:val="0"/>
      <w:marBottom w:val="0"/>
      <w:divBdr>
        <w:top w:val="none" w:sz="0" w:space="0" w:color="auto"/>
        <w:left w:val="none" w:sz="0" w:space="0" w:color="auto"/>
        <w:bottom w:val="none" w:sz="0" w:space="0" w:color="auto"/>
        <w:right w:val="none" w:sz="0" w:space="0" w:color="auto"/>
      </w:divBdr>
    </w:div>
    <w:div w:id="804544314">
      <w:marLeft w:val="0"/>
      <w:marRight w:val="0"/>
      <w:marTop w:val="120"/>
      <w:marBottom w:val="240"/>
      <w:divBdr>
        <w:top w:val="none" w:sz="0" w:space="0" w:color="auto"/>
        <w:left w:val="none" w:sz="0" w:space="0" w:color="auto"/>
        <w:bottom w:val="none" w:sz="0" w:space="0" w:color="auto"/>
        <w:right w:val="none" w:sz="0" w:space="0" w:color="auto"/>
      </w:divBdr>
    </w:div>
    <w:div w:id="804935611">
      <w:marLeft w:val="0"/>
      <w:marRight w:val="0"/>
      <w:marTop w:val="0"/>
      <w:marBottom w:val="180"/>
      <w:divBdr>
        <w:top w:val="none" w:sz="0" w:space="0" w:color="auto"/>
        <w:left w:val="none" w:sz="0" w:space="0" w:color="auto"/>
        <w:bottom w:val="none" w:sz="0" w:space="0" w:color="auto"/>
        <w:right w:val="none" w:sz="0" w:space="0" w:color="auto"/>
      </w:divBdr>
    </w:div>
    <w:div w:id="805120331">
      <w:marLeft w:val="0"/>
      <w:marRight w:val="0"/>
      <w:marTop w:val="0"/>
      <w:marBottom w:val="180"/>
      <w:divBdr>
        <w:top w:val="none" w:sz="0" w:space="0" w:color="auto"/>
        <w:left w:val="none" w:sz="0" w:space="0" w:color="auto"/>
        <w:bottom w:val="none" w:sz="0" w:space="0" w:color="auto"/>
        <w:right w:val="none" w:sz="0" w:space="0" w:color="auto"/>
      </w:divBdr>
    </w:div>
    <w:div w:id="805582446">
      <w:marLeft w:val="0"/>
      <w:marRight w:val="0"/>
      <w:marTop w:val="180"/>
      <w:marBottom w:val="180"/>
      <w:divBdr>
        <w:top w:val="none" w:sz="0" w:space="0" w:color="auto"/>
        <w:left w:val="none" w:sz="0" w:space="0" w:color="auto"/>
        <w:bottom w:val="none" w:sz="0" w:space="0" w:color="auto"/>
        <w:right w:val="none" w:sz="0" w:space="0" w:color="auto"/>
      </w:divBdr>
    </w:div>
    <w:div w:id="805972969">
      <w:marLeft w:val="0"/>
      <w:marRight w:val="0"/>
      <w:marTop w:val="0"/>
      <w:marBottom w:val="180"/>
      <w:divBdr>
        <w:top w:val="none" w:sz="0" w:space="0" w:color="auto"/>
        <w:left w:val="none" w:sz="0" w:space="0" w:color="auto"/>
        <w:bottom w:val="none" w:sz="0" w:space="0" w:color="auto"/>
        <w:right w:val="none" w:sz="0" w:space="0" w:color="auto"/>
      </w:divBdr>
    </w:div>
    <w:div w:id="806969512">
      <w:marLeft w:val="0"/>
      <w:marRight w:val="0"/>
      <w:marTop w:val="0"/>
      <w:marBottom w:val="180"/>
      <w:divBdr>
        <w:top w:val="none" w:sz="0" w:space="0" w:color="auto"/>
        <w:left w:val="none" w:sz="0" w:space="0" w:color="auto"/>
        <w:bottom w:val="none" w:sz="0" w:space="0" w:color="auto"/>
        <w:right w:val="none" w:sz="0" w:space="0" w:color="auto"/>
      </w:divBdr>
    </w:div>
    <w:div w:id="807475711">
      <w:marLeft w:val="0"/>
      <w:marRight w:val="0"/>
      <w:marTop w:val="0"/>
      <w:marBottom w:val="0"/>
      <w:divBdr>
        <w:top w:val="none" w:sz="0" w:space="0" w:color="auto"/>
        <w:left w:val="none" w:sz="0" w:space="0" w:color="auto"/>
        <w:bottom w:val="none" w:sz="0" w:space="0" w:color="auto"/>
        <w:right w:val="none" w:sz="0" w:space="0" w:color="auto"/>
      </w:divBdr>
    </w:div>
    <w:div w:id="808131324">
      <w:marLeft w:val="0"/>
      <w:marRight w:val="0"/>
      <w:marTop w:val="0"/>
      <w:marBottom w:val="0"/>
      <w:divBdr>
        <w:top w:val="none" w:sz="0" w:space="0" w:color="auto"/>
        <w:left w:val="none" w:sz="0" w:space="0" w:color="auto"/>
        <w:bottom w:val="none" w:sz="0" w:space="0" w:color="auto"/>
        <w:right w:val="none" w:sz="0" w:space="0" w:color="auto"/>
      </w:divBdr>
      <w:divsChild>
        <w:div w:id="385182785">
          <w:marLeft w:val="0"/>
          <w:marRight w:val="0"/>
          <w:marTop w:val="0"/>
          <w:marBottom w:val="0"/>
          <w:divBdr>
            <w:top w:val="none" w:sz="0" w:space="0" w:color="auto"/>
            <w:left w:val="none" w:sz="0" w:space="0" w:color="auto"/>
            <w:bottom w:val="none" w:sz="0" w:space="0" w:color="auto"/>
            <w:right w:val="none" w:sz="0" w:space="0" w:color="auto"/>
          </w:divBdr>
        </w:div>
      </w:divsChild>
    </w:div>
    <w:div w:id="809441520">
      <w:marLeft w:val="0"/>
      <w:marRight w:val="0"/>
      <w:marTop w:val="0"/>
      <w:marBottom w:val="180"/>
      <w:divBdr>
        <w:top w:val="none" w:sz="0" w:space="0" w:color="auto"/>
        <w:left w:val="none" w:sz="0" w:space="0" w:color="auto"/>
        <w:bottom w:val="none" w:sz="0" w:space="0" w:color="auto"/>
        <w:right w:val="none" w:sz="0" w:space="0" w:color="auto"/>
      </w:divBdr>
    </w:div>
    <w:div w:id="809444951">
      <w:marLeft w:val="0"/>
      <w:marRight w:val="0"/>
      <w:marTop w:val="180"/>
      <w:marBottom w:val="180"/>
      <w:divBdr>
        <w:top w:val="none" w:sz="0" w:space="0" w:color="auto"/>
        <w:left w:val="none" w:sz="0" w:space="0" w:color="auto"/>
        <w:bottom w:val="none" w:sz="0" w:space="0" w:color="auto"/>
        <w:right w:val="none" w:sz="0" w:space="0" w:color="auto"/>
      </w:divBdr>
    </w:div>
    <w:div w:id="811755299">
      <w:marLeft w:val="0"/>
      <w:marRight w:val="0"/>
      <w:marTop w:val="0"/>
      <w:marBottom w:val="240"/>
      <w:divBdr>
        <w:top w:val="none" w:sz="0" w:space="0" w:color="auto"/>
        <w:left w:val="none" w:sz="0" w:space="0" w:color="auto"/>
        <w:bottom w:val="none" w:sz="0" w:space="0" w:color="auto"/>
        <w:right w:val="none" w:sz="0" w:space="0" w:color="auto"/>
      </w:divBdr>
    </w:div>
    <w:div w:id="812409226">
      <w:marLeft w:val="0"/>
      <w:marRight w:val="0"/>
      <w:marTop w:val="0"/>
      <w:marBottom w:val="180"/>
      <w:divBdr>
        <w:top w:val="none" w:sz="0" w:space="0" w:color="auto"/>
        <w:left w:val="none" w:sz="0" w:space="0" w:color="auto"/>
        <w:bottom w:val="none" w:sz="0" w:space="0" w:color="auto"/>
        <w:right w:val="none" w:sz="0" w:space="0" w:color="auto"/>
      </w:divBdr>
    </w:div>
    <w:div w:id="812723917">
      <w:marLeft w:val="0"/>
      <w:marRight w:val="0"/>
      <w:marTop w:val="0"/>
      <w:marBottom w:val="0"/>
      <w:divBdr>
        <w:top w:val="none" w:sz="0" w:space="0" w:color="auto"/>
        <w:left w:val="none" w:sz="0" w:space="0" w:color="auto"/>
        <w:bottom w:val="none" w:sz="0" w:space="0" w:color="auto"/>
        <w:right w:val="none" w:sz="0" w:space="0" w:color="auto"/>
      </w:divBdr>
    </w:div>
    <w:div w:id="813834418">
      <w:marLeft w:val="0"/>
      <w:marRight w:val="0"/>
      <w:marTop w:val="180"/>
      <w:marBottom w:val="180"/>
      <w:divBdr>
        <w:top w:val="none" w:sz="0" w:space="0" w:color="auto"/>
        <w:left w:val="none" w:sz="0" w:space="0" w:color="auto"/>
        <w:bottom w:val="none" w:sz="0" w:space="0" w:color="auto"/>
        <w:right w:val="none" w:sz="0" w:space="0" w:color="auto"/>
      </w:divBdr>
    </w:div>
    <w:div w:id="814375584">
      <w:marLeft w:val="0"/>
      <w:marRight w:val="0"/>
      <w:marTop w:val="0"/>
      <w:marBottom w:val="0"/>
      <w:divBdr>
        <w:top w:val="none" w:sz="0" w:space="0" w:color="auto"/>
        <w:left w:val="none" w:sz="0" w:space="0" w:color="auto"/>
        <w:bottom w:val="none" w:sz="0" w:space="0" w:color="auto"/>
        <w:right w:val="none" w:sz="0" w:space="0" w:color="auto"/>
      </w:divBdr>
    </w:div>
    <w:div w:id="814494266">
      <w:marLeft w:val="0"/>
      <w:marRight w:val="0"/>
      <w:marTop w:val="0"/>
      <w:marBottom w:val="240"/>
      <w:divBdr>
        <w:top w:val="none" w:sz="0" w:space="0" w:color="auto"/>
        <w:left w:val="none" w:sz="0" w:space="0" w:color="auto"/>
        <w:bottom w:val="none" w:sz="0" w:space="0" w:color="auto"/>
        <w:right w:val="none" w:sz="0" w:space="0" w:color="auto"/>
      </w:divBdr>
    </w:div>
    <w:div w:id="816730178">
      <w:marLeft w:val="0"/>
      <w:marRight w:val="0"/>
      <w:marTop w:val="120"/>
      <w:marBottom w:val="120"/>
      <w:divBdr>
        <w:top w:val="none" w:sz="0" w:space="0" w:color="auto"/>
        <w:left w:val="none" w:sz="0" w:space="0" w:color="auto"/>
        <w:bottom w:val="none" w:sz="0" w:space="0" w:color="auto"/>
        <w:right w:val="none" w:sz="0" w:space="0" w:color="auto"/>
      </w:divBdr>
    </w:div>
    <w:div w:id="818032975">
      <w:marLeft w:val="0"/>
      <w:marRight w:val="0"/>
      <w:marTop w:val="0"/>
      <w:marBottom w:val="0"/>
      <w:divBdr>
        <w:top w:val="none" w:sz="0" w:space="0" w:color="auto"/>
        <w:left w:val="none" w:sz="0" w:space="0" w:color="auto"/>
        <w:bottom w:val="none" w:sz="0" w:space="0" w:color="auto"/>
        <w:right w:val="none" w:sz="0" w:space="0" w:color="auto"/>
      </w:divBdr>
      <w:divsChild>
        <w:div w:id="1347443599">
          <w:marLeft w:val="0"/>
          <w:marRight w:val="0"/>
          <w:marTop w:val="0"/>
          <w:marBottom w:val="0"/>
          <w:divBdr>
            <w:top w:val="none" w:sz="0" w:space="0" w:color="auto"/>
            <w:left w:val="none" w:sz="0" w:space="0" w:color="auto"/>
            <w:bottom w:val="none" w:sz="0" w:space="0" w:color="auto"/>
            <w:right w:val="none" w:sz="0" w:space="0" w:color="auto"/>
          </w:divBdr>
        </w:div>
      </w:divsChild>
    </w:div>
    <w:div w:id="821047508">
      <w:marLeft w:val="0"/>
      <w:marRight w:val="0"/>
      <w:marTop w:val="0"/>
      <w:marBottom w:val="0"/>
      <w:divBdr>
        <w:top w:val="none" w:sz="0" w:space="0" w:color="auto"/>
        <w:left w:val="none" w:sz="0" w:space="0" w:color="auto"/>
        <w:bottom w:val="none" w:sz="0" w:space="0" w:color="auto"/>
        <w:right w:val="none" w:sz="0" w:space="0" w:color="auto"/>
      </w:divBdr>
      <w:divsChild>
        <w:div w:id="373890765">
          <w:marLeft w:val="0"/>
          <w:marRight w:val="0"/>
          <w:marTop w:val="0"/>
          <w:marBottom w:val="0"/>
          <w:divBdr>
            <w:top w:val="none" w:sz="0" w:space="0" w:color="auto"/>
            <w:left w:val="none" w:sz="0" w:space="0" w:color="auto"/>
            <w:bottom w:val="none" w:sz="0" w:space="0" w:color="auto"/>
            <w:right w:val="none" w:sz="0" w:space="0" w:color="auto"/>
          </w:divBdr>
        </w:div>
      </w:divsChild>
    </w:div>
    <w:div w:id="821195995">
      <w:marLeft w:val="0"/>
      <w:marRight w:val="0"/>
      <w:marTop w:val="0"/>
      <w:marBottom w:val="0"/>
      <w:divBdr>
        <w:top w:val="none" w:sz="0" w:space="0" w:color="auto"/>
        <w:left w:val="none" w:sz="0" w:space="0" w:color="auto"/>
        <w:bottom w:val="none" w:sz="0" w:space="0" w:color="auto"/>
        <w:right w:val="none" w:sz="0" w:space="0" w:color="auto"/>
      </w:divBdr>
    </w:div>
    <w:div w:id="821508539">
      <w:marLeft w:val="0"/>
      <w:marRight w:val="0"/>
      <w:marTop w:val="0"/>
      <w:marBottom w:val="180"/>
      <w:divBdr>
        <w:top w:val="none" w:sz="0" w:space="0" w:color="auto"/>
        <w:left w:val="none" w:sz="0" w:space="0" w:color="auto"/>
        <w:bottom w:val="none" w:sz="0" w:space="0" w:color="auto"/>
        <w:right w:val="none" w:sz="0" w:space="0" w:color="auto"/>
      </w:divBdr>
    </w:div>
    <w:div w:id="821656208">
      <w:marLeft w:val="0"/>
      <w:marRight w:val="0"/>
      <w:marTop w:val="0"/>
      <w:marBottom w:val="0"/>
      <w:divBdr>
        <w:top w:val="none" w:sz="0" w:space="0" w:color="auto"/>
        <w:left w:val="none" w:sz="0" w:space="0" w:color="auto"/>
        <w:bottom w:val="none" w:sz="0" w:space="0" w:color="auto"/>
        <w:right w:val="none" w:sz="0" w:space="0" w:color="auto"/>
      </w:divBdr>
    </w:div>
    <w:div w:id="822551632">
      <w:marLeft w:val="0"/>
      <w:marRight w:val="0"/>
      <w:marTop w:val="0"/>
      <w:marBottom w:val="180"/>
      <w:divBdr>
        <w:top w:val="none" w:sz="0" w:space="0" w:color="auto"/>
        <w:left w:val="none" w:sz="0" w:space="0" w:color="auto"/>
        <w:bottom w:val="none" w:sz="0" w:space="0" w:color="auto"/>
        <w:right w:val="none" w:sz="0" w:space="0" w:color="auto"/>
      </w:divBdr>
    </w:div>
    <w:div w:id="824249517">
      <w:marLeft w:val="0"/>
      <w:marRight w:val="0"/>
      <w:marTop w:val="180"/>
      <w:marBottom w:val="180"/>
      <w:divBdr>
        <w:top w:val="none" w:sz="0" w:space="0" w:color="auto"/>
        <w:left w:val="none" w:sz="0" w:space="0" w:color="auto"/>
        <w:bottom w:val="none" w:sz="0" w:space="0" w:color="auto"/>
        <w:right w:val="none" w:sz="0" w:space="0" w:color="auto"/>
      </w:divBdr>
    </w:div>
    <w:div w:id="826047534">
      <w:marLeft w:val="0"/>
      <w:marRight w:val="0"/>
      <w:marTop w:val="0"/>
      <w:marBottom w:val="0"/>
      <w:divBdr>
        <w:top w:val="none" w:sz="0" w:space="0" w:color="auto"/>
        <w:left w:val="none" w:sz="0" w:space="0" w:color="auto"/>
        <w:bottom w:val="none" w:sz="0" w:space="0" w:color="auto"/>
        <w:right w:val="none" w:sz="0" w:space="0" w:color="auto"/>
      </w:divBdr>
    </w:div>
    <w:div w:id="826239489">
      <w:marLeft w:val="0"/>
      <w:marRight w:val="0"/>
      <w:marTop w:val="120"/>
      <w:marBottom w:val="240"/>
      <w:divBdr>
        <w:top w:val="none" w:sz="0" w:space="0" w:color="auto"/>
        <w:left w:val="none" w:sz="0" w:space="0" w:color="auto"/>
        <w:bottom w:val="none" w:sz="0" w:space="0" w:color="auto"/>
        <w:right w:val="none" w:sz="0" w:space="0" w:color="auto"/>
      </w:divBdr>
    </w:div>
    <w:div w:id="828248942">
      <w:marLeft w:val="0"/>
      <w:marRight w:val="0"/>
      <w:marTop w:val="180"/>
      <w:marBottom w:val="180"/>
      <w:divBdr>
        <w:top w:val="none" w:sz="0" w:space="0" w:color="auto"/>
        <w:left w:val="none" w:sz="0" w:space="0" w:color="auto"/>
        <w:bottom w:val="none" w:sz="0" w:space="0" w:color="auto"/>
        <w:right w:val="none" w:sz="0" w:space="0" w:color="auto"/>
      </w:divBdr>
    </w:div>
    <w:div w:id="828835387">
      <w:marLeft w:val="0"/>
      <w:marRight w:val="0"/>
      <w:marTop w:val="0"/>
      <w:marBottom w:val="240"/>
      <w:divBdr>
        <w:top w:val="none" w:sz="0" w:space="0" w:color="auto"/>
        <w:left w:val="none" w:sz="0" w:space="0" w:color="auto"/>
        <w:bottom w:val="none" w:sz="0" w:space="0" w:color="auto"/>
        <w:right w:val="none" w:sz="0" w:space="0" w:color="auto"/>
      </w:divBdr>
    </w:div>
    <w:div w:id="829560284">
      <w:marLeft w:val="0"/>
      <w:marRight w:val="0"/>
      <w:marTop w:val="0"/>
      <w:marBottom w:val="240"/>
      <w:divBdr>
        <w:top w:val="none" w:sz="0" w:space="0" w:color="auto"/>
        <w:left w:val="none" w:sz="0" w:space="0" w:color="auto"/>
        <w:bottom w:val="none" w:sz="0" w:space="0" w:color="auto"/>
        <w:right w:val="none" w:sz="0" w:space="0" w:color="auto"/>
      </w:divBdr>
    </w:div>
    <w:div w:id="830100570">
      <w:marLeft w:val="0"/>
      <w:marRight w:val="0"/>
      <w:marTop w:val="120"/>
      <w:marBottom w:val="120"/>
      <w:divBdr>
        <w:top w:val="none" w:sz="0" w:space="0" w:color="auto"/>
        <w:left w:val="none" w:sz="0" w:space="0" w:color="auto"/>
        <w:bottom w:val="none" w:sz="0" w:space="0" w:color="auto"/>
        <w:right w:val="none" w:sz="0" w:space="0" w:color="auto"/>
      </w:divBdr>
    </w:div>
    <w:div w:id="832332922">
      <w:marLeft w:val="0"/>
      <w:marRight w:val="0"/>
      <w:marTop w:val="0"/>
      <w:marBottom w:val="0"/>
      <w:divBdr>
        <w:top w:val="none" w:sz="0" w:space="0" w:color="auto"/>
        <w:left w:val="none" w:sz="0" w:space="0" w:color="auto"/>
        <w:bottom w:val="none" w:sz="0" w:space="0" w:color="auto"/>
        <w:right w:val="none" w:sz="0" w:space="0" w:color="auto"/>
      </w:divBdr>
      <w:divsChild>
        <w:div w:id="1434277595">
          <w:marLeft w:val="0"/>
          <w:marRight w:val="0"/>
          <w:marTop w:val="0"/>
          <w:marBottom w:val="0"/>
          <w:divBdr>
            <w:top w:val="none" w:sz="0" w:space="0" w:color="auto"/>
            <w:left w:val="none" w:sz="0" w:space="0" w:color="auto"/>
            <w:bottom w:val="none" w:sz="0" w:space="0" w:color="auto"/>
            <w:right w:val="none" w:sz="0" w:space="0" w:color="auto"/>
          </w:divBdr>
        </w:div>
      </w:divsChild>
    </w:div>
    <w:div w:id="833029811">
      <w:marLeft w:val="0"/>
      <w:marRight w:val="0"/>
      <w:marTop w:val="180"/>
      <w:marBottom w:val="180"/>
      <w:divBdr>
        <w:top w:val="none" w:sz="0" w:space="0" w:color="auto"/>
        <w:left w:val="none" w:sz="0" w:space="0" w:color="auto"/>
        <w:bottom w:val="none" w:sz="0" w:space="0" w:color="auto"/>
        <w:right w:val="none" w:sz="0" w:space="0" w:color="auto"/>
      </w:divBdr>
    </w:div>
    <w:div w:id="833256145">
      <w:marLeft w:val="0"/>
      <w:marRight w:val="0"/>
      <w:marTop w:val="0"/>
      <w:marBottom w:val="240"/>
      <w:divBdr>
        <w:top w:val="none" w:sz="0" w:space="0" w:color="auto"/>
        <w:left w:val="none" w:sz="0" w:space="0" w:color="auto"/>
        <w:bottom w:val="none" w:sz="0" w:space="0" w:color="auto"/>
        <w:right w:val="none" w:sz="0" w:space="0" w:color="auto"/>
      </w:divBdr>
    </w:div>
    <w:div w:id="833379348">
      <w:marLeft w:val="0"/>
      <w:marRight w:val="0"/>
      <w:marTop w:val="0"/>
      <w:marBottom w:val="0"/>
      <w:divBdr>
        <w:top w:val="none" w:sz="0" w:space="0" w:color="auto"/>
        <w:left w:val="none" w:sz="0" w:space="0" w:color="auto"/>
        <w:bottom w:val="none" w:sz="0" w:space="0" w:color="auto"/>
        <w:right w:val="none" w:sz="0" w:space="0" w:color="auto"/>
      </w:divBdr>
    </w:div>
    <w:div w:id="834808773">
      <w:marLeft w:val="0"/>
      <w:marRight w:val="0"/>
      <w:marTop w:val="0"/>
      <w:marBottom w:val="0"/>
      <w:divBdr>
        <w:top w:val="none" w:sz="0" w:space="0" w:color="auto"/>
        <w:left w:val="none" w:sz="0" w:space="0" w:color="auto"/>
        <w:bottom w:val="none" w:sz="0" w:space="0" w:color="auto"/>
        <w:right w:val="none" w:sz="0" w:space="0" w:color="auto"/>
      </w:divBdr>
    </w:div>
    <w:div w:id="836582065">
      <w:marLeft w:val="0"/>
      <w:marRight w:val="0"/>
      <w:marTop w:val="0"/>
      <w:marBottom w:val="240"/>
      <w:divBdr>
        <w:top w:val="none" w:sz="0" w:space="0" w:color="auto"/>
        <w:left w:val="none" w:sz="0" w:space="0" w:color="auto"/>
        <w:bottom w:val="none" w:sz="0" w:space="0" w:color="auto"/>
        <w:right w:val="none" w:sz="0" w:space="0" w:color="auto"/>
      </w:divBdr>
    </w:div>
    <w:div w:id="837616758">
      <w:marLeft w:val="0"/>
      <w:marRight w:val="0"/>
      <w:marTop w:val="0"/>
      <w:marBottom w:val="240"/>
      <w:divBdr>
        <w:top w:val="none" w:sz="0" w:space="0" w:color="auto"/>
        <w:left w:val="none" w:sz="0" w:space="0" w:color="auto"/>
        <w:bottom w:val="none" w:sz="0" w:space="0" w:color="auto"/>
        <w:right w:val="none" w:sz="0" w:space="0" w:color="auto"/>
      </w:divBdr>
    </w:div>
    <w:div w:id="837647515">
      <w:marLeft w:val="0"/>
      <w:marRight w:val="0"/>
      <w:marTop w:val="0"/>
      <w:marBottom w:val="0"/>
      <w:divBdr>
        <w:top w:val="none" w:sz="0" w:space="0" w:color="auto"/>
        <w:left w:val="none" w:sz="0" w:space="0" w:color="auto"/>
        <w:bottom w:val="none" w:sz="0" w:space="0" w:color="auto"/>
        <w:right w:val="none" w:sz="0" w:space="0" w:color="auto"/>
      </w:divBdr>
    </w:div>
    <w:div w:id="838497032">
      <w:marLeft w:val="0"/>
      <w:marRight w:val="0"/>
      <w:marTop w:val="0"/>
      <w:marBottom w:val="180"/>
      <w:divBdr>
        <w:top w:val="none" w:sz="0" w:space="0" w:color="auto"/>
        <w:left w:val="none" w:sz="0" w:space="0" w:color="auto"/>
        <w:bottom w:val="none" w:sz="0" w:space="0" w:color="auto"/>
        <w:right w:val="none" w:sz="0" w:space="0" w:color="auto"/>
      </w:divBdr>
    </w:div>
    <w:div w:id="838813174">
      <w:marLeft w:val="0"/>
      <w:marRight w:val="0"/>
      <w:marTop w:val="0"/>
      <w:marBottom w:val="180"/>
      <w:divBdr>
        <w:top w:val="none" w:sz="0" w:space="0" w:color="auto"/>
        <w:left w:val="none" w:sz="0" w:space="0" w:color="auto"/>
        <w:bottom w:val="none" w:sz="0" w:space="0" w:color="auto"/>
        <w:right w:val="none" w:sz="0" w:space="0" w:color="auto"/>
      </w:divBdr>
    </w:div>
    <w:div w:id="838814390">
      <w:marLeft w:val="0"/>
      <w:marRight w:val="0"/>
      <w:marTop w:val="0"/>
      <w:marBottom w:val="0"/>
      <w:divBdr>
        <w:top w:val="none" w:sz="0" w:space="0" w:color="auto"/>
        <w:left w:val="none" w:sz="0" w:space="0" w:color="auto"/>
        <w:bottom w:val="none" w:sz="0" w:space="0" w:color="auto"/>
        <w:right w:val="none" w:sz="0" w:space="0" w:color="auto"/>
      </w:divBdr>
    </w:div>
    <w:div w:id="839151617">
      <w:marLeft w:val="0"/>
      <w:marRight w:val="0"/>
      <w:marTop w:val="0"/>
      <w:marBottom w:val="0"/>
      <w:divBdr>
        <w:top w:val="none" w:sz="0" w:space="0" w:color="auto"/>
        <w:left w:val="none" w:sz="0" w:space="0" w:color="auto"/>
        <w:bottom w:val="none" w:sz="0" w:space="0" w:color="auto"/>
        <w:right w:val="none" w:sz="0" w:space="0" w:color="auto"/>
      </w:divBdr>
    </w:div>
    <w:div w:id="839345647">
      <w:marLeft w:val="0"/>
      <w:marRight w:val="0"/>
      <w:marTop w:val="0"/>
      <w:marBottom w:val="240"/>
      <w:divBdr>
        <w:top w:val="none" w:sz="0" w:space="0" w:color="auto"/>
        <w:left w:val="none" w:sz="0" w:space="0" w:color="auto"/>
        <w:bottom w:val="none" w:sz="0" w:space="0" w:color="auto"/>
        <w:right w:val="none" w:sz="0" w:space="0" w:color="auto"/>
      </w:divBdr>
    </w:div>
    <w:div w:id="839388569">
      <w:marLeft w:val="0"/>
      <w:marRight w:val="0"/>
      <w:marTop w:val="0"/>
      <w:marBottom w:val="0"/>
      <w:divBdr>
        <w:top w:val="none" w:sz="0" w:space="0" w:color="auto"/>
        <w:left w:val="none" w:sz="0" w:space="0" w:color="auto"/>
        <w:bottom w:val="none" w:sz="0" w:space="0" w:color="auto"/>
        <w:right w:val="none" w:sz="0" w:space="0" w:color="auto"/>
      </w:divBdr>
      <w:divsChild>
        <w:div w:id="818306326">
          <w:marLeft w:val="0"/>
          <w:marRight w:val="0"/>
          <w:marTop w:val="0"/>
          <w:marBottom w:val="0"/>
          <w:divBdr>
            <w:top w:val="none" w:sz="0" w:space="0" w:color="auto"/>
            <w:left w:val="none" w:sz="0" w:space="0" w:color="auto"/>
            <w:bottom w:val="none" w:sz="0" w:space="0" w:color="auto"/>
            <w:right w:val="none" w:sz="0" w:space="0" w:color="auto"/>
          </w:divBdr>
        </w:div>
      </w:divsChild>
    </w:div>
    <w:div w:id="839540219">
      <w:marLeft w:val="0"/>
      <w:marRight w:val="0"/>
      <w:marTop w:val="0"/>
      <w:marBottom w:val="180"/>
      <w:divBdr>
        <w:top w:val="none" w:sz="0" w:space="0" w:color="auto"/>
        <w:left w:val="none" w:sz="0" w:space="0" w:color="auto"/>
        <w:bottom w:val="none" w:sz="0" w:space="0" w:color="auto"/>
        <w:right w:val="none" w:sz="0" w:space="0" w:color="auto"/>
      </w:divBdr>
    </w:div>
    <w:div w:id="839779839">
      <w:marLeft w:val="0"/>
      <w:marRight w:val="0"/>
      <w:marTop w:val="180"/>
      <w:marBottom w:val="180"/>
      <w:divBdr>
        <w:top w:val="none" w:sz="0" w:space="0" w:color="auto"/>
        <w:left w:val="none" w:sz="0" w:space="0" w:color="auto"/>
        <w:bottom w:val="none" w:sz="0" w:space="0" w:color="auto"/>
        <w:right w:val="none" w:sz="0" w:space="0" w:color="auto"/>
      </w:divBdr>
    </w:div>
    <w:div w:id="839932077">
      <w:marLeft w:val="0"/>
      <w:marRight w:val="0"/>
      <w:marTop w:val="0"/>
      <w:marBottom w:val="60"/>
      <w:divBdr>
        <w:top w:val="none" w:sz="0" w:space="0" w:color="auto"/>
        <w:left w:val="none" w:sz="0" w:space="0" w:color="auto"/>
        <w:bottom w:val="none" w:sz="0" w:space="0" w:color="auto"/>
        <w:right w:val="none" w:sz="0" w:space="0" w:color="auto"/>
      </w:divBdr>
    </w:div>
    <w:div w:id="840435284">
      <w:marLeft w:val="0"/>
      <w:marRight w:val="0"/>
      <w:marTop w:val="0"/>
      <w:marBottom w:val="180"/>
      <w:divBdr>
        <w:top w:val="none" w:sz="0" w:space="0" w:color="auto"/>
        <w:left w:val="none" w:sz="0" w:space="0" w:color="auto"/>
        <w:bottom w:val="none" w:sz="0" w:space="0" w:color="auto"/>
        <w:right w:val="none" w:sz="0" w:space="0" w:color="auto"/>
      </w:divBdr>
    </w:div>
    <w:div w:id="840506861">
      <w:marLeft w:val="0"/>
      <w:marRight w:val="0"/>
      <w:marTop w:val="0"/>
      <w:marBottom w:val="0"/>
      <w:divBdr>
        <w:top w:val="none" w:sz="0" w:space="0" w:color="auto"/>
        <w:left w:val="none" w:sz="0" w:space="0" w:color="auto"/>
        <w:bottom w:val="none" w:sz="0" w:space="0" w:color="auto"/>
        <w:right w:val="none" w:sz="0" w:space="0" w:color="auto"/>
      </w:divBdr>
      <w:divsChild>
        <w:div w:id="526334995">
          <w:marLeft w:val="0"/>
          <w:marRight w:val="0"/>
          <w:marTop w:val="0"/>
          <w:marBottom w:val="0"/>
          <w:divBdr>
            <w:top w:val="none" w:sz="0" w:space="0" w:color="auto"/>
            <w:left w:val="none" w:sz="0" w:space="0" w:color="auto"/>
            <w:bottom w:val="none" w:sz="0" w:space="0" w:color="auto"/>
            <w:right w:val="none" w:sz="0" w:space="0" w:color="auto"/>
          </w:divBdr>
        </w:div>
      </w:divsChild>
    </w:div>
    <w:div w:id="840509261">
      <w:marLeft w:val="0"/>
      <w:marRight w:val="0"/>
      <w:marTop w:val="0"/>
      <w:marBottom w:val="180"/>
      <w:divBdr>
        <w:top w:val="none" w:sz="0" w:space="0" w:color="auto"/>
        <w:left w:val="none" w:sz="0" w:space="0" w:color="auto"/>
        <w:bottom w:val="none" w:sz="0" w:space="0" w:color="auto"/>
        <w:right w:val="none" w:sz="0" w:space="0" w:color="auto"/>
      </w:divBdr>
    </w:div>
    <w:div w:id="840857470">
      <w:marLeft w:val="0"/>
      <w:marRight w:val="0"/>
      <w:marTop w:val="180"/>
      <w:marBottom w:val="180"/>
      <w:divBdr>
        <w:top w:val="none" w:sz="0" w:space="0" w:color="auto"/>
        <w:left w:val="none" w:sz="0" w:space="0" w:color="auto"/>
        <w:bottom w:val="none" w:sz="0" w:space="0" w:color="auto"/>
        <w:right w:val="none" w:sz="0" w:space="0" w:color="auto"/>
      </w:divBdr>
    </w:div>
    <w:div w:id="841169015">
      <w:marLeft w:val="0"/>
      <w:marRight w:val="0"/>
      <w:marTop w:val="0"/>
      <w:marBottom w:val="240"/>
      <w:divBdr>
        <w:top w:val="none" w:sz="0" w:space="0" w:color="auto"/>
        <w:left w:val="none" w:sz="0" w:space="0" w:color="auto"/>
        <w:bottom w:val="none" w:sz="0" w:space="0" w:color="auto"/>
        <w:right w:val="none" w:sz="0" w:space="0" w:color="auto"/>
      </w:divBdr>
    </w:div>
    <w:div w:id="841237658">
      <w:marLeft w:val="0"/>
      <w:marRight w:val="0"/>
      <w:marTop w:val="0"/>
      <w:marBottom w:val="0"/>
      <w:divBdr>
        <w:top w:val="none" w:sz="0" w:space="0" w:color="auto"/>
        <w:left w:val="none" w:sz="0" w:space="0" w:color="auto"/>
        <w:bottom w:val="none" w:sz="0" w:space="0" w:color="auto"/>
        <w:right w:val="none" w:sz="0" w:space="0" w:color="auto"/>
      </w:divBdr>
      <w:divsChild>
        <w:div w:id="51773725">
          <w:marLeft w:val="0"/>
          <w:marRight w:val="0"/>
          <w:marTop w:val="0"/>
          <w:marBottom w:val="0"/>
          <w:divBdr>
            <w:top w:val="none" w:sz="0" w:space="0" w:color="auto"/>
            <w:left w:val="none" w:sz="0" w:space="0" w:color="auto"/>
            <w:bottom w:val="none" w:sz="0" w:space="0" w:color="auto"/>
            <w:right w:val="none" w:sz="0" w:space="0" w:color="auto"/>
          </w:divBdr>
        </w:div>
      </w:divsChild>
    </w:div>
    <w:div w:id="841550475">
      <w:marLeft w:val="0"/>
      <w:marRight w:val="0"/>
      <w:marTop w:val="0"/>
      <w:marBottom w:val="180"/>
      <w:divBdr>
        <w:top w:val="none" w:sz="0" w:space="0" w:color="auto"/>
        <w:left w:val="none" w:sz="0" w:space="0" w:color="auto"/>
        <w:bottom w:val="none" w:sz="0" w:space="0" w:color="auto"/>
        <w:right w:val="none" w:sz="0" w:space="0" w:color="auto"/>
      </w:divBdr>
    </w:div>
    <w:div w:id="841747398">
      <w:marLeft w:val="0"/>
      <w:marRight w:val="0"/>
      <w:marTop w:val="0"/>
      <w:marBottom w:val="240"/>
      <w:divBdr>
        <w:top w:val="none" w:sz="0" w:space="0" w:color="auto"/>
        <w:left w:val="none" w:sz="0" w:space="0" w:color="auto"/>
        <w:bottom w:val="none" w:sz="0" w:space="0" w:color="auto"/>
        <w:right w:val="none" w:sz="0" w:space="0" w:color="auto"/>
      </w:divBdr>
    </w:div>
    <w:div w:id="842014945">
      <w:marLeft w:val="0"/>
      <w:marRight w:val="0"/>
      <w:marTop w:val="180"/>
      <w:marBottom w:val="180"/>
      <w:divBdr>
        <w:top w:val="none" w:sz="0" w:space="0" w:color="auto"/>
        <w:left w:val="none" w:sz="0" w:space="0" w:color="auto"/>
        <w:bottom w:val="none" w:sz="0" w:space="0" w:color="auto"/>
        <w:right w:val="none" w:sz="0" w:space="0" w:color="auto"/>
      </w:divBdr>
    </w:div>
    <w:div w:id="842084838">
      <w:marLeft w:val="0"/>
      <w:marRight w:val="0"/>
      <w:marTop w:val="0"/>
      <w:marBottom w:val="240"/>
      <w:divBdr>
        <w:top w:val="none" w:sz="0" w:space="0" w:color="auto"/>
        <w:left w:val="none" w:sz="0" w:space="0" w:color="auto"/>
        <w:bottom w:val="none" w:sz="0" w:space="0" w:color="auto"/>
        <w:right w:val="none" w:sz="0" w:space="0" w:color="auto"/>
      </w:divBdr>
    </w:div>
    <w:div w:id="842203713">
      <w:marLeft w:val="0"/>
      <w:marRight w:val="0"/>
      <w:marTop w:val="0"/>
      <w:marBottom w:val="0"/>
      <w:divBdr>
        <w:top w:val="none" w:sz="0" w:space="0" w:color="auto"/>
        <w:left w:val="none" w:sz="0" w:space="0" w:color="auto"/>
        <w:bottom w:val="none" w:sz="0" w:space="0" w:color="auto"/>
        <w:right w:val="none" w:sz="0" w:space="0" w:color="auto"/>
      </w:divBdr>
    </w:div>
    <w:div w:id="842429542">
      <w:marLeft w:val="0"/>
      <w:marRight w:val="0"/>
      <w:marTop w:val="180"/>
      <w:marBottom w:val="180"/>
      <w:divBdr>
        <w:top w:val="none" w:sz="0" w:space="0" w:color="auto"/>
        <w:left w:val="none" w:sz="0" w:space="0" w:color="auto"/>
        <w:bottom w:val="none" w:sz="0" w:space="0" w:color="auto"/>
        <w:right w:val="none" w:sz="0" w:space="0" w:color="auto"/>
      </w:divBdr>
    </w:div>
    <w:div w:id="844443403">
      <w:marLeft w:val="0"/>
      <w:marRight w:val="0"/>
      <w:marTop w:val="0"/>
      <w:marBottom w:val="240"/>
      <w:divBdr>
        <w:top w:val="none" w:sz="0" w:space="0" w:color="auto"/>
        <w:left w:val="none" w:sz="0" w:space="0" w:color="auto"/>
        <w:bottom w:val="none" w:sz="0" w:space="0" w:color="auto"/>
        <w:right w:val="none" w:sz="0" w:space="0" w:color="auto"/>
      </w:divBdr>
    </w:div>
    <w:div w:id="846095229">
      <w:marLeft w:val="0"/>
      <w:marRight w:val="0"/>
      <w:marTop w:val="0"/>
      <w:marBottom w:val="240"/>
      <w:divBdr>
        <w:top w:val="none" w:sz="0" w:space="0" w:color="auto"/>
        <w:left w:val="none" w:sz="0" w:space="0" w:color="auto"/>
        <w:bottom w:val="none" w:sz="0" w:space="0" w:color="auto"/>
        <w:right w:val="none" w:sz="0" w:space="0" w:color="auto"/>
      </w:divBdr>
    </w:div>
    <w:div w:id="846214674">
      <w:marLeft w:val="0"/>
      <w:marRight w:val="0"/>
      <w:marTop w:val="0"/>
      <w:marBottom w:val="240"/>
      <w:divBdr>
        <w:top w:val="none" w:sz="0" w:space="0" w:color="auto"/>
        <w:left w:val="none" w:sz="0" w:space="0" w:color="auto"/>
        <w:bottom w:val="none" w:sz="0" w:space="0" w:color="auto"/>
        <w:right w:val="none" w:sz="0" w:space="0" w:color="auto"/>
      </w:divBdr>
    </w:div>
    <w:div w:id="846596435">
      <w:marLeft w:val="0"/>
      <w:marRight w:val="0"/>
      <w:marTop w:val="0"/>
      <w:marBottom w:val="240"/>
      <w:divBdr>
        <w:top w:val="none" w:sz="0" w:space="0" w:color="auto"/>
        <w:left w:val="none" w:sz="0" w:space="0" w:color="auto"/>
        <w:bottom w:val="none" w:sz="0" w:space="0" w:color="auto"/>
        <w:right w:val="none" w:sz="0" w:space="0" w:color="auto"/>
      </w:divBdr>
    </w:div>
    <w:div w:id="846988651">
      <w:marLeft w:val="0"/>
      <w:marRight w:val="0"/>
      <w:marTop w:val="0"/>
      <w:marBottom w:val="240"/>
      <w:divBdr>
        <w:top w:val="none" w:sz="0" w:space="0" w:color="auto"/>
        <w:left w:val="none" w:sz="0" w:space="0" w:color="auto"/>
        <w:bottom w:val="none" w:sz="0" w:space="0" w:color="auto"/>
        <w:right w:val="none" w:sz="0" w:space="0" w:color="auto"/>
      </w:divBdr>
    </w:div>
    <w:div w:id="847449661">
      <w:marLeft w:val="0"/>
      <w:marRight w:val="0"/>
      <w:marTop w:val="0"/>
      <w:marBottom w:val="0"/>
      <w:divBdr>
        <w:top w:val="none" w:sz="0" w:space="0" w:color="auto"/>
        <w:left w:val="none" w:sz="0" w:space="0" w:color="auto"/>
        <w:bottom w:val="none" w:sz="0" w:space="0" w:color="auto"/>
        <w:right w:val="none" w:sz="0" w:space="0" w:color="auto"/>
      </w:divBdr>
    </w:div>
    <w:div w:id="847791742">
      <w:marLeft w:val="0"/>
      <w:marRight w:val="0"/>
      <w:marTop w:val="180"/>
      <w:marBottom w:val="240"/>
      <w:divBdr>
        <w:top w:val="none" w:sz="0" w:space="0" w:color="auto"/>
        <w:left w:val="none" w:sz="0" w:space="0" w:color="auto"/>
        <w:bottom w:val="none" w:sz="0" w:space="0" w:color="auto"/>
        <w:right w:val="none" w:sz="0" w:space="0" w:color="auto"/>
      </w:divBdr>
    </w:div>
    <w:div w:id="849442705">
      <w:marLeft w:val="0"/>
      <w:marRight w:val="0"/>
      <w:marTop w:val="0"/>
      <w:marBottom w:val="180"/>
      <w:divBdr>
        <w:top w:val="none" w:sz="0" w:space="0" w:color="auto"/>
        <w:left w:val="none" w:sz="0" w:space="0" w:color="auto"/>
        <w:bottom w:val="none" w:sz="0" w:space="0" w:color="auto"/>
        <w:right w:val="none" w:sz="0" w:space="0" w:color="auto"/>
      </w:divBdr>
    </w:div>
    <w:div w:id="850097996">
      <w:marLeft w:val="0"/>
      <w:marRight w:val="0"/>
      <w:marTop w:val="0"/>
      <w:marBottom w:val="180"/>
      <w:divBdr>
        <w:top w:val="none" w:sz="0" w:space="0" w:color="auto"/>
        <w:left w:val="none" w:sz="0" w:space="0" w:color="auto"/>
        <w:bottom w:val="none" w:sz="0" w:space="0" w:color="auto"/>
        <w:right w:val="none" w:sz="0" w:space="0" w:color="auto"/>
      </w:divBdr>
    </w:div>
    <w:div w:id="850267387">
      <w:marLeft w:val="0"/>
      <w:marRight w:val="0"/>
      <w:marTop w:val="0"/>
      <w:marBottom w:val="0"/>
      <w:divBdr>
        <w:top w:val="none" w:sz="0" w:space="0" w:color="auto"/>
        <w:left w:val="none" w:sz="0" w:space="0" w:color="auto"/>
        <w:bottom w:val="none" w:sz="0" w:space="0" w:color="auto"/>
        <w:right w:val="none" w:sz="0" w:space="0" w:color="auto"/>
      </w:divBdr>
      <w:divsChild>
        <w:div w:id="770586349">
          <w:marLeft w:val="0"/>
          <w:marRight w:val="0"/>
          <w:marTop w:val="0"/>
          <w:marBottom w:val="0"/>
          <w:divBdr>
            <w:top w:val="none" w:sz="0" w:space="0" w:color="auto"/>
            <w:left w:val="none" w:sz="0" w:space="0" w:color="auto"/>
            <w:bottom w:val="none" w:sz="0" w:space="0" w:color="auto"/>
            <w:right w:val="none" w:sz="0" w:space="0" w:color="auto"/>
          </w:divBdr>
        </w:div>
        <w:div w:id="909313791">
          <w:marLeft w:val="0"/>
          <w:marRight w:val="0"/>
          <w:marTop w:val="0"/>
          <w:marBottom w:val="0"/>
          <w:divBdr>
            <w:top w:val="none" w:sz="0" w:space="0" w:color="auto"/>
            <w:left w:val="none" w:sz="0" w:space="0" w:color="auto"/>
            <w:bottom w:val="none" w:sz="0" w:space="0" w:color="auto"/>
            <w:right w:val="none" w:sz="0" w:space="0" w:color="auto"/>
          </w:divBdr>
        </w:div>
      </w:divsChild>
    </w:div>
    <w:div w:id="850338030">
      <w:marLeft w:val="0"/>
      <w:marRight w:val="0"/>
      <w:marTop w:val="0"/>
      <w:marBottom w:val="240"/>
      <w:divBdr>
        <w:top w:val="none" w:sz="0" w:space="0" w:color="auto"/>
        <w:left w:val="none" w:sz="0" w:space="0" w:color="auto"/>
        <w:bottom w:val="none" w:sz="0" w:space="0" w:color="auto"/>
        <w:right w:val="none" w:sz="0" w:space="0" w:color="auto"/>
      </w:divBdr>
    </w:div>
    <w:div w:id="850413638">
      <w:marLeft w:val="0"/>
      <w:marRight w:val="0"/>
      <w:marTop w:val="0"/>
      <w:marBottom w:val="0"/>
      <w:divBdr>
        <w:top w:val="none" w:sz="0" w:space="0" w:color="auto"/>
        <w:left w:val="none" w:sz="0" w:space="0" w:color="auto"/>
        <w:bottom w:val="none" w:sz="0" w:space="0" w:color="auto"/>
        <w:right w:val="none" w:sz="0" w:space="0" w:color="auto"/>
      </w:divBdr>
    </w:div>
    <w:div w:id="850609008">
      <w:marLeft w:val="0"/>
      <w:marRight w:val="0"/>
      <w:marTop w:val="0"/>
      <w:marBottom w:val="0"/>
      <w:divBdr>
        <w:top w:val="none" w:sz="0" w:space="0" w:color="auto"/>
        <w:left w:val="none" w:sz="0" w:space="0" w:color="auto"/>
        <w:bottom w:val="none" w:sz="0" w:space="0" w:color="auto"/>
        <w:right w:val="none" w:sz="0" w:space="0" w:color="auto"/>
      </w:divBdr>
      <w:divsChild>
        <w:div w:id="69275063">
          <w:marLeft w:val="0"/>
          <w:marRight w:val="0"/>
          <w:marTop w:val="0"/>
          <w:marBottom w:val="0"/>
          <w:divBdr>
            <w:top w:val="none" w:sz="0" w:space="0" w:color="auto"/>
            <w:left w:val="none" w:sz="0" w:space="0" w:color="auto"/>
            <w:bottom w:val="none" w:sz="0" w:space="0" w:color="auto"/>
            <w:right w:val="none" w:sz="0" w:space="0" w:color="auto"/>
          </w:divBdr>
        </w:div>
      </w:divsChild>
    </w:div>
    <w:div w:id="850726444">
      <w:marLeft w:val="0"/>
      <w:marRight w:val="0"/>
      <w:marTop w:val="0"/>
      <w:marBottom w:val="0"/>
      <w:divBdr>
        <w:top w:val="none" w:sz="0" w:space="0" w:color="auto"/>
        <w:left w:val="none" w:sz="0" w:space="0" w:color="auto"/>
        <w:bottom w:val="none" w:sz="0" w:space="0" w:color="auto"/>
        <w:right w:val="none" w:sz="0" w:space="0" w:color="auto"/>
      </w:divBdr>
    </w:div>
    <w:div w:id="850876006">
      <w:marLeft w:val="0"/>
      <w:marRight w:val="0"/>
      <w:marTop w:val="180"/>
      <w:marBottom w:val="180"/>
      <w:divBdr>
        <w:top w:val="none" w:sz="0" w:space="0" w:color="auto"/>
        <w:left w:val="none" w:sz="0" w:space="0" w:color="auto"/>
        <w:bottom w:val="none" w:sz="0" w:space="0" w:color="auto"/>
        <w:right w:val="none" w:sz="0" w:space="0" w:color="auto"/>
      </w:divBdr>
    </w:div>
    <w:div w:id="851844569">
      <w:marLeft w:val="0"/>
      <w:marRight w:val="0"/>
      <w:marTop w:val="0"/>
      <w:marBottom w:val="0"/>
      <w:divBdr>
        <w:top w:val="none" w:sz="0" w:space="0" w:color="auto"/>
        <w:left w:val="none" w:sz="0" w:space="0" w:color="auto"/>
        <w:bottom w:val="none" w:sz="0" w:space="0" w:color="auto"/>
        <w:right w:val="none" w:sz="0" w:space="0" w:color="auto"/>
      </w:divBdr>
      <w:divsChild>
        <w:div w:id="1571840785">
          <w:marLeft w:val="0"/>
          <w:marRight w:val="0"/>
          <w:marTop w:val="0"/>
          <w:marBottom w:val="0"/>
          <w:divBdr>
            <w:top w:val="none" w:sz="0" w:space="0" w:color="auto"/>
            <w:left w:val="none" w:sz="0" w:space="0" w:color="auto"/>
            <w:bottom w:val="none" w:sz="0" w:space="0" w:color="auto"/>
            <w:right w:val="none" w:sz="0" w:space="0" w:color="auto"/>
          </w:divBdr>
        </w:div>
      </w:divsChild>
    </w:div>
    <w:div w:id="852232177">
      <w:marLeft w:val="0"/>
      <w:marRight w:val="0"/>
      <w:marTop w:val="0"/>
      <w:marBottom w:val="240"/>
      <w:divBdr>
        <w:top w:val="none" w:sz="0" w:space="0" w:color="auto"/>
        <w:left w:val="none" w:sz="0" w:space="0" w:color="auto"/>
        <w:bottom w:val="none" w:sz="0" w:space="0" w:color="auto"/>
        <w:right w:val="none" w:sz="0" w:space="0" w:color="auto"/>
      </w:divBdr>
    </w:div>
    <w:div w:id="854073154">
      <w:marLeft w:val="0"/>
      <w:marRight w:val="0"/>
      <w:marTop w:val="0"/>
      <w:marBottom w:val="180"/>
      <w:divBdr>
        <w:top w:val="none" w:sz="0" w:space="0" w:color="auto"/>
        <w:left w:val="none" w:sz="0" w:space="0" w:color="auto"/>
        <w:bottom w:val="none" w:sz="0" w:space="0" w:color="auto"/>
        <w:right w:val="none" w:sz="0" w:space="0" w:color="auto"/>
      </w:divBdr>
    </w:div>
    <w:div w:id="854074360">
      <w:marLeft w:val="0"/>
      <w:marRight w:val="0"/>
      <w:marTop w:val="0"/>
      <w:marBottom w:val="0"/>
      <w:divBdr>
        <w:top w:val="none" w:sz="0" w:space="0" w:color="auto"/>
        <w:left w:val="none" w:sz="0" w:space="0" w:color="auto"/>
        <w:bottom w:val="none" w:sz="0" w:space="0" w:color="auto"/>
        <w:right w:val="none" w:sz="0" w:space="0" w:color="auto"/>
      </w:divBdr>
    </w:div>
    <w:div w:id="856390182">
      <w:marLeft w:val="0"/>
      <w:marRight w:val="0"/>
      <w:marTop w:val="120"/>
      <w:marBottom w:val="120"/>
      <w:divBdr>
        <w:top w:val="none" w:sz="0" w:space="0" w:color="auto"/>
        <w:left w:val="none" w:sz="0" w:space="0" w:color="auto"/>
        <w:bottom w:val="none" w:sz="0" w:space="0" w:color="auto"/>
        <w:right w:val="none" w:sz="0" w:space="0" w:color="auto"/>
      </w:divBdr>
    </w:div>
    <w:div w:id="856626157">
      <w:marLeft w:val="0"/>
      <w:marRight w:val="0"/>
      <w:marTop w:val="0"/>
      <w:marBottom w:val="0"/>
      <w:divBdr>
        <w:top w:val="none" w:sz="0" w:space="0" w:color="auto"/>
        <w:left w:val="none" w:sz="0" w:space="0" w:color="auto"/>
        <w:bottom w:val="none" w:sz="0" w:space="0" w:color="auto"/>
        <w:right w:val="none" w:sz="0" w:space="0" w:color="auto"/>
      </w:divBdr>
    </w:div>
    <w:div w:id="858011499">
      <w:marLeft w:val="0"/>
      <w:marRight w:val="0"/>
      <w:marTop w:val="0"/>
      <w:marBottom w:val="0"/>
      <w:divBdr>
        <w:top w:val="none" w:sz="0" w:space="0" w:color="auto"/>
        <w:left w:val="none" w:sz="0" w:space="0" w:color="auto"/>
        <w:bottom w:val="none" w:sz="0" w:space="0" w:color="auto"/>
        <w:right w:val="none" w:sz="0" w:space="0" w:color="auto"/>
      </w:divBdr>
    </w:div>
    <w:div w:id="858465496">
      <w:marLeft w:val="0"/>
      <w:marRight w:val="0"/>
      <w:marTop w:val="0"/>
      <w:marBottom w:val="240"/>
      <w:divBdr>
        <w:top w:val="none" w:sz="0" w:space="0" w:color="auto"/>
        <w:left w:val="none" w:sz="0" w:space="0" w:color="auto"/>
        <w:bottom w:val="none" w:sz="0" w:space="0" w:color="auto"/>
        <w:right w:val="none" w:sz="0" w:space="0" w:color="auto"/>
      </w:divBdr>
    </w:div>
    <w:div w:id="858743057">
      <w:marLeft w:val="0"/>
      <w:marRight w:val="0"/>
      <w:marTop w:val="180"/>
      <w:marBottom w:val="180"/>
      <w:divBdr>
        <w:top w:val="none" w:sz="0" w:space="0" w:color="auto"/>
        <w:left w:val="none" w:sz="0" w:space="0" w:color="auto"/>
        <w:bottom w:val="none" w:sz="0" w:space="0" w:color="auto"/>
        <w:right w:val="none" w:sz="0" w:space="0" w:color="auto"/>
      </w:divBdr>
    </w:div>
    <w:div w:id="859466895">
      <w:marLeft w:val="0"/>
      <w:marRight w:val="0"/>
      <w:marTop w:val="120"/>
      <w:marBottom w:val="120"/>
      <w:divBdr>
        <w:top w:val="none" w:sz="0" w:space="0" w:color="auto"/>
        <w:left w:val="none" w:sz="0" w:space="0" w:color="auto"/>
        <w:bottom w:val="none" w:sz="0" w:space="0" w:color="auto"/>
        <w:right w:val="none" w:sz="0" w:space="0" w:color="auto"/>
      </w:divBdr>
    </w:div>
    <w:div w:id="860050744">
      <w:marLeft w:val="0"/>
      <w:marRight w:val="0"/>
      <w:marTop w:val="0"/>
      <w:marBottom w:val="180"/>
      <w:divBdr>
        <w:top w:val="none" w:sz="0" w:space="0" w:color="auto"/>
        <w:left w:val="none" w:sz="0" w:space="0" w:color="auto"/>
        <w:bottom w:val="none" w:sz="0" w:space="0" w:color="auto"/>
        <w:right w:val="none" w:sz="0" w:space="0" w:color="auto"/>
      </w:divBdr>
    </w:div>
    <w:div w:id="860583965">
      <w:marLeft w:val="0"/>
      <w:marRight w:val="0"/>
      <w:marTop w:val="0"/>
      <w:marBottom w:val="180"/>
      <w:divBdr>
        <w:top w:val="none" w:sz="0" w:space="0" w:color="auto"/>
        <w:left w:val="none" w:sz="0" w:space="0" w:color="auto"/>
        <w:bottom w:val="none" w:sz="0" w:space="0" w:color="auto"/>
        <w:right w:val="none" w:sz="0" w:space="0" w:color="auto"/>
      </w:divBdr>
    </w:div>
    <w:div w:id="860700334">
      <w:marLeft w:val="0"/>
      <w:marRight w:val="0"/>
      <w:marTop w:val="0"/>
      <w:marBottom w:val="240"/>
      <w:divBdr>
        <w:top w:val="none" w:sz="0" w:space="0" w:color="auto"/>
        <w:left w:val="none" w:sz="0" w:space="0" w:color="auto"/>
        <w:bottom w:val="none" w:sz="0" w:space="0" w:color="auto"/>
        <w:right w:val="none" w:sz="0" w:space="0" w:color="auto"/>
      </w:divBdr>
    </w:div>
    <w:div w:id="860968325">
      <w:marLeft w:val="0"/>
      <w:marRight w:val="0"/>
      <w:marTop w:val="0"/>
      <w:marBottom w:val="0"/>
      <w:divBdr>
        <w:top w:val="none" w:sz="0" w:space="0" w:color="auto"/>
        <w:left w:val="none" w:sz="0" w:space="0" w:color="auto"/>
        <w:bottom w:val="none" w:sz="0" w:space="0" w:color="auto"/>
        <w:right w:val="none" w:sz="0" w:space="0" w:color="auto"/>
      </w:divBdr>
    </w:div>
    <w:div w:id="861093526">
      <w:marLeft w:val="0"/>
      <w:marRight w:val="0"/>
      <w:marTop w:val="0"/>
      <w:marBottom w:val="240"/>
      <w:divBdr>
        <w:top w:val="none" w:sz="0" w:space="0" w:color="auto"/>
        <w:left w:val="none" w:sz="0" w:space="0" w:color="auto"/>
        <w:bottom w:val="none" w:sz="0" w:space="0" w:color="auto"/>
        <w:right w:val="none" w:sz="0" w:space="0" w:color="auto"/>
      </w:divBdr>
    </w:div>
    <w:div w:id="861818485">
      <w:marLeft w:val="0"/>
      <w:marRight w:val="0"/>
      <w:marTop w:val="0"/>
      <w:marBottom w:val="240"/>
      <w:divBdr>
        <w:top w:val="none" w:sz="0" w:space="0" w:color="auto"/>
        <w:left w:val="none" w:sz="0" w:space="0" w:color="auto"/>
        <w:bottom w:val="none" w:sz="0" w:space="0" w:color="auto"/>
        <w:right w:val="none" w:sz="0" w:space="0" w:color="auto"/>
      </w:divBdr>
    </w:div>
    <w:div w:id="862011712">
      <w:marLeft w:val="0"/>
      <w:marRight w:val="0"/>
      <w:marTop w:val="100"/>
      <w:marBottom w:val="0"/>
      <w:divBdr>
        <w:top w:val="none" w:sz="0" w:space="0" w:color="auto"/>
        <w:left w:val="none" w:sz="0" w:space="0" w:color="auto"/>
        <w:bottom w:val="none" w:sz="0" w:space="0" w:color="auto"/>
        <w:right w:val="none" w:sz="0" w:space="0" w:color="auto"/>
      </w:divBdr>
      <w:divsChild>
        <w:div w:id="1297836099">
          <w:marLeft w:val="0"/>
          <w:marRight w:val="0"/>
          <w:marTop w:val="0"/>
          <w:marBottom w:val="0"/>
          <w:divBdr>
            <w:top w:val="none" w:sz="0" w:space="0" w:color="auto"/>
            <w:left w:val="none" w:sz="0" w:space="0" w:color="auto"/>
            <w:bottom w:val="none" w:sz="0" w:space="0" w:color="auto"/>
            <w:right w:val="none" w:sz="0" w:space="0" w:color="auto"/>
          </w:divBdr>
        </w:div>
        <w:div w:id="1724713767">
          <w:marLeft w:val="0"/>
          <w:marRight w:val="0"/>
          <w:marTop w:val="0"/>
          <w:marBottom w:val="0"/>
          <w:divBdr>
            <w:top w:val="none" w:sz="0" w:space="0" w:color="auto"/>
            <w:left w:val="none" w:sz="0" w:space="0" w:color="auto"/>
            <w:bottom w:val="none" w:sz="0" w:space="0" w:color="auto"/>
            <w:right w:val="none" w:sz="0" w:space="0" w:color="auto"/>
          </w:divBdr>
        </w:div>
        <w:div w:id="1912353092">
          <w:marLeft w:val="0"/>
          <w:marRight w:val="0"/>
          <w:marTop w:val="0"/>
          <w:marBottom w:val="0"/>
          <w:divBdr>
            <w:top w:val="none" w:sz="0" w:space="0" w:color="auto"/>
            <w:left w:val="none" w:sz="0" w:space="0" w:color="auto"/>
            <w:bottom w:val="none" w:sz="0" w:space="0" w:color="auto"/>
            <w:right w:val="none" w:sz="0" w:space="0" w:color="auto"/>
          </w:divBdr>
        </w:div>
      </w:divsChild>
    </w:div>
    <w:div w:id="862786803">
      <w:marLeft w:val="0"/>
      <w:marRight w:val="0"/>
      <w:marTop w:val="0"/>
      <w:marBottom w:val="0"/>
      <w:divBdr>
        <w:top w:val="none" w:sz="0" w:space="0" w:color="auto"/>
        <w:left w:val="none" w:sz="0" w:space="0" w:color="auto"/>
        <w:bottom w:val="none" w:sz="0" w:space="0" w:color="auto"/>
        <w:right w:val="none" w:sz="0" w:space="0" w:color="auto"/>
      </w:divBdr>
      <w:divsChild>
        <w:div w:id="1193152334">
          <w:marLeft w:val="0"/>
          <w:marRight w:val="0"/>
          <w:marTop w:val="0"/>
          <w:marBottom w:val="0"/>
          <w:divBdr>
            <w:top w:val="none" w:sz="0" w:space="0" w:color="auto"/>
            <w:left w:val="none" w:sz="0" w:space="0" w:color="auto"/>
            <w:bottom w:val="none" w:sz="0" w:space="0" w:color="auto"/>
            <w:right w:val="none" w:sz="0" w:space="0" w:color="auto"/>
          </w:divBdr>
        </w:div>
      </w:divsChild>
    </w:div>
    <w:div w:id="864172629">
      <w:marLeft w:val="0"/>
      <w:marRight w:val="0"/>
      <w:marTop w:val="120"/>
      <w:marBottom w:val="120"/>
      <w:divBdr>
        <w:top w:val="none" w:sz="0" w:space="0" w:color="auto"/>
        <w:left w:val="none" w:sz="0" w:space="0" w:color="auto"/>
        <w:bottom w:val="none" w:sz="0" w:space="0" w:color="auto"/>
        <w:right w:val="none" w:sz="0" w:space="0" w:color="auto"/>
      </w:divBdr>
    </w:div>
    <w:div w:id="864364664">
      <w:marLeft w:val="0"/>
      <w:marRight w:val="0"/>
      <w:marTop w:val="0"/>
      <w:marBottom w:val="180"/>
      <w:divBdr>
        <w:top w:val="none" w:sz="0" w:space="0" w:color="auto"/>
        <w:left w:val="none" w:sz="0" w:space="0" w:color="auto"/>
        <w:bottom w:val="none" w:sz="0" w:space="0" w:color="auto"/>
        <w:right w:val="none" w:sz="0" w:space="0" w:color="auto"/>
      </w:divBdr>
    </w:div>
    <w:div w:id="864756071">
      <w:marLeft w:val="0"/>
      <w:marRight w:val="0"/>
      <w:marTop w:val="120"/>
      <w:marBottom w:val="120"/>
      <w:divBdr>
        <w:top w:val="none" w:sz="0" w:space="0" w:color="auto"/>
        <w:left w:val="none" w:sz="0" w:space="0" w:color="auto"/>
        <w:bottom w:val="none" w:sz="0" w:space="0" w:color="auto"/>
        <w:right w:val="none" w:sz="0" w:space="0" w:color="auto"/>
      </w:divBdr>
    </w:div>
    <w:div w:id="865604555">
      <w:marLeft w:val="0"/>
      <w:marRight w:val="0"/>
      <w:marTop w:val="100"/>
      <w:marBottom w:val="180"/>
      <w:divBdr>
        <w:top w:val="none" w:sz="0" w:space="0" w:color="auto"/>
        <w:left w:val="none" w:sz="0" w:space="0" w:color="auto"/>
        <w:bottom w:val="none" w:sz="0" w:space="0" w:color="auto"/>
        <w:right w:val="none" w:sz="0" w:space="0" w:color="auto"/>
      </w:divBdr>
    </w:div>
    <w:div w:id="866216020">
      <w:marLeft w:val="0"/>
      <w:marRight w:val="0"/>
      <w:marTop w:val="0"/>
      <w:marBottom w:val="240"/>
      <w:divBdr>
        <w:top w:val="none" w:sz="0" w:space="0" w:color="auto"/>
        <w:left w:val="none" w:sz="0" w:space="0" w:color="auto"/>
        <w:bottom w:val="none" w:sz="0" w:space="0" w:color="auto"/>
        <w:right w:val="none" w:sz="0" w:space="0" w:color="auto"/>
      </w:divBdr>
    </w:div>
    <w:div w:id="867447155">
      <w:marLeft w:val="0"/>
      <w:marRight w:val="0"/>
      <w:marTop w:val="180"/>
      <w:marBottom w:val="180"/>
      <w:divBdr>
        <w:top w:val="none" w:sz="0" w:space="0" w:color="auto"/>
        <w:left w:val="none" w:sz="0" w:space="0" w:color="auto"/>
        <w:bottom w:val="none" w:sz="0" w:space="0" w:color="auto"/>
        <w:right w:val="none" w:sz="0" w:space="0" w:color="auto"/>
      </w:divBdr>
    </w:div>
    <w:div w:id="868837310">
      <w:marLeft w:val="0"/>
      <w:marRight w:val="0"/>
      <w:marTop w:val="0"/>
      <w:marBottom w:val="0"/>
      <w:divBdr>
        <w:top w:val="none" w:sz="0" w:space="0" w:color="auto"/>
        <w:left w:val="none" w:sz="0" w:space="0" w:color="auto"/>
        <w:bottom w:val="none" w:sz="0" w:space="0" w:color="auto"/>
        <w:right w:val="none" w:sz="0" w:space="0" w:color="auto"/>
      </w:divBdr>
      <w:divsChild>
        <w:div w:id="1302537723">
          <w:marLeft w:val="0"/>
          <w:marRight w:val="0"/>
          <w:marTop w:val="0"/>
          <w:marBottom w:val="0"/>
          <w:divBdr>
            <w:top w:val="none" w:sz="0" w:space="0" w:color="auto"/>
            <w:left w:val="none" w:sz="0" w:space="0" w:color="auto"/>
            <w:bottom w:val="none" w:sz="0" w:space="0" w:color="auto"/>
            <w:right w:val="none" w:sz="0" w:space="0" w:color="auto"/>
          </w:divBdr>
        </w:div>
      </w:divsChild>
    </w:div>
    <w:div w:id="869336908">
      <w:marLeft w:val="0"/>
      <w:marRight w:val="0"/>
      <w:marTop w:val="0"/>
      <w:marBottom w:val="240"/>
      <w:divBdr>
        <w:top w:val="none" w:sz="0" w:space="0" w:color="auto"/>
        <w:left w:val="none" w:sz="0" w:space="0" w:color="auto"/>
        <w:bottom w:val="none" w:sz="0" w:space="0" w:color="auto"/>
        <w:right w:val="none" w:sz="0" w:space="0" w:color="auto"/>
      </w:divBdr>
    </w:div>
    <w:div w:id="869607949">
      <w:marLeft w:val="0"/>
      <w:marRight w:val="0"/>
      <w:marTop w:val="0"/>
      <w:marBottom w:val="0"/>
      <w:divBdr>
        <w:top w:val="none" w:sz="0" w:space="0" w:color="auto"/>
        <w:left w:val="none" w:sz="0" w:space="0" w:color="auto"/>
        <w:bottom w:val="none" w:sz="0" w:space="0" w:color="auto"/>
        <w:right w:val="none" w:sz="0" w:space="0" w:color="auto"/>
      </w:divBdr>
    </w:div>
    <w:div w:id="869992148">
      <w:marLeft w:val="0"/>
      <w:marRight w:val="0"/>
      <w:marTop w:val="0"/>
      <w:marBottom w:val="0"/>
      <w:divBdr>
        <w:top w:val="none" w:sz="0" w:space="0" w:color="auto"/>
        <w:left w:val="none" w:sz="0" w:space="0" w:color="auto"/>
        <w:bottom w:val="none" w:sz="0" w:space="0" w:color="auto"/>
        <w:right w:val="none" w:sz="0" w:space="0" w:color="auto"/>
      </w:divBdr>
    </w:div>
    <w:div w:id="872116125">
      <w:marLeft w:val="0"/>
      <w:marRight w:val="0"/>
      <w:marTop w:val="0"/>
      <w:marBottom w:val="180"/>
      <w:divBdr>
        <w:top w:val="none" w:sz="0" w:space="0" w:color="auto"/>
        <w:left w:val="none" w:sz="0" w:space="0" w:color="auto"/>
        <w:bottom w:val="none" w:sz="0" w:space="0" w:color="auto"/>
        <w:right w:val="none" w:sz="0" w:space="0" w:color="auto"/>
      </w:divBdr>
    </w:div>
    <w:div w:id="873884026">
      <w:marLeft w:val="0"/>
      <w:marRight w:val="0"/>
      <w:marTop w:val="0"/>
      <w:marBottom w:val="240"/>
      <w:divBdr>
        <w:top w:val="none" w:sz="0" w:space="0" w:color="auto"/>
        <w:left w:val="none" w:sz="0" w:space="0" w:color="auto"/>
        <w:bottom w:val="none" w:sz="0" w:space="0" w:color="auto"/>
        <w:right w:val="none" w:sz="0" w:space="0" w:color="auto"/>
      </w:divBdr>
    </w:div>
    <w:div w:id="875774785">
      <w:marLeft w:val="0"/>
      <w:marRight w:val="0"/>
      <w:marTop w:val="100"/>
      <w:marBottom w:val="0"/>
      <w:divBdr>
        <w:top w:val="none" w:sz="0" w:space="0" w:color="auto"/>
        <w:left w:val="none" w:sz="0" w:space="0" w:color="auto"/>
        <w:bottom w:val="none" w:sz="0" w:space="0" w:color="auto"/>
        <w:right w:val="none" w:sz="0" w:space="0" w:color="auto"/>
      </w:divBdr>
      <w:divsChild>
        <w:div w:id="1706519559">
          <w:marLeft w:val="0"/>
          <w:marRight w:val="0"/>
          <w:marTop w:val="0"/>
          <w:marBottom w:val="0"/>
          <w:divBdr>
            <w:top w:val="none" w:sz="0" w:space="0" w:color="auto"/>
            <w:left w:val="none" w:sz="0" w:space="0" w:color="auto"/>
            <w:bottom w:val="none" w:sz="0" w:space="0" w:color="auto"/>
            <w:right w:val="none" w:sz="0" w:space="0" w:color="auto"/>
          </w:divBdr>
        </w:div>
        <w:div w:id="1632859400">
          <w:marLeft w:val="0"/>
          <w:marRight w:val="0"/>
          <w:marTop w:val="0"/>
          <w:marBottom w:val="0"/>
          <w:divBdr>
            <w:top w:val="none" w:sz="0" w:space="0" w:color="auto"/>
            <w:left w:val="none" w:sz="0" w:space="0" w:color="auto"/>
            <w:bottom w:val="none" w:sz="0" w:space="0" w:color="auto"/>
            <w:right w:val="none" w:sz="0" w:space="0" w:color="auto"/>
          </w:divBdr>
        </w:div>
        <w:div w:id="1501122573">
          <w:marLeft w:val="0"/>
          <w:marRight w:val="0"/>
          <w:marTop w:val="0"/>
          <w:marBottom w:val="0"/>
          <w:divBdr>
            <w:top w:val="none" w:sz="0" w:space="0" w:color="auto"/>
            <w:left w:val="none" w:sz="0" w:space="0" w:color="auto"/>
            <w:bottom w:val="none" w:sz="0" w:space="0" w:color="auto"/>
            <w:right w:val="none" w:sz="0" w:space="0" w:color="auto"/>
          </w:divBdr>
        </w:div>
      </w:divsChild>
    </w:div>
    <w:div w:id="875850557">
      <w:marLeft w:val="0"/>
      <w:marRight w:val="0"/>
      <w:marTop w:val="0"/>
      <w:marBottom w:val="0"/>
      <w:divBdr>
        <w:top w:val="none" w:sz="0" w:space="0" w:color="auto"/>
        <w:left w:val="none" w:sz="0" w:space="0" w:color="auto"/>
        <w:bottom w:val="none" w:sz="0" w:space="0" w:color="auto"/>
        <w:right w:val="none" w:sz="0" w:space="0" w:color="auto"/>
      </w:divBdr>
      <w:divsChild>
        <w:div w:id="2039817340">
          <w:marLeft w:val="0"/>
          <w:marRight w:val="0"/>
          <w:marTop w:val="0"/>
          <w:marBottom w:val="0"/>
          <w:divBdr>
            <w:top w:val="none" w:sz="0" w:space="0" w:color="auto"/>
            <w:left w:val="none" w:sz="0" w:space="0" w:color="auto"/>
            <w:bottom w:val="none" w:sz="0" w:space="0" w:color="auto"/>
            <w:right w:val="none" w:sz="0" w:space="0" w:color="auto"/>
          </w:divBdr>
        </w:div>
      </w:divsChild>
    </w:div>
    <w:div w:id="876963774">
      <w:marLeft w:val="0"/>
      <w:marRight w:val="0"/>
      <w:marTop w:val="0"/>
      <w:marBottom w:val="180"/>
      <w:divBdr>
        <w:top w:val="none" w:sz="0" w:space="0" w:color="auto"/>
        <w:left w:val="none" w:sz="0" w:space="0" w:color="auto"/>
        <w:bottom w:val="none" w:sz="0" w:space="0" w:color="auto"/>
        <w:right w:val="none" w:sz="0" w:space="0" w:color="auto"/>
      </w:divBdr>
    </w:div>
    <w:div w:id="877937283">
      <w:marLeft w:val="0"/>
      <w:marRight w:val="0"/>
      <w:marTop w:val="180"/>
      <w:marBottom w:val="180"/>
      <w:divBdr>
        <w:top w:val="none" w:sz="0" w:space="0" w:color="auto"/>
        <w:left w:val="none" w:sz="0" w:space="0" w:color="auto"/>
        <w:bottom w:val="none" w:sz="0" w:space="0" w:color="auto"/>
        <w:right w:val="none" w:sz="0" w:space="0" w:color="auto"/>
      </w:divBdr>
    </w:div>
    <w:div w:id="878320877">
      <w:marLeft w:val="0"/>
      <w:marRight w:val="0"/>
      <w:marTop w:val="100"/>
      <w:marBottom w:val="180"/>
      <w:divBdr>
        <w:top w:val="none" w:sz="0" w:space="0" w:color="auto"/>
        <w:left w:val="none" w:sz="0" w:space="0" w:color="auto"/>
        <w:bottom w:val="none" w:sz="0" w:space="0" w:color="auto"/>
        <w:right w:val="none" w:sz="0" w:space="0" w:color="auto"/>
      </w:divBdr>
    </w:div>
    <w:div w:id="878976889">
      <w:marLeft w:val="0"/>
      <w:marRight w:val="0"/>
      <w:marTop w:val="0"/>
      <w:marBottom w:val="240"/>
      <w:divBdr>
        <w:top w:val="none" w:sz="0" w:space="0" w:color="auto"/>
        <w:left w:val="none" w:sz="0" w:space="0" w:color="auto"/>
        <w:bottom w:val="none" w:sz="0" w:space="0" w:color="auto"/>
        <w:right w:val="none" w:sz="0" w:space="0" w:color="auto"/>
      </w:divBdr>
    </w:div>
    <w:div w:id="880173669">
      <w:marLeft w:val="0"/>
      <w:marRight w:val="0"/>
      <w:marTop w:val="0"/>
      <w:marBottom w:val="0"/>
      <w:divBdr>
        <w:top w:val="none" w:sz="0" w:space="0" w:color="auto"/>
        <w:left w:val="none" w:sz="0" w:space="0" w:color="auto"/>
        <w:bottom w:val="none" w:sz="0" w:space="0" w:color="auto"/>
        <w:right w:val="none" w:sz="0" w:space="0" w:color="auto"/>
      </w:divBdr>
      <w:divsChild>
        <w:div w:id="1289512688">
          <w:marLeft w:val="0"/>
          <w:marRight w:val="0"/>
          <w:marTop w:val="0"/>
          <w:marBottom w:val="0"/>
          <w:divBdr>
            <w:top w:val="none" w:sz="0" w:space="0" w:color="auto"/>
            <w:left w:val="none" w:sz="0" w:space="0" w:color="auto"/>
            <w:bottom w:val="none" w:sz="0" w:space="0" w:color="auto"/>
            <w:right w:val="none" w:sz="0" w:space="0" w:color="auto"/>
          </w:divBdr>
        </w:div>
      </w:divsChild>
    </w:div>
    <w:div w:id="880508665">
      <w:marLeft w:val="0"/>
      <w:marRight w:val="0"/>
      <w:marTop w:val="0"/>
      <w:marBottom w:val="0"/>
      <w:divBdr>
        <w:top w:val="none" w:sz="0" w:space="0" w:color="auto"/>
        <w:left w:val="none" w:sz="0" w:space="0" w:color="auto"/>
        <w:bottom w:val="none" w:sz="0" w:space="0" w:color="auto"/>
        <w:right w:val="none" w:sz="0" w:space="0" w:color="auto"/>
      </w:divBdr>
    </w:div>
    <w:div w:id="880632683">
      <w:marLeft w:val="0"/>
      <w:marRight w:val="0"/>
      <w:marTop w:val="180"/>
      <w:marBottom w:val="180"/>
      <w:divBdr>
        <w:top w:val="none" w:sz="0" w:space="0" w:color="auto"/>
        <w:left w:val="none" w:sz="0" w:space="0" w:color="auto"/>
        <w:bottom w:val="none" w:sz="0" w:space="0" w:color="auto"/>
        <w:right w:val="none" w:sz="0" w:space="0" w:color="auto"/>
      </w:divBdr>
    </w:div>
    <w:div w:id="880745022">
      <w:marLeft w:val="0"/>
      <w:marRight w:val="0"/>
      <w:marTop w:val="0"/>
      <w:marBottom w:val="0"/>
      <w:divBdr>
        <w:top w:val="none" w:sz="0" w:space="0" w:color="auto"/>
        <w:left w:val="none" w:sz="0" w:space="0" w:color="auto"/>
        <w:bottom w:val="none" w:sz="0" w:space="0" w:color="auto"/>
        <w:right w:val="none" w:sz="0" w:space="0" w:color="auto"/>
      </w:divBdr>
      <w:divsChild>
        <w:div w:id="172842732">
          <w:marLeft w:val="0"/>
          <w:marRight w:val="0"/>
          <w:marTop w:val="0"/>
          <w:marBottom w:val="0"/>
          <w:divBdr>
            <w:top w:val="none" w:sz="0" w:space="0" w:color="auto"/>
            <w:left w:val="none" w:sz="0" w:space="0" w:color="auto"/>
            <w:bottom w:val="none" w:sz="0" w:space="0" w:color="auto"/>
            <w:right w:val="none" w:sz="0" w:space="0" w:color="auto"/>
          </w:divBdr>
        </w:div>
      </w:divsChild>
    </w:div>
    <w:div w:id="880869491">
      <w:marLeft w:val="0"/>
      <w:marRight w:val="0"/>
      <w:marTop w:val="180"/>
      <w:marBottom w:val="180"/>
      <w:divBdr>
        <w:top w:val="none" w:sz="0" w:space="0" w:color="auto"/>
        <w:left w:val="none" w:sz="0" w:space="0" w:color="auto"/>
        <w:bottom w:val="none" w:sz="0" w:space="0" w:color="auto"/>
        <w:right w:val="none" w:sz="0" w:space="0" w:color="auto"/>
      </w:divBdr>
    </w:div>
    <w:div w:id="881013567">
      <w:marLeft w:val="0"/>
      <w:marRight w:val="0"/>
      <w:marTop w:val="0"/>
      <w:marBottom w:val="240"/>
      <w:divBdr>
        <w:top w:val="none" w:sz="0" w:space="0" w:color="auto"/>
        <w:left w:val="none" w:sz="0" w:space="0" w:color="auto"/>
        <w:bottom w:val="none" w:sz="0" w:space="0" w:color="auto"/>
        <w:right w:val="none" w:sz="0" w:space="0" w:color="auto"/>
      </w:divBdr>
    </w:div>
    <w:div w:id="882252462">
      <w:marLeft w:val="0"/>
      <w:marRight w:val="0"/>
      <w:marTop w:val="0"/>
      <w:marBottom w:val="180"/>
      <w:divBdr>
        <w:top w:val="none" w:sz="0" w:space="0" w:color="auto"/>
        <w:left w:val="none" w:sz="0" w:space="0" w:color="auto"/>
        <w:bottom w:val="none" w:sz="0" w:space="0" w:color="auto"/>
        <w:right w:val="none" w:sz="0" w:space="0" w:color="auto"/>
      </w:divBdr>
    </w:div>
    <w:div w:id="882716136">
      <w:marLeft w:val="0"/>
      <w:marRight w:val="0"/>
      <w:marTop w:val="0"/>
      <w:marBottom w:val="240"/>
      <w:divBdr>
        <w:top w:val="none" w:sz="0" w:space="0" w:color="auto"/>
        <w:left w:val="none" w:sz="0" w:space="0" w:color="auto"/>
        <w:bottom w:val="none" w:sz="0" w:space="0" w:color="auto"/>
        <w:right w:val="none" w:sz="0" w:space="0" w:color="auto"/>
      </w:divBdr>
    </w:div>
    <w:div w:id="882904222">
      <w:marLeft w:val="0"/>
      <w:marRight w:val="0"/>
      <w:marTop w:val="0"/>
      <w:marBottom w:val="0"/>
      <w:divBdr>
        <w:top w:val="none" w:sz="0" w:space="0" w:color="auto"/>
        <w:left w:val="none" w:sz="0" w:space="0" w:color="auto"/>
        <w:bottom w:val="none" w:sz="0" w:space="0" w:color="auto"/>
        <w:right w:val="none" w:sz="0" w:space="0" w:color="auto"/>
      </w:divBdr>
      <w:divsChild>
        <w:div w:id="1033307938">
          <w:marLeft w:val="0"/>
          <w:marRight w:val="0"/>
          <w:marTop w:val="0"/>
          <w:marBottom w:val="0"/>
          <w:divBdr>
            <w:top w:val="none" w:sz="0" w:space="0" w:color="auto"/>
            <w:left w:val="none" w:sz="0" w:space="0" w:color="auto"/>
            <w:bottom w:val="none" w:sz="0" w:space="0" w:color="auto"/>
            <w:right w:val="none" w:sz="0" w:space="0" w:color="auto"/>
          </w:divBdr>
        </w:div>
      </w:divsChild>
    </w:div>
    <w:div w:id="883058116">
      <w:marLeft w:val="0"/>
      <w:marRight w:val="0"/>
      <w:marTop w:val="180"/>
      <w:marBottom w:val="180"/>
      <w:divBdr>
        <w:top w:val="none" w:sz="0" w:space="0" w:color="auto"/>
        <w:left w:val="none" w:sz="0" w:space="0" w:color="auto"/>
        <w:bottom w:val="none" w:sz="0" w:space="0" w:color="auto"/>
        <w:right w:val="none" w:sz="0" w:space="0" w:color="auto"/>
      </w:divBdr>
    </w:div>
    <w:div w:id="883566067">
      <w:marLeft w:val="0"/>
      <w:marRight w:val="0"/>
      <w:marTop w:val="0"/>
      <w:marBottom w:val="0"/>
      <w:divBdr>
        <w:top w:val="none" w:sz="0" w:space="0" w:color="auto"/>
        <w:left w:val="none" w:sz="0" w:space="0" w:color="auto"/>
        <w:bottom w:val="none" w:sz="0" w:space="0" w:color="auto"/>
        <w:right w:val="none" w:sz="0" w:space="0" w:color="auto"/>
      </w:divBdr>
    </w:div>
    <w:div w:id="884952353">
      <w:marLeft w:val="0"/>
      <w:marRight w:val="0"/>
      <w:marTop w:val="0"/>
      <w:marBottom w:val="0"/>
      <w:divBdr>
        <w:top w:val="none" w:sz="0" w:space="0" w:color="auto"/>
        <w:left w:val="none" w:sz="0" w:space="0" w:color="auto"/>
        <w:bottom w:val="none" w:sz="0" w:space="0" w:color="auto"/>
        <w:right w:val="none" w:sz="0" w:space="0" w:color="auto"/>
      </w:divBdr>
    </w:div>
    <w:div w:id="885214857">
      <w:marLeft w:val="0"/>
      <w:marRight w:val="0"/>
      <w:marTop w:val="0"/>
      <w:marBottom w:val="240"/>
      <w:divBdr>
        <w:top w:val="none" w:sz="0" w:space="0" w:color="auto"/>
        <w:left w:val="none" w:sz="0" w:space="0" w:color="auto"/>
        <w:bottom w:val="none" w:sz="0" w:space="0" w:color="auto"/>
        <w:right w:val="none" w:sz="0" w:space="0" w:color="auto"/>
      </w:divBdr>
    </w:div>
    <w:div w:id="885411727">
      <w:marLeft w:val="0"/>
      <w:marRight w:val="0"/>
      <w:marTop w:val="0"/>
      <w:marBottom w:val="240"/>
      <w:divBdr>
        <w:top w:val="none" w:sz="0" w:space="0" w:color="auto"/>
        <w:left w:val="none" w:sz="0" w:space="0" w:color="auto"/>
        <w:bottom w:val="none" w:sz="0" w:space="0" w:color="auto"/>
        <w:right w:val="none" w:sz="0" w:space="0" w:color="auto"/>
      </w:divBdr>
    </w:div>
    <w:div w:id="885525574">
      <w:marLeft w:val="0"/>
      <w:marRight w:val="0"/>
      <w:marTop w:val="0"/>
      <w:marBottom w:val="240"/>
      <w:divBdr>
        <w:top w:val="none" w:sz="0" w:space="0" w:color="auto"/>
        <w:left w:val="none" w:sz="0" w:space="0" w:color="auto"/>
        <w:bottom w:val="none" w:sz="0" w:space="0" w:color="auto"/>
        <w:right w:val="none" w:sz="0" w:space="0" w:color="auto"/>
      </w:divBdr>
    </w:div>
    <w:div w:id="886337412">
      <w:marLeft w:val="0"/>
      <w:marRight w:val="0"/>
      <w:marTop w:val="0"/>
      <w:marBottom w:val="180"/>
      <w:divBdr>
        <w:top w:val="none" w:sz="0" w:space="0" w:color="auto"/>
        <w:left w:val="none" w:sz="0" w:space="0" w:color="auto"/>
        <w:bottom w:val="none" w:sz="0" w:space="0" w:color="auto"/>
        <w:right w:val="none" w:sz="0" w:space="0" w:color="auto"/>
      </w:divBdr>
    </w:div>
    <w:div w:id="886599843">
      <w:marLeft w:val="0"/>
      <w:marRight w:val="0"/>
      <w:marTop w:val="0"/>
      <w:marBottom w:val="240"/>
      <w:divBdr>
        <w:top w:val="none" w:sz="0" w:space="0" w:color="auto"/>
        <w:left w:val="none" w:sz="0" w:space="0" w:color="auto"/>
        <w:bottom w:val="none" w:sz="0" w:space="0" w:color="auto"/>
        <w:right w:val="none" w:sz="0" w:space="0" w:color="auto"/>
      </w:divBdr>
    </w:div>
    <w:div w:id="886643412">
      <w:marLeft w:val="0"/>
      <w:marRight w:val="0"/>
      <w:marTop w:val="180"/>
      <w:marBottom w:val="180"/>
      <w:divBdr>
        <w:top w:val="none" w:sz="0" w:space="0" w:color="auto"/>
        <w:left w:val="none" w:sz="0" w:space="0" w:color="auto"/>
        <w:bottom w:val="none" w:sz="0" w:space="0" w:color="auto"/>
        <w:right w:val="none" w:sz="0" w:space="0" w:color="auto"/>
      </w:divBdr>
    </w:div>
    <w:div w:id="886643555">
      <w:marLeft w:val="0"/>
      <w:marRight w:val="0"/>
      <w:marTop w:val="0"/>
      <w:marBottom w:val="240"/>
      <w:divBdr>
        <w:top w:val="none" w:sz="0" w:space="0" w:color="auto"/>
        <w:left w:val="none" w:sz="0" w:space="0" w:color="auto"/>
        <w:bottom w:val="none" w:sz="0" w:space="0" w:color="auto"/>
        <w:right w:val="none" w:sz="0" w:space="0" w:color="auto"/>
      </w:divBdr>
    </w:div>
    <w:div w:id="886650308">
      <w:marLeft w:val="0"/>
      <w:marRight w:val="0"/>
      <w:marTop w:val="0"/>
      <w:marBottom w:val="0"/>
      <w:divBdr>
        <w:top w:val="none" w:sz="0" w:space="0" w:color="auto"/>
        <w:left w:val="none" w:sz="0" w:space="0" w:color="auto"/>
        <w:bottom w:val="none" w:sz="0" w:space="0" w:color="auto"/>
        <w:right w:val="none" w:sz="0" w:space="0" w:color="auto"/>
      </w:divBdr>
      <w:divsChild>
        <w:div w:id="660040052">
          <w:marLeft w:val="0"/>
          <w:marRight w:val="0"/>
          <w:marTop w:val="0"/>
          <w:marBottom w:val="0"/>
          <w:divBdr>
            <w:top w:val="none" w:sz="0" w:space="0" w:color="auto"/>
            <w:left w:val="none" w:sz="0" w:space="0" w:color="auto"/>
            <w:bottom w:val="none" w:sz="0" w:space="0" w:color="auto"/>
            <w:right w:val="none" w:sz="0" w:space="0" w:color="auto"/>
          </w:divBdr>
          <w:divsChild>
            <w:div w:id="16414187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7255649">
      <w:marLeft w:val="0"/>
      <w:marRight w:val="0"/>
      <w:marTop w:val="0"/>
      <w:marBottom w:val="0"/>
      <w:divBdr>
        <w:top w:val="none" w:sz="0" w:space="0" w:color="auto"/>
        <w:left w:val="none" w:sz="0" w:space="0" w:color="auto"/>
        <w:bottom w:val="none" w:sz="0" w:space="0" w:color="auto"/>
        <w:right w:val="none" w:sz="0" w:space="0" w:color="auto"/>
      </w:divBdr>
    </w:div>
    <w:div w:id="888034737">
      <w:marLeft w:val="0"/>
      <w:marRight w:val="0"/>
      <w:marTop w:val="0"/>
      <w:marBottom w:val="180"/>
      <w:divBdr>
        <w:top w:val="none" w:sz="0" w:space="0" w:color="auto"/>
        <w:left w:val="none" w:sz="0" w:space="0" w:color="auto"/>
        <w:bottom w:val="none" w:sz="0" w:space="0" w:color="auto"/>
        <w:right w:val="none" w:sz="0" w:space="0" w:color="auto"/>
      </w:divBdr>
    </w:div>
    <w:div w:id="888420555">
      <w:marLeft w:val="0"/>
      <w:marRight w:val="0"/>
      <w:marTop w:val="100"/>
      <w:marBottom w:val="180"/>
      <w:divBdr>
        <w:top w:val="none" w:sz="0" w:space="0" w:color="auto"/>
        <w:left w:val="none" w:sz="0" w:space="0" w:color="auto"/>
        <w:bottom w:val="none" w:sz="0" w:space="0" w:color="auto"/>
        <w:right w:val="none" w:sz="0" w:space="0" w:color="auto"/>
      </w:divBdr>
    </w:div>
    <w:div w:id="888877559">
      <w:marLeft w:val="0"/>
      <w:marRight w:val="0"/>
      <w:marTop w:val="0"/>
      <w:marBottom w:val="180"/>
      <w:divBdr>
        <w:top w:val="none" w:sz="0" w:space="0" w:color="auto"/>
        <w:left w:val="none" w:sz="0" w:space="0" w:color="auto"/>
        <w:bottom w:val="none" w:sz="0" w:space="0" w:color="auto"/>
        <w:right w:val="none" w:sz="0" w:space="0" w:color="auto"/>
      </w:divBdr>
    </w:div>
    <w:div w:id="889389095">
      <w:marLeft w:val="0"/>
      <w:marRight w:val="0"/>
      <w:marTop w:val="0"/>
      <w:marBottom w:val="180"/>
      <w:divBdr>
        <w:top w:val="none" w:sz="0" w:space="0" w:color="auto"/>
        <w:left w:val="none" w:sz="0" w:space="0" w:color="auto"/>
        <w:bottom w:val="none" w:sz="0" w:space="0" w:color="auto"/>
        <w:right w:val="none" w:sz="0" w:space="0" w:color="auto"/>
      </w:divBdr>
    </w:div>
    <w:div w:id="890196106">
      <w:marLeft w:val="0"/>
      <w:marRight w:val="0"/>
      <w:marTop w:val="120"/>
      <w:marBottom w:val="120"/>
      <w:divBdr>
        <w:top w:val="none" w:sz="0" w:space="0" w:color="auto"/>
        <w:left w:val="none" w:sz="0" w:space="0" w:color="auto"/>
        <w:bottom w:val="none" w:sz="0" w:space="0" w:color="auto"/>
        <w:right w:val="none" w:sz="0" w:space="0" w:color="auto"/>
      </w:divBdr>
    </w:div>
    <w:div w:id="890534138">
      <w:marLeft w:val="0"/>
      <w:marRight w:val="0"/>
      <w:marTop w:val="0"/>
      <w:marBottom w:val="0"/>
      <w:divBdr>
        <w:top w:val="none" w:sz="0" w:space="0" w:color="auto"/>
        <w:left w:val="none" w:sz="0" w:space="0" w:color="auto"/>
        <w:bottom w:val="none" w:sz="0" w:space="0" w:color="auto"/>
        <w:right w:val="none" w:sz="0" w:space="0" w:color="auto"/>
      </w:divBdr>
    </w:div>
    <w:div w:id="891845640">
      <w:marLeft w:val="0"/>
      <w:marRight w:val="0"/>
      <w:marTop w:val="0"/>
      <w:marBottom w:val="0"/>
      <w:divBdr>
        <w:top w:val="none" w:sz="0" w:space="0" w:color="auto"/>
        <w:left w:val="none" w:sz="0" w:space="0" w:color="auto"/>
        <w:bottom w:val="none" w:sz="0" w:space="0" w:color="auto"/>
        <w:right w:val="none" w:sz="0" w:space="0" w:color="auto"/>
      </w:divBdr>
    </w:div>
    <w:div w:id="891960107">
      <w:marLeft w:val="0"/>
      <w:marRight w:val="0"/>
      <w:marTop w:val="0"/>
      <w:marBottom w:val="0"/>
      <w:divBdr>
        <w:top w:val="none" w:sz="0" w:space="0" w:color="auto"/>
        <w:left w:val="none" w:sz="0" w:space="0" w:color="auto"/>
        <w:bottom w:val="none" w:sz="0" w:space="0" w:color="auto"/>
        <w:right w:val="none" w:sz="0" w:space="0" w:color="auto"/>
      </w:divBdr>
      <w:divsChild>
        <w:div w:id="1323435110">
          <w:marLeft w:val="0"/>
          <w:marRight w:val="0"/>
          <w:marTop w:val="0"/>
          <w:marBottom w:val="0"/>
          <w:divBdr>
            <w:top w:val="none" w:sz="0" w:space="0" w:color="auto"/>
            <w:left w:val="none" w:sz="0" w:space="0" w:color="auto"/>
            <w:bottom w:val="none" w:sz="0" w:space="0" w:color="auto"/>
            <w:right w:val="none" w:sz="0" w:space="0" w:color="auto"/>
          </w:divBdr>
        </w:div>
      </w:divsChild>
    </w:div>
    <w:div w:id="893194611">
      <w:marLeft w:val="0"/>
      <w:marRight w:val="0"/>
      <w:marTop w:val="0"/>
      <w:marBottom w:val="180"/>
      <w:divBdr>
        <w:top w:val="none" w:sz="0" w:space="0" w:color="auto"/>
        <w:left w:val="none" w:sz="0" w:space="0" w:color="auto"/>
        <w:bottom w:val="none" w:sz="0" w:space="0" w:color="auto"/>
        <w:right w:val="none" w:sz="0" w:space="0" w:color="auto"/>
      </w:divBdr>
    </w:div>
    <w:div w:id="893616034">
      <w:marLeft w:val="0"/>
      <w:marRight w:val="0"/>
      <w:marTop w:val="120"/>
      <w:marBottom w:val="240"/>
      <w:divBdr>
        <w:top w:val="none" w:sz="0" w:space="0" w:color="auto"/>
        <w:left w:val="none" w:sz="0" w:space="0" w:color="auto"/>
        <w:bottom w:val="none" w:sz="0" w:space="0" w:color="auto"/>
        <w:right w:val="none" w:sz="0" w:space="0" w:color="auto"/>
      </w:divBdr>
    </w:div>
    <w:div w:id="893739878">
      <w:marLeft w:val="0"/>
      <w:marRight w:val="0"/>
      <w:marTop w:val="0"/>
      <w:marBottom w:val="0"/>
      <w:divBdr>
        <w:top w:val="none" w:sz="0" w:space="0" w:color="auto"/>
        <w:left w:val="none" w:sz="0" w:space="0" w:color="auto"/>
        <w:bottom w:val="none" w:sz="0" w:space="0" w:color="auto"/>
        <w:right w:val="none" w:sz="0" w:space="0" w:color="auto"/>
      </w:divBdr>
    </w:div>
    <w:div w:id="895122139">
      <w:marLeft w:val="0"/>
      <w:marRight w:val="0"/>
      <w:marTop w:val="0"/>
      <w:marBottom w:val="180"/>
      <w:divBdr>
        <w:top w:val="none" w:sz="0" w:space="0" w:color="auto"/>
        <w:left w:val="none" w:sz="0" w:space="0" w:color="auto"/>
        <w:bottom w:val="none" w:sz="0" w:space="0" w:color="auto"/>
        <w:right w:val="none" w:sz="0" w:space="0" w:color="auto"/>
      </w:divBdr>
    </w:div>
    <w:div w:id="895820201">
      <w:marLeft w:val="0"/>
      <w:marRight w:val="0"/>
      <w:marTop w:val="0"/>
      <w:marBottom w:val="0"/>
      <w:divBdr>
        <w:top w:val="none" w:sz="0" w:space="0" w:color="auto"/>
        <w:left w:val="none" w:sz="0" w:space="0" w:color="auto"/>
        <w:bottom w:val="none" w:sz="0" w:space="0" w:color="auto"/>
        <w:right w:val="none" w:sz="0" w:space="0" w:color="auto"/>
      </w:divBdr>
      <w:divsChild>
        <w:div w:id="1246646392">
          <w:marLeft w:val="0"/>
          <w:marRight w:val="0"/>
          <w:marTop w:val="0"/>
          <w:marBottom w:val="0"/>
          <w:divBdr>
            <w:top w:val="none" w:sz="0" w:space="0" w:color="auto"/>
            <w:left w:val="none" w:sz="0" w:space="0" w:color="auto"/>
            <w:bottom w:val="none" w:sz="0" w:space="0" w:color="auto"/>
            <w:right w:val="none" w:sz="0" w:space="0" w:color="auto"/>
          </w:divBdr>
        </w:div>
      </w:divsChild>
    </w:div>
    <w:div w:id="895943051">
      <w:marLeft w:val="0"/>
      <w:marRight w:val="0"/>
      <w:marTop w:val="0"/>
      <w:marBottom w:val="0"/>
      <w:divBdr>
        <w:top w:val="none" w:sz="0" w:space="0" w:color="auto"/>
        <w:left w:val="none" w:sz="0" w:space="0" w:color="auto"/>
        <w:bottom w:val="none" w:sz="0" w:space="0" w:color="auto"/>
        <w:right w:val="none" w:sz="0" w:space="0" w:color="auto"/>
      </w:divBdr>
      <w:divsChild>
        <w:div w:id="1572423860">
          <w:marLeft w:val="0"/>
          <w:marRight w:val="0"/>
          <w:marTop w:val="0"/>
          <w:marBottom w:val="0"/>
          <w:divBdr>
            <w:top w:val="none" w:sz="0" w:space="0" w:color="auto"/>
            <w:left w:val="none" w:sz="0" w:space="0" w:color="auto"/>
            <w:bottom w:val="none" w:sz="0" w:space="0" w:color="auto"/>
            <w:right w:val="none" w:sz="0" w:space="0" w:color="auto"/>
          </w:divBdr>
        </w:div>
      </w:divsChild>
    </w:div>
    <w:div w:id="896474730">
      <w:marLeft w:val="0"/>
      <w:marRight w:val="0"/>
      <w:marTop w:val="120"/>
      <w:marBottom w:val="120"/>
      <w:divBdr>
        <w:top w:val="none" w:sz="0" w:space="0" w:color="auto"/>
        <w:left w:val="none" w:sz="0" w:space="0" w:color="auto"/>
        <w:bottom w:val="none" w:sz="0" w:space="0" w:color="auto"/>
        <w:right w:val="none" w:sz="0" w:space="0" w:color="auto"/>
      </w:divBdr>
    </w:div>
    <w:div w:id="897595352">
      <w:marLeft w:val="0"/>
      <w:marRight w:val="0"/>
      <w:marTop w:val="0"/>
      <w:marBottom w:val="180"/>
      <w:divBdr>
        <w:top w:val="none" w:sz="0" w:space="0" w:color="auto"/>
        <w:left w:val="none" w:sz="0" w:space="0" w:color="auto"/>
        <w:bottom w:val="none" w:sz="0" w:space="0" w:color="auto"/>
        <w:right w:val="none" w:sz="0" w:space="0" w:color="auto"/>
      </w:divBdr>
    </w:div>
    <w:div w:id="900022648">
      <w:marLeft w:val="0"/>
      <w:marRight w:val="0"/>
      <w:marTop w:val="0"/>
      <w:marBottom w:val="0"/>
      <w:divBdr>
        <w:top w:val="none" w:sz="0" w:space="0" w:color="auto"/>
        <w:left w:val="none" w:sz="0" w:space="0" w:color="auto"/>
        <w:bottom w:val="none" w:sz="0" w:space="0" w:color="auto"/>
        <w:right w:val="none" w:sz="0" w:space="0" w:color="auto"/>
      </w:divBdr>
      <w:divsChild>
        <w:div w:id="736971979">
          <w:marLeft w:val="0"/>
          <w:marRight w:val="0"/>
          <w:marTop w:val="0"/>
          <w:marBottom w:val="0"/>
          <w:divBdr>
            <w:top w:val="none" w:sz="0" w:space="0" w:color="auto"/>
            <w:left w:val="none" w:sz="0" w:space="0" w:color="auto"/>
            <w:bottom w:val="none" w:sz="0" w:space="0" w:color="auto"/>
            <w:right w:val="none" w:sz="0" w:space="0" w:color="auto"/>
          </w:divBdr>
        </w:div>
      </w:divsChild>
    </w:div>
    <w:div w:id="900411246">
      <w:marLeft w:val="0"/>
      <w:marRight w:val="0"/>
      <w:marTop w:val="0"/>
      <w:marBottom w:val="0"/>
      <w:divBdr>
        <w:top w:val="none" w:sz="0" w:space="0" w:color="auto"/>
        <w:left w:val="none" w:sz="0" w:space="0" w:color="auto"/>
        <w:bottom w:val="none" w:sz="0" w:space="0" w:color="auto"/>
        <w:right w:val="none" w:sz="0" w:space="0" w:color="auto"/>
      </w:divBdr>
    </w:div>
    <w:div w:id="901452835">
      <w:marLeft w:val="0"/>
      <w:marRight w:val="0"/>
      <w:marTop w:val="0"/>
      <w:marBottom w:val="180"/>
      <w:divBdr>
        <w:top w:val="none" w:sz="0" w:space="0" w:color="auto"/>
        <w:left w:val="none" w:sz="0" w:space="0" w:color="auto"/>
        <w:bottom w:val="none" w:sz="0" w:space="0" w:color="auto"/>
        <w:right w:val="none" w:sz="0" w:space="0" w:color="auto"/>
      </w:divBdr>
    </w:div>
    <w:div w:id="903295297">
      <w:marLeft w:val="0"/>
      <w:marRight w:val="0"/>
      <w:marTop w:val="0"/>
      <w:marBottom w:val="0"/>
      <w:divBdr>
        <w:top w:val="none" w:sz="0" w:space="0" w:color="auto"/>
        <w:left w:val="none" w:sz="0" w:space="0" w:color="auto"/>
        <w:bottom w:val="none" w:sz="0" w:space="0" w:color="auto"/>
        <w:right w:val="none" w:sz="0" w:space="0" w:color="auto"/>
      </w:divBdr>
    </w:div>
    <w:div w:id="903486740">
      <w:marLeft w:val="0"/>
      <w:marRight w:val="0"/>
      <w:marTop w:val="0"/>
      <w:marBottom w:val="180"/>
      <w:divBdr>
        <w:top w:val="none" w:sz="0" w:space="0" w:color="auto"/>
        <w:left w:val="none" w:sz="0" w:space="0" w:color="auto"/>
        <w:bottom w:val="none" w:sz="0" w:space="0" w:color="auto"/>
        <w:right w:val="none" w:sz="0" w:space="0" w:color="auto"/>
      </w:divBdr>
    </w:div>
    <w:div w:id="904292179">
      <w:marLeft w:val="0"/>
      <w:marRight w:val="0"/>
      <w:marTop w:val="120"/>
      <w:marBottom w:val="240"/>
      <w:divBdr>
        <w:top w:val="none" w:sz="0" w:space="0" w:color="auto"/>
        <w:left w:val="none" w:sz="0" w:space="0" w:color="auto"/>
        <w:bottom w:val="none" w:sz="0" w:space="0" w:color="auto"/>
        <w:right w:val="none" w:sz="0" w:space="0" w:color="auto"/>
      </w:divBdr>
    </w:div>
    <w:div w:id="905141450">
      <w:marLeft w:val="0"/>
      <w:marRight w:val="0"/>
      <w:marTop w:val="0"/>
      <w:marBottom w:val="0"/>
      <w:divBdr>
        <w:top w:val="none" w:sz="0" w:space="0" w:color="auto"/>
        <w:left w:val="none" w:sz="0" w:space="0" w:color="auto"/>
        <w:bottom w:val="none" w:sz="0" w:space="0" w:color="auto"/>
        <w:right w:val="none" w:sz="0" w:space="0" w:color="auto"/>
      </w:divBdr>
    </w:div>
    <w:div w:id="905915817">
      <w:marLeft w:val="0"/>
      <w:marRight w:val="0"/>
      <w:marTop w:val="0"/>
      <w:marBottom w:val="180"/>
      <w:divBdr>
        <w:top w:val="none" w:sz="0" w:space="0" w:color="auto"/>
        <w:left w:val="none" w:sz="0" w:space="0" w:color="auto"/>
        <w:bottom w:val="none" w:sz="0" w:space="0" w:color="auto"/>
        <w:right w:val="none" w:sz="0" w:space="0" w:color="auto"/>
      </w:divBdr>
    </w:div>
    <w:div w:id="906264048">
      <w:marLeft w:val="0"/>
      <w:marRight w:val="0"/>
      <w:marTop w:val="100"/>
      <w:marBottom w:val="180"/>
      <w:divBdr>
        <w:top w:val="none" w:sz="0" w:space="0" w:color="auto"/>
        <w:left w:val="none" w:sz="0" w:space="0" w:color="auto"/>
        <w:bottom w:val="none" w:sz="0" w:space="0" w:color="auto"/>
        <w:right w:val="none" w:sz="0" w:space="0" w:color="auto"/>
      </w:divBdr>
    </w:div>
    <w:div w:id="907348701">
      <w:marLeft w:val="0"/>
      <w:marRight w:val="0"/>
      <w:marTop w:val="0"/>
      <w:marBottom w:val="0"/>
      <w:divBdr>
        <w:top w:val="none" w:sz="0" w:space="0" w:color="auto"/>
        <w:left w:val="none" w:sz="0" w:space="0" w:color="auto"/>
        <w:bottom w:val="none" w:sz="0" w:space="0" w:color="auto"/>
        <w:right w:val="none" w:sz="0" w:space="0" w:color="auto"/>
      </w:divBdr>
      <w:divsChild>
        <w:div w:id="1048455332">
          <w:marLeft w:val="0"/>
          <w:marRight w:val="0"/>
          <w:marTop w:val="0"/>
          <w:marBottom w:val="0"/>
          <w:divBdr>
            <w:top w:val="none" w:sz="0" w:space="0" w:color="auto"/>
            <w:left w:val="none" w:sz="0" w:space="0" w:color="auto"/>
            <w:bottom w:val="none" w:sz="0" w:space="0" w:color="auto"/>
            <w:right w:val="none" w:sz="0" w:space="0" w:color="auto"/>
          </w:divBdr>
        </w:div>
      </w:divsChild>
    </w:div>
    <w:div w:id="907884153">
      <w:marLeft w:val="0"/>
      <w:marRight w:val="0"/>
      <w:marTop w:val="0"/>
      <w:marBottom w:val="180"/>
      <w:divBdr>
        <w:top w:val="none" w:sz="0" w:space="0" w:color="auto"/>
        <w:left w:val="none" w:sz="0" w:space="0" w:color="auto"/>
        <w:bottom w:val="none" w:sz="0" w:space="0" w:color="auto"/>
        <w:right w:val="none" w:sz="0" w:space="0" w:color="auto"/>
      </w:divBdr>
    </w:div>
    <w:div w:id="907962151">
      <w:marLeft w:val="0"/>
      <w:marRight w:val="0"/>
      <w:marTop w:val="0"/>
      <w:marBottom w:val="180"/>
      <w:divBdr>
        <w:top w:val="none" w:sz="0" w:space="0" w:color="auto"/>
        <w:left w:val="none" w:sz="0" w:space="0" w:color="auto"/>
        <w:bottom w:val="none" w:sz="0" w:space="0" w:color="auto"/>
        <w:right w:val="none" w:sz="0" w:space="0" w:color="auto"/>
      </w:divBdr>
    </w:div>
    <w:div w:id="911817424">
      <w:marLeft w:val="0"/>
      <w:marRight w:val="0"/>
      <w:marTop w:val="180"/>
      <w:marBottom w:val="180"/>
      <w:divBdr>
        <w:top w:val="none" w:sz="0" w:space="0" w:color="auto"/>
        <w:left w:val="none" w:sz="0" w:space="0" w:color="auto"/>
        <w:bottom w:val="none" w:sz="0" w:space="0" w:color="auto"/>
        <w:right w:val="none" w:sz="0" w:space="0" w:color="auto"/>
      </w:divBdr>
    </w:div>
    <w:div w:id="913274557">
      <w:marLeft w:val="0"/>
      <w:marRight w:val="0"/>
      <w:marTop w:val="0"/>
      <w:marBottom w:val="0"/>
      <w:divBdr>
        <w:top w:val="none" w:sz="0" w:space="0" w:color="auto"/>
        <w:left w:val="none" w:sz="0" w:space="0" w:color="auto"/>
        <w:bottom w:val="none" w:sz="0" w:space="0" w:color="auto"/>
        <w:right w:val="none" w:sz="0" w:space="0" w:color="auto"/>
      </w:divBdr>
    </w:div>
    <w:div w:id="913319260">
      <w:marLeft w:val="0"/>
      <w:marRight w:val="0"/>
      <w:marTop w:val="0"/>
      <w:marBottom w:val="180"/>
      <w:divBdr>
        <w:top w:val="none" w:sz="0" w:space="0" w:color="auto"/>
        <w:left w:val="none" w:sz="0" w:space="0" w:color="auto"/>
        <w:bottom w:val="none" w:sz="0" w:space="0" w:color="auto"/>
        <w:right w:val="none" w:sz="0" w:space="0" w:color="auto"/>
      </w:divBdr>
    </w:div>
    <w:div w:id="913707086">
      <w:marLeft w:val="0"/>
      <w:marRight w:val="0"/>
      <w:marTop w:val="0"/>
      <w:marBottom w:val="180"/>
      <w:divBdr>
        <w:top w:val="none" w:sz="0" w:space="0" w:color="auto"/>
        <w:left w:val="none" w:sz="0" w:space="0" w:color="auto"/>
        <w:bottom w:val="none" w:sz="0" w:space="0" w:color="auto"/>
        <w:right w:val="none" w:sz="0" w:space="0" w:color="auto"/>
      </w:divBdr>
    </w:div>
    <w:div w:id="916324674">
      <w:marLeft w:val="0"/>
      <w:marRight w:val="0"/>
      <w:marTop w:val="180"/>
      <w:marBottom w:val="180"/>
      <w:divBdr>
        <w:top w:val="none" w:sz="0" w:space="0" w:color="auto"/>
        <w:left w:val="none" w:sz="0" w:space="0" w:color="auto"/>
        <w:bottom w:val="none" w:sz="0" w:space="0" w:color="auto"/>
        <w:right w:val="none" w:sz="0" w:space="0" w:color="auto"/>
      </w:divBdr>
    </w:div>
    <w:div w:id="917134249">
      <w:marLeft w:val="0"/>
      <w:marRight w:val="0"/>
      <w:marTop w:val="0"/>
      <w:marBottom w:val="240"/>
      <w:divBdr>
        <w:top w:val="none" w:sz="0" w:space="0" w:color="auto"/>
        <w:left w:val="none" w:sz="0" w:space="0" w:color="auto"/>
        <w:bottom w:val="none" w:sz="0" w:space="0" w:color="auto"/>
        <w:right w:val="none" w:sz="0" w:space="0" w:color="auto"/>
      </w:divBdr>
    </w:div>
    <w:div w:id="920137270">
      <w:marLeft w:val="0"/>
      <w:marRight w:val="0"/>
      <w:marTop w:val="60"/>
      <w:marBottom w:val="120"/>
      <w:divBdr>
        <w:top w:val="none" w:sz="0" w:space="0" w:color="auto"/>
        <w:left w:val="none" w:sz="0" w:space="0" w:color="auto"/>
        <w:bottom w:val="none" w:sz="0" w:space="0" w:color="auto"/>
        <w:right w:val="none" w:sz="0" w:space="0" w:color="auto"/>
      </w:divBdr>
    </w:div>
    <w:div w:id="920456485">
      <w:marLeft w:val="0"/>
      <w:marRight w:val="0"/>
      <w:marTop w:val="0"/>
      <w:marBottom w:val="0"/>
      <w:divBdr>
        <w:top w:val="none" w:sz="0" w:space="0" w:color="auto"/>
        <w:left w:val="none" w:sz="0" w:space="0" w:color="auto"/>
        <w:bottom w:val="none" w:sz="0" w:space="0" w:color="auto"/>
        <w:right w:val="none" w:sz="0" w:space="0" w:color="auto"/>
      </w:divBdr>
      <w:divsChild>
        <w:div w:id="569460195">
          <w:marLeft w:val="0"/>
          <w:marRight w:val="0"/>
          <w:marTop w:val="0"/>
          <w:marBottom w:val="0"/>
          <w:divBdr>
            <w:top w:val="none" w:sz="0" w:space="0" w:color="auto"/>
            <w:left w:val="none" w:sz="0" w:space="0" w:color="auto"/>
            <w:bottom w:val="none" w:sz="0" w:space="0" w:color="auto"/>
            <w:right w:val="none" w:sz="0" w:space="0" w:color="auto"/>
          </w:divBdr>
        </w:div>
      </w:divsChild>
    </w:div>
    <w:div w:id="921571860">
      <w:marLeft w:val="0"/>
      <w:marRight w:val="0"/>
      <w:marTop w:val="0"/>
      <w:marBottom w:val="240"/>
      <w:divBdr>
        <w:top w:val="none" w:sz="0" w:space="0" w:color="auto"/>
        <w:left w:val="none" w:sz="0" w:space="0" w:color="auto"/>
        <w:bottom w:val="none" w:sz="0" w:space="0" w:color="auto"/>
        <w:right w:val="none" w:sz="0" w:space="0" w:color="auto"/>
      </w:divBdr>
    </w:div>
    <w:div w:id="921992712">
      <w:marLeft w:val="0"/>
      <w:marRight w:val="0"/>
      <w:marTop w:val="180"/>
      <w:marBottom w:val="180"/>
      <w:divBdr>
        <w:top w:val="none" w:sz="0" w:space="0" w:color="auto"/>
        <w:left w:val="none" w:sz="0" w:space="0" w:color="auto"/>
        <w:bottom w:val="none" w:sz="0" w:space="0" w:color="auto"/>
        <w:right w:val="none" w:sz="0" w:space="0" w:color="auto"/>
      </w:divBdr>
    </w:div>
    <w:div w:id="922227527">
      <w:marLeft w:val="0"/>
      <w:marRight w:val="0"/>
      <w:marTop w:val="0"/>
      <w:marBottom w:val="180"/>
      <w:divBdr>
        <w:top w:val="none" w:sz="0" w:space="0" w:color="auto"/>
        <w:left w:val="none" w:sz="0" w:space="0" w:color="auto"/>
        <w:bottom w:val="none" w:sz="0" w:space="0" w:color="auto"/>
        <w:right w:val="none" w:sz="0" w:space="0" w:color="auto"/>
      </w:divBdr>
    </w:div>
    <w:div w:id="922953303">
      <w:marLeft w:val="0"/>
      <w:marRight w:val="0"/>
      <w:marTop w:val="0"/>
      <w:marBottom w:val="240"/>
      <w:divBdr>
        <w:top w:val="none" w:sz="0" w:space="0" w:color="auto"/>
        <w:left w:val="none" w:sz="0" w:space="0" w:color="auto"/>
        <w:bottom w:val="none" w:sz="0" w:space="0" w:color="auto"/>
        <w:right w:val="none" w:sz="0" w:space="0" w:color="auto"/>
      </w:divBdr>
    </w:div>
    <w:div w:id="923613572">
      <w:marLeft w:val="0"/>
      <w:marRight w:val="0"/>
      <w:marTop w:val="0"/>
      <w:marBottom w:val="180"/>
      <w:divBdr>
        <w:top w:val="none" w:sz="0" w:space="0" w:color="auto"/>
        <w:left w:val="none" w:sz="0" w:space="0" w:color="auto"/>
        <w:bottom w:val="none" w:sz="0" w:space="0" w:color="auto"/>
        <w:right w:val="none" w:sz="0" w:space="0" w:color="auto"/>
      </w:divBdr>
    </w:div>
    <w:div w:id="924606974">
      <w:marLeft w:val="0"/>
      <w:marRight w:val="0"/>
      <w:marTop w:val="180"/>
      <w:marBottom w:val="180"/>
      <w:divBdr>
        <w:top w:val="none" w:sz="0" w:space="0" w:color="auto"/>
        <w:left w:val="none" w:sz="0" w:space="0" w:color="auto"/>
        <w:bottom w:val="none" w:sz="0" w:space="0" w:color="auto"/>
        <w:right w:val="none" w:sz="0" w:space="0" w:color="auto"/>
      </w:divBdr>
    </w:div>
    <w:div w:id="926690459">
      <w:marLeft w:val="0"/>
      <w:marRight w:val="0"/>
      <w:marTop w:val="0"/>
      <w:marBottom w:val="24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sChild>
        <w:div w:id="1654723940">
          <w:marLeft w:val="0"/>
          <w:marRight w:val="0"/>
          <w:marTop w:val="0"/>
          <w:marBottom w:val="0"/>
          <w:divBdr>
            <w:top w:val="none" w:sz="0" w:space="0" w:color="auto"/>
            <w:left w:val="none" w:sz="0" w:space="0" w:color="auto"/>
            <w:bottom w:val="none" w:sz="0" w:space="0" w:color="auto"/>
            <w:right w:val="none" w:sz="0" w:space="0" w:color="auto"/>
          </w:divBdr>
        </w:div>
      </w:divsChild>
    </w:div>
    <w:div w:id="929267605">
      <w:marLeft w:val="0"/>
      <w:marRight w:val="0"/>
      <w:marTop w:val="100"/>
      <w:marBottom w:val="0"/>
      <w:divBdr>
        <w:top w:val="none" w:sz="0" w:space="0" w:color="auto"/>
        <w:left w:val="none" w:sz="0" w:space="0" w:color="auto"/>
        <w:bottom w:val="none" w:sz="0" w:space="0" w:color="auto"/>
        <w:right w:val="none" w:sz="0" w:space="0" w:color="auto"/>
      </w:divBdr>
    </w:div>
    <w:div w:id="929698327">
      <w:marLeft w:val="0"/>
      <w:marRight w:val="0"/>
      <w:marTop w:val="0"/>
      <w:marBottom w:val="180"/>
      <w:divBdr>
        <w:top w:val="none" w:sz="0" w:space="0" w:color="auto"/>
        <w:left w:val="none" w:sz="0" w:space="0" w:color="auto"/>
        <w:bottom w:val="none" w:sz="0" w:space="0" w:color="auto"/>
        <w:right w:val="none" w:sz="0" w:space="0" w:color="auto"/>
      </w:divBdr>
    </w:div>
    <w:div w:id="931351923">
      <w:marLeft w:val="0"/>
      <w:marRight w:val="0"/>
      <w:marTop w:val="0"/>
      <w:marBottom w:val="0"/>
      <w:divBdr>
        <w:top w:val="none" w:sz="0" w:space="0" w:color="auto"/>
        <w:left w:val="none" w:sz="0" w:space="0" w:color="auto"/>
        <w:bottom w:val="none" w:sz="0" w:space="0" w:color="auto"/>
        <w:right w:val="none" w:sz="0" w:space="0" w:color="auto"/>
      </w:divBdr>
    </w:div>
    <w:div w:id="931427459">
      <w:marLeft w:val="0"/>
      <w:marRight w:val="0"/>
      <w:marTop w:val="0"/>
      <w:marBottom w:val="240"/>
      <w:divBdr>
        <w:top w:val="none" w:sz="0" w:space="0" w:color="auto"/>
        <w:left w:val="none" w:sz="0" w:space="0" w:color="auto"/>
        <w:bottom w:val="none" w:sz="0" w:space="0" w:color="auto"/>
        <w:right w:val="none" w:sz="0" w:space="0" w:color="auto"/>
      </w:divBdr>
    </w:div>
    <w:div w:id="931936301">
      <w:marLeft w:val="0"/>
      <w:marRight w:val="0"/>
      <w:marTop w:val="0"/>
      <w:marBottom w:val="240"/>
      <w:divBdr>
        <w:top w:val="none" w:sz="0" w:space="0" w:color="auto"/>
        <w:left w:val="none" w:sz="0" w:space="0" w:color="auto"/>
        <w:bottom w:val="none" w:sz="0" w:space="0" w:color="auto"/>
        <w:right w:val="none" w:sz="0" w:space="0" w:color="auto"/>
      </w:divBdr>
    </w:div>
    <w:div w:id="932208303">
      <w:marLeft w:val="0"/>
      <w:marRight w:val="0"/>
      <w:marTop w:val="120"/>
      <w:marBottom w:val="180"/>
      <w:divBdr>
        <w:top w:val="none" w:sz="0" w:space="0" w:color="auto"/>
        <w:left w:val="none" w:sz="0" w:space="0" w:color="auto"/>
        <w:bottom w:val="none" w:sz="0" w:space="0" w:color="auto"/>
        <w:right w:val="none" w:sz="0" w:space="0" w:color="auto"/>
      </w:divBdr>
    </w:div>
    <w:div w:id="932324347">
      <w:marLeft w:val="0"/>
      <w:marRight w:val="0"/>
      <w:marTop w:val="0"/>
      <w:marBottom w:val="180"/>
      <w:divBdr>
        <w:top w:val="none" w:sz="0" w:space="0" w:color="auto"/>
        <w:left w:val="none" w:sz="0" w:space="0" w:color="auto"/>
        <w:bottom w:val="none" w:sz="0" w:space="0" w:color="auto"/>
        <w:right w:val="none" w:sz="0" w:space="0" w:color="auto"/>
      </w:divBdr>
    </w:div>
    <w:div w:id="933631305">
      <w:marLeft w:val="0"/>
      <w:marRight w:val="0"/>
      <w:marTop w:val="0"/>
      <w:marBottom w:val="0"/>
      <w:divBdr>
        <w:top w:val="none" w:sz="0" w:space="0" w:color="auto"/>
        <w:left w:val="none" w:sz="0" w:space="0" w:color="auto"/>
        <w:bottom w:val="none" w:sz="0" w:space="0" w:color="auto"/>
        <w:right w:val="none" w:sz="0" w:space="0" w:color="auto"/>
      </w:divBdr>
      <w:divsChild>
        <w:div w:id="719594583">
          <w:marLeft w:val="0"/>
          <w:marRight w:val="0"/>
          <w:marTop w:val="0"/>
          <w:marBottom w:val="0"/>
          <w:divBdr>
            <w:top w:val="none" w:sz="0" w:space="0" w:color="auto"/>
            <w:left w:val="none" w:sz="0" w:space="0" w:color="auto"/>
            <w:bottom w:val="none" w:sz="0" w:space="0" w:color="auto"/>
            <w:right w:val="none" w:sz="0" w:space="0" w:color="auto"/>
          </w:divBdr>
        </w:div>
      </w:divsChild>
    </w:div>
    <w:div w:id="933904148">
      <w:marLeft w:val="0"/>
      <w:marRight w:val="0"/>
      <w:marTop w:val="0"/>
      <w:marBottom w:val="0"/>
      <w:divBdr>
        <w:top w:val="none" w:sz="0" w:space="0" w:color="auto"/>
        <w:left w:val="none" w:sz="0" w:space="0" w:color="auto"/>
        <w:bottom w:val="none" w:sz="0" w:space="0" w:color="auto"/>
        <w:right w:val="none" w:sz="0" w:space="0" w:color="auto"/>
      </w:divBdr>
    </w:div>
    <w:div w:id="934290864">
      <w:marLeft w:val="0"/>
      <w:marRight w:val="0"/>
      <w:marTop w:val="0"/>
      <w:marBottom w:val="0"/>
      <w:divBdr>
        <w:top w:val="none" w:sz="0" w:space="0" w:color="auto"/>
        <w:left w:val="none" w:sz="0" w:space="0" w:color="auto"/>
        <w:bottom w:val="none" w:sz="0" w:space="0" w:color="auto"/>
        <w:right w:val="none" w:sz="0" w:space="0" w:color="auto"/>
      </w:divBdr>
      <w:divsChild>
        <w:div w:id="1016271351">
          <w:marLeft w:val="0"/>
          <w:marRight w:val="0"/>
          <w:marTop w:val="0"/>
          <w:marBottom w:val="0"/>
          <w:divBdr>
            <w:top w:val="none" w:sz="0" w:space="0" w:color="auto"/>
            <w:left w:val="none" w:sz="0" w:space="0" w:color="auto"/>
            <w:bottom w:val="none" w:sz="0" w:space="0" w:color="auto"/>
            <w:right w:val="none" w:sz="0" w:space="0" w:color="auto"/>
          </w:divBdr>
        </w:div>
      </w:divsChild>
    </w:div>
    <w:div w:id="934434667">
      <w:marLeft w:val="0"/>
      <w:marRight w:val="0"/>
      <w:marTop w:val="120"/>
      <w:marBottom w:val="120"/>
      <w:divBdr>
        <w:top w:val="none" w:sz="0" w:space="0" w:color="auto"/>
        <w:left w:val="none" w:sz="0" w:space="0" w:color="auto"/>
        <w:bottom w:val="none" w:sz="0" w:space="0" w:color="auto"/>
        <w:right w:val="none" w:sz="0" w:space="0" w:color="auto"/>
      </w:divBdr>
    </w:div>
    <w:div w:id="936131327">
      <w:marLeft w:val="0"/>
      <w:marRight w:val="0"/>
      <w:marTop w:val="0"/>
      <w:marBottom w:val="180"/>
      <w:divBdr>
        <w:top w:val="none" w:sz="0" w:space="0" w:color="auto"/>
        <w:left w:val="none" w:sz="0" w:space="0" w:color="auto"/>
        <w:bottom w:val="none" w:sz="0" w:space="0" w:color="auto"/>
        <w:right w:val="none" w:sz="0" w:space="0" w:color="auto"/>
      </w:divBdr>
    </w:div>
    <w:div w:id="937099278">
      <w:marLeft w:val="0"/>
      <w:marRight w:val="0"/>
      <w:marTop w:val="0"/>
      <w:marBottom w:val="180"/>
      <w:divBdr>
        <w:top w:val="none" w:sz="0" w:space="0" w:color="auto"/>
        <w:left w:val="none" w:sz="0" w:space="0" w:color="auto"/>
        <w:bottom w:val="none" w:sz="0" w:space="0" w:color="auto"/>
        <w:right w:val="none" w:sz="0" w:space="0" w:color="auto"/>
      </w:divBdr>
    </w:div>
    <w:div w:id="937253268">
      <w:marLeft w:val="0"/>
      <w:marRight w:val="0"/>
      <w:marTop w:val="0"/>
      <w:marBottom w:val="0"/>
      <w:divBdr>
        <w:top w:val="none" w:sz="0" w:space="0" w:color="auto"/>
        <w:left w:val="none" w:sz="0" w:space="0" w:color="auto"/>
        <w:bottom w:val="none" w:sz="0" w:space="0" w:color="auto"/>
        <w:right w:val="none" w:sz="0" w:space="0" w:color="auto"/>
      </w:divBdr>
      <w:divsChild>
        <w:div w:id="1336108341">
          <w:marLeft w:val="0"/>
          <w:marRight w:val="0"/>
          <w:marTop w:val="0"/>
          <w:marBottom w:val="0"/>
          <w:divBdr>
            <w:top w:val="none" w:sz="0" w:space="0" w:color="auto"/>
            <w:left w:val="none" w:sz="0" w:space="0" w:color="auto"/>
            <w:bottom w:val="none" w:sz="0" w:space="0" w:color="auto"/>
            <w:right w:val="none" w:sz="0" w:space="0" w:color="auto"/>
          </w:divBdr>
        </w:div>
      </w:divsChild>
    </w:div>
    <w:div w:id="937837000">
      <w:marLeft w:val="0"/>
      <w:marRight w:val="0"/>
      <w:marTop w:val="180"/>
      <w:marBottom w:val="180"/>
      <w:divBdr>
        <w:top w:val="none" w:sz="0" w:space="0" w:color="auto"/>
        <w:left w:val="none" w:sz="0" w:space="0" w:color="auto"/>
        <w:bottom w:val="none" w:sz="0" w:space="0" w:color="auto"/>
        <w:right w:val="none" w:sz="0" w:space="0" w:color="auto"/>
      </w:divBdr>
    </w:div>
    <w:div w:id="939459475">
      <w:marLeft w:val="0"/>
      <w:marRight w:val="0"/>
      <w:marTop w:val="0"/>
      <w:marBottom w:val="240"/>
      <w:divBdr>
        <w:top w:val="none" w:sz="0" w:space="0" w:color="auto"/>
        <w:left w:val="none" w:sz="0" w:space="0" w:color="auto"/>
        <w:bottom w:val="none" w:sz="0" w:space="0" w:color="auto"/>
        <w:right w:val="none" w:sz="0" w:space="0" w:color="auto"/>
      </w:divBdr>
    </w:div>
    <w:div w:id="939994814">
      <w:marLeft w:val="0"/>
      <w:marRight w:val="0"/>
      <w:marTop w:val="0"/>
      <w:marBottom w:val="0"/>
      <w:divBdr>
        <w:top w:val="none" w:sz="0" w:space="0" w:color="auto"/>
        <w:left w:val="none" w:sz="0" w:space="0" w:color="auto"/>
        <w:bottom w:val="none" w:sz="0" w:space="0" w:color="auto"/>
        <w:right w:val="none" w:sz="0" w:space="0" w:color="auto"/>
      </w:divBdr>
    </w:div>
    <w:div w:id="940380937">
      <w:marLeft w:val="0"/>
      <w:marRight w:val="0"/>
      <w:marTop w:val="0"/>
      <w:marBottom w:val="0"/>
      <w:divBdr>
        <w:top w:val="none" w:sz="0" w:space="0" w:color="auto"/>
        <w:left w:val="none" w:sz="0" w:space="0" w:color="auto"/>
        <w:bottom w:val="none" w:sz="0" w:space="0" w:color="auto"/>
        <w:right w:val="none" w:sz="0" w:space="0" w:color="auto"/>
      </w:divBdr>
    </w:div>
    <w:div w:id="940724570">
      <w:marLeft w:val="0"/>
      <w:marRight w:val="0"/>
      <w:marTop w:val="0"/>
      <w:marBottom w:val="240"/>
      <w:divBdr>
        <w:top w:val="none" w:sz="0" w:space="0" w:color="auto"/>
        <w:left w:val="none" w:sz="0" w:space="0" w:color="auto"/>
        <w:bottom w:val="none" w:sz="0" w:space="0" w:color="auto"/>
        <w:right w:val="none" w:sz="0" w:space="0" w:color="auto"/>
      </w:divBdr>
    </w:div>
    <w:div w:id="943075934">
      <w:marLeft w:val="0"/>
      <w:marRight w:val="0"/>
      <w:marTop w:val="0"/>
      <w:marBottom w:val="240"/>
      <w:divBdr>
        <w:top w:val="none" w:sz="0" w:space="0" w:color="auto"/>
        <w:left w:val="none" w:sz="0" w:space="0" w:color="auto"/>
        <w:bottom w:val="none" w:sz="0" w:space="0" w:color="auto"/>
        <w:right w:val="none" w:sz="0" w:space="0" w:color="auto"/>
      </w:divBdr>
    </w:div>
    <w:div w:id="943077721">
      <w:marLeft w:val="0"/>
      <w:marRight w:val="0"/>
      <w:marTop w:val="0"/>
      <w:marBottom w:val="180"/>
      <w:divBdr>
        <w:top w:val="none" w:sz="0" w:space="0" w:color="auto"/>
        <w:left w:val="none" w:sz="0" w:space="0" w:color="auto"/>
        <w:bottom w:val="none" w:sz="0" w:space="0" w:color="auto"/>
        <w:right w:val="none" w:sz="0" w:space="0" w:color="auto"/>
      </w:divBdr>
    </w:div>
    <w:div w:id="943079832">
      <w:marLeft w:val="0"/>
      <w:marRight w:val="0"/>
      <w:marTop w:val="0"/>
      <w:marBottom w:val="240"/>
      <w:divBdr>
        <w:top w:val="none" w:sz="0" w:space="0" w:color="auto"/>
        <w:left w:val="none" w:sz="0" w:space="0" w:color="auto"/>
        <w:bottom w:val="none" w:sz="0" w:space="0" w:color="auto"/>
        <w:right w:val="none" w:sz="0" w:space="0" w:color="auto"/>
      </w:divBdr>
    </w:div>
    <w:div w:id="943417374">
      <w:marLeft w:val="0"/>
      <w:marRight w:val="0"/>
      <w:marTop w:val="0"/>
      <w:marBottom w:val="0"/>
      <w:divBdr>
        <w:top w:val="none" w:sz="0" w:space="0" w:color="auto"/>
        <w:left w:val="none" w:sz="0" w:space="0" w:color="auto"/>
        <w:bottom w:val="none" w:sz="0" w:space="0" w:color="auto"/>
        <w:right w:val="none" w:sz="0" w:space="0" w:color="auto"/>
      </w:divBdr>
      <w:divsChild>
        <w:div w:id="553735572">
          <w:marLeft w:val="0"/>
          <w:marRight w:val="0"/>
          <w:marTop w:val="0"/>
          <w:marBottom w:val="0"/>
          <w:divBdr>
            <w:top w:val="none" w:sz="0" w:space="0" w:color="auto"/>
            <w:left w:val="none" w:sz="0" w:space="0" w:color="auto"/>
            <w:bottom w:val="none" w:sz="0" w:space="0" w:color="auto"/>
            <w:right w:val="none" w:sz="0" w:space="0" w:color="auto"/>
          </w:divBdr>
        </w:div>
        <w:div w:id="815031596">
          <w:marLeft w:val="0"/>
          <w:marRight w:val="0"/>
          <w:marTop w:val="0"/>
          <w:marBottom w:val="0"/>
          <w:divBdr>
            <w:top w:val="none" w:sz="0" w:space="0" w:color="auto"/>
            <w:left w:val="none" w:sz="0" w:space="0" w:color="auto"/>
            <w:bottom w:val="none" w:sz="0" w:space="0" w:color="auto"/>
            <w:right w:val="none" w:sz="0" w:space="0" w:color="auto"/>
          </w:divBdr>
        </w:div>
      </w:divsChild>
    </w:div>
    <w:div w:id="945119532">
      <w:marLeft w:val="0"/>
      <w:marRight w:val="0"/>
      <w:marTop w:val="0"/>
      <w:marBottom w:val="240"/>
      <w:divBdr>
        <w:top w:val="none" w:sz="0" w:space="0" w:color="auto"/>
        <w:left w:val="none" w:sz="0" w:space="0" w:color="auto"/>
        <w:bottom w:val="none" w:sz="0" w:space="0" w:color="auto"/>
        <w:right w:val="none" w:sz="0" w:space="0" w:color="auto"/>
      </w:divBdr>
    </w:div>
    <w:div w:id="946549342">
      <w:marLeft w:val="0"/>
      <w:marRight w:val="0"/>
      <w:marTop w:val="0"/>
      <w:marBottom w:val="0"/>
      <w:divBdr>
        <w:top w:val="none" w:sz="0" w:space="0" w:color="auto"/>
        <w:left w:val="none" w:sz="0" w:space="0" w:color="auto"/>
        <w:bottom w:val="none" w:sz="0" w:space="0" w:color="auto"/>
        <w:right w:val="none" w:sz="0" w:space="0" w:color="auto"/>
      </w:divBdr>
      <w:divsChild>
        <w:div w:id="444422051">
          <w:marLeft w:val="0"/>
          <w:marRight w:val="0"/>
          <w:marTop w:val="0"/>
          <w:marBottom w:val="0"/>
          <w:divBdr>
            <w:top w:val="none" w:sz="0" w:space="0" w:color="auto"/>
            <w:left w:val="none" w:sz="0" w:space="0" w:color="auto"/>
            <w:bottom w:val="none" w:sz="0" w:space="0" w:color="auto"/>
            <w:right w:val="none" w:sz="0" w:space="0" w:color="auto"/>
          </w:divBdr>
        </w:div>
      </w:divsChild>
    </w:div>
    <w:div w:id="946885695">
      <w:marLeft w:val="0"/>
      <w:marRight w:val="0"/>
      <w:marTop w:val="0"/>
      <w:marBottom w:val="0"/>
      <w:divBdr>
        <w:top w:val="none" w:sz="0" w:space="0" w:color="auto"/>
        <w:left w:val="none" w:sz="0" w:space="0" w:color="auto"/>
        <w:bottom w:val="none" w:sz="0" w:space="0" w:color="auto"/>
        <w:right w:val="none" w:sz="0" w:space="0" w:color="auto"/>
      </w:divBdr>
    </w:div>
    <w:div w:id="947470736">
      <w:marLeft w:val="0"/>
      <w:marRight w:val="0"/>
      <w:marTop w:val="0"/>
      <w:marBottom w:val="240"/>
      <w:divBdr>
        <w:top w:val="none" w:sz="0" w:space="0" w:color="auto"/>
        <w:left w:val="none" w:sz="0" w:space="0" w:color="auto"/>
        <w:bottom w:val="none" w:sz="0" w:space="0" w:color="auto"/>
        <w:right w:val="none" w:sz="0" w:space="0" w:color="auto"/>
      </w:divBdr>
    </w:div>
    <w:div w:id="947539785">
      <w:marLeft w:val="0"/>
      <w:marRight w:val="0"/>
      <w:marTop w:val="100"/>
      <w:marBottom w:val="0"/>
      <w:divBdr>
        <w:top w:val="none" w:sz="0" w:space="0" w:color="auto"/>
        <w:left w:val="none" w:sz="0" w:space="0" w:color="auto"/>
        <w:bottom w:val="none" w:sz="0" w:space="0" w:color="auto"/>
        <w:right w:val="none" w:sz="0" w:space="0" w:color="auto"/>
      </w:divBdr>
      <w:divsChild>
        <w:div w:id="736786030">
          <w:marLeft w:val="0"/>
          <w:marRight w:val="0"/>
          <w:marTop w:val="0"/>
          <w:marBottom w:val="0"/>
          <w:divBdr>
            <w:top w:val="none" w:sz="0" w:space="0" w:color="auto"/>
            <w:left w:val="none" w:sz="0" w:space="0" w:color="auto"/>
            <w:bottom w:val="none" w:sz="0" w:space="0" w:color="auto"/>
            <w:right w:val="none" w:sz="0" w:space="0" w:color="auto"/>
          </w:divBdr>
        </w:div>
      </w:divsChild>
    </w:div>
    <w:div w:id="948313299">
      <w:marLeft w:val="0"/>
      <w:marRight w:val="0"/>
      <w:marTop w:val="0"/>
      <w:marBottom w:val="240"/>
      <w:divBdr>
        <w:top w:val="none" w:sz="0" w:space="0" w:color="auto"/>
        <w:left w:val="none" w:sz="0" w:space="0" w:color="auto"/>
        <w:bottom w:val="none" w:sz="0" w:space="0" w:color="auto"/>
        <w:right w:val="none" w:sz="0" w:space="0" w:color="auto"/>
      </w:divBdr>
    </w:div>
    <w:div w:id="950281390">
      <w:marLeft w:val="0"/>
      <w:marRight w:val="0"/>
      <w:marTop w:val="0"/>
      <w:marBottom w:val="180"/>
      <w:divBdr>
        <w:top w:val="none" w:sz="0" w:space="0" w:color="auto"/>
        <w:left w:val="none" w:sz="0" w:space="0" w:color="auto"/>
        <w:bottom w:val="none" w:sz="0" w:space="0" w:color="auto"/>
        <w:right w:val="none" w:sz="0" w:space="0" w:color="auto"/>
      </w:divBdr>
    </w:div>
    <w:div w:id="950471967">
      <w:marLeft w:val="0"/>
      <w:marRight w:val="0"/>
      <w:marTop w:val="0"/>
      <w:marBottom w:val="0"/>
      <w:divBdr>
        <w:top w:val="none" w:sz="0" w:space="0" w:color="auto"/>
        <w:left w:val="none" w:sz="0" w:space="0" w:color="auto"/>
        <w:bottom w:val="none" w:sz="0" w:space="0" w:color="auto"/>
        <w:right w:val="none" w:sz="0" w:space="0" w:color="auto"/>
      </w:divBdr>
    </w:div>
    <w:div w:id="952715305">
      <w:marLeft w:val="0"/>
      <w:marRight w:val="0"/>
      <w:marTop w:val="0"/>
      <w:marBottom w:val="0"/>
      <w:divBdr>
        <w:top w:val="none" w:sz="0" w:space="0" w:color="auto"/>
        <w:left w:val="none" w:sz="0" w:space="0" w:color="auto"/>
        <w:bottom w:val="none" w:sz="0" w:space="0" w:color="auto"/>
        <w:right w:val="none" w:sz="0" w:space="0" w:color="auto"/>
      </w:divBdr>
    </w:div>
    <w:div w:id="953483845">
      <w:marLeft w:val="0"/>
      <w:marRight w:val="0"/>
      <w:marTop w:val="0"/>
      <w:marBottom w:val="180"/>
      <w:divBdr>
        <w:top w:val="none" w:sz="0" w:space="0" w:color="auto"/>
        <w:left w:val="none" w:sz="0" w:space="0" w:color="auto"/>
        <w:bottom w:val="none" w:sz="0" w:space="0" w:color="auto"/>
        <w:right w:val="none" w:sz="0" w:space="0" w:color="auto"/>
      </w:divBdr>
    </w:div>
    <w:div w:id="954363682">
      <w:marLeft w:val="0"/>
      <w:marRight w:val="0"/>
      <w:marTop w:val="180"/>
      <w:marBottom w:val="180"/>
      <w:divBdr>
        <w:top w:val="none" w:sz="0" w:space="0" w:color="auto"/>
        <w:left w:val="none" w:sz="0" w:space="0" w:color="auto"/>
        <w:bottom w:val="none" w:sz="0" w:space="0" w:color="auto"/>
        <w:right w:val="none" w:sz="0" w:space="0" w:color="auto"/>
      </w:divBdr>
    </w:div>
    <w:div w:id="955868287">
      <w:marLeft w:val="0"/>
      <w:marRight w:val="0"/>
      <w:marTop w:val="0"/>
      <w:marBottom w:val="180"/>
      <w:divBdr>
        <w:top w:val="none" w:sz="0" w:space="0" w:color="auto"/>
        <w:left w:val="none" w:sz="0" w:space="0" w:color="auto"/>
        <w:bottom w:val="none" w:sz="0" w:space="0" w:color="auto"/>
        <w:right w:val="none" w:sz="0" w:space="0" w:color="auto"/>
      </w:divBdr>
    </w:div>
    <w:div w:id="956372633">
      <w:marLeft w:val="0"/>
      <w:marRight w:val="0"/>
      <w:marTop w:val="120"/>
      <w:marBottom w:val="240"/>
      <w:divBdr>
        <w:top w:val="none" w:sz="0" w:space="0" w:color="auto"/>
        <w:left w:val="none" w:sz="0" w:space="0" w:color="auto"/>
        <w:bottom w:val="none" w:sz="0" w:space="0" w:color="auto"/>
        <w:right w:val="none" w:sz="0" w:space="0" w:color="auto"/>
      </w:divBdr>
    </w:div>
    <w:div w:id="956525488">
      <w:marLeft w:val="0"/>
      <w:marRight w:val="0"/>
      <w:marTop w:val="0"/>
      <w:marBottom w:val="0"/>
      <w:divBdr>
        <w:top w:val="none" w:sz="0" w:space="0" w:color="auto"/>
        <w:left w:val="none" w:sz="0" w:space="0" w:color="auto"/>
        <w:bottom w:val="none" w:sz="0" w:space="0" w:color="auto"/>
        <w:right w:val="none" w:sz="0" w:space="0" w:color="auto"/>
      </w:divBdr>
    </w:div>
    <w:div w:id="956913118">
      <w:marLeft w:val="0"/>
      <w:marRight w:val="0"/>
      <w:marTop w:val="180"/>
      <w:marBottom w:val="180"/>
      <w:divBdr>
        <w:top w:val="none" w:sz="0" w:space="0" w:color="auto"/>
        <w:left w:val="none" w:sz="0" w:space="0" w:color="auto"/>
        <w:bottom w:val="none" w:sz="0" w:space="0" w:color="auto"/>
        <w:right w:val="none" w:sz="0" w:space="0" w:color="auto"/>
      </w:divBdr>
    </w:div>
    <w:div w:id="957376069">
      <w:marLeft w:val="0"/>
      <w:marRight w:val="0"/>
      <w:marTop w:val="0"/>
      <w:marBottom w:val="180"/>
      <w:divBdr>
        <w:top w:val="none" w:sz="0" w:space="0" w:color="auto"/>
        <w:left w:val="none" w:sz="0" w:space="0" w:color="auto"/>
        <w:bottom w:val="none" w:sz="0" w:space="0" w:color="auto"/>
        <w:right w:val="none" w:sz="0" w:space="0" w:color="auto"/>
      </w:divBdr>
    </w:div>
    <w:div w:id="958415331">
      <w:marLeft w:val="0"/>
      <w:marRight w:val="0"/>
      <w:marTop w:val="0"/>
      <w:marBottom w:val="240"/>
      <w:divBdr>
        <w:top w:val="none" w:sz="0" w:space="0" w:color="auto"/>
        <w:left w:val="none" w:sz="0" w:space="0" w:color="auto"/>
        <w:bottom w:val="none" w:sz="0" w:space="0" w:color="auto"/>
        <w:right w:val="none" w:sz="0" w:space="0" w:color="auto"/>
      </w:divBdr>
    </w:div>
    <w:div w:id="958755851">
      <w:marLeft w:val="0"/>
      <w:marRight w:val="0"/>
      <w:marTop w:val="0"/>
      <w:marBottom w:val="0"/>
      <w:divBdr>
        <w:top w:val="none" w:sz="0" w:space="0" w:color="auto"/>
        <w:left w:val="none" w:sz="0" w:space="0" w:color="auto"/>
        <w:bottom w:val="none" w:sz="0" w:space="0" w:color="auto"/>
        <w:right w:val="none" w:sz="0" w:space="0" w:color="auto"/>
      </w:divBdr>
    </w:div>
    <w:div w:id="959412006">
      <w:marLeft w:val="0"/>
      <w:marRight w:val="0"/>
      <w:marTop w:val="180"/>
      <w:marBottom w:val="180"/>
      <w:divBdr>
        <w:top w:val="none" w:sz="0" w:space="0" w:color="auto"/>
        <w:left w:val="none" w:sz="0" w:space="0" w:color="auto"/>
        <w:bottom w:val="none" w:sz="0" w:space="0" w:color="auto"/>
        <w:right w:val="none" w:sz="0" w:space="0" w:color="auto"/>
      </w:divBdr>
    </w:div>
    <w:div w:id="959921046">
      <w:marLeft w:val="0"/>
      <w:marRight w:val="0"/>
      <w:marTop w:val="0"/>
      <w:marBottom w:val="180"/>
      <w:divBdr>
        <w:top w:val="none" w:sz="0" w:space="0" w:color="auto"/>
        <w:left w:val="none" w:sz="0" w:space="0" w:color="auto"/>
        <w:bottom w:val="none" w:sz="0" w:space="0" w:color="auto"/>
        <w:right w:val="none" w:sz="0" w:space="0" w:color="auto"/>
      </w:divBdr>
    </w:div>
    <w:div w:id="960038919">
      <w:marLeft w:val="0"/>
      <w:marRight w:val="0"/>
      <w:marTop w:val="0"/>
      <w:marBottom w:val="0"/>
      <w:divBdr>
        <w:top w:val="none" w:sz="0" w:space="0" w:color="auto"/>
        <w:left w:val="none" w:sz="0" w:space="0" w:color="auto"/>
        <w:bottom w:val="none" w:sz="0" w:space="0" w:color="auto"/>
        <w:right w:val="none" w:sz="0" w:space="0" w:color="auto"/>
      </w:divBdr>
    </w:div>
    <w:div w:id="960382247">
      <w:marLeft w:val="0"/>
      <w:marRight w:val="0"/>
      <w:marTop w:val="180"/>
      <w:marBottom w:val="240"/>
      <w:divBdr>
        <w:top w:val="none" w:sz="0" w:space="0" w:color="auto"/>
        <w:left w:val="none" w:sz="0" w:space="0" w:color="auto"/>
        <w:bottom w:val="none" w:sz="0" w:space="0" w:color="auto"/>
        <w:right w:val="none" w:sz="0" w:space="0" w:color="auto"/>
      </w:divBdr>
    </w:div>
    <w:div w:id="960722813">
      <w:marLeft w:val="0"/>
      <w:marRight w:val="0"/>
      <w:marTop w:val="0"/>
      <w:marBottom w:val="180"/>
      <w:divBdr>
        <w:top w:val="none" w:sz="0" w:space="0" w:color="auto"/>
        <w:left w:val="none" w:sz="0" w:space="0" w:color="auto"/>
        <w:bottom w:val="none" w:sz="0" w:space="0" w:color="auto"/>
        <w:right w:val="none" w:sz="0" w:space="0" w:color="auto"/>
      </w:divBdr>
    </w:div>
    <w:div w:id="961375990">
      <w:marLeft w:val="0"/>
      <w:marRight w:val="0"/>
      <w:marTop w:val="120"/>
      <w:marBottom w:val="180"/>
      <w:divBdr>
        <w:top w:val="none" w:sz="0" w:space="0" w:color="auto"/>
        <w:left w:val="none" w:sz="0" w:space="0" w:color="auto"/>
        <w:bottom w:val="none" w:sz="0" w:space="0" w:color="auto"/>
        <w:right w:val="none" w:sz="0" w:space="0" w:color="auto"/>
      </w:divBdr>
    </w:div>
    <w:div w:id="961764581">
      <w:marLeft w:val="0"/>
      <w:marRight w:val="0"/>
      <w:marTop w:val="0"/>
      <w:marBottom w:val="240"/>
      <w:divBdr>
        <w:top w:val="none" w:sz="0" w:space="0" w:color="auto"/>
        <w:left w:val="none" w:sz="0" w:space="0" w:color="auto"/>
        <w:bottom w:val="none" w:sz="0" w:space="0" w:color="auto"/>
        <w:right w:val="none" w:sz="0" w:space="0" w:color="auto"/>
      </w:divBdr>
    </w:div>
    <w:div w:id="965618693">
      <w:marLeft w:val="0"/>
      <w:marRight w:val="0"/>
      <w:marTop w:val="0"/>
      <w:marBottom w:val="0"/>
      <w:divBdr>
        <w:top w:val="none" w:sz="0" w:space="0" w:color="auto"/>
        <w:left w:val="none" w:sz="0" w:space="0" w:color="auto"/>
        <w:bottom w:val="none" w:sz="0" w:space="0" w:color="auto"/>
        <w:right w:val="none" w:sz="0" w:space="0" w:color="auto"/>
      </w:divBdr>
    </w:div>
    <w:div w:id="965817570">
      <w:marLeft w:val="0"/>
      <w:marRight w:val="0"/>
      <w:marTop w:val="0"/>
      <w:marBottom w:val="0"/>
      <w:divBdr>
        <w:top w:val="none" w:sz="0" w:space="0" w:color="auto"/>
        <w:left w:val="none" w:sz="0" w:space="0" w:color="auto"/>
        <w:bottom w:val="none" w:sz="0" w:space="0" w:color="auto"/>
        <w:right w:val="none" w:sz="0" w:space="0" w:color="auto"/>
      </w:divBdr>
      <w:divsChild>
        <w:div w:id="1563520036">
          <w:marLeft w:val="0"/>
          <w:marRight w:val="0"/>
          <w:marTop w:val="0"/>
          <w:marBottom w:val="0"/>
          <w:divBdr>
            <w:top w:val="none" w:sz="0" w:space="0" w:color="auto"/>
            <w:left w:val="none" w:sz="0" w:space="0" w:color="auto"/>
            <w:bottom w:val="none" w:sz="0" w:space="0" w:color="auto"/>
            <w:right w:val="none" w:sz="0" w:space="0" w:color="auto"/>
          </w:divBdr>
        </w:div>
      </w:divsChild>
    </w:div>
    <w:div w:id="966278191">
      <w:marLeft w:val="0"/>
      <w:marRight w:val="0"/>
      <w:marTop w:val="0"/>
      <w:marBottom w:val="180"/>
      <w:divBdr>
        <w:top w:val="none" w:sz="0" w:space="0" w:color="auto"/>
        <w:left w:val="none" w:sz="0" w:space="0" w:color="auto"/>
        <w:bottom w:val="none" w:sz="0" w:space="0" w:color="auto"/>
        <w:right w:val="none" w:sz="0" w:space="0" w:color="auto"/>
      </w:divBdr>
    </w:div>
    <w:div w:id="966853867">
      <w:marLeft w:val="0"/>
      <w:marRight w:val="0"/>
      <w:marTop w:val="0"/>
      <w:marBottom w:val="0"/>
      <w:divBdr>
        <w:top w:val="none" w:sz="0" w:space="0" w:color="auto"/>
        <w:left w:val="none" w:sz="0" w:space="0" w:color="auto"/>
        <w:bottom w:val="none" w:sz="0" w:space="0" w:color="auto"/>
        <w:right w:val="none" w:sz="0" w:space="0" w:color="auto"/>
      </w:divBdr>
      <w:divsChild>
        <w:div w:id="83916172">
          <w:marLeft w:val="0"/>
          <w:marRight w:val="0"/>
          <w:marTop w:val="0"/>
          <w:marBottom w:val="0"/>
          <w:divBdr>
            <w:top w:val="none" w:sz="0" w:space="0" w:color="auto"/>
            <w:left w:val="none" w:sz="0" w:space="0" w:color="auto"/>
            <w:bottom w:val="none" w:sz="0" w:space="0" w:color="auto"/>
            <w:right w:val="none" w:sz="0" w:space="0" w:color="auto"/>
          </w:divBdr>
        </w:div>
      </w:divsChild>
    </w:div>
    <w:div w:id="967055761">
      <w:marLeft w:val="0"/>
      <w:marRight w:val="0"/>
      <w:marTop w:val="100"/>
      <w:marBottom w:val="0"/>
      <w:divBdr>
        <w:top w:val="none" w:sz="0" w:space="0" w:color="auto"/>
        <w:left w:val="none" w:sz="0" w:space="0" w:color="auto"/>
        <w:bottom w:val="none" w:sz="0" w:space="0" w:color="auto"/>
        <w:right w:val="none" w:sz="0" w:space="0" w:color="auto"/>
      </w:divBdr>
    </w:div>
    <w:div w:id="967316436">
      <w:marLeft w:val="0"/>
      <w:marRight w:val="0"/>
      <w:marTop w:val="180"/>
      <w:marBottom w:val="180"/>
      <w:divBdr>
        <w:top w:val="none" w:sz="0" w:space="0" w:color="auto"/>
        <w:left w:val="none" w:sz="0" w:space="0" w:color="auto"/>
        <w:bottom w:val="none" w:sz="0" w:space="0" w:color="auto"/>
        <w:right w:val="none" w:sz="0" w:space="0" w:color="auto"/>
      </w:divBdr>
    </w:div>
    <w:div w:id="967584599">
      <w:marLeft w:val="0"/>
      <w:marRight w:val="0"/>
      <w:marTop w:val="0"/>
      <w:marBottom w:val="180"/>
      <w:divBdr>
        <w:top w:val="none" w:sz="0" w:space="0" w:color="auto"/>
        <w:left w:val="none" w:sz="0" w:space="0" w:color="auto"/>
        <w:bottom w:val="none" w:sz="0" w:space="0" w:color="auto"/>
        <w:right w:val="none" w:sz="0" w:space="0" w:color="auto"/>
      </w:divBdr>
    </w:div>
    <w:div w:id="968784116">
      <w:marLeft w:val="0"/>
      <w:marRight w:val="0"/>
      <w:marTop w:val="180"/>
      <w:marBottom w:val="180"/>
      <w:divBdr>
        <w:top w:val="none" w:sz="0" w:space="0" w:color="auto"/>
        <w:left w:val="none" w:sz="0" w:space="0" w:color="auto"/>
        <w:bottom w:val="none" w:sz="0" w:space="0" w:color="auto"/>
        <w:right w:val="none" w:sz="0" w:space="0" w:color="auto"/>
      </w:divBdr>
    </w:div>
    <w:div w:id="968976686">
      <w:marLeft w:val="0"/>
      <w:marRight w:val="0"/>
      <w:marTop w:val="180"/>
      <w:marBottom w:val="180"/>
      <w:divBdr>
        <w:top w:val="none" w:sz="0" w:space="0" w:color="auto"/>
        <w:left w:val="none" w:sz="0" w:space="0" w:color="auto"/>
        <w:bottom w:val="none" w:sz="0" w:space="0" w:color="auto"/>
        <w:right w:val="none" w:sz="0" w:space="0" w:color="auto"/>
      </w:divBdr>
    </w:div>
    <w:div w:id="969363953">
      <w:marLeft w:val="0"/>
      <w:marRight w:val="0"/>
      <w:marTop w:val="180"/>
      <w:marBottom w:val="180"/>
      <w:divBdr>
        <w:top w:val="none" w:sz="0" w:space="0" w:color="auto"/>
        <w:left w:val="none" w:sz="0" w:space="0" w:color="auto"/>
        <w:bottom w:val="none" w:sz="0" w:space="0" w:color="auto"/>
        <w:right w:val="none" w:sz="0" w:space="0" w:color="auto"/>
      </w:divBdr>
    </w:div>
    <w:div w:id="969870277">
      <w:marLeft w:val="0"/>
      <w:marRight w:val="0"/>
      <w:marTop w:val="180"/>
      <w:marBottom w:val="180"/>
      <w:divBdr>
        <w:top w:val="none" w:sz="0" w:space="0" w:color="auto"/>
        <w:left w:val="none" w:sz="0" w:space="0" w:color="auto"/>
        <w:bottom w:val="none" w:sz="0" w:space="0" w:color="auto"/>
        <w:right w:val="none" w:sz="0" w:space="0" w:color="auto"/>
      </w:divBdr>
    </w:div>
    <w:div w:id="975142478">
      <w:marLeft w:val="0"/>
      <w:marRight w:val="0"/>
      <w:marTop w:val="0"/>
      <w:marBottom w:val="180"/>
      <w:divBdr>
        <w:top w:val="none" w:sz="0" w:space="0" w:color="auto"/>
        <w:left w:val="none" w:sz="0" w:space="0" w:color="auto"/>
        <w:bottom w:val="none" w:sz="0" w:space="0" w:color="auto"/>
        <w:right w:val="none" w:sz="0" w:space="0" w:color="auto"/>
      </w:divBdr>
    </w:div>
    <w:div w:id="975261323">
      <w:marLeft w:val="0"/>
      <w:marRight w:val="0"/>
      <w:marTop w:val="0"/>
      <w:marBottom w:val="0"/>
      <w:divBdr>
        <w:top w:val="none" w:sz="0" w:space="0" w:color="auto"/>
        <w:left w:val="none" w:sz="0" w:space="0" w:color="auto"/>
        <w:bottom w:val="none" w:sz="0" w:space="0" w:color="auto"/>
        <w:right w:val="none" w:sz="0" w:space="0" w:color="auto"/>
      </w:divBdr>
    </w:div>
    <w:div w:id="975334500">
      <w:marLeft w:val="0"/>
      <w:marRight w:val="0"/>
      <w:marTop w:val="0"/>
      <w:marBottom w:val="240"/>
      <w:divBdr>
        <w:top w:val="none" w:sz="0" w:space="0" w:color="auto"/>
        <w:left w:val="none" w:sz="0" w:space="0" w:color="auto"/>
        <w:bottom w:val="none" w:sz="0" w:space="0" w:color="auto"/>
        <w:right w:val="none" w:sz="0" w:space="0" w:color="auto"/>
      </w:divBdr>
    </w:div>
    <w:div w:id="975600275">
      <w:marLeft w:val="0"/>
      <w:marRight w:val="0"/>
      <w:marTop w:val="180"/>
      <w:marBottom w:val="180"/>
      <w:divBdr>
        <w:top w:val="none" w:sz="0" w:space="0" w:color="auto"/>
        <w:left w:val="none" w:sz="0" w:space="0" w:color="auto"/>
        <w:bottom w:val="none" w:sz="0" w:space="0" w:color="auto"/>
        <w:right w:val="none" w:sz="0" w:space="0" w:color="auto"/>
      </w:divBdr>
    </w:div>
    <w:div w:id="976951865">
      <w:marLeft w:val="0"/>
      <w:marRight w:val="0"/>
      <w:marTop w:val="180"/>
      <w:marBottom w:val="180"/>
      <w:divBdr>
        <w:top w:val="none" w:sz="0" w:space="0" w:color="auto"/>
        <w:left w:val="none" w:sz="0" w:space="0" w:color="auto"/>
        <w:bottom w:val="none" w:sz="0" w:space="0" w:color="auto"/>
        <w:right w:val="none" w:sz="0" w:space="0" w:color="auto"/>
      </w:divBdr>
    </w:div>
    <w:div w:id="977227497">
      <w:marLeft w:val="0"/>
      <w:marRight w:val="0"/>
      <w:marTop w:val="0"/>
      <w:marBottom w:val="240"/>
      <w:divBdr>
        <w:top w:val="none" w:sz="0" w:space="0" w:color="auto"/>
        <w:left w:val="none" w:sz="0" w:space="0" w:color="auto"/>
        <w:bottom w:val="none" w:sz="0" w:space="0" w:color="auto"/>
        <w:right w:val="none" w:sz="0" w:space="0" w:color="auto"/>
      </w:divBdr>
    </w:div>
    <w:div w:id="977612696">
      <w:marLeft w:val="0"/>
      <w:marRight w:val="0"/>
      <w:marTop w:val="120"/>
      <w:marBottom w:val="120"/>
      <w:divBdr>
        <w:top w:val="none" w:sz="0" w:space="0" w:color="auto"/>
        <w:left w:val="none" w:sz="0" w:space="0" w:color="auto"/>
        <w:bottom w:val="none" w:sz="0" w:space="0" w:color="auto"/>
        <w:right w:val="none" w:sz="0" w:space="0" w:color="auto"/>
      </w:divBdr>
    </w:div>
    <w:div w:id="978923837">
      <w:marLeft w:val="0"/>
      <w:marRight w:val="0"/>
      <w:marTop w:val="0"/>
      <w:marBottom w:val="0"/>
      <w:divBdr>
        <w:top w:val="none" w:sz="0" w:space="0" w:color="auto"/>
        <w:left w:val="none" w:sz="0" w:space="0" w:color="auto"/>
        <w:bottom w:val="none" w:sz="0" w:space="0" w:color="auto"/>
        <w:right w:val="none" w:sz="0" w:space="0" w:color="auto"/>
      </w:divBdr>
      <w:divsChild>
        <w:div w:id="412170616">
          <w:marLeft w:val="0"/>
          <w:marRight w:val="0"/>
          <w:marTop w:val="0"/>
          <w:marBottom w:val="0"/>
          <w:divBdr>
            <w:top w:val="none" w:sz="0" w:space="0" w:color="auto"/>
            <w:left w:val="none" w:sz="0" w:space="0" w:color="auto"/>
            <w:bottom w:val="none" w:sz="0" w:space="0" w:color="auto"/>
            <w:right w:val="none" w:sz="0" w:space="0" w:color="auto"/>
          </w:divBdr>
        </w:div>
      </w:divsChild>
    </w:div>
    <w:div w:id="979379405">
      <w:marLeft w:val="0"/>
      <w:marRight w:val="0"/>
      <w:marTop w:val="0"/>
      <w:marBottom w:val="180"/>
      <w:divBdr>
        <w:top w:val="none" w:sz="0" w:space="0" w:color="auto"/>
        <w:left w:val="none" w:sz="0" w:space="0" w:color="auto"/>
        <w:bottom w:val="none" w:sz="0" w:space="0" w:color="auto"/>
        <w:right w:val="none" w:sz="0" w:space="0" w:color="auto"/>
      </w:divBdr>
    </w:div>
    <w:div w:id="980689940">
      <w:marLeft w:val="0"/>
      <w:marRight w:val="0"/>
      <w:marTop w:val="0"/>
      <w:marBottom w:val="240"/>
      <w:divBdr>
        <w:top w:val="none" w:sz="0" w:space="0" w:color="auto"/>
        <w:left w:val="none" w:sz="0" w:space="0" w:color="auto"/>
        <w:bottom w:val="none" w:sz="0" w:space="0" w:color="auto"/>
        <w:right w:val="none" w:sz="0" w:space="0" w:color="auto"/>
      </w:divBdr>
    </w:div>
    <w:div w:id="982660949">
      <w:marLeft w:val="0"/>
      <w:marRight w:val="0"/>
      <w:marTop w:val="0"/>
      <w:marBottom w:val="0"/>
      <w:divBdr>
        <w:top w:val="none" w:sz="0" w:space="0" w:color="auto"/>
        <w:left w:val="none" w:sz="0" w:space="0" w:color="auto"/>
        <w:bottom w:val="none" w:sz="0" w:space="0" w:color="auto"/>
        <w:right w:val="none" w:sz="0" w:space="0" w:color="auto"/>
      </w:divBdr>
      <w:divsChild>
        <w:div w:id="2138255001">
          <w:marLeft w:val="0"/>
          <w:marRight w:val="0"/>
          <w:marTop w:val="0"/>
          <w:marBottom w:val="0"/>
          <w:divBdr>
            <w:top w:val="none" w:sz="0" w:space="0" w:color="auto"/>
            <w:left w:val="none" w:sz="0" w:space="0" w:color="auto"/>
            <w:bottom w:val="none" w:sz="0" w:space="0" w:color="auto"/>
            <w:right w:val="none" w:sz="0" w:space="0" w:color="auto"/>
          </w:divBdr>
        </w:div>
      </w:divsChild>
    </w:div>
    <w:div w:id="982854220">
      <w:marLeft w:val="0"/>
      <w:marRight w:val="0"/>
      <w:marTop w:val="0"/>
      <w:marBottom w:val="0"/>
      <w:divBdr>
        <w:top w:val="none" w:sz="0" w:space="0" w:color="auto"/>
        <w:left w:val="none" w:sz="0" w:space="0" w:color="auto"/>
        <w:bottom w:val="none" w:sz="0" w:space="0" w:color="auto"/>
        <w:right w:val="none" w:sz="0" w:space="0" w:color="auto"/>
      </w:divBdr>
    </w:div>
    <w:div w:id="983125458">
      <w:marLeft w:val="0"/>
      <w:marRight w:val="0"/>
      <w:marTop w:val="0"/>
      <w:marBottom w:val="240"/>
      <w:divBdr>
        <w:top w:val="none" w:sz="0" w:space="0" w:color="auto"/>
        <w:left w:val="none" w:sz="0" w:space="0" w:color="auto"/>
        <w:bottom w:val="none" w:sz="0" w:space="0" w:color="auto"/>
        <w:right w:val="none" w:sz="0" w:space="0" w:color="auto"/>
      </w:divBdr>
    </w:div>
    <w:div w:id="984358902">
      <w:marLeft w:val="0"/>
      <w:marRight w:val="0"/>
      <w:marTop w:val="120"/>
      <w:marBottom w:val="120"/>
      <w:divBdr>
        <w:top w:val="none" w:sz="0" w:space="0" w:color="auto"/>
        <w:left w:val="none" w:sz="0" w:space="0" w:color="auto"/>
        <w:bottom w:val="none" w:sz="0" w:space="0" w:color="auto"/>
        <w:right w:val="none" w:sz="0" w:space="0" w:color="auto"/>
      </w:divBdr>
    </w:div>
    <w:div w:id="984819383">
      <w:marLeft w:val="0"/>
      <w:marRight w:val="0"/>
      <w:marTop w:val="0"/>
      <w:marBottom w:val="0"/>
      <w:divBdr>
        <w:top w:val="none" w:sz="0" w:space="0" w:color="auto"/>
        <w:left w:val="none" w:sz="0" w:space="0" w:color="auto"/>
        <w:bottom w:val="none" w:sz="0" w:space="0" w:color="auto"/>
        <w:right w:val="none" w:sz="0" w:space="0" w:color="auto"/>
      </w:divBdr>
    </w:div>
    <w:div w:id="986132389">
      <w:marLeft w:val="0"/>
      <w:marRight w:val="0"/>
      <w:marTop w:val="0"/>
      <w:marBottom w:val="240"/>
      <w:divBdr>
        <w:top w:val="none" w:sz="0" w:space="0" w:color="auto"/>
        <w:left w:val="none" w:sz="0" w:space="0" w:color="auto"/>
        <w:bottom w:val="none" w:sz="0" w:space="0" w:color="auto"/>
        <w:right w:val="none" w:sz="0" w:space="0" w:color="auto"/>
      </w:divBdr>
    </w:div>
    <w:div w:id="987443330">
      <w:marLeft w:val="0"/>
      <w:marRight w:val="0"/>
      <w:marTop w:val="0"/>
      <w:marBottom w:val="180"/>
      <w:divBdr>
        <w:top w:val="none" w:sz="0" w:space="0" w:color="auto"/>
        <w:left w:val="none" w:sz="0" w:space="0" w:color="auto"/>
        <w:bottom w:val="none" w:sz="0" w:space="0" w:color="auto"/>
        <w:right w:val="none" w:sz="0" w:space="0" w:color="auto"/>
      </w:divBdr>
    </w:div>
    <w:div w:id="987630482">
      <w:marLeft w:val="0"/>
      <w:marRight w:val="0"/>
      <w:marTop w:val="0"/>
      <w:marBottom w:val="180"/>
      <w:divBdr>
        <w:top w:val="none" w:sz="0" w:space="0" w:color="auto"/>
        <w:left w:val="none" w:sz="0" w:space="0" w:color="auto"/>
        <w:bottom w:val="none" w:sz="0" w:space="0" w:color="auto"/>
        <w:right w:val="none" w:sz="0" w:space="0" w:color="auto"/>
      </w:divBdr>
    </w:div>
    <w:div w:id="987975741">
      <w:marLeft w:val="0"/>
      <w:marRight w:val="0"/>
      <w:marTop w:val="180"/>
      <w:marBottom w:val="180"/>
      <w:divBdr>
        <w:top w:val="none" w:sz="0" w:space="0" w:color="auto"/>
        <w:left w:val="none" w:sz="0" w:space="0" w:color="auto"/>
        <w:bottom w:val="none" w:sz="0" w:space="0" w:color="auto"/>
        <w:right w:val="none" w:sz="0" w:space="0" w:color="auto"/>
      </w:divBdr>
    </w:div>
    <w:div w:id="989559094">
      <w:marLeft w:val="0"/>
      <w:marRight w:val="0"/>
      <w:marTop w:val="0"/>
      <w:marBottom w:val="20"/>
      <w:divBdr>
        <w:top w:val="none" w:sz="0" w:space="0" w:color="auto"/>
        <w:left w:val="none" w:sz="0" w:space="0" w:color="auto"/>
        <w:bottom w:val="none" w:sz="0" w:space="0" w:color="auto"/>
        <w:right w:val="none" w:sz="0" w:space="0" w:color="auto"/>
      </w:divBdr>
    </w:div>
    <w:div w:id="990477848">
      <w:marLeft w:val="0"/>
      <w:marRight w:val="0"/>
      <w:marTop w:val="0"/>
      <w:marBottom w:val="0"/>
      <w:divBdr>
        <w:top w:val="none" w:sz="0" w:space="0" w:color="auto"/>
        <w:left w:val="none" w:sz="0" w:space="0" w:color="auto"/>
        <w:bottom w:val="none" w:sz="0" w:space="0" w:color="auto"/>
        <w:right w:val="none" w:sz="0" w:space="0" w:color="auto"/>
      </w:divBdr>
    </w:div>
    <w:div w:id="990792366">
      <w:marLeft w:val="0"/>
      <w:marRight w:val="0"/>
      <w:marTop w:val="0"/>
      <w:marBottom w:val="240"/>
      <w:divBdr>
        <w:top w:val="none" w:sz="0" w:space="0" w:color="auto"/>
        <w:left w:val="none" w:sz="0" w:space="0" w:color="auto"/>
        <w:bottom w:val="none" w:sz="0" w:space="0" w:color="auto"/>
        <w:right w:val="none" w:sz="0" w:space="0" w:color="auto"/>
      </w:divBdr>
    </w:div>
    <w:div w:id="990794160">
      <w:marLeft w:val="0"/>
      <w:marRight w:val="0"/>
      <w:marTop w:val="0"/>
      <w:marBottom w:val="180"/>
      <w:divBdr>
        <w:top w:val="none" w:sz="0" w:space="0" w:color="auto"/>
        <w:left w:val="none" w:sz="0" w:space="0" w:color="auto"/>
        <w:bottom w:val="none" w:sz="0" w:space="0" w:color="auto"/>
        <w:right w:val="none" w:sz="0" w:space="0" w:color="auto"/>
      </w:divBdr>
    </w:div>
    <w:div w:id="990865407">
      <w:marLeft w:val="0"/>
      <w:marRight w:val="0"/>
      <w:marTop w:val="0"/>
      <w:marBottom w:val="0"/>
      <w:divBdr>
        <w:top w:val="none" w:sz="0" w:space="0" w:color="auto"/>
        <w:left w:val="none" w:sz="0" w:space="0" w:color="auto"/>
        <w:bottom w:val="none" w:sz="0" w:space="0" w:color="auto"/>
        <w:right w:val="none" w:sz="0" w:space="0" w:color="auto"/>
      </w:divBdr>
    </w:div>
    <w:div w:id="990913259">
      <w:marLeft w:val="0"/>
      <w:marRight w:val="0"/>
      <w:marTop w:val="120"/>
      <w:marBottom w:val="120"/>
      <w:divBdr>
        <w:top w:val="none" w:sz="0" w:space="0" w:color="auto"/>
        <w:left w:val="none" w:sz="0" w:space="0" w:color="auto"/>
        <w:bottom w:val="none" w:sz="0" w:space="0" w:color="auto"/>
        <w:right w:val="none" w:sz="0" w:space="0" w:color="auto"/>
      </w:divBdr>
    </w:div>
    <w:div w:id="991715328">
      <w:marLeft w:val="0"/>
      <w:marRight w:val="0"/>
      <w:marTop w:val="0"/>
      <w:marBottom w:val="240"/>
      <w:divBdr>
        <w:top w:val="none" w:sz="0" w:space="0" w:color="auto"/>
        <w:left w:val="none" w:sz="0" w:space="0" w:color="auto"/>
        <w:bottom w:val="none" w:sz="0" w:space="0" w:color="auto"/>
        <w:right w:val="none" w:sz="0" w:space="0" w:color="auto"/>
      </w:divBdr>
    </w:div>
    <w:div w:id="992177708">
      <w:marLeft w:val="0"/>
      <w:marRight w:val="0"/>
      <w:marTop w:val="180"/>
      <w:marBottom w:val="180"/>
      <w:divBdr>
        <w:top w:val="none" w:sz="0" w:space="0" w:color="auto"/>
        <w:left w:val="none" w:sz="0" w:space="0" w:color="auto"/>
        <w:bottom w:val="none" w:sz="0" w:space="0" w:color="auto"/>
        <w:right w:val="none" w:sz="0" w:space="0" w:color="auto"/>
      </w:divBdr>
    </w:div>
    <w:div w:id="993532327">
      <w:marLeft w:val="0"/>
      <w:marRight w:val="0"/>
      <w:marTop w:val="0"/>
      <w:marBottom w:val="180"/>
      <w:divBdr>
        <w:top w:val="none" w:sz="0" w:space="0" w:color="auto"/>
        <w:left w:val="none" w:sz="0" w:space="0" w:color="auto"/>
        <w:bottom w:val="none" w:sz="0" w:space="0" w:color="auto"/>
        <w:right w:val="none" w:sz="0" w:space="0" w:color="auto"/>
      </w:divBdr>
    </w:div>
    <w:div w:id="993753775">
      <w:marLeft w:val="0"/>
      <w:marRight w:val="0"/>
      <w:marTop w:val="0"/>
      <w:marBottom w:val="180"/>
      <w:divBdr>
        <w:top w:val="none" w:sz="0" w:space="0" w:color="auto"/>
        <w:left w:val="none" w:sz="0" w:space="0" w:color="auto"/>
        <w:bottom w:val="none" w:sz="0" w:space="0" w:color="auto"/>
        <w:right w:val="none" w:sz="0" w:space="0" w:color="auto"/>
      </w:divBdr>
    </w:div>
    <w:div w:id="993869980">
      <w:marLeft w:val="0"/>
      <w:marRight w:val="0"/>
      <w:marTop w:val="0"/>
      <w:marBottom w:val="180"/>
      <w:divBdr>
        <w:top w:val="none" w:sz="0" w:space="0" w:color="auto"/>
        <w:left w:val="none" w:sz="0" w:space="0" w:color="auto"/>
        <w:bottom w:val="none" w:sz="0" w:space="0" w:color="auto"/>
        <w:right w:val="none" w:sz="0" w:space="0" w:color="auto"/>
      </w:divBdr>
    </w:div>
    <w:div w:id="996303358">
      <w:marLeft w:val="0"/>
      <w:marRight w:val="0"/>
      <w:marTop w:val="180"/>
      <w:marBottom w:val="180"/>
      <w:divBdr>
        <w:top w:val="none" w:sz="0" w:space="0" w:color="auto"/>
        <w:left w:val="none" w:sz="0" w:space="0" w:color="auto"/>
        <w:bottom w:val="none" w:sz="0" w:space="0" w:color="auto"/>
        <w:right w:val="none" w:sz="0" w:space="0" w:color="auto"/>
      </w:divBdr>
    </w:div>
    <w:div w:id="996346944">
      <w:marLeft w:val="0"/>
      <w:marRight w:val="0"/>
      <w:marTop w:val="0"/>
      <w:marBottom w:val="0"/>
      <w:divBdr>
        <w:top w:val="none" w:sz="0" w:space="0" w:color="auto"/>
        <w:left w:val="none" w:sz="0" w:space="0" w:color="auto"/>
        <w:bottom w:val="none" w:sz="0" w:space="0" w:color="auto"/>
        <w:right w:val="none" w:sz="0" w:space="0" w:color="auto"/>
      </w:divBdr>
    </w:div>
    <w:div w:id="996496463">
      <w:marLeft w:val="0"/>
      <w:marRight w:val="0"/>
      <w:marTop w:val="0"/>
      <w:marBottom w:val="0"/>
      <w:divBdr>
        <w:top w:val="none" w:sz="0" w:space="0" w:color="auto"/>
        <w:left w:val="none" w:sz="0" w:space="0" w:color="auto"/>
        <w:bottom w:val="none" w:sz="0" w:space="0" w:color="auto"/>
        <w:right w:val="none" w:sz="0" w:space="0" w:color="auto"/>
      </w:divBdr>
      <w:divsChild>
        <w:div w:id="1186748497">
          <w:marLeft w:val="0"/>
          <w:marRight w:val="0"/>
          <w:marTop w:val="0"/>
          <w:marBottom w:val="0"/>
          <w:divBdr>
            <w:top w:val="none" w:sz="0" w:space="0" w:color="auto"/>
            <w:left w:val="none" w:sz="0" w:space="0" w:color="auto"/>
            <w:bottom w:val="none" w:sz="0" w:space="0" w:color="auto"/>
            <w:right w:val="none" w:sz="0" w:space="0" w:color="auto"/>
          </w:divBdr>
        </w:div>
      </w:divsChild>
    </w:div>
    <w:div w:id="997076024">
      <w:marLeft w:val="0"/>
      <w:marRight w:val="0"/>
      <w:marTop w:val="0"/>
      <w:marBottom w:val="240"/>
      <w:divBdr>
        <w:top w:val="none" w:sz="0" w:space="0" w:color="auto"/>
        <w:left w:val="none" w:sz="0" w:space="0" w:color="auto"/>
        <w:bottom w:val="none" w:sz="0" w:space="0" w:color="auto"/>
        <w:right w:val="none" w:sz="0" w:space="0" w:color="auto"/>
      </w:divBdr>
    </w:div>
    <w:div w:id="997459832">
      <w:marLeft w:val="0"/>
      <w:marRight w:val="0"/>
      <w:marTop w:val="0"/>
      <w:marBottom w:val="0"/>
      <w:divBdr>
        <w:top w:val="none" w:sz="0" w:space="0" w:color="auto"/>
        <w:left w:val="none" w:sz="0" w:space="0" w:color="auto"/>
        <w:bottom w:val="none" w:sz="0" w:space="0" w:color="auto"/>
        <w:right w:val="none" w:sz="0" w:space="0" w:color="auto"/>
      </w:divBdr>
    </w:div>
    <w:div w:id="997924970">
      <w:marLeft w:val="0"/>
      <w:marRight w:val="0"/>
      <w:marTop w:val="180"/>
      <w:marBottom w:val="240"/>
      <w:divBdr>
        <w:top w:val="none" w:sz="0" w:space="0" w:color="auto"/>
        <w:left w:val="none" w:sz="0" w:space="0" w:color="auto"/>
        <w:bottom w:val="none" w:sz="0" w:space="0" w:color="auto"/>
        <w:right w:val="none" w:sz="0" w:space="0" w:color="auto"/>
      </w:divBdr>
    </w:div>
    <w:div w:id="998342064">
      <w:marLeft w:val="0"/>
      <w:marRight w:val="0"/>
      <w:marTop w:val="100"/>
      <w:marBottom w:val="180"/>
      <w:divBdr>
        <w:top w:val="none" w:sz="0" w:space="0" w:color="auto"/>
        <w:left w:val="none" w:sz="0" w:space="0" w:color="auto"/>
        <w:bottom w:val="none" w:sz="0" w:space="0" w:color="auto"/>
        <w:right w:val="none" w:sz="0" w:space="0" w:color="auto"/>
      </w:divBdr>
    </w:div>
    <w:div w:id="998850207">
      <w:marLeft w:val="0"/>
      <w:marRight w:val="0"/>
      <w:marTop w:val="0"/>
      <w:marBottom w:val="240"/>
      <w:divBdr>
        <w:top w:val="none" w:sz="0" w:space="0" w:color="auto"/>
        <w:left w:val="none" w:sz="0" w:space="0" w:color="auto"/>
        <w:bottom w:val="none" w:sz="0" w:space="0" w:color="auto"/>
        <w:right w:val="none" w:sz="0" w:space="0" w:color="auto"/>
      </w:divBdr>
    </w:div>
    <w:div w:id="998994474">
      <w:marLeft w:val="0"/>
      <w:marRight w:val="0"/>
      <w:marTop w:val="0"/>
      <w:marBottom w:val="0"/>
      <w:divBdr>
        <w:top w:val="none" w:sz="0" w:space="0" w:color="auto"/>
        <w:left w:val="none" w:sz="0" w:space="0" w:color="auto"/>
        <w:bottom w:val="none" w:sz="0" w:space="0" w:color="auto"/>
        <w:right w:val="none" w:sz="0" w:space="0" w:color="auto"/>
      </w:divBdr>
    </w:div>
    <w:div w:id="999429276">
      <w:marLeft w:val="0"/>
      <w:marRight w:val="0"/>
      <w:marTop w:val="0"/>
      <w:marBottom w:val="0"/>
      <w:divBdr>
        <w:top w:val="none" w:sz="0" w:space="0" w:color="auto"/>
        <w:left w:val="none" w:sz="0" w:space="0" w:color="auto"/>
        <w:bottom w:val="none" w:sz="0" w:space="0" w:color="auto"/>
        <w:right w:val="none" w:sz="0" w:space="0" w:color="auto"/>
      </w:divBdr>
    </w:div>
    <w:div w:id="999817933">
      <w:marLeft w:val="0"/>
      <w:marRight w:val="0"/>
      <w:marTop w:val="0"/>
      <w:marBottom w:val="180"/>
      <w:divBdr>
        <w:top w:val="none" w:sz="0" w:space="0" w:color="auto"/>
        <w:left w:val="none" w:sz="0" w:space="0" w:color="auto"/>
        <w:bottom w:val="none" w:sz="0" w:space="0" w:color="auto"/>
        <w:right w:val="none" w:sz="0" w:space="0" w:color="auto"/>
      </w:divBdr>
    </w:div>
    <w:div w:id="999889587">
      <w:marLeft w:val="0"/>
      <w:marRight w:val="0"/>
      <w:marTop w:val="0"/>
      <w:marBottom w:val="0"/>
      <w:divBdr>
        <w:top w:val="none" w:sz="0" w:space="0" w:color="auto"/>
        <w:left w:val="none" w:sz="0" w:space="0" w:color="auto"/>
        <w:bottom w:val="none" w:sz="0" w:space="0" w:color="auto"/>
        <w:right w:val="none" w:sz="0" w:space="0" w:color="auto"/>
      </w:divBdr>
      <w:divsChild>
        <w:div w:id="2095006890">
          <w:marLeft w:val="0"/>
          <w:marRight w:val="0"/>
          <w:marTop w:val="0"/>
          <w:marBottom w:val="0"/>
          <w:divBdr>
            <w:top w:val="none" w:sz="0" w:space="0" w:color="auto"/>
            <w:left w:val="none" w:sz="0" w:space="0" w:color="auto"/>
            <w:bottom w:val="none" w:sz="0" w:space="0" w:color="auto"/>
            <w:right w:val="none" w:sz="0" w:space="0" w:color="auto"/>
          </w:divBdr>
        </w:div>
      </w:divsChild>
    </w:div>
    <w:div w:id="1000429190">
      <w:marLeft w:val="0"/>
      <w:marRight w:val="0"/>
      <w:marTop w:val="0"/>
      <w:marBottom w:val="180"/>
      <w:divBdr>
        <w:top w:val="none" w:sz="0" w:space="0" w:color="auto"/>
        <w:left w:val="none" w:sz="0" w:space="0" w:color="auto"/>
        <w:bottom w:val="none" w:sz="0" w:space="0" w:color="auto"/>
        <w:right w:val="none" w:sz="0" w:space="0" w:color="auto"/>
      </w:divBdr>
    </w:div>
    <w:div w:id="1001735080">
      <w:marLeft w:val="0"/>
      <w:marRight w:val="0"/>
      <w:marTop w:val="0"/>
      <w:marBottom w:val="0"/>
      <w:divBdr>
        <w:top w:val="none" w:sz="0" w:space="0" w:color="auto"/>
        <w:left w:val="none" w:sz="0" w:space="0" w:color="auto"/>
        <w:bottom w:val="none" w:sz="0" w:space="0" w:color="auto"/>
        <w:right w:val="none" w:sz="0" w:space="0" w:color="auto"/>
      </w:divBdr>
      <w:divsChild>
        <w:div w:id="1789741820">
          <w:marLeft w:val="0"/>
          <w:marRight w:val="0"/>
          <w:marTop w:val="0"/>
          <w:marBottom w:val="0"/>
          <w:divBdr>
            <w:top w:val="none" w:sz="0" w:space="0" w:color="auto"/>
            <w:left w:val="none" w:sz="0" w:space="0" w:color="auto"/>
            <w:bottom w:val="none" w:sz="0" w:space="0" w:color="auto"/>
            <w:right w:val="none" w:sz="0" w:space="0" w:color="auto"/>
          </w:divBdr>
        </w:div>
      </w:divsChild>
    </w:div>
    <w:div w:id="1001815431">
      <w:marLeft w:val="0"/>
      <w:marRight w:val="0"/>
      <w:marTop w:val="0"/>
      <w:marBottom w:val="0"/>
      <w:divBdr>
        <w:top w:val="none" w:sz="0" w:space="0" w:color="auto"/>
        <w:left w:val="none" w:sz="0" w:space="0" w:color="auto"/>
        <w:bottom w:val="none" w:sz="0" w:space="0" w:color="auto"/>
        <w:right w:val="none" w:sz="0" w:space="0" w:color="auto"/>
      </w:divBdr>
    </w:div>
    <w:div w:id="1002320745">
      <w:marLeft w:val="0"/>
      <w:marRight w:val="0"/>
      <w:marTop w:val="0"/>
      <w:marBottom w:val="180"/>
      <w:divBdr>
        <w:top w:val="none" w:sz="0" w:space="0" w:color="auto"/>
        <w:left w:val="none" w:sz="0" w:space="0" w:color="auto"/>
        <w:bottom w:val="none" w:sz="0" w:space="0" w:color="auto"/>
        <w:right w:val="none" w:sz="0" w:space="0" w:color="auto"/>
      </w:divBdr>
    </w:div>
    <w:div w:id="1003045534">
      <w:marLeft w:val="0"/>
      <w:marRight w:val="0"/>
      <w:marTop w:val="100"/>
      <w:marBottom w:val="0"/>
      <w:divBdr>
        <w:top w:val="none" w:sz="0" w:space="0" w:color="auto"/>
        <w:left w:val="none" w:sz="0" w:space="0" w:color="auto"/>
        <w:bottom w:val="none" w:sz="0" w:space="0" w:color="auto"/>
        <w:right w:val="none" w:sz="0" w:space="0" w:color="auto"/>
      </w:divBdr>
    </w:div>
    <w:div w:id="1003514927">
      <w:marLeft w:val="0"/>
      <w:marRight w:val="0"/>
      <w:marTop w:val="0"/>
      <w:marBottom w:val="0"/>
      <w:divBdr>
        <w:top w:val="none" w:sz="0" w:space="0" w:color="auto"/>
        <w:left w:val="none" w:sz="0" w:space="0" w:color="auto"/>
        <w:bottom w:val="none" w:sz="0" w:space="0" w:color="auto"/>
        <w:right w:val="none" w:sz="0" w:space="0" w:color="auto"/>
      </w:divBdr>
    </w:div>
    <w:div w:id="1003825657">
      <w:marLeft w:val="0"/>
      <w:marRight w:val="0"/>
      <w:marTop w:val="180"/>
      <w:marBottom w:val="0"/>
      <w:divBdr>
        <w:top w:val="none" w:sz="0" w:space="0" w:color="auto"/>
        <w:left w:val="none" w:sz="0" w:space="0" w:color="auto"/>
        <w:bottom w:val="none" w:sz="0" w:space="0" w:color="auto"/>
        <w:right w:val="none" w:sz="0" w:space="0" w:color="auto"/>
      </w:divBdr>
    </w:div>
    <w:div w:id="1004434841">
      <w:marLeft w:val="0"/>
      <w:marRight w:val="0"/>
      <w:marTop w:val="120"/>
      <w:marBottom w:val="120"/>
      <w:divBdr>
        <w:top w:val="none" w:sz="0" w:space="0" w:color="auto"/>
        <w:left w:val="none" w:sz="0" w:space="0" w:color="auto"/>
        <w:bottom w:val="none" w:sz="0" w:space="0" w:color="auto"/>
        <w:right w:val="none" w:sz="0" w:space="0" w:color="auto"/>
      </w:divBdr>
    </w:div>
    <w:div w:id="1004473141">
      <w:marLeft w:val="0"/>
      <w:marRight w:val="0"/>
      <w:marTop w:val="120"/>
      <w:marBottom w:val="120"/>
      <w:divBdr>
        <w:top w:val="none" w:sz="0" w:space="0" w:color="auto"/>
        <w:left w:val="none" w:sz="0" w:space="0" w:color="auto"/>
        <w:bottom w:val="none" w:sz="0" w:space="0" w:color="auto"/>
        <w:right w:val="none" w:sz="0" w:space="0" w:color="auto"/>
      </w:divBdr>
    </w:div>
    <w:div w:id="1004473908">
      <w:marLeft w:val="0"/>
      <w:marRight w:val="0"/>
      <w:marTop w:val="0"/>
      <w:marBottom w:val="240"/>
      <w:divBdr>
        <w:top w:val="none" w:sz="0" w:space="0" w:color="auto"/>
        <w:left w:val="none" w:sz="0" w:space="0" w:color="auto"/>
        <w:bottom w:val="none" w:sz="0" w:space="0" w:color="auto"/>
        <w:right w:val="none" w:sz="0" w:space="0" w:color="auto"/>
      </w:divBdr>
    </w:div>
    <w:div w:id="1006052633">
      <w:marLeft w:val="0"/>
      <w:marRight w:val="0"/>
      <w:marTop w:val="0"/>
      <w:marBottom w:val="180"/>
      <w:divBdr>
        <w:top w:val="none" w:sz="0" w:space="0" w:color="auto"/>
        <w:left w:val="none" w:sz="0" w:space="0" w:color="auto"/>
        <w:bottom w:val="none" w:sz="0" w:space="0" w:color="auto"/>
        <w:right w:val="none" w:sz="0" w:space="0" w:color="auto"/>
      </w:divBdr>
    </w:div>
    <w:div w:id="1006396156">
      <w:marLeft w:val="0"/>
      <w:marRight w:val="0"/>
      <w:marTop w:val="0"/>
      <w:marBottom w:val="0"/>
      <w:divBdr>
        <w:top w:val="none" w:sz="0" w:space="0" w:color="auto"/>
        <w:left w:val="none" w:sz="0" w:space="0" w:color="auto"/>
        <w:bottom w:val="none" w:sz="0" w:space="0" w:color="auto"/>
        <w:right w:val="none" w:sz="0" w:space="0" w:color="auto"/>
      </w:divBdr>
      <w:divsChild>
        <w:div w:id="838500176">
          <w:marLeft w:val="0"/>
          <w:marRight w:val="0"/>
          <w:marTop w:val="0"/>
          <w:marBottom w:val="0"/>
          <w:divBdr>
            <w:top w:val="none" w:sz="0" w:space="0" w:color="auto"/>
            <w:left w:val="none" w:sz="0" w:space="0" w:color="auto"/>
            <w:bottom w:val="none" w:sz="0" w:space="0" w:color="auto"/>
            <w:right w:val="none" w:sz="0" w:space="0" w:color="auto"/>
          </w:divBdr>
        </w:div>
      </w:divsChild>
    </w:div>
    <w:div w:id="1006786854">
      <w:marLeft w:val="0"/>
      <w:marRight w:val="0"/>
      <w:marTop w:val="180"/>
      <w:marBottom w:val="180"/>
      <w:divBdr>
        <w:top w:val="none" w:sz="0" w:space="0" w:color="auto"/>
        <w:left w:val="none" w:sz="0" w:space="0" w:color="auto"/>
        <w:bottom w:val="none" w:sz="0" w:space="0" w:color="auto"/>
        <w:right w:val="none" w:sz="0" w:space="0" w:color="auto"/>
      </w:divBdr>
    </w:div>
    <w:div w:id="1006859947">
      <w:marLeft w:val="0"/>
      <w:marRight w:val="0"/>
      <w:marTop w:val="0"/>
      <w:marBottom w:val="0"/>
      <w:divBdr>
        <w:top w:val="none" w:sz="0" w:space="0" w:color="auto"/>
        <w:left w:val="none" w:sz="0" w:space="0" w:color="auto"/>
        <w:bottom w:val="none" w:sz="0" w:space="0" w:color="auto"/>
        <w:right w:val="none" w:sz="0" w:space="0" w:color="auto"/>
      </w:divBdr>
    </w:div>
    <w:div w:id="1006907531">
      <w:marLeft w:val="0"/>
      <w:marRight w:val="0"/>
      <w:marTop w:val="180"/>
      <w:marBottom w:val="180"/>
      <w:divBdr>
        <w:top w:val="none" w:sz="0" w:space="0" w:color="auto"/>
        <w:left w:val="none" w:sz="0" w:space="0" w:color="auto"/>
        <w:bottom w:val="none" w:sz="0" w:space="0" w:color="auto"/>
        <w:right w:val="none" w:sz="0" w:space="0" w:color="auto"/>
      </w:divBdr>
    </w:div>
    <w:div w:id="1010529153">
      <w:marLeft w:val="0"/>
      <w:marRight w:val="0"/>
      <w:marTop w:val="0"/>
      <w:marBottom w:val="180"/>
      <w:divBdr>
        <w:top w:val="none" w:sz="0" w:space="0" w:color="auto"/>
        <w:left w:val="none" w:sz="0" w:space="0" w:color="auto"/>
        <w:bottom w:val="none" w:sz="0" w:space="0" w:color="auto"/>
        <w:right w:val="none" w:sz="0" w:space="0" w:color="auto"/>
      </w:divBdr>
    </w:div>
    <w:div w:id="1010722427">
      <w:marLeft w:val="0"/>
      <w:marRight w:val="0"/>
      <w:marTop w:val="100"/>
      <w:marBottom w:val="0"/>
      <w:divBdr>
        <w:top w:val="none" w:sz="0" w:space="0" w:color="auto"/>
        <w:left w:val="none" w:sz="0" w:space="0" w:color="auto"/>
        <w:bottom w:val="none" w:sz="0" w:space="0" w:color="auto"/>
        <w:right w:val="none" w:sz="0" w:space="0" w:color="auto"/>
      </w:divBdr>
    </w:div>
    <w:div w:id="1010764855">
      <w:marLeft w:val="0"/>
      <w:marRight w:val="0"/>
      <w:marTop w:val="0"/>
      <w:marBottom w:val="0"/>
      <w:divBdr>
        <w:top w:val="none" w:sz="0" w:space="0" w:color="auto"/>
        <w:left w:val="none" w:sz="0" w:space="0" w:color="auto"/>
        <w:bottom w:val="none" w:sz="0" w:space="0" w:color="auto"/>
        <w:right w:val="none" w:sz="0" w:space="0" w:color="auto"/>
      </w:divBdr>
      <w:divsChild>
        <w:div w:id="962730701">
          <w:marLeft w:val="0"/>
          <w:marRight w:val="0"/>
          <w:marTop w:val="0"/>
          <w:marBottom w:val="180"/>
          <w:divBdr>
            <w:top w:val="none" w:sz="0" w:space="0" w:color="auto"/>
            <w:left w:val="none" w:sz="0" w:space="0" w:color="auto"/>
            <w:bottom w:val="none" w:sz="0" w:space="0" w:color="auto"/>
            <w:right w:val="none" w:sz="0" w:space="0" w:color="auto"/>
          </w:divBdr>
        </w:div>
      </w:divsChild>
    </w:div>
    <w:div w:id="1012534550">
      <w:marLeft w:val="0"/>
      <w:marRight w:val="0"/>
      <w:marTop w:val="0"/>
      <w:marBottom w:val="240"/>
      <w:divBdr>
        <w:top w:val="none" w:sz="0" w:space="0" w:color="auto"/>
        <w:left w:val="none" w:sz="0" w:space="0" w:color="auto"/>
        <w:bottom w:val="none" w:sz="0" w:space="0" w:color="auto"/>
        <w:right w:val="none" w:sz="0" w:space="0" w:color="auto"/>
      </w:divBdr>
    </w:div>
    <w:div w:id="1012685780">
      <w:marLeft w:val="0"/>
      <w:marRight w:val="0"/>
      <w:marTop w:val="180"/>
      <w:marBottom w:val="180"/>
      <w:divBdr>
        <w:top w:val="none" w:sz="0" w:space="0" w:color="auto"/>
        <w:left w:val="none" w:sz="0" w:space="0" w:color="auto"/>
        <w:bottom w:val="none" w:sz="0" w:space="0" w:color="auto"/>
        <w:right w:val="none" w:sz="0" w:space="0" w:color="auto"/>
      </w:divBdr>
    </w:div>
    <w:div w:id="1014721141">
      <w:marLeft w:val="0"/>
      <w:marRight w:val="0"/>
      <w:marTop w:val="0"/>
      <w:marBottom w:val="180"/>
      <w:divBdr>
        <w:top w:val="none" w:sz="0" w:space="0" w:color="auto"/>
        <w:left w:val="none" w:sz="0" w:space="0" w:color="auto"/>
        <w:bottom w:val="none" w:sz="0" w:space="0" w:color="auto"/>
        <w:right w:val="none" w:sz="0" w:space="0" w:color="auto"/>
      </w:divBdr>
    </w:div>
    <w:div w:id="1015308825">
      <w:marLeft w:val="0"/>
      <w:marRight w:val="0"/>
      <w:marTop w:val="0"/>
      <w:marBottom w:val="180"/>
      <w:divBdr>
        <w:top w:val="none" w:sz="0" w:space="0" w:color="auto"/>
        <w:left w:val="none" w:sz="0" w:space="0" w:color="auto"/>
        <w:bottom w:val="none" w:sz="0" w:space="0" w:color="auto"/>
        <w:right w:val="none" w:sz="0" w:space="0" w:color="auto"/>
      </w:divBdr>
    </w:div>
    <w:div w:id="1017317134">
      <w:marLeft w:val="0"/>
      <w:marRight w:val="0"/>
      <w:marTop w:val="0"/>
      <w:marBottom w:val="0"/>
      <w:divBdr>
        <w:top w:val="none" w:sz="0" w:space="0" w:color="auto"/>
        <w:left w:val="none" w:sz="0" w:space="0" w:color="auto"/>
        <w:bottom w:val="none" w:sz="0" w:space="0" w:color="auto"/>
        <w:right w:val="none" w:sz="0" w:space="0" w:color="auto"/>
      </w:divBdr>
      <w:divsChild>
        <w:div w:id="739522362">
          <w:marLeft w:val="0"/>
          <w:marRight w:val="0"/>
          <w:marTop w:val="0"/>
          <w:marBottom w:val="0"/>
          <w:divBdr>
            <w:top w:val="none" w:sz="0" w:space="0" w:color="auto"/>
            <w:left w:val="none" w:sz="0" w:space="0" w:color="auto"/>
            <w:bottom w:val="none" w:sz="0" w:space="0" w:color="auto"/>
            <w:right w:val="none" w:sz="0" w:space="0" w:color="auto"/>
          </w:divBdr>
        </w:div>
      </w:divsChild>
    </w:div>
    <w:div w:id="1018198427">
      <w:marLeft w:val="0"/>
      <w:marRight w:val="0"/>
      <w:marTop w:val="180"/>
      <w:marBottom w:val="180"/>
      <w:divBdr>
        <w:top w:val="none" w:sz="0" w:space="0" w:color="auto"/>
        <w:left w:val="none" w:sz="0" w:space="0" w:color="auto"/>
        <w:bottom w:val="none" w:sz="0" w:space="0" w:color="auto"/>
        <w:right w:val="none" w:sz="0" w:space="0" w:color="auto"/>
      </w:divBdr>
    </w:div>
    <w:div w:id="1018199892">
      <w:marLeft w:val="0"/>
      <w:marRight w:val="0"/>
      <w:marTop w:val="0"/>
      <w:marBottom w:val="0"/>
      <w:divBdr>
        <w:top w:val="none" w:sz="0" w:space="0" w:color="auto"/>
        <w:left w:val="none" w:sz="0" w:space="0" w:color="auto"/>
        <w:bottom w:val="none" w:sz="0" w:space="0" w:color="auto"/>
        <w:right w:val="none" w:sz="0" w:space="0" w:color="auto"/>
      </w:divBdr>
    </w:div>
    <w:div w:id="1018892536">
      <w:marLeft w:val="0"/>
      <w:marRight w:val="0"/>
      <w:marTop w:val="0"/>
      <w:marBottom w:val="240"/>
      <w:divBdr>
        <w:top w:val="none" w:sz="0" w:space="0" w:color="auto"/>
        <w:left w:val="none" w:sz="0" w:space="0" w:color="auto"/>
        <w:bottom w:val="none" w:sz="0" w:space="0" w:color="auto"/>
        <w:right w:val="none" w:sz="0" w:space="0" w:color="auto"/>
      </w:divBdr>
    </w:div>
    <w:div w:id="1018971988">
      <w:marLeft w:val="0"/>
      <w:marRight w:val="0"/>
      <w:marTop w:val="0"/>
      <w:marBottom w:val="240"/>
      <w:divBdr>
        <w:top w:val="none" w:sz="0" w:space="0" w:color="auto"/>
        <w:left w:val="none" w:sz="0" w:space="0" w:color="auto"/>
        <w:bottom w:val="none" w:sz="0" w:space="0" w:color="auto"/>
        <w:right w:val="none" w:sz="0" w:space="0" w:color="auto"/>
      </w:divBdr>
    </w:div>
    <w:div w:id="1021005715">
      <w:marLeft w:val="0"/>
      <w:marRight w:val="0"/>
      <w:marTop w:val="0"/>
      <w:marBottom w:val="0"/>
      <w:divBdr>
        <w:top w:val="none" w:sz="0" w:space="0" w:color="auto"/>
        <w:left w:val="none" w:sz="0" w:space="0" w:color="auto"/>
        <w:bottom w:val="none" w:sz="0" w:space="0" w:color="auto"/>
        <w:right w:val="none" w:sz="0" w:space="0" w:color="auto"/>
      </w:divBdr>
    </w:div>
    <w:div w:id="1021394317">
      <w:marLeft w:val="0"/>
      <w:marRight w:val="0"/>
      <w:marTop w:val="0"/>
      <w:marBottom w:val="0"/>
      <w:divBdr>
        <w:top w:val="none" w:sz="0" w:space="0" w:color="auto"/>
        <w:left w:val="none" w:sz="0" w:space="0" w:color="auto"/>
        <w:bottom w:val="none" w:sz="0" w:space="0" w:color="auto"/>
        <w:right w:val="none" w:sz="0" w:space="0" w:color="auto"/>
      </w:divBdr>
    </w:div>
    <w:div w:id="1022051238">
      <w:marLeft w:val="0"/>
      <w:marRight w:val="0"/>
      <w:marTop w:val="0"/>
      <w:marBottom w:val="240"/>
      <w:divBdr>
        <w:top w:val="none" w:sz="0" w:space="0" w:color="auto"/>
        <w:left w:val="none" w:sz="0" w:space="0" w:color="auto"/>
        <w:bottom w:val="none" w:sz="0" w:space="0" w:color="auto"/>
        <w:right w:val="none" w:sz="0" w:space="0" w:color="auto"/>
      </w:divBdr>
    </w:div>
    <w:div w:id="1022629363">
      <w:marLeft w:val="0"/>
      <w:marRight w:val="0"/>
      <w:marTop w:val="180"/>
      <w:marBottom w:val="180"/>
      <w:divBdr>
        <w:top w:val="none" w:sz="0" w:space="0" w:color="auto"/>
        <w:left w:val="none" w:sz="0" w:space="0" w:color="auto"/>
        <w:bottom w:val="none" w:sz="0" w:space="0" w:color="auto"/>
        <w:right w:val="none" w:sz="0" w:space="0" w:color="auto"/>
      </w:divBdr>
    </w:div>
    <w:div w:id="1024091418">
      <w:marLeft w:val="0"/>
      <w:marRight w:val="0"/>
      <w:marTop w:val="0"/>
      <w:marBottom w:val="0"/>
      <w:divBdr>
        <w:top w:val="none" w:sz="0" w:space="0" w:color="auto"/>
        <w:left w:val="none" w:sz="0" w:space="0" w:color="auto"/>
        <w:bottom w:val="none" w:sz="0" w:space="0" w:color="auto"/>
        <w:right w:val="none" w:sz="0" w:space="0" w:color="auto"/>
      </w:divBdr>
    </w:div>
    <w:div w:id="1024281437">
      <w:marLeft w:val="0"/>
      <w:marRight w:val="0"/>
      <w:marTop w:val="0"/>
      <w:marBottom w:val="240"/>
      <w:divBdr>
        <w:top w:val="none" w:sz="0" w:space="0" w:color="auto"/>
        <w:left w:val="none" w:sz="0" w:space="0" w:color="auto"/>
        <w:bottom w:val="none" w:sz="0" w:space="0" w:color="auto"/>
        <w:right w:val="none" w:sz="0" w:space="0" w:color="auto"/>
      </w:divBdr>
    </w:div>
    <w:div w:id="1024675987">
      <w:marLeft w:val="0"/>
      <w:marRight w:val="0"/>
      <w:marTop w:val="0"/>
      <w:marBottom w:val="240"/>
      <w:divBdr>
        <w:top w:val="none" w:sz="0" w:space="0" w:color="auto"/>
        <w:left w:val="none" w:sz="0" w:space="0" w:color="auto"/>
        <w:bottom w:val="none" w:sz="0" w:space="0" w:color="auto"/>
        <w:right w:val="none" w:sz="0" w:space="0" w:color="auto"/>
      </w:divBdr>
    </w:div>
    <w:div w:id="1024985158">
      <w:marLeft w:val="0"/>
      <w:marRight w:val="0"/>
      <w:marTop w:val="0"/>
      <w:marBottom w:val="0"/>
      <w:divBdr>
        <w:top w:val="none" w:sz="0" w:space="0" w:color="auto"/>
        <w:left w:val="none" w:sz="0" w:space="0" w:color="auto"/>
        <w:bottom w:val="none" w:sz="0" w:space="0" w:color="auto"/>
        <w:right w:val="none" w:sz="0" w:space="0" w:color="auto"/>
      </w:divBdr>
      <w:divsChild>
        <w:div w:id="2034379817">
          <w:marLeft w:val="0"/>
          <w:marRight w:val="0"/>
          <w:marTop w:val="0"/>
          <w:marBottom w:val="0"/>
          <w:divBdr>
            <w:top w:val="none" w:sz="0" w:space="0" w:color="auto"/>
            <w:left w:val="none" w:sz="0" w:space="0" w:color="auto"/>
            <w:bottom w:val="none" w:sz="0" w:space="0" w:color="auto"/>
            <w:right w:val="none" w:sz="0" w:space="0" w:color="auto"/>
          </w:divBdr>
        </w:div>
      </w:divsChild>
    </w:div>
    <w:div w:id="1025861113">
      <w:marLeft w:val="0"/>
      <w:marRight w:val="0"/>
      <w:marTop w:val="180"/>
      <w:marBottom w:val="180"/>
      <w:divBdr>
        <w:top w:val="none" w:sz="0" w:space="0" w:color="auto"/>
        <w:left w:val="none" w:sz="0" w:space="0" w:color="auto"/>
        <w:bottom w:val="none" w:sz="0" w:space="0" w:color="auto"/>
        <w:right w:val="none" w:sz="0" w:space="0" w:color="auto"/>
      </w:divBdr>
    </w:div>
    <w:div w:id="1025866815">
      <w:marLeft w:val="0"/>
      <w:marRight w:val="0"/>
      <w:marTop w:val="0"/>
      <w:marBottom w:val="240"/>
      <w:divBdr>
        <w:top w:val="none" w:sz="0" w:space="0" w:color="auto"/>
        <w:left w:val="none" w:sz="0" w:space="0" w:color="auto"/>
        <w:bottom w:val="none" w:sz="0" w:space="0" w:color="auto"/>
        <w:right w:val="none" w:sz="0" w:space="0" w:color="auto"/>
      </w:divBdr>
    </w:div>
    <w:div w:id="1025985387">
      <w:marLeft w:val="0"/>
      <w:marRight w:val="0"/>
      <w:marTop w:val="0"/>
      <w:marBottom w:val="240"/>
      <w:divBdr>
        <w:top w:val="none" w:sz="0" w:space="0" w:color="auto"/>
        <w:left w:val="none" w:sz="0" w:space="0" w:color="auto"/>
        <w:bottom w:val="none" w:sz="0" w:space="0" w:color="auto"/>
        <w:right w:val="none" w:sz="0" w:space="0" w:color="auto"/>
      </w:divBdr>
    </w:div>
    <w:div w:id="1026517263">
      <w:marLeft w:val="0"/>
      <w:marRight w:val="0"/>
      <w:marTop w:val="0"/>
      <w:marBottom w:val="180"/>
      <w:divBdr>
        <w:top w:val="none" w:sz="0" w:space="0" w:color="auto"/>
        <w:left w:val="none" w:sz="0" w:space="0" w:color="auto"/>
        <w:bottom w:val="none" w:sz="0" w:space="0" w:color="auto"/>
        <w:right w:val="none" w:sz="0" w:space="0" w:color="auto"/>
      </w:divBdr>
    </w:div>
    <w:div w:id="1029188462">
      <w:marLeft w:val="0"/>
      <w:marRight w:val="0"/>
      <w:marTop w:val="0"/>
      <w:marBottom w:val="240"/>
      <w:divBdr>
        <w:top w:val="none" w:sz="0" w:space="0" w:color="auto"/>
        <w:left w:val="none" w:sz="0" w:space="0" w:color="auto"/>
        <w:bottom w:val="none" w:sz="0" w:space="0" w:color="auto"/>
        <w:right w:val="none" w:sz="0" w:space="0" w:color="auto"/>
      </w:divBdr>
    </w:div>
    <w:div w:id="1029914174">
      <w:marLeft w:val="0"/>
      <w:marRight w:val="0"/>
      <w:marTop w:val="0"/>
      <w:marBottom w:val="0"/>
      <w:divBdr>
        <w:top w:val="none" w:sz="0" w:space="0" w:color="auto"/>
        <w:left w:val="none" w:sz="0" w:space="0" w:color="auto"/>
        <w:bottom w:val="none" w:sz="0" w:space="0" w:color="auto"/>
        <w:right w:val="none" w:sz="0" w:space="0" w:color="auto"/>
      </w:divBdr>
      <w:divsChild>
        <w:div w:id="982780456">
          <w:marLeft w:val="0"/>
          <w:marRight w:val="0"/>
          <w:marTop w:val="0"/>
          <w:marBottom w:val="0"/>
          <w:divBdr>
            <w:top w:val="none" w:sz="0" w:space="0" w:color="auto"/>
            <w:left w:val="none" w:sz="0" w:space="0" w:color="auto"/>
            <w:bottom w:val="none" w:sz="0" w:space="0" w:color="auto"/>
            <w:right w:val="none" w:sz="0" w:space="0" w:color="auto"/>
          </w:divBdr>
        </w:div>
      </w:divsChild>
    </w:div>
    <w:div w:id="1030842783">
      <w:marLeft w:val="0"/>
      <w:marRight w:val="0"/>
      <w:marTop w:val="120"/>
      <w:marBottom w:val="120"/>
      <w:divBdr>
        <w:top w:val="none" w:sz="0" w:space="0" w:color="auto"/>
        <w:left w:val="none" w:sz="0" w:space="0" w:color="auto"/>
        <w:bottom w:val="none" w:sz="0" w:space="0" w:color="auto"/>
        <w:right w:val="none" w:sz="0" w:space="0" w:color="auto"/>
      </w:divBdr>
    </w:div>
    <w:div w:id="1031151084">
      <w:marLeft w:val="0"/>
      <w:marRight w:val="0"/>
      <w:marTop w:val="180"/>
      <w:marBottom w:val="180"/>
      <w:divBdr>
        <w:top w:val="none" w:sz="0" w:space="0" w:color="auto"/>
        <w:left w:val="none" w:sz="0" w:space="0" w:color="auto"/>
        <w:bottom w:val="none" w:sz="0" w:space="0" w:color="auto"/>
        <w:right w:val="none" w:sz="0" w:space="0" w:color="auto"/>
      </w:divBdr>
    </w:div>
    <w:div w:id="1031224080">
      <w:marLeft w:val="0"/>
      <w:marRight w:val="0"/>
      <w:marTop w:val="0"/>
      <w:marBottom w:val="240"/>
      <w:divBdr>
        <w:top w:val="none" w:sz="0" w:space="0" w:color="auto"/>
        <w:left w:val="none" w:sz="0" w:space="0" w:color="auto"/>
        <w:bottom w:val="none" w:sz="0" w:space="0" w:color="auto"/>
        <w:right w:val="none" w:sz="0" w:space="0" w:color="auto"/>
      </w:divBdr>
    </w:div>
    <w:div w:id="1031345222">
      <w:marLeft w:val="0"/>
      <w:marRight w:val="0"/>
      <w:marTop w:val="0"/>
      <w:marBottom w:val="180"/>
      <w:divBdr>
        <w:top w:val="none" w:sz="0" w:space="0" w:color="auto"/>
        <w:left w:val="none" w:sz="0" w:space="0" w:color="auto"/>
        <w:bottom w:val="none" w:sz="0" w:space="0" w:color="auto"/>
        <w:right w:val="none" w:sz="0" w:space="0" w:color="auto"/>
      </w:divBdr>
    </w:div>
    <w:div w:id="1031762514">
      <w:marLeft w:val="0"/>
      <w:marRight w:val="0"/>
      <w:marTop w:val="180"/>
      <w:marBottom w:val="180"/>
      <w:divBdr>
        <w:top w:val="none" w:sz="0" w:space="0" w:color="auto"/>
        <w:left w:val="none" w:sz="0" w:space="0" w:color="auto"/>
        <w:bottom w:val="none" w:sz="0" w:space="0" w:color="auto"/>
        <w:right w:val="none" w:sz="0" w:space="0" w:color="auto"/>
      </w:divBdr>
    </w:div>
    <w:div w:id="1031801182">
      <w:marLeft w:val="0"/>
      <w:marRight w:val="0"/>
      <w:marTop w:val="0"/>
      <w:marBottom w:val="0"/>
      <w:divBdr>
        <w:top w:val="none" w:sz="0" w:space="0" w:color="auto"/>
        <w:left w:val="none" w:sz="0" w:space="0" w:color="auto"/>
        <w:bottom w:val="none" w:sz="0" w:space="0" w:color="auto"/>
        <w:right w:val="none" w:sz="0" w:space="0" w:color="auto"/>
      </w:divBdr>
    </w:div>
    <w:div w:id="1032196290">
      <w:marLeft w:val="0"/>
      <w:marRight w:val="0"/>
      <w:marTop w:val="0"/>
      <w:marBottom w:val="240"/>
      <w:divBdr>
        <w:top w:val="none" w:sz="0" w:space="0" w:color="auto"/>
        <w:left w:val="none" w:sz="0" w:space="0" w:color="auto"/>
        <w:bottom w:val="none" w:sz="0" w:space="0" w:color="auto"/>
        <w:right w:val="none" w:sz="0" w:space="0" w:color="auto"/>
      </w:divBdr>
    </w:div>
    <w:div w:id="1032343527">
      <w:marLeft w:val="0"/>
      <w:marRight w:val="0"/>
      <w:marTop w:val="0"/>
      <w:marBottom w:val="180"/>
      <w:divBdr>
        <w:top w:val="none" w:sz="0" w:space="0" w:color="auto"/>
        <w:left w:val="none" w:sz="0" w:space="0" w:color="auto"/>
        <w:bottom w:val="none" w:sz="0" w:space="0" w:color="auto"/>
        <w:right w:val="none" w:sz="0" w:space="0" w:color="auto"/>
      </w:divBdr>
    </w:div>
    <w:div w:id="1032729370">
      <w:marLeft w:val="0"/>
      <w:marRight w:val="0"/>
      <w:marTop w:val="180"/>
      <w:marBottom w:val="180"/>
      <w:divBdr>
        <w:top w:val="none" w:sz="0" w:space="0" w:color="auto"/>
        <w:left w:val="none" w:sz="0" w:space="0" w:color="auto"/>
        <w:bottom w:val="none" w:sz="0" w:space="0" w:color="auto"/>
        <w:right w:val="none" w:sz="0" w:space="0" w:color="auto"/>
      </w:divBdr>
    </w:div>
    <w:div w:id="1033458954">
      <w:marLeft w:val="0"/>
      <w:marRight w:val="0"/>
      <w:marTop w:val="0"/>
      <w:marBottom w:val="180"/>
      <w:divBdr>
        <w:top w:val="none" w:sz="0" w:space="0" w:color="auto"/>
        <w:left w:val="none" w:sz="0" w:space="0" w:color="auto"/>
        <w:bottom w:val="none" w:sz="0" w:space="0" w:color="auto"/>
        <w:right w:val="none" w:sz="0" w:space="0" w:color="auto"/>
      </w:divBdr>
    </w:div>
    <w:div w:id="1034188122">
      <w:marLeft w:val="0"/>
      <w:marRight w:val="0"/>
      <w:marTop w:val="0"/>
      <w:marBottom w:val="180"/>
      <w:divBdr>
        <w:top w:val="none" w:sz="0" w:space="0" w:color="auto"/>
        <w:left w:val="none" w:sz="0" w:space="0" w:color="auto"/>
        <w:bottom w:val="none" w:sz="0" w:space="0" w:color="auto"/>
        <w:right w:val="none" w:sz="0" w:space="0" w:color="auto"/>
      </w:divBdr>
    </w:div>
    <w:div w:id="1034501490">
      <w:marLeft w:val="0"/>
      <w:marRight w:val="0"/>
      <w:marTop w:val="0"/>
      <w:marBottom w:val="240"/>
      <w:divBdr>
        <w:top w:val="none" w:sz="0" w:space="0" w:color="auto"/>
        <w:left w:val="none" w:sz="0" w:space="0" w:color="auto"/>
        <w:bottom w:val="none" w:sz="0" w:space="0" w:color="auto"/>
        <w:right w:val="none" w:sz="0" w:space="0" w:color="auto"/>
      </w:divBdr>
    </w:div>
    <w:div w:id="1034844518">
      <w:marLeft w:val="0"/>
      <w:marRight w:val="0"/>
      <w:marTop w:val="180"/>
      <w:marBottom w:val="180"/>
      <w:divBdr>
        <w:top w:val="none" w:sz="0" w:space="0" w:color="auto"/>
        <w:left w:val="none" w:sz="0" w:space="0" w:color="auto"/>
        <w:bottom w:val="none" w:sz="0" w:space="0" w:color="auto"/>
        <w:right w:val="none" w:sz="0" w:space="0" w:color="auto"/>
      </w:divBdr>
    </w:div>
    <w:div w:id="1035042729">
      <w:marLeft w:val="0"/>
      <w:marRight w:val="0"/>
      <w:marTop w:val="0"/>
      <w:marBottom w:val="180"/>
      <w:divBdr>
        <w:top w:val="none" w:sz="0" w:space="0" w:color="auto"/>
        <w:left w:val="none" w:sz="0" w:space="0" w:color="auto"/>
        <w:bottom w:val="none" w:sz="0" w:space="0" w:color="auto"/>
        <w:right w:val="none" w:sz="0" w:space="0" w:color="auto"/>
      </w:divBdr>
    </w:div>
    <w:div w:id="1035622650">
      <w:marLeft w:val="0"/>
      <w:marRight w:val="0"/>
      <w:marTop w:val="180"/>
      <w:marBottom w:val="180"/>
      <w:divBdr>
        <w:top w:val="none" w:sz="0" w:space="0" w:color="auto"/>
        <w:left w:val="none" w:sz="0" w:space="0" w:color="auto"/>
        <w:bottom w:val="none" w:sz="0" w:space="0" w:color="auto"/>
        <w:right w:val="none" w:sz="0" w:space="0" w:color="auto"/>
      </w:divBdr>
    </w:div>
    <w:div w:id="1035737735">
      <w:marLeft w:val="0"/>
      <w:marRight w:val="0"/>
      <w:marTop w:val="0"/>
      <w:marBottom w:val="0"/>
      <w:divBdr>
        <w:top w:val="none" w:sz="0" w:space="0" w:color="auto"/>
        <w:left w:val="none" w:sz="0" w:space="0" w:color="auto"/>
        <w:bottom w:val="none" w:sz="0" w:space="0" w:color="auto"/>
        <w:right w:val="none" w:sz="0" w:space="0" w:color="auto"/>
      </w:divBdr>
      <w:divsChild>
        <w:div w:id="1887790209">
          <w:marLeft w:val="0"/>
          <w:marRight w:val="0"/>
          <w:marTop w:val="0"/>
          <w:marBottom w:val="0"/>
          <w:divBdr>
            <w:top w:val="none" w:sz="0" w:space="0" w:color="auto"/>
            <w:left w:val="none" w:sz="0" w:space="0" w:color="auto"/>
            <w:bottom w:val="none" w:sz="0" w:space="0" w:color="auto"/>
            <w:right w:val="none" w:sz="0" w:space="0" w:color="auto"/>
          </w:divBdr>
        </w:div>
      </w:divsChild>
    </w:div>
    <w:div w:id="1036193900">
      <w:marLeft w:val="0"/>
      <w:marRight w:val="0"/>
      <w:marTop w:val="0"/>
      <w:marBottom w:val="240"/>
      <w:divBdr>
        <w:top w:val="none" w:sz="0" w:space="0" w:color="auto"/>
        <w:left w:val="none" w:sz="0" w:space="0" w:color="auto"/>
        <w:bottom w:val="none" w:sz="0" w:space="0" w:color="auto"/>
        <w:right w:val="none" w:sz="0" w:space="0" w:color="auto"/>
      </w:divBdr>
    </w:div>
    <w:div w:id="1039664134">
      <w:marLeft w:val="0"/>
      <w:marRight w:val="0"/>
      <w:marTop w:val="120"/>
      <w:marBottom w:val="240"/>
      <w:divBdr>
        <w:top w:val="none" w:sz="0" w:space="0" w:color="auto"/>
        <w:left w:val="none" w:sz="0" w:space="0" w:color="auto"/>
        <w:bottom w:val="none" w:sz="0" w:space="0" w:color="auto"/>
        <w:right w:val="none" w:sz="0" w:space="0" w:color="auto"/>
      </w:divBdr>
    </w:div>
    <w:div w:id="1040284865">
      <w:marLeft w:val="0"/>
      <w:marRight w:val="0"/>
      <w:marTop w:val="0"/>
      <w:marBottom w:val="240"/>
      <w:divBdr>
        <w:top w:val="none" w:sz="0" w:space="0" w:color="auto"/>
        <w:left w:val="none" w:sz="0" w:space="0" w:color="auto"/>
        <w:bottom w:val="none" w:sz="0" w:space="0" w:color="auto"/>
        <w:right w:val="none" w:sz="0" w:space="0" w:color="auto"/>
      </w:divBdr>
    </w:div>
    <w:div w:id="1040739197">
      <w:marLeft w:val="0"/>
      <w:marRight w:val="0"/>
      <w:marTop w:val="0"/>
      <w:marBottom w:val="180"/>
      <w:divBdr>
        <w:top w:val="none" w:sz="0" w:space="0" w:color="auto"/>
        <w:left w:val="none" w:sz="0" w:space="0" w:color="auto"/>
        <w:bottom w:val="none" w:sz="0" w:space="0" w:color="auto"/>
        <w:right w:val="none" w:sz="0" w:space="0" w:color="auto"/>
      </w:divBdr>
    </w:div>
    <w:div w:id="1040936460">
      <w:marLeft w:val="0"/>
      <w:marRight w:val="0"/>
      <w:marTop w:val="180"/>
      <w:marBottom w:val="180"/>
      <w:divBdr>
        <w:top w:val="none" w:sz="0" w:space="0" w:color="auto"/>
        <w:left w:val="none" w:sz="0" w:space="0" w:color="auto"/>
        <w:bottom w:val="none" w:sz="0" w:space="0" w:color="auto"/>
        <w:right w:val="none" w:sz="0" w:space="0" w:color="auto"/>
      </w:divBdr>
    </w:div>
    <w:div w:id="1041244544">
      <w:marLeft w:val="0"/>
      <w:marRight w:val="0"/>
      <w:marTop w:val="0"/>
      <w:marBottom w:val="240"/>
      <w:divBdr>
        <w:top w:val="none" w:sz="0" w:space="0" w:color="auto"/>
        <w:left w:val="none" w:sz="0" w:space="0" w:color="auto"/>
        <w:bottom w:val="none" w:sz="0" w:space="0" w:color="auto"/>
        <w:right w:val="none" w:sz="0" w:space="0" w:color="auto"/>
      </w:divBdr>
    </w:div>
    <w:div w:id="1041513596">
      <w:marLeft w:val="0"/>
      <w:marRight w:val="0"/>
      <w:marTop w:val="180"/>
      <w:marBottom w:val="180"/>
      <w:divBdr>
        <w:top w:val="none" w:sz="0" w:space="0" w:color="auto"/>
        <w:left w:val="none" w:sz="0" w:space="0" w:color="auto"/>
        <w:bottom w:val="none" w:sz="0" w:space="0" w:color="auto"/>
        <w:right w:val="none" w:sz="0" w:space="0" w:color="auto"/>
      </w:divBdr>
    </w:div>
    <w:div w:id="1042097872">
      <w:marLeft w:val="0"/>
      <w:marRight w:val="0"/>
      <w:marTop w:val="0"/>
      <w:marBottom w:val="240"/>
      <w:divBdr>
        <w:top w:val="none" w:sz="0" w:space="0" w:color="auto"/>
        <w:left w:val="none" w:sz="0" w:space="0" w:color="auto"/>
        <w:bottom w:val="none" w:sz="0" w:space="0" w:color="auto"/>
        <w:right w:val="none" w:sz="0" w:space="0" w:color="auto"/>
      </w:divBdr>
    </w:div>
    <w:div w:id="1042557874">
      <w:marLeft w:val="0"/>
      <w:marRight w:val="0"/>
      <w:marTop w:val="0"/>
      <w:marBottom w:val="0"/>
      <w:divBdr>
        <w:top w:val="none" w:sz="0" w:space="0" w:color="auto"/>
        <w:left w:val="none" w:sz="0" w:space="0" w:color="auto"/>
        <w:bottom w:val="none" w:sz="0" w:space="0" w:color="auto"/>
        <w:right w:val="none" w:sz="0" w:space="0" w:color="auto"/>
      </w:divBdr>
      <w:divsChild>
        <w:div w:id="707337413">
          <w:marLeft w:val="0"/>
          <w:marRight w:val="0"/>
          <w:marTop w:val="0"/>
          <w:marBottom w:val="0"/>
          <w:divBdr>
            <w:top w:val="none" w:sz="0" w:space="0" w:color="auto"/>
            <w:left w:val="none" w:sz="0" w:space="0" w:color="auto"/>
            <w:bottom w:val="none" w:sz="0" w:space="0" w:color="auto"/>
            <w:right w:val="none" w:sz="0" w:space="0" w:color="auto"/>
          </w:divBdr>
        </w:div>
      </w:divsChild>
    </w:div>
    <w:div w:id="1042823283">
      <w:marLeft w:val="0"/>
      <w:marRight w:val="0"/>
      <w:marTop w:val="0"/>
      <w:marBottom w:val="240"/>
      <w:divBdr>
        <w:top w:val="none" w:sz="0" w:space="0" w:color="auto"/>
        <w:left w:val="none" w:sz="0" w:space="0" w:color="auto"/>
        <w:bottom w:val="none" w:sz="0" w:space="0" w:color="auto"/>
        <w:right w:val="none" w:sz="0" w:space="0" w:color="auto"/>
      </w:divBdr>
    </w:div>
    <w:div w:id="1042899528">
      <w:marLeft w:val="0"/>
      <w:marRight w:val="0"/>
      <w:marTop w:val="100"/>
      <w:marBottom w:val="0"/>
      <w:divBdr>
        <w:top w:val="none" w:sz="0" w:space="0" w:color="auto"/>
        <w:left w:val="none" w:sz="0" w:space="0" w:color="auto"/>
        <w:bottom w:val="none" w:sz="0" w:space="0" w:color="auto"/>
        <w:right w:val="none" w:sz="0" w:space="0" w:color="auto"/>
      </w:divBdr>
    </w:div>
    <w:div w:id="1044329479">
      <w:marLeft w:val="0"/>
      <w:marRight w:val="0"/>
      <w:marTop w:val="100"/>
      <w:marBottom w:val="0"/>
      <w:divBdr>
        <w:top w:val="none" w:sz="0" w:space="0" w:color="auto"/>
        <w:left w:val="none" w:sz="0" w:space="0" w:color="auto"/>
        <w:bottom w:val="none" w:sz="0" w:space="0" w:color="auto"/>
        <w:right w:val="none" w:sz="0" w:space="0" w:color="auto"/>
      </w:divBdr>
    </w:div>
    <w:div w:id="1045176712">
      <w:marLeft w:val="0"/>
      <w:marRight w:val="0"/>
      <w:marTop w:val="100"/>
      <w:marBottom w:val="0"/>
      <w:divBdr>
        <w:top w:val="none" w:sz="0" w:space="0" w:color="auto"/>
        <w:left w:val="none" w:sz="0" w:space="0" w:color="auto"/>
        <w:bottom w:val="none" w:sz="0" w:space="0" w:color="auto"/>
        <w:right w:val="none" w:sz="0" w:space="0" w:color="auto"/>
      </w:divBdr>
    </w:div>
    <w:div w:id="1045182078">
      <w:marLeft w:val="0"/>
      <w:marRight w:val="0"/>
      <w:marTop w:val="0"/>
      <w:marBottom w:val="0"/>
      <w:divBdr>
        <w:top w:val="none" w:sz="0" w:space="0" w:color="auto"/>
        <w:left w:val="none" w:sz="0" w:space="0" w:color="auto"/>
        <w:bottom w:val="none" w:sz="0" w:space="0" w:color="auto"/>
        <w:right w:val="none" w:sz="0" w:space="0" w:color="auto"/>
      </w:divBdr>
    </w:div>
    <w:div w:id="1045908357">
      <w:marLeft w:val="0"/>
      <w:marRight w:val="0"/>
      <w:marTop w:val="0"/>
      <w:marBottom w:val="180"/>
      <w:divBdr>
        <w:top w:val="none" w:sz="0" w:space="0" w:color="auto"/>
        <w:left w:val="none" w:sz="0" w:space="0" w:color="auto"/>
        <w:bottom w:val="none" w:sz="0" w:space="0" w:color="auto"/>
        <w:right w:val="none" w:sz="0" w:space="0" w:color="auto"/>
      </w:divBdr>
    </w:div>
    <w:div w:id="1046221473">
      <w:marLeft w:val="0"/>
      <w:marRight w:val="0"/>
      <w:marTop w:val="0"/>
      <w:marBottom w:val="0"/>
      <w:divBdr>
        <w:top w:val="none" w:sz="0" w:space="0" w:color="auto"/>
        <w:left w:val="none" w:sz="0" w:space="0" w:color="auto"/>
        <w:bottom w:val="none" w:sz="0" w:space="0" w:color="auto"/>
        <w:right w:val="none" w:sz="0" w:space="0" w:color="auto"/>
      </w:divBdr>
      <w:divsChild>
        <w:div w:id="955982221">
          <w:marLeft w:val="0"/>
          <w:marRight w:val="0"/>
          <w:marTop w:val="0"/>
          <w:marBottom w:val="0"/>
          <w:divBdr>
            <w:top w:val="none" w:sz="0" w:space="0" w:color="auto"/>
            <w:left w:val="none" w:sz="0" w:space="0" w:color="auto"/>
            <w:bottom w:val="none" w:sz="0" w:space="0" w:color="auto"/>
            <w:right w:val="none" w:sz="0" w:space="0" w:color="auto"/>
          </w:divBdr>
        </w:div>
      </w:divsChild>
    </w:div>
    <w:div w:id="1046223629">
      <w:marLeft w:val="0"/>
      <w:marRight w:val="0"/>
      <w:marTop w:val="0"/>
      <w:marBottom w:val="240"/>
      <w:divBdr>
        <w:top w:val="none" w:sz="0" w:space="0" w:color="auto"/>
        <w:left w:val="none" w:sz="0" w:space="0" w:color="auto"/>
        <w:bottom w:val="none" w:sz="0" w:space="0" w:color="auto"/>
        <w:right w:val="none" w:sz="0" w:space="0" w:color="auto"/>
      </w:divBdr>
    </w:div>
    <w:div w:id="1046831884">
      <w:marLeft w:val="0"/>
      <w:marRight w:val="0"/>
      <w:marTop w:val="0"/>
      <w:marBottom w:val="60"/>
      <w:divBdr>
        <w:top w:val="none" w:sz="0" w:space="0" w:color="auto"/>
        <w:left w:val="none" w:sz="0" w:space="0" w:color="auto"/>
        <w:bottom w:val="none" w:sz="0" w:space="0" w:color="auto"/>
        <w:right w:val="none" w:sz="0" w:space="0" w:color="auto"/>
      </w:divBdr>
    </w:div>
    <w:div w:id="1046875355">
      <w:marLeft w:val="0"/>
      <w:marRight w:val="0"/>
      <w:marTop w:val="100"/>
      <w:marBottom w:val="0"/>
      <w:divBdr>
        <w:top w:val="none" w:sz="0" w:space="0" w:color="auto"/>
        <w:left w:val="none" w:sz="0" w:space="0" w:color="auto"/>
        <w:bottom w:val="none" w:sz="0" w:space="0" w:color="auto"/>
        <w:right w:val="none" w:sz="0" w:space="0" w:color="auto"/>
      </w:divBdr>
    </w:div>
    <w:div w:id="1046951366">
      <w:marLeft w:val="0"/>
      <w:marRight w:val="0"/>
      <w:marTop w:val="180"/>
      <w:marBottom w:val="180"/>
      <w:divBdr>
        <w:top w:val="none" w:sz="0" w:space="0" w:color="auto"/>
        <w:left w:val="none" w:sz="0" w:space="0" w:color="auto"/>
        <w:bottom w:val="none" w:sz="0" w:space="0" w:color="auto"/>
        <w:right w:val="none" w:sz="0" w:space="0" w:color="auto"/>
      </w:divBdr>
    </w:div>
    <w:div w:id="1047605558">
      <w:marLeft w:val="0"/>
      <w:marRight w:val="0"/>
      <w:marTop w:val="0"/>
      <w:marBottom w:val="0"/>
      <w:divBdr>
        <w:top w:val="none" w:sz="0" w:space="0" w:color="auto"/>
        <w:left w:val="none" w:sz="0" w:space="0" w:color="auto"/>
        <w:bottom w:val="none" w:sz="0" w:space="0" w:color="auto"/>
        <w:right w:val="none" w:sz="0" w:space="0" w:color="auto"/>
      </w:divBdr>
      <w:divsChild>
        <w:div w:id="241263051">
          <w:marLeft w:val="0"/>
          <w:marRight w:val="0"/>
          <w:marTop w:val="0"/>
          <w:marBottom w:val="0"/>
          <w:divBdr>
            <w:top w:val="none" w:sz="0" w:space="0" w:color="auto"/>
            <w:left w:val="none" w:sz="0" w:space="0" w:color="auto"/>
            <w:bottom w:val="none" w:sz="0" w:space="0" w:color="auto"/>
            <w:right w:val="none" w:sz="0" w:space="0" w:color="auto"/>
          </w:divBdr>
        </w:div>
      </w:divsChild>
    </w:div>
    <w:div w:id="1047681568">
      <w:marLeft w:val="0"/>
      <w:marRight w:val="0"/>
      <w:marTop w:val="100"/>
      <w:marBottom w:val="100"/>
      <w:divBdr>
        <w:top w:val="none" w:sz="0" w:space="0" w:color="auto"/>
        <w:left w:val="none" w:sz="0" w:space="0" w:color="auto"/>
        <w:bottom w:val="none" w:sz="0" w:space="0" w:color="auto"/>
        <w:right w:val="none" w:sz="0" w:space="0" w:color="auto"/>
      </w:divBdr>
      <w:divsChild>
        <w:div w:id="1061322458">
          <w:marLeft w:val="0"/>
          <w:marRight w:val="0"/>
          <w:marTop w:val="0"/>
          <w:marBottom w:val="0"/>
          <w:divBdr>
            <w:top w:val="none" w:sz="0" w:space="0" w:color="auto"/>
            <w:left w:val="none" w:sz="0" w:space="0" w:color="auto"/>
            <w:bottom w:val="none" w:sz="0" w:space="0" w:color="auto"/>
            <w:right w:val="none" w:sz="0" w:space="0" w:color="auto"/>
          </w:divBdr>
        </w:div>
        <w:div w:id="488326977">
          <w:marLeft w:val="0"/>
          <w:marRight w:val="0"/>
          <w:marTop w:val="0"/>
          <w:marBottom w:val="0"/>
          <w:divBdr>
            <w:top w:val="none" w:sz="0" w:space="0" w:color="auto"/>
            <w:left w:val="none" w:sz="0" w:space="0" w:color="auto"/>
            <w:bottom w:val="none" w:sz="0" w:space="0" w:color="auto"/>
            <w:right w:val="none" w:sz="0" w:space="0" w:color="auto"/>
          </w:divBdr>
        </w:div>
        <w:div w:id="704406506">
          <w:marLeft w:val="0"/>
          <w:marRight w:val="0"/>
          <w:marTop w:val="0"/>
          <w:marBottom w:val="0"/>
          <w:divBdr>
            <w:top w:val="none" w:sz="0" w:space="0" w:color="auto"/>
            <w:left w:val="none" w:sz="0" w:space="0" w:color="auto"/>
            <w:bottom w:val="none" w:sz="0" w:space="0" w:color="auto"/>
            <w:right w:val="none" w:sz="0" w:space="0" w:color="auto"/>
          </w:divBdr>
        </w:div>
        <w:div w:id="989402518">
          <w:marLeft w:val="0"/>
          <w:marRight w:val="0"/>
          <w:marTop w:val="0"/>
          <w:marBottom w:val="0"/>
          <w:divBdr>
            <w:top w:val="none" w:sz="0" w:space="0" w:color="auto"/>
            <w:left w:val="none" w:sz="0" w:space="0" w:color="auto"/>
            <w:bottom w:val="none" w:sz="0" w:space="0" w:color="auto"/>
            <w:right w:val="none" w:sz="0" w:space="0" w:color="auto"/>
          </w:divBdr>
        </w:div>
        <w:div w:id="825781182">
          <w:marLeft w:val="0"/>
          <w:marRight w:val="0"/>
          <w:marTop w:val="0"/>
          <w:marBottom w:val="0"/>
          <w:divBdr>
            <w:top w:val="none" w:sz="0" w:space="0" w:color="auto"/>
            <w:left w:val="none" w:sz="0" w:space="0" w:color="auto"/>
            <w:bottom w:val="none" w:sz="0" w:space="0" w:color="auto"/>
            <w:right w:val="none" w:sz="0" w:space="0" w:color="auto"/>
          </w:divBdr>
        </w:div>
        <w:div w:id="14235668">
          <w:marLeft w:val="0"/>
          <w:marRight w:val="0"/>
          <w:marTop w:val="0"/>
          <w:marBottom w:val="0"/>
          <w:divBdr>
            <w:top w:val="none" w:sz="0" w:space="0" w:color="auto"/>
            <w:left w:val="none" w:sz="0" w:space="0" w:color="auto"/>
            <w:bottom w:val="none" w:sz="0" w:space="0" w:color="auto"/>
            <w:right w:val="none" w:sz="0" w:space="0" w:color="auto"/>
          </w:divBdr>
        </w:div>
        <w:div w:id="1943488847">
          <w:marLeft w:val="0"/>
          <w:marRight w:val="0"/>
          <w:marTop w:val="0"/>
          <w:marBottom w:val="0"/>
          <w:divBdr>
            <w:top w:val="none" w:sz="0" w:space="0" w:color="auto"/>
            <w:left w:val="none" w:sz="0" w:space="0" w:color="auto"/>
            <w:bottom w:val="none" w:sz="0" w:space="0" w:color="auto"/>
            <w:right w:val="none" w:sz="0" w:space="0" w:color="auto"/>
          </w:divBdr>
        </w:div>
      </w:divsChild>
    </w:div>
    <w:div w:id="1048189219">
      <w:marLeft w:val="0"/>
      <w:marRight w:val="0"/>
      <w:marTop w:val="0"/>
      <w:marBottom w:val="180"/>
      <w:divBdr>
        <w:top w:val="none" w:sz="0" w:space="0" w:color="auto"/>
        <w:left w:val="none" w:sz="0" w:space="0" w:color="auto"/>
        <w:bottom w:val="none" w:sz="0" w:space="0" w:color="auto"/>
        <w:right w:val="none" w:sz="0" w:space="0" w:color="auto"/>
      </w:divBdr>
    </w:div>
    <w:div w:id="1048451236">
      <w:marLeft w:val="0"/>
      <w:marRight w:val="0"/>
      <w:marTop w:val="0"/>
      <w:marBottom w:val="0"/>
      <w:divBdr>
        <w:top w:val="none" w:sz="0" w:space="0" w:color="auto"/>
        <w:left w:val="none" w:sz="0" w:space="0" w:color="auto"/>
        <w:bottom w:val="none" w:sz="0" w:space="0" w:color="auto"/>
        <w:right w:val="none" w:sz="0" w:space="0" w:color="auto"/>
      </w:divBdr>
    </w:div>
    <w:div w:id="1051072623">
      <w:marLeft w:val="0"/>
      <w:marRight w:val="0"/>
      <w:marTop w:val="0"/>
      <w:marBottom w:val="0"/>
      <w:divBdr>
        <w:top w:val="none" w:sz="0" w:space="0" w:color="auto"/>
        <w:left w:val="none" w:sz="0" w:space="0" w:color="auto"/>
        <w:bottom w:val="none" w:sz="0" w:space="0" w:color="auto"/>
        <w:right w:val="none" w:sz="0" w:space="0" w:color="auto"/>
      </w:divBdr>
    </w:div>
    <w:div w:id="1053039974">
      <w:marLeft w:val="0"/>
      <w:marRight w:val="0"/>
      <w:marTop w:val="0"/>
      <w:marBottom w:val="240"/>
      <w:divBdr>
        <w:top w:val="none" w:sz="0" w:space="0" w:color="auto"/>
        <w:left w:val="none" w:sz="0" w:space="0" w:color="auto"/>
        <w:bottom w:val="none" w:sz="0" w:space="0" w:color="auto"/>
        <w:right w:val="none" w:sz="0" w:space="0" w:color="auto"/>
      </w:divBdr>
    </w:div>
    <w:div w:id="1053770114">
      <w:marLeft w:val="0"/>
      <w:marRight w:val="0"/>
      <w:marTop w:val="180"/>
      <w:marBottom w:val="180"/>
      <w:divBdr>
        <w:top w:val="none" w:sz="0" w:space="0" w:color="auto"/>
        <w:left w:val="none" w:sz="0" w:space="0" w:color="auto"/>
        <w:bottom w:val="none" w:sz="0" w:space="0" w:color="auto"/>
        <w:right w:val="none" w:sz="0" w:space="0" w:color="auto"/>
      </w:divBdr>
    </w:div>
    <w:div w:id="1053776153">
      <w:marLeft w:val="0"/>
      <w:marRight w:val="0"/>
      <w:marTop w:val="180"/>
      <w:marBottom w:val="180"/>
      <w:divBdr>
        <w:top w:val="none" w:sz="0" w:space="0" w:color="auto"/>
        <w:left w:val="none" w:sz="0" w:space="0" w:color="auto"/>
        <w:bottom w:val="none" w:sz="0" w:space="0" w:color="auto"/>
        <w:right w:val="none" w:sz="0" w:space="0" w:color="auto"/>
      </w:divBdr>
    </w:div>
    <w:div w:id="1053846010">
      <w:marLeft w:val="0"/>
      <w:marRight w:val="0"/>
      <w:marTop w:val="120"/>
      <w:marBottom w:val="240"/>
      <w:divBdr>
        <w:top w:val="none" w:sz="0" w:space="0" w:color="auto"/>
        <w:left w:val="none" w:sz="0" w:space="0" w:color="auto"/>
        <w:bottom w:val="none" w:sz="0" w:space="0" w:color="auto"/>
        <w:right w:val="none" w:sz="0" w:space="0" w:color="auto"/>
      </w:divBdr>
    </w:div>
    <w:div w:id="1054423583">
      <w:marLeft w:val="0"/>
      <w:marRight w:val="0"/>
      <w:marTop w:val="0"/>
      <w:marBottom w:val="0"/>
      <w:divBdr>
        <w:top w:val="none" w:sz="0" w:space="0" w:color="auto"/>
        <w:left w:val="none" w:sz="0" w:space="0" w:color="auto"/>
        <w:bottom w:val="none" w:sz="0" w:space="0" w:color="auto"/>
        <w:right w:val="none" w:sz="0" w:space="0" w:color="auto"/>
      </w:divBdr>
    </w:div>
    <w:div w:id="1054617401">
      <w:marLeft w:val="0"/>
      <w:marRight w:val="0"/>
      <w:marTop w:val="0"/>
      <w:marBottom w:val="240"/>
      <w:divBdr>
        <w:top w:val="none" w:sz="0" w:space="0" w:color="auto"/>
        <w:left w:val="none" w:sz="0" w:space="0" w:color="auto"/>
        <w:bottom w:val="none" w:sz="0" w:space="0" w:color="auto"/>
        <w:right w:val="none" w:sz="0" w:space="0" w:color="auto"/>
      </w:divBdr>
    </w:div>
    <w:div w:id="1055860590">
      <w:marLeft w:val="0"/>
      <w:marRight w:val="0"/>
      <w:marTop w:val="0"/>
      <w:marBottom w:val="180"/>
      <w:divBdr>
        <w:top w:val="none" w:sz="0" w:space="0" w:color="auto"/>
        <w:left w:val="none" w:sz="0" w:space="0" w:color="auto"/>
        <w:bottom w:val="none" w:sz="0" w:space="0" w:color="auto"/>
        <w:right w:val="none" w:sz="0" w:space="0" w:color="auto"/>
      </w:divBdr>
    </w:div>
    <w:div w:id="1057163000">
      <w:marLeft w:val="0"/>
      <w:marRight w:val="0"/>
      <w:marTop w:val="0"/>
      <w:marBottom w:val="240"/>
      <w:divBdr>
        <w:top w:val="none" w:sz="0" w:space="0" w:color="auto"/>
        <w:left w:val="none" w:sz="0" w:space="0" w:color="auto"/>
        <w:bottom w:val="none" w:sz="0" w:space="0" w:color="auto"/>
        <w:right w:val="none" w:sz="0" w:space="0" w:color="auto"/>
      </w:divBdr>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325016390">
          <w:marLeft w:val="0"/>
          <w:marRight w:val="0"/>
          <w:marTop w:val="0"/>
          <w:marBottom w:val="0"/>
          <w:divBdr>
            <w:top w:val="none" w:sz="0" w:space="0" w:color="auto"/>
            <w:left w:val="none" w:sz="0" w:space="0" w:color="auto"/>
            <w:bottom w:val="none" w:sz="0" w:space="0" w:color="auto"/>
            <w:right w:val="none" w:sz="0" w:space="0" w:color="auto"/>
          </w:divBdr>
        </w:div>
      </w:divsChild>
    </w:div>
    <w:div w:id="1058553058">
      <w:marLeft w:val="0"/>
      <w:marRight w:val="0"/>
      <w:marTop w:val="180"/>
      <w:marBottom w:val="180"/>
      <w:divBdr>
        <w:top w:val="none" w:sz="0" w:space="0" w:color="auto"/>
        <w:left w:val="none" w:sz="0" w:space="0" w:color="auto"/>
        <w:bottom w:val="none" w:sz="0" w:space="0" w:color="auto"/>
        <w:right w:val="none" w:sz="0" w:space="0" w:color="auto"/>
      </w:divBdr>
    </w:div>
    <w:div w:id="1058556464">
      <w:marLeft w:val="0"/>
      <w:marRight w:val="0"/>
      <w:marTop w:val="0"/>
      <w:marBottom w:val="0"/>
      <w:divBdr>
        <w:top w:val="none" w:sz="0" w:space="0" w:color="auto"/>
        <w:left w:val="none" w:sz="0" w:space="0" w:color="auto"/>
        <w:bottom w:val="none" w:sz="0" w:space="0" w:color="auto"/>
        <w:right w:val="none" w:sz="0" w:space="0" w:color="auto"/>
      </w:divBdr>
    </w:div>
    <w:div w:id="1059136147">
      <w:marLeft w:val="0"/>
      <w:marRight w:val="0"/>
      <w:marTop w:val="0"/>
      <w:marBottom w:val="0"/>
      <w:divBdr>
        <w:top w:val="none" w:sz="0" w:space="0" w:color="auto"/>
        <w:left w:val="none" w:sz="0" w:space="0" w:color="auto"/>
        <w:bottom w:val="none" w:sz="0" w:space="0" w:color="auto"/>
        <w:right w:val="none" w:sz="0" w:space="0" w:color="auto"/>
      </w:divBdr>
    </w:div>
    <w:div w:id="1059671239">
      <w:marLeft w:val="0"/>
      <w:marRight w:val="0"/>
      <w:marTop w:val="0"/>
      <w:marBottom w:val="180"/>
      <w:divBdr>
        <w:top w:val="none" w:sz="0" w:space="0" w:color="auto"/>
        <w:left w:val="none" w:sz="0" w:space="0" w:color="auto"/>
        <w:bottom w:val="none" w:sz="0" w:space="0" w:color="auto"/>
        <w:right w:val="none" w:sz="0" w:space="0" w:color="auto"/>
      </w:divBdr>
    </w:div>
    <w:div w:id="1060057252">
      <w:marLeft w:val="0"/>
      <w:marRight w:val="0"/>
      <w:marTop w:val="0"/>
      <w:marBottom w:val="0"/>
      <w:divBdr>
        <w:top w:val="none" w:sz="0" w:space="0" w:color="auto"/>
        <w:left w:val="none" w:sz="0" w:space="0" w:color="auto"/>
        <w:bottom w:val="none" w:sz="0" w:space="0" w:color="auto"/>
        <w:right w:val="none" w:sz="0" w:space="0" w:color="auto"/>
      </w:divBdr>
      <w:divsChild>
        <w:div w:id="120347913">
          <w:marLeft w:val="0"/>
          <w:marRight w:val="0"/>
          <w:marTop w:val="0"/>
          <w:marBottom w:val="0"/>
          <w:divBdr>
            <w:top w:val="none" w:sz="0" w:space="0" w:color="auto"/>
            <w:left w:val="none" w:sz="0" w:space="0" w:color="auto"/>
            <w:bottom w:val="none" w:sz="0" w:space="0" w:color="auto"/>
            <w:right w:val="none" w:sz="0" w:space="0" w:color="auto"/>
          </w:divBdr>
        </w:div>
      </w:divsChild>
    </w:div>
    <w:div w:id="1060245942">
      <w:marLeft w:val="0"/>
      <w:marRight w:val="0"/>
      <w:marTop w:val="100"/>
      <w:marBottom w:val="0"/>
      <w:divBdr>
        <w:top w:val="none" w:sz="0" w:space="0" w:color="auto"/>
        <w:left w:val="none" w:sz="0" w:space="0" w:color="auto"/>
        <w:bottom w:val="none" w:sz="0" w:space="0" w:color="auto"/>
        <w:right w:val="none" w:sz="0" w:space="0" w:color="auto"/>
      </w:divBdr>
    </w:div>
    <w:div w:id="1060324251">
      <w:marLeft w:val="0"/>
      <w:marRight w:val="0"/>
      <w:marTop w:val="0"/>
      <w:marBottom w:val="240"/>
      <w:divBdr>
        <w:top w:val="none" w:sz="0" w:space="0" w:color="auto"/>
        <w:left w:val="none" w:sz="0" w:space="0" w:color="auto"/>
        <w:bottom w:val="none" w:sz="0" w:space="0" w:color="auto"/>
        <w:right w:val="none" w:sz="0" w:space="0" w:color="auto"/>
      </w:divBdr>
    </w:div>
    <w:div w:id="1060448354">
      <w:marLeft w:val="0"/>
      <w:marRight w:val="0"/>
      <w:marTop w:val="240"/>
      <w:marBottom w:val="180"/>
      <w:divBdr>
        <w:top w:val="none" w:sz="0" w:space="0" w:color="auto"/>
        <w:left w:val="none" w:sz="0" w:space="0" w:color="auto"/>
        <w:bottom w:val="none" w:sz="0" w:space="0" w:color="auto"/>
        <w:right w:val="none" w:sz="0" w:space="0" w:color="auto"/>
      </w:divBdr>
    </w:div>
    <w:div w:id="1061094909">
      <w:marLeft w:val="0"/>
      <w:marRight w:val="0"/>
      <w:marTop w:val="0"/>
      <w:marBottom w:val="240"/>
      <w:divBdr>
        <w:top w:val="none" w:sz="0" w:space="0" w:color="auto"/>
        <w:left w:val="none" w:sz="0" w:space="0" w:color="auto"/>
        <w:bottom w:val="none" w:sz="0" w:space="0" w:color="auto"/>
        <w:right w:val="none" w:sz="0" w:space="0" w:color="auto"/>
      </w:divBdr>
    </w:div>
    <w:div w:id="1061439238">
      <w:marLeft w:val="0"/>
      <w:marRight w:val="0"/>
      <w:marTop w:val="0"/>
      <w:marBottom w:val="240"/>
      <w:divBdr>
        <w:top w:val="none" w:sz="0" w:space="0" w:color="auto"/>
        <w:left w:val="none" w:sz="0" w:space="0" w:color="auto"/>
        <w:bottom w:val="none" w:sz="0" w:space="0" w:color="auto"/>
        <w:right w:val="none" w:sz="0" w:space="0" w:color="auto"/>
      </w:divBdr>
    </w:div>
    <w:div w:id="1063600673">
      <w:marLeft w:val="0"/>
      <w:marRight w:val="0"/>
      <w:marTop w:val="100"/>
      <w:marBottom w:val="0"/>
      <w:divBdr>
        <w:top w:val="none" w:sz="0" w:space="0" w:color="auto"/>
        <w:left w:val="none" w:sz="0" w:space="0" w:color="auto"/>
        <w:bottom w:val="none" w:sz="0" w:space="0" w:color="auto"/>
        <w:right w:val="none" w:sz="0" w:space="0" w:color="auto"/>
      </w:divBdr>
    </w:div>
    <w:div w:id="1063720824">
      <w:marLeft w:val="0"/>
      <w:marRight w:val="0"/>
      <w:marTop w:val="120"/>
      <w:marBottom w:val="120"/>
      <w:divBdr>
        <w:top w:val="none" w:sz="0" w:space="0" w:color="auto"/>
        <w:left w:val="none" w:sz="0" w:space="0" w:color="auto"/>
        <w:bottom w:val="none" w:sz="0" w:space="0" w:color="auto"/>
        <w:right w:val="none" w:sz="0" w:space="0" w:color="auto"/>
      </w:divBdr>
    </w:div>
    <w:div w:id="1065297011">
      <w:marLeft w:val="0"/>
      <w:marRight w:val="0"/>
      <w:marTop w:val="100"/>
      <w:marBottom w:val="240"/>
      <w:divBdr>
        <w:top w:val="none" w:sz="0" w:space="0" w:color="auto"/>
        <w:left w:val="none" w:sz="0" w:space="0" w:color="auto"/>
        <w:bottom w:val="none" w:sz="0" w:space="0" w:color="auto"/>
        <w:right w:val="none" w:sz="0" w:space="0" w:color="auto"/>
      </w:divBdr>
    </w:div>
    <w:div w:id="1065878638">
      <w:marLeft w:val="0"/>
      <w:marRight w:val="0"/>
      <w:marTop w:val="0"/>
      <w:marBottom w:val="240"/>
      <w:divBdr>
        <w:top w:val="none" w:sz="0" w:space="0" w:color="auto"/>
        <w:left w:val="none" w:sz="0" w:space="0" w:color="auto"/>
        <w:bottom w:val="none" w:sz="0" w:space="0" w:color="auto"/>
        <w:right w:val="none" w:sz="0" w:space="0" w:color="auto"/>
      </w:divBdr>
    </w:div>
    <w:div w:id="1066494515">
      <w:marLeft w:val="0"/>
      <w:marRight w:val="0"/>
      <w:marTop w:val="0"/>
      <w:marBottom w:val="180"/>
      <w:divBdr>
        <w:top w:val="none" w:sz="0" w:space="0" w:color="auto"/>
        <w:left w:val="none" w:sz="0" w:space="0" w:color="auto"/>
        <w:bottom w:val="none" w:sz="0" w:space="0" w:color="auto"/>
        <w:right w:val="none" w:sz="0" w:space="0" w:color="auto"/>
      </w:divBdr>
    </w:div>
    <w:div w:id="1066613429">
      <w:marLeft w:val="0"/>
      <w:marRight w:val="0"/>
      <w:marTop w:val="0"/>
      <w:marBottom w:val="0"/>
      <w:divBdr>
        <w:top w:val="none" w:sz="0" w:space="0" w:color="auto"/>
        <w:left w:val="none" w:sz="0" w:space="0" w:color="auto"/>
        <w:bottom w:val="none" w:sz="0" w:space="0" w:color="auto"/>
        <w:right w:val="none" w:sz="0" w:space="0" w:color="auto"/>
      </w:divBdr>
    </w:div>
    <w:div w:id="1068067394">
      <w:marLeft w:val="0"/>
      <w:marRight w:val="0"/>
      <w:marTop w:val="100"/>
      <w:marBottom w:val="240"/>
      <w:divBdr>
        <w:top w:val="none" w:sz="0" w:space="0" w:color="auto"/>
        <w:left w:val="none" w:sz="0" w:space="0" w:color="auto"/>
        <w:bottom w:val="none" w:sz="0" w:space="0" w:color="auto"/>
        <w:right w:val="none" w:sz="0" w:space="0" w:color="auto"/>
      </w:divBdr>
      <w:divsChild>
        <w:div w:id="1922988459">
          <w:marLeft w:val="0"/>
          <w:marRight w:val="0"/>
          <w:marTop w:val="0"/>
          <w:marBottom w:val="0"/>
          <w:divBdr>
            <w:top w:val="none" w:sz="0" w:space="0" w:color="auto"/>
            <w:left w:val="none" w:sz="0" w:space="0" w:color="auto"/>
            <w:bottom w:val="none" w:sz="0" w:space="0" w:color="auto"/>
            <w:right w:val="none" w:sz="0" w:space="0" w:color="auto"/>
          </w:divBdr>
        </w:div>
      </w:divsChild>
    </w:div>
    <w:div w:id="1068116874">
      <w:marLeft w:val="0"/>
      <w:marRight w:val="0"/>
      <w:marTop w:val="0"/>
      <w:marBottom w:val="240"/>
      <w:divBdr>
        <w:top w:val="none" w:sz="0" w:space="0" w:color="auto"/>
        <w:left w:val="none" w:sz="0" w:space="0" w:color="auto"/>
        <w:bottom w:val="none" w:sz="0" w:space="0" w:color="auto"/>
        <w:right w:val="none" w:sz="0" w:space="0" w:color="auto"/>
      </w:divBdr>
    </w:div>
    <w:div w:id="1069383198">
      <w:marLeft w:val="0"/>
      <w:marRight w:val="0"/>
      <w:marTop w:val="0"/>
      <w:marBottom w:val="180"/>
      <w:divBdr>
        <w:top w:val="none" w:sz="0" w:space="0" w:color="auto"/>
        <w:left w:val="none" w:sz="0" w:space="0" w:color="auto"/>
        <w:bottom w:val="none" w:sz="0" w:space="0" w:color="auto"/>
        <w:right w:val="none" w:sz="0" w:space="0" w:color="auto"/>
      </w:divBdr>
    </w:div>
    <w:div w:id="1069695709">
      <w:marLeft w:val="0"/>
      <w:marRight w:val="0"/>
      <w:marTop w:val="0"/>
      <w:marBottom w:val="240"/>
      <w:divBdr>
        <w:top w:val="none" w:sz="0" w:space="0" w:color="auto"/>
        <w:left w:val="none" w:sz="0" w:space="0" w:color="auto"/>
        <w:bottom w:val="none" w:sz="0" w:space="0" w:color="auto"/>
        <w:right w:val="none" w:sz="0" w:space="0" w:color="auto"/>
      </w:divBdr>
    </w:div>
    <w:div w:id="1069812107">
      <w:marLeft w:val="0"/>
      <w:marRight w:val="0"/>
      <w:marTop w:val="0"/>
      <w:marBottom w:val="0"/>
      <w:divBdr>
        <w:top w:val="none" w:sz="0" w:space="0" w:color="auto"/>
        <w:left w:val="none" w:sz="0" w:space="0" w:color="auto"/>
        <w:bottom w:val="none" w:sz="0" w:space="0" w:color="auto"/>
        <w:right w:val="none" w:sz="0" w:space="0" w:color="auto"/>
      </w:divBdr>
    </w:div>
    <w:div w:id="1069839515">
      <w:marLeft w:val="0"/>
      <w:marRight w:val="0"/>
      <w:marTop w:val="0"/>
      <w:marBottom w:val="0"/>
      <w:divBdr>
        <w:top w:val="none" w:sz="0" w:space="0" w:color="auto"/>
        <w:left w:val="none" w:sz="0" w:space="0" w:color="auto"/>
        <w:bottom w:val="none" w:sz="0" w:space="0" w:color="auto"/>
        <w:right w:val="none" w:sz="0" w:space="0" w:color="auto"/>
      </w:divBdr>
    </w:div>
    <w:div w:id="1070227987">
      <w:marLeft w:val="0"/>
      <w:marRight w:val="0"/>
      <w:marTop w:val="0"/>
      <w:marBottom w:val="240"/>
      <w:divBdr>
        <w:top w:val="none" w:sz="0" w:space="0" w:color="auto"/>
        <w:left w:val="none" w:sz="0" w:space="0" w:color="auto"/>
        <w:bottom w:val="none" w:sz="0" w:space="0" w:color="auto"/>
        <w:right w:val="none" w:sz="0" w:space="0" w:color="auto"/>
      </w:divBdr>
    </w:div>
    <w:div w:id="1072848889">
      <w:marLeft w:val="0"/>
      <w:marRight w:val="0"/>
      <w:marTop w:val="120"/>
      <w:marBottom w:val="120"/>
      <w:divBdr>
        <w:top w:val="none" w:sz="0" w:space="0" w:color="auto"/>
        <w:left w:val="none" w:sz="0" w:space="0" w:color="auto"/>
        <w:bottom w:val="none" w:sz="0" w:space="0" w:color="auto"/>
        <w:right w:val="none" w:sz="0" w:space="0" w:color="auto"/>
      </w:divBdr>
    </w:div>
    <w:div w:id="1073549375">
      <w:marLeft w:val="0"/>
      <w:marRight w:val="0"/>
      <w:marTop w:val="0"/>
      <w:marBottom w:val="240"/>
      <w:divBdr>
        <w:top w:val="none" w:sz="0" w:space="0" w:color="auto"/>
        <w:left w:val="none" w:sz="0" w:space="0" w:color="auto"/>
        <w:bottom w:val="none" w:sz="0" w:space="0" w:color="auto"/>
        <w:right w:val="none" w:sz="0" w:space="0" w:color="auto"/>
      </w:divBdr>
    </w:div>
    <w:div w:id="1074088352">
      <w:marLeft w:val="0"/>
      <w:marRight w:val="0"/>
      <w:marTop w:val="0"/>
      <w:marBottom w:val="0"/>
      <w:divBdr>
        <w:top w:val="none" w:sz="0" w:space="0" w:color="auto"/>
        <w:left w:val="none" w:sz="0" w:space="0" w:color="auto"/>
        <w:bottom w:val="none" w:sz="0" w:space="0" w:color="auto"/>
        <w:right w:val="none" w:sz="0" w:space="0" w:color="auto"/>
      </w:divBdr>
      <w:divsChild>
        <w:div w:id="1795902971">
          <w:marLeft w:val="0"/>
          <w:marRight w:val="0"/>
          <w:marTop w:val="0"/>
          <w:marBottom w:val="0"/>
          <w:divBdr>
            <w:top w:val="none" w:sz="0" w:space="0" w:color="auto"/>
            <w:left w:val="none" w:sz="0" w:space="0" w:color="auto"/>
            <w:bottom w:val="none" w:sz="0" w:space="0" w:color="auto"/>
            <w:right w:val="none" w:sz="0" w:space="0" w:color="auto"/>
          </w:divBdr>
        </w:div>
      </w:divsChild>
    </w:div>
    <w:div w:id="1074157015">
      <w:marLeft w:val="0"/>
      <w:marRight w:val="0"/>
      <w:marTop w:val="0"/>
      <w:marBottom w:val="0"/>
      <w:divBdr>
        <w:top w:val="none" w:sz="0" w:space="0" w:color="auto"/>
        <w:left w:val="none" w:sz="0" w:space="0" w:color="auto"/>
        <w:bottom w:val="none" w:sz="0" w:space="0" w:color="auto"/>
        <w:right w:val="none" w:sz="0" w:space="0" w:color="auto"/>
      </w:divBdr>
      <w:divsChild>
        <w:div w:id="1703507050">
          <w:marLeft w:val="0"/>
          <w:marRight w:val="0"/>
          <w:marTop w:val="0"/>
          <w:marBottom w:val="0"/>
          <w:divBdr>
            <w:top w:val="none" w:sz="0" w:space="0" w:color="auto"/>
            <w:left w:val="none" w:sz="0" w:space="0" w:color="auto"/>
            <w:bottom w:val="none" w:sz="0" w:space="0" w:color="auto"/>
            <w:right w:val="none" w:sz="0" w:space="0" w:color="auto"/>
          </w:divBdr>
        </w:div>
      </w:divsChild>
    </w:div>
    <w:div w:id="1074399285">
      <w:marLeft w:val="0"/>
      <w:marRight w:val="0"/>
      <w:marTop w:val="0"/>
      <w:marBottom w:val="0"/>
      <w:divBdr>
        <w:top w:val="none" w:sz="0" w:space="0" w:color="auto"/>
        <w:left w:val="none" w:sz="0" w:space="0" w:color="auto"/>
        <w:bottom w:val="none" w:sz="0" w:space="0" w:color="auto"/>
        <w:right w:val="none" w:sz="0" w:space="0" w:color="auto"/>
      </w:divBdr>
    </w:div>
    <w:div w:id="1075127555">
      <w:marLeft w:val="0"/>
      <w:marRight w:val="0"/>
      <w:marTop w:val="0"/>
      <w:marBottom w:val="240"/>
      <w:divBdr>
        <w:top w:val="none" w:sz="0" w:space="0" w:color="auto"/>
        <w:left w:val="none" w:sz="0" w:space="0" w:color="auto"/>
        <w:bottom w:val="none" w:sz="0" w:space="0" w:color="auto"/>
        <w:right w:val="none" w:sz="0" w:space="0" w:color="auto"/>
      </w:divBdr>
    </w:div>
    <w:div w:id="1075665023">
      <w:marLeft w:val="0"/>
      <w:marRight w:val="0"/>
      <w:marTop w:val="0"/>
      <w:marBottom w:val="180"/>
      <w:divBdr>
        <w:top w:val="none" w:sz="0" w:space="0" w:color="auto"/>
        <w:left w:val="none" w:sz="0" w:space="0" w:color="auto"/>
        <w:bottom w:val="none" w:sz="0" w:space="0" w:color="auto"/>
        <w:right w:val="none" w:sz="0" w:space="0" w:color="auto"/>
      </w:divBdr>
    </w:div>
    <w:div w:id="1075783970">
      <w:marLeft w:val="0"/>
      <w:marRight w:val="0"/>
      <w:marTop w:val="0"/>
      <w:marBottom w:val="180"/>
      <w:divBdr>
        <w:top w:val="none" w:sz="0" w:space="0" w:color="auto"/>
        <w:left w:val="none" w:sz="0" w:space="0" w:color="auto"/>
        <w:bottom w:val="none" w:sz="0" w:space="0" w:color="auto"/>
        <w:right w:val="none" w:sz="0" w:space="0" w:color="auto"/>
      </w:divBdr>
    </w:div>
    <w:div w:id="1076628933">
      <w:marLeft w:val="0"/>
      <w:marRight w:val="0"/>
      <w:marTop w:val="120"/>
      <w:marBottom w:val="240"/>
      <w:divBdr>
        <w:top w:val="none" w:sz="0" w:space="0" w:color="auto"/>
        <w:left w:val="none" w:sz="0" w:space="0" w:color="auto"/>
        <w:bottom w:val="none" w:sz="0" w:space="0" w:color="auto"/>
        <w:right w:val="none" w:sz="0" w:space="0" w:color="auto"/>
      </w:divBdr>
    </w:div>
    <w:div w:id="1076707158">
      <w:marLeft w:val="0"/>
      <w:marRight w:val="0"/>
      <w:marTop w:val="0"/>
      <w:marBottom w:val="0"/>
      <w:divBdr>
        <w:top w:val="none" w:sz="0" w:space="0" w:color="auto"/>
        <w:left w:val="none" w:sz="0" w:space="0" w:color="auto"/>
        <w:bottom w:val="none" w:sz="0" w:space="0" w:color="auto"/>
        <w:right w:val="none" w:sz="0" w:space="0" w:color="auto"/>
      </w:divBdr>
    </w:div>
    <w:div w:id="1076901804">
      <w:marLeft w:val="0"/>
      <w:marRight w:val="0"/>
      <w:marTop w:val="120"/>
      <w:marBottom w:val="240"/>
      <w:divBdr>
        <w:top w:val="none" w:sz="0" w:space="0" w:color="auto"/>
        <w:left w:val="none" w:sz="0" w:space="0" w:color="auto"/>
        <w:bottom w:val="none" w:sz="0" w:space="0" w:color="auto"/>
        <w:right w:val="none" w:sz="0" w:space="0" w:color="auto"/>
      </w:divBdr>
    </w:div>
    <w:div w:id="1077703956">
      <w:marLeft w:val="0"/>
      <w:marRight w:val="0"/>
      <w:marTop w:val="0"/>
      <w:marBottom w:val="180"/>
      <w:divBdr>
        <w:top w:val="none" w:sz="0" w:space="0" w:color="auto"/>
        <w:left w:val="none" w:sz="0" w:space="0" w:color="auto"/>
        <w:bottom w:val="none" w:sz="0" w:space="0" w:color="auto"/>
        <w:right w:val="none" w:sz="0" w:space="0" w:color="auto"/>
      </w:divBdr>
    </w:div>
    <w:div w:id="1077824932">
      <w:marLeft w:val="0"/>
      <w:marRight w:val="0"/>
      <w:marTop w:val="0"/>
      <w:marBottom w:val="240"/>
      <w:divBdr>
        <w:top w:val="none" w:sz="0" w:space="0" w:color="auto"/>
        <w:left w:val="none" w:sz="0" w:space="0" w:color="auto"/>
        <w:bottom w:val="none" w:sz="0" w:space="0" w:color="auto"/>
        <w:right w:val="none" w:sz="0" w:space="0" w:color="auto"/>
      </w:divBdr>
    </w:div>
    <w:div w:id="1078789174">
      <w:marLeft w:val="0"/>
      <w:marRight w:val="0"/>
      <w:marTop w:val="0"/>
      <w:marBottom w:val="240"/>
      <w:divBdr>
        <w:top w:val="none" w:sz="0" w:space="0" w:color="auto"/>
        <w:left w:val="none" w:sz="0" w:space="0" w:color="auto"/>
        <w:bottom w:val="none" w:sz="0" w:space="0" w:color="auto"/>
        <w:right w:val="none" w:sz="0" w:space="0" w:color="auto"/>
      </w:divBdr>
    </w:div>
    <w:div w:id="1079058400">
      <w:marLeft w:val="0"/>
      <w:marRight w:val="0"/>
      <w:marTop w:val="0"/>
      <w:marBottom w:val="0"/>
      <w:divBdr>
        <w:top w:val="none" w:sz="0" w:space="0" w:color="auto"/>
        <w:left w:val="none" w:sz="0" w:space="0" w:color="auto"/>
        <w:bottom w:val="none" w:sz="0" w:space="0" w:color="auto"/>
        <w:right w:val="none" w:sz="0" w:space="0" w:color="auto"/>
      </w:divBdr>
    </w:div>
    <w:div w:id="1079717897">
      <w:marLeft w:val="0"/>
      <w:marRight w:val="0"/>
      <w:marTop w:val="0"/>
      <w:marBottom w:val="240"/>
      <w:divBdr>
        <w:top w:val="none" w:sz="0" w:space="0" w:color="auto"/>
        <w:left w:val="none" w:sz="0" w:space="0" w:color="auto"/>
        <w:bottom w:val="none" w:sz="0" w:space="0" w:color="auto"/>
        <w:right w:val="none" w:sz="0" w:space="0" w:color="auto"/>
      </w:divBdr>
    </w:div>
    <w:div w:id="1081633521">
      <w:marLeft w:val="0"/>
      <w:marRight w:val="0"/>
      <w:marTop w:val="120"/>
      <w:marBottom w:val="240"/>
      <w:divBdr>
        <w:top w:val="none" w:sz="0" w:space="0" w:color="auto"/>
        <w:left w:val="none" w:sz="0" w:space="0" w:color="auto"/>
        <w:bottom w:val="none" w:sz="0" w:space="0" w:color="auto"/>
        <w:right w:val="none" w:sz="0" w:space="0" w:color="auto"/>
      </w:divBdr>
    </w:div>
    <w:div w:id="1082675180">
      <w:marLeft w:val="0"/>
      <w:marRight w:val="0"/>
      <w:marTop w:val="120"/>
      <w:marBottom w:val="120"/>
      <w:divBdr>
        <w:top w:val="none" w:sz="0" w:space="0" w:color="auto"/>
        <w:left w:val="none" w:sz="0" w:space="0" w:color="auto"/>
        <w:bottom w:val="none" w:sz="0" w:space="0" w:color="auto"/>
        <w:right w:val="none" w:sz="0" w:space="0" w:color="auto"/>
      </w:divBdr>
    </w:div>
    <w:div w:id="1084686458">
      <w:marLeft w:val="0"/>
      <w:marRight w:val="0"/>
      <w:marTop w:val="0"/>
      <w:marBottom w:val="0"/>
      <w:divBdr>
        <w:top w:val="none" w:sz="0" w:space="0" w:color="auto"/>
        <w:left w:val="none" w:sz="0" w:space="0" w:color="auto"/>
        <w:bottom w:val="none" w:sz="0" w:space="0" w:color="auto"/>
        <w:right w:val="none" w:sz="0" w:space="0" w:color="auto"/>
      </w:divBdr>
    </w:div>
    <w:div w:id="1086919312">
      <w:marLeft w:val="0"/>
      <w:marRight w:val="0"/>
      <w:marTop w:val="100"/>
      <w:marBottom w:val="60"/>
      <w:divBdr>
        <w:top w:val="none" w:sz="0" w:space="0" w:color="auto"/>
        <w:left w:val="none" w:sz="0" w:space="0" w:color="auto"/>
        <w:bottom w:val="none" w:sz="0" w:space="0" w:color="auto"/>
        <w:right w:val="none" w:sz="0" w:space="0" w:color="auto"/>
      </w:divBdr>
    </w:div>
    <w:div w:id="1086994244">
      <w:marLeft w:val="0"/>
      <w:marRight w:val="0"/>
      <w:marTop w:val="0"/>
      <w:marBottom w:val="180"/>
      <w:divBdr>
        <w:top w:val="none" w:sz="0" w:space="0" w:color="auto"/>
        <w:left w:val="none" w:sz="0" w:space="0" w:color="auto"/>
        <w:bottom w:val="none" w:sz="0" w:space="0" w:color="auto"/>
        <w:right w:val="none" w:sz="0" w:space="0" w:color="auto"/>
      </w:divBdr>
    </w:div>
    <w:div w:id="1087186863">
      <w:marLeft w:val="0"/>
      <w:marRight w:val="0"/>
      <w:marTop w:val="0"/>
      <w:marBottom w:val="180"/>
      <w:divBdr>
        <w:top w:val="none" w:sz="0" w:space="0" w:color="auto"/>
        <w:left w:val="none" w:sz="0" w:space="0" w:color="auto"/>
        <w:bottom w:val="none" w:sz="0" w:space="0" w:color="auto"/>
        <w:right w:val="none" w:sz="0" w:space="0" w:color="auto"/>
      </w:divBdr>
    </w:div>
    <w:div w:id="1088578838">
      <w:marLeft w:val="0"/>
      <w:marRight w:val="0"/>
      <w:marTop w:val="0"/>
      <w:marBottom w:val="0"/>
      <w:divBdr>
        <w:top w:val="none" w:sz="0" w:space="0" w:color="auto"/>
        <w:left w:val="none" w:sz="0" w:space="0" w:color="auto"/>
        <w:bottom w:val="none" w:sz="0" w:space="0" w:color="auto"/>
        <w:right w:val="none" w:sz="0" w:space="0" w:color="auto"/>
      </w:divBdr>
      <w:divsChild>
        <w:div w:id="120466940">
          <w:marLeft w:val="0"/>
          <w:marRight w:val="0"/>
          <w:marTop w:val="0"/>
          <w:marBottom w:val="0"/>
          <w:divBdr>
            <w:top w:val="none" w:sz="0" w:space="0" w:color="auto"/>
            <w:left w:val="none" w:sz="0" w:space="0" w:color="auto"/>
            <w:bottom w:val="none" w:sz="0" w:space="0" w:color="auto"/>
            <w:right w:val="none" w:sz="0" w:space="0" w:color="auto"/>
          </w:divBdr>
        </w:div>
      </w:divsChild>
    </w:div>
    <w:div w:id="1089697963">
      <w:marLeft w:val="0"/>
      <w:marRight w:val="0"/>
      <w:marTop w:val="0"/>
      <w:marBottom w:val="180"/>
      <w:divBdr>
        <w:top w:val="none" w:sz="0" w:space="0" w:color="auto"/>
        <w:left w:val="none" w:sz="0" w:space="0" w:color="auto"/>
        <w:bottom w:val="none" w:sz="0" w:space="0" w:color="auto"/>
        <w:right w:val="none" w:sz="0" w:space="0" w:color="auto"/>
      </w:divBdr>
    </w:div>
    <w:div w:id="1090463186">
      <w:marLeft w:val="0"/>
      <w:marRight w:val="0"/>
      <w:marTop w:val="0"/>
      <w:marBottom w:val="180"/>
      <w:divBdr>
        <w:top w:val="none" w:sz="0" w:space="0" w:color="auto"/>
        <w:left w:val="none" w:sz="0" w:space="0" w:color="auto"/>
        <w:bottom w:val="none" w:sz="0" w:space="0" w:color="auto"/>
        <w:right w:val="none" w:sz="0" w:space="0" w:color="auto"/>
      </w:divBdr>
    </w:div>
    <w:div w:id="1091970175">
      <w:marLeft w:val="0"/>
      <w:marRight w:val="0"/>
      <w:marTop w:val="100"/>
      <w:marBottom w:val="0"/>
      <w:divBdr>
        <w:top w:val="none" w:sz="0" w:space="0" w:color="auto"/>
        <w:left w:val="none" w:sz="0" w:space="0" w:color="auto"/>
        <w:bottom w:val="none" w:sz="0" w:space="0" w:color="auto"/>
        <w:right w:val="none" w:sz="0" w:space="0" w:color="auto"/>
      </w:divBdr>
      <w:divsChild>
        <w:div w:id="420952158">
          <w:marLeft w:val="0"/>
          <w:marRight w:val="0"/>
          <w:marTop w:val="0"/>
          <w:marBottom w:val="0"/>
          <w:divBdr>
            <w:top w:val="none" w:sz="0" w:space="0" w:color="auto"/>
            <w:left w:val="none" w:sz="0" w:space="0" w:color="auto"/>
            <w:bottom w:val="none" w:sz="0" w:space="0" w:color="auto"/>
            <w:right w:val="none" w:sz="0" w:space="0" w:color="auto"/>
          </w:divBdr>
        </w:div>
      </w:divsChild>
    </w:div>
    <w:div w:id="1092820404">
      <w:marLeft w:val="0"/>
      <w:marRight w:val="0"/>
      <w:marTop w:val="0"/>
      <w:marBottom w:val="240"/>
      <w:divBdr>
        <w:top w:val="none" w:sz="0" w:space="0" w:color="auto"/>
        <w:left w:val="none" w:sz="0" w:space="0" w:color="auto"/>
        <w:bottom w:val="none" w:sz="0" w:space="0" w:color="auto"/>
        <w:right w:val="none" w:sz="0" w:space="0" w:color="auto"/>
      </w:divBdr>
    </w:div>
    <w:div w:id="1092971339">
      <w:marLeft w:val="0"/>
      <w:marRight w:val="0"/>
      <w:marTop w:val="0"/>
      <w:marBottom w:val="240"/>
      <w:divBdr>
        <w:top w:val="none" w:sz="0" w:space="0" w:color="auto"/>
        <w:left w:val="none" w:sz="0" w:space="0" w:color="auto"/>
        <w:bottom w:val="none" w:sz="0" w:space="0" w:color="auto"/>
        <w:right w:val="none" w:sz="0" w:space="0" w:color="auto"/>
      </w:divBdr>
    </w:div>
    <w:div w:id="1093402874">
      <w:marLeft w:val="0"/>
      <w:marRight w:val="0"/>
      <w:marTop w:val="0"/>
      <w:marBottom w:val="180"/>
      <w:divBdr>
        <w:top w:val="none" w:sz="0" w:space="0" w:color="auto"/>
        <w:left w:val="none" w:sz="0" w:space="0" w:color="auto"/>
        <w:bottom w:val="none" w:sz="0" w:space="0" w:color="auto"/>
        <w:right w:val="none" w:sz="0" w:space="0" w:color="auto"/>
      </w:divBdr>
    </w:div>
    <w:div w:id="1093432322">
      <w:marLeft w:val="0"/>
      <w:marRight w:val="0"/>
      <w:marTop w:val="0"/>
      <w:marBottom w:val="240"/>
      <w:divBdr>
        <w:top w:val="none" w:sz="0" w:space="0" w:color="auto"/>
        <w:left w:val="none" w:sz="0" w:space="0" w:color="auto"/>
        <w:bottom w:val="none" w:sz="0" w:space="0" w:color="auto"/>
        <w:right w:val="none" w:sz="0" w:space="0" w:color="auto"/>
      </w:divBdr>
    </w:div>
    <w:div w:id="1094402434">
      <w:marLeft w:val="0"/>
      <w:marRight w:val="0"/>
      <w:marTop w:val="120"/>
      <w:marBottom w:val="240"/>
      <w:divBdr>
        <w:top w:val="none" w:sz="0" w:space="0" w:color="auto"/>
        <w:left w:val="none" w:sz="0" w:space="0" w:color="auto"/>
        <w:bottom w:val="none" w:sz="0" w:space="0" w:color="auto"/>
        <w:right w:val="none" w:sz="0" w:space="0" w:color="auto"/>
      </w:divBdr>
    </w:div>
    <w:div w:id="1095713381">
      <w:marLeft w:val="0"/>
      <w:marRight w:val="0"/>
      <w:marTop w:val="0"/>
      <w:marBottom w:val="0"/>
      <w:divBdr>
        <w:top w:val="none" w:sz="0" w:space="0" w:color="auto"/>
        <w:left w:val="none" w:sz="0" w:space="0" w:color="auto"/>
        <w:bottom w:val="none" w:sz="0" w:space="0" w:color="auto"/>
        <w:right w:val="none" w:sz="0" w:space="0" w:color="auto"/>
      </w:divBdr>
    </w:div>
    <w:div w:id="1096169861">
      <w:marLeft w:val="0"/>
      <w:marRight w:val="0"/>
      <w:marTop w:val="0"/>
      <w:marBottom w:val="0"/>
      <w:divBdr>
        <w:top w:val="none" w:sz="0" w:space="0" w:color="auto"/>
        <w:left w:val="none" w:sz="0" w:space="0" w:color="auto"/>
        <w:bottom w:val="none" w:sz="0" w:space="0" w:color="auto"/>
        <w:right w:val="none" w:sz="0" w:space="0" w:color="auto"/>
      </w:divBdr>
      <w:divsChild>
        <w:div w:id="855191150">
          <w:marLeft w:val="0"/>
          <w:marRight w:val="0"/>
          <w:marTop w:val="0"/>
          <w:marBottom w:val="0"/>
          <w:divBdr>
            <w:top w:val="none" w:sz="0" w:space="0" w:color="auto"/>
            <w:left w:val="none" w:sz="0" w:space="0" w:color="auto"/>
            <w:bottom w:val="none" w:sz="0" w:space="0" w:color="auto"/>
            <w:right w:val="none" w:sz="0" w:space="0" w:color="auto"/>
          </w:divBdr>
        </w:div>
      </w:divsChild>
    </w:div>
    <w:div w:id="1096632912">
      <w:marLeft w:val="0"/>
      <w:marRight w:val="0"/>
      <w:marTop w:val="0"/>
      <w:marBottom w:val="240"/>
      <w:divBdr>
        <w:top w:val="none" w:sz="0" w:space="0" w:color="auto"/>
        <w:left w:val="none" w:sz="0" w:space="0" w:color="auto"/>
        <w:bottom w:val="none" w:sz="0" w:space="0" w:color="auto"/>
        <w:right w:val="none" w:sz="0" w:space="0" w:color="auto"/>
      </w:divBdr>
    </w:div>
    <w:div w:id="1097406069">
      <w:marLeft w:val="0"/>
      <w:marRight w:val="0"/>
      <w:marTop w:val="180"/>
      <w:marBottom w:val="180"/>
      <w:divBdr>
        <w:top w:val="none" w:sz="0" w:space="0" w:color="auto"/>
        <w:left w:val="none" w:sz="0" w:space="0" w:color="auto"/>
        <w:bottom w:val="none" w:sz="0" w:space="0" w:color="auto"/>
        <w:right w:val="none" w:sz="0" w:space="0" w:color="auto"/>
      </w:divBdr>
    </w:div>
    <w:div w:id="1098523692">
      <w:marLeft w:val="0"/>
      <w:marRight w:val="0"/>
      <w:marTop w:val="0"/>
      <w:marBottom w:val="0"/>
      <w:divBdr>
        <w:top w:val="none" w:sz="0" w:space="0" w:color="auto"/>
        <w:left w:val="none" w:sz="0" w:space="0" w:color="auto"/>
        <w:bottom w:val="none" w:sz="0" w:space="0" w:color="auto"/>
        <w:right w:val="none" w:sz="0" w:space="0" w:color="auto"/>
      </w:divBdr>
    </w:div>
    <w:div w:id="1099831580">
      <w:marLeft w:val="0"/>
      <w:marRight w:val="0"/>
      <w:marTop w:val="240"/>
      <w:marBottom w:val="240"/>
      <w:divBdr>
        <w:top w:val="none" w:sz="0" w:space="0" w:color="auto"/>
        <w:left w:val="none" w:sz="0" w:space="0" w:color="auto"/>
        <w:bottom w:val="none" w:sz="0" w:space="0" w:color="auto"/>
        <w:right w:val="none" w:sz="0" w:space="0" w:color="auto"/>
      </w:divBdr>
    </w:div>
    <w:div w:id="1100640280">
      <w:marLeft w:val="0"/>
      <w:marRight w:val="0"/>
      <w:marTop w:val="180"/>
      <w:marBottom w:val="180"/>
      <w:divBdr>
        <w:top w:val="none" w:sz="0" w:space="0" w:color="auto"/>
        <w:left w:val="none" w:sz="0" w:space="0" w:color="auto"/>
        <w:bottom w:val="none" w:sz="0" w:space="0" w:color="auto"/>
        <w:right w:val="none" w:sz="0" w:space="0" w:color="auto"/>
      </w:divBdr>
    </w:div>
    <w:div w:id="1101032192">
      <w:marLeft w:val="0"/>
      <w:marRight w:val="0"/>
      <w:marTop w:val="0"/>
      <w:marBottom w:val="240"/>
      <w:divBdr>
        <w:top w:val="none" w:sz="0" w:space="0" w:color="auto"/>
        <w:left w:val="none" w:sz="0" w:space="0" w:color="auto"/>
        <w:bottom w:val="none" w:sz="0" w:space="0" w:color="auto"/>
        <w:right w:val="none" w:sz="0" w:space="0" w:color="auto"/>
      </w:divBdr>
    </w:div>
    <w:div w:id="1101805322">
      <w:marLeft w:val="0"/>
      <w:marRight w:val="0"/>
      <w:marTop w:val="260"/>
      <w:marBottom w:val="240"/>
      <w:divBdr>
        <w:top w:val="none" w:sz="0" w:space="0" w:color="auto"/>
        <w:left w:val="none" w:sz="0" w:space="0" w:color="auto"/>
        <w:bottom w:val="none" w:sz="0" w:space="0" w:color="auto"/>
        <w:right w:val="none" w:sz="0" w:space="0" w:color="auto"/>
      </w:divBdr>
    </w:div>
    <w:div w:id="1102070015">
      <w:marLeft w:val="0"/>
      <w:marRight w:val="0"/>
      <w:marTop w:val="0"/>
      <w:marBottom w:val="0"/>
      <w:divBdr>
        <w:top w:val="none" w:sz="0" w:space="0" w:color="auto"/>
        <w:left w:val="none" w:sz="0" w:space="0" w:color="auto"/>
        <w:bottom w:val="none" w:sz="0" w:space="0" w:color="auto"/>
        <w:right w:val="none" w:sz="0" w:space="0" w:color="auto"/>
      </w:divBdr>
    </w:div>
    <w:div w:id="1103039451">
      <w:marLeft w:val="0"/>
      <w:marRight w:val="0"/>
      <w:marTop w:val="0"/>
      <w:marBottom w:val="240"/>
      <w:divBdr>
        <w:top w:val="none" w:sz="0" w:space="0" w:color="auto"/>
        <w:left w:val="none" w:sz="0" w:space="0" w:color="auto"/>
        <w:bottom w:val="none" w:sz="0" w:space="0" w:color="auto"/>
        <w:right w:val="none" w:sz="0" w:space="0" w:color="auto"/>
      </w:divBdr>
    </w:div>
    <w:div w:id="1104499715">
      <w:marLeft w:val="0"/>
      <w:marRight w:val="0"/>
      <w:marTop w:val="0"/>
      <w:marBottom w:val="240"/>
      <w:divBdr>
        <w:top w:val="none" w:sz="0" w:space="0" w:color="auto"/>
        <w:left w:val="none" w:sz="0" w:space="0" w:color="auto"/>
        <w:bottom w:val="none" w:sz="0" w:space="0" w:color="auto"/>
        <w:right w:val="none" w:sz="0" w:space="0" w:color="auto"/>
      </w:divBdr>
    </w:div>
    <w:div w:id="1104954441">
      <w:marLeft w:val="0"/>
      <w:marRight w:val="0"/>
      <w:marTop w:val="180"/>
      <w:marBottom w:val="180"/>
      <w:divBdr>
        <w:top w:val="none" w:sz="0" w:space="0" w:color="auto"/>
        <w:left w:val="none" w:sz="0" w:space="0" w:color="auto"/>
        <w:bottom w:val="none" w:sz="0" w:space="0" w:color="auto"/>
        <w:right w:val="none" w:sz="0" w:space="0" w:color="auto"/>
      </w:divBdr>
    </w:div>
    <w:div w:id="1105154900">
      <w:marLeft w:val="0"/>
      <w:marRight w:val="0"/>
      <w:marTop w:val="0"/>
      <w:marBottom w:val="180"/>
      <w:divBdr>
        <w:top w:val="none" w:sz="0" w:space="0" w:color="auto"/>
        <w:left w:val="none" w:sz="0" w:space="0" w:color="auto"/>
        <w:bottom w:val="none" w:sz="0" w:space="0" w:color="auto"/>
        <w:right w:val="none" w:sz="0" w:space="0" w:color="auto"/>
      </w:divBdr>
    </w:div>
    <w:div w:id="1105269958">
      <w:marLeft w:val="0"/>
      <w:marRight w:val="0"/>
      <w:marTop w:val="0"/>
      <w:marBottom w:val="0"/>
      <w:divBdr>
        <w:top w:val="none" w:sz="0" w:space="0" w:color="auto"/>
        <w:left w:val="none" w:sz="0" w:space="0" w:color="auto"/>
        <w:bottom w:val="none" w:sz="0" w:space="0" w:color="auto"/>
        <w:right w:val="none" w:sz="0" w:space="0" w:color="auto"/>
      </w:divBdr>
    </w:div>
    <w:div w:id="1105802938">
      <w:marLeft w:val="0"/>
      <w:marRight w:val="0"/>
      <w:marTop w:val="0"/>
      <w:marBottom w:val="240"/>
      <w:divBdr>
        <w:top w:val="none" w:sz="0" w:space="0" w:color="auto"/>
        <w:left w:val="none" w:sz="0" w:space="0" w:color="auto"/>
        <w:bottom w:val="none" w:sz="0" w:space="0" w:color="auto"/>
        <w:right w:val="none" w:sz="0" w:space="0" w:color="auto"/>
      </w:divBdr>
    </w:div>
    <w:div w:id="1107193543">
      <w:marLeft w:val="0"/>
      <w:marRight w:val="0"/>
      <w:marTop w:val="0"/>
      <w:marBottom w:val="240"/>
      <w:divBdr>
        <w:top w:val="none" w:sz="0" w:space="0" w:color="auto"/>
        <w:left w:val="none" w:sz="0" w:space="0" w:color="auto"/>
        <w:bottom w:val="none" w:sz="0" w:space="0" w:color="auto"/>
        <w:right w:val="none" w:sz="0" w:space="0" w:color="auto"/>
      </w:divBdr>
    </w:div>
    <w:div w:id="1107694116">
      <w:marLeft w:val="0"/>
      <w:marRight w:val="0"/>
      <w:marTop w:val="0"/>
      <w:marBottom w:val="240"/>
      <w:divBdr>
        <w:top w:val="none" w:sz="0" w:space="0" w:color="auto"/>
        <w:left w:val="none" w:sz="0" w:space="0" w:color="auto"/>
        <w:bottom w:val="none" w:sz="0" w:space="0" w:color="auto"/>
        <w:right w:val="none" w:sz="0" w:space="0" w:color="auto"/>
      </w:divBdr>
    </w:div>
    <w:div w:id="1107847476">
      <w:marLeft w:val="0"/>
      <w:marRight w:val="0"/>
      <w:marTop w:val="0"/>
      <w:marBottom w:val="0"/>
      <w:divBdr>
        <w:top w:val="none" w:sz="0" w:space="0" w:color="auto"/>
        <w:left w:val="none" w:sz="0" w:space="0" w:color="auto"/>
        <w:bottom w:val="none" w:sz="0" w:space="0" w:color="auto"/>
        <w:right w:val="none" w:sz="0" w:space="0" w:color="auto"/>
      </w:divBdr>
    </w:div>
    <w:div w:id="1108046287">
      <w:marLeft w:val="0"/>
      <w:marRight w:val="0"/>
      <w:marTop w:val="0"/>
      <w:marBottom w:val="0"/>
      <w:divBdr>
        <w:top w:val="none" w:sz="0" w:space="0" w:color="auto"/>
        <w:left w:val="none" w:sz="0" w:space="0" w:color="auto"/>
        <w:bottom w:val="none" w:sz="0" w:space="0" w:color="auto"/>
        <w:right w:val="none" w:sz="0" w:space="0" w:color="auto"/>
      </w:divBdr>
      <w:divsChild>
        <w:div w:id="1627347232">
          <w:marLeft w:val="0"/>
          <w:marRight w:val="0"/>
          <w:marTop w:val="0"/>
          <w:marBottom w:val="0"/>
          <w:divBdr>
            <w:top w:val="none" w:sz="0" w:space="0" w:color="auto"/>
            <w:left w:val="none" w:sz="0" w:space="0" w:color="auto"/>
            <w:bottom w:val="none" w:sz="0" w:space="0" w:color="auto"/>
            <w:right w:val="none" w:sz="0" w:space="0" w:color="auto"/>
          </w:divBdr>
        </w:div>
      </w:divsChild>
    </w:div>
    <w:div w:id="1108158576">
      <w:marLeft w:val="0"/>
      <w:marRight w:val="0"/>
      <w:marTop w:val="0"/>
      <w:marBottom w:val="180"/>
      <w:divBdr>
        <w:top w:val="none" w:sz="0" w:space="0" w:color="auto"/>
        <w:left w:val="none" w:sz="0" w:space="0" w:color="auto"/>
        <w:bottom w:val="none" w:sz="0" w:space="0" w:color="auto"/>
        <w:right w:val="none" w:sz="0" w:space="0" w:color="auto"/>
      </w:divBdr>
    </w:div>
    <w:div w:id="1108700906">
      <w:marLeft w:val="0"/>
      <w:marRight w:val="0"/>
      <w:marTop w:val="0"/>
      <w:marBottom w:val="0"/>
      <w:divBdr>
        <w:top w:val="none" w:sz="0" w:space="0" w:color="auto"/>
        <w:left w:val="none" w:sz="0" w:space="0" w:color="auto"/>
        <w:bottom w:val="none" w:sz="0" w:space="0" w:color="auto"/>
        <w:right w:val="none" w:sz="0" w:space="0" w:color="auto"/>
      </w:divBdr>
      <w:divsChild>
        <w:div w:id="950015453">
          <w:marLeft w:val="0"/>
          <w:marRight w:val="0"/>
          <w:marTop w:val="0"/>
          <w:marBottom w:val="0"/>
          <w:divBdr>
            <w:top w:val="none" w:sz="0" w:space="0" w:color="auto"/>
            <w:left w:val="none" w:sz="0" w:space="0" w:color="auto"/>
            <w:bottom w:val="none" w:sz="0" w:space="0" w:color="auto"/>
            <w:right w:val="none" w:sz="0" w:space="0" w:color="auto"/>
          </w:divBdr>
        </w:div>
      </w:divsChild>
    </w:div>
    <w:div w:id="1108962827">
      <w:marLeft w:val="0"/>
      <w:marRight w:val="0"/>
      <w:marTop w:val="0"/>
      <w:marBottom w:val="0"/>
      <w:divBdr>
        <w:top w:val="none" w:sz="0" w:space="0" w:color="auto"/>
        <w:left w:val="none" w:sz="0" w:space="0" w:color="auto"/>
        <w:bottom w:val="none" w:sz="0" w:space="0" w:color="auto"/>
        <w:right w:val="none" w:sz="0" w:space="0" w:color="auto"/>
      </w:divBdr>
    </w:div>
    <w:div w:id="1109743447">
      <w:marLeft w:val="0"/>
      <w:marRight w:val="0"/>
      <w:marTop w:val="0"/>
      <w:marBottom w:val="180"/>
      <w:divBdr>
        <w:top w:val="none" w:sz="0" w:space="0" w:color="auto"/>
        <w:left w:val="none" w:sz="0" w:space="0" w:color="auto"/>
        <w:bottom w:val="none" w:sz="0" w:space="0" w:color="auto"/>
        <w:right w:val="none" w:sz="0" w:space="0" w:color="auto"/>
      </w:divBdr>
    </w:div>
    <w:div w:id="1109860344">
      <w:marLeft w:val="0"/>
      <w:marRight w:val="0"/>
      <w:marTop w:val="0"/>
      <w:marBottom w:val="0"/>
      <w:divBdr>
        <w:top w:val="none" w:sz="0" w:space="0" w:color="auto"/>
        <w:left w:val="none" w:sz="0" w:space="0" w:color="auto"/>
        <w:bottom w:val="none" w:sz="0" w:space="0" w:color="auto"/>
        <w:right w:val="none" w:sz="0" w:space="0" w:color="auto"/>
      </w:divBdr>
    </w:div>
    <w:div w:id="1110318905">
      <w:marLeft w:val="0"/>
      <w:marRight w:val="0"/>
      <w:marTop w:val="180"/>
      <w:marBottom w:val="180"/>
      <w:divBdr>
        <w:top w:val="none" w:sz="0" w:space="0" w:color="auto"/>
        <w:left w:val="none" w:sz="0" w:space="0" w:color="auto"/>
        <w:bottom w:val="none" w:sz="0" w:space="0" w:color="auto"/>
        <w:right w:val="none" w:sz="0" w:space="0" w:color="auto"/>
      </w:divBdr>
    </w:div>
    <w:div w:id="1110470228">
      <w:marLeft w:val="0"/>
      <w:marRight w:val="0"/>
      <w:marTop w:val="0"/>
      <w:marBottom w:val="0"/>
      <w:divBdr>
        <w:top w:val="none" w:sz="0" w:space="0" w:color="auto"/>
        <w:left w:val="none" w:sz="0" w:space="0" w:color="auto"/>
        <w:bottom w:val="none" w:sz="0" w:space="0" w:color="auto"/>
        <w:right w:val="none" w:sz="0" w:space="0" w:color="auto"/>
      </w:divBdr>
    </w:div>
    <w:div w:id="1111362069">
      <w:marLeft w:val="0"/>
      <w:marRight w:val="0"/>
      <w:marTop w:val="0"/>
      <w:marBottom w:val="180"/>
      <w:divBdr>
        <w:top w:val="none" w:sz="0" w:space="0" w:color="auto"/>
        <w:left w:val="none" w:sz="0" w:space="0" w:color="auto"/>
        <w:bottom w:val="none" w:sz="0" w:space="0" w:color="auto"/>
        <w:right w:val="none" w:sz="0" w:space="0" w:color="auto"/>
      </w:divBdr>
    </w:div>
    <w:div w:id="1111707469">
      <w:marLeft w:val="0"/>
      <w:marRight w:val="0"/>
      <w:marTop w:val="0"/>
      <w:marBottom w:val="240"/>
      <w:divBdr>
        <w:top w:val="none" w:sz="0" w:space="0" w:color="auto"/>
        <w:left w:val="none" w:sz="0" w:space="0" w:color="auto"/>
        <w:bottom w:val="none" w:sz="0" w:space="0" w:color="auto"/>
        <w:right w:val="none" w:sz="0" w:space="0" w:color="auto"/>
      </w:divBdr>
    </w:div>
    <w:div w:id="1112046077">
      <w:marLeft w:val="0"/>
      <w:marRight w:val="0"/>
      <w:marTop w:val="0"/>
      <w:marBottom w:val="0"/>
      <w:divBdr>
        <w:top w:val="none" w:sz="0" w:space="0" w:color="auto"/>
        <w:left w:val="none" w:sz="0" w:space="0" w:color="auto"/>
        <w:bottom w:val="none" w:sz="0" w:space="0" w:color="auto"/>
        <w:right w:val="none" w:sz="0" w:space="0" w:color="auto"/>
      </w:divBdr>
    </w:div>
    <w:div w:id="1112478221">
      <w:marLeft w:val="0"/>
      <w:marRight w:val="0"/>
      <w:marTop w:val="0"/>
      <w:marBottom w:val="240"/>
      <w:divBdr>
        <w:top w:val="none" w:sz="0" w:space="0" w:color="auto"/>
        <w:left w:val="none" w:sz="0" w:space="0" w:color="auto"/>
        <w:bottom w:val="none" w:sz="0" w:space="0" w:color="auto"/>
        <w:right w:val="none" w:sz="0" w:space="0" w:color="auto"/>
      </w:divBdr>
    </w:div>
    <w:div w:id="1113011824">
      <w:marLeft w:val="0"/>
      <w:marRight w:val="0"/>
      <w:marTop w:val="180"/>
      <w:marBottom w:val="180"/>
      <w:divBdr>
        <w:top w:val="none" w:sz="0" w:space="0" w:color="auto"/>
        <w:left w:val="none" w:sz="0" w:space="0" w:color="auto"/>
        <w:bottom w:val="none" w:sz="0" w:space="0" w:color="auto"/>
        <w:right w:val="none" w:sz="0" w:space="0" w:color="auto"/>
      </w:divBdr>
    </w:div>
    <w:div w:id="1113863850">
      <w:marLeft w:val="0"/>
      <w:marRight w:val="0"/>
      <w:marTop w:val="100"/>
      <w:marBottom w:val="0"/>
      <w:divBdr>
        <w:top w:val="none" w:sz="0" w:space="0" w:color="auto"/>
        <w:left w:val="none" w:sz="0" w:space="0" w:color="auto"/>
        <w:bottom w:val="none" w:sz="0" w:space="0" w:color="auto"/>
        <w:right w:val="none" w:sz="0" w:space="0" w:color="auto"/>
      </w:divBdr>
      <w:divsChild>
        <w:div w:id="1538733140">
          <w:marLeft w:val="0"/>
          <w:marRight w:val="0"/>
          <w:marTop w:val="0"/>
          <w:marBottom w:val="0"/>
          <w:divBdr>
            <w:top w:val="none" w:sz="0" w:space="0" w:color="auto"/>
            <w:left w:val="none" w:sz="0" w:space="0" w:color="auto"/>
            <w:bottom w:val="none" w:sz="0" w:space="0" w:color="auto"/>
            <w:right w:val="none" w:sz="0" w:space="0" w:color="auto"/>
          </w:divBdr>
        </w:div>
        <w:div w:id="187186329">
          <w:marLeft w:val="0"/>
          <w:marRight w:val="0"/>
          <w:marTop w:val="0"/>
          <w:marBottom w:val="0"/>
          <w:divBdr>
            <w:top w:val="none" w:sz="0" w:space="0" w:color="auto"/>
            <w:left w:val="none" w:sz="0" w:space="0" w:color="auto"/>
            <w:bottom w:val="none" w:sz="0" w:space="0" w:color="auto"/>
            <w:right w:val="none" w:sz="0" w:space="0" w:color="auto"/>
          </w:divBdr>
        </w:div>
        <w:div w:id="1513181783">
          <w:marLeft w:val="0"/>
          <w:marRight w:val="0"/>
          <w:marTop w:val="0"/>
          <w:marBottom w:val="0"/>
          <w:divBdr>
            <w:top w:val="none" w:sz="0" w:space="0" w:color="auto"/>
            <w:left w:val="none" w:sz="0" w:space="0" w:color="auto"/>
            <w:bottom w:val="none" w:sz="0" w:space="0" w:color="auto"/>
            <w:right w:val="none" w:sz="0" w:space="0" w:color="auto"/>
          </w:divBdr>
        </w:div>
      </w:divsChild>
    </w:div>
    <w:div w:id="1113941122">
      <w:marLeft w:val="0"/>
      <w:marRight w:val="0"/>
      <w:marTop w:val="0"/>
      <w:marBottom w:val="240"/>
      <w:divBdr>
        <w:top w:val="none" w:sz="0" w:space="0" w:color="auto"/>
        <w:left w:val="none" w:sz="0" w:space="0" w:color="auto"/>
        <w:bottom w:val="none" w:sz="0" w:space="0" w:color="auto"/>
        <w:right w:val="none" w:sz="0" w:space="0" w:color="auto"/>
      </w:divBdr>
    </w:div>
    <w:div w:id="1115515941">
      <w:marLeft w:val="0"/>
      <w:marRight w:val="0"/>
      <w:marTop w:val="0"/>
      <w:marBottom w:val="240"/>
      <w:divBdr>
        <w:top w:val="none" w:sz="0" w:space="0" w:color="auto"/>
        <w:left w:val="none" w:sz="0" w:space="0" w:color="auto"/>
        <w:bottom w:val="none" w:sz="0" w:space="0" w:color="auto"/>
        <w:right w:val="none" w:sz="0" w:space="0" w:color="auto"/>
      </w:divBdr>
    </w:div>
    <w:div w:id="1115520063">
      <w:marLeft w:val="0"/>
      <w:marRight w:val="0"/>
      <w:marTop w:val="100"/>
      <w:marBottom w:val="0"/>
      <w:divBdr>
        <w:top w:val="none" w:sz="0" w:space="0" w:color="auto"/>
        <w:left w:val="none" w:sz="0" w:space="0" w:color="auto"/>
        <w:bottom w:val="none" w:sz="0" w:space="0" w:color="auto"/>
        <w:right w:val="none" w:sz="0" w:space="0" w:color="auto"/>
      </w:divBdr>
    </w:div>
    <w:div w:id="1116871783">
      <w:marLeft w:val="0"/>
      <w:marRight w:val="0"/>
      <w:marTop w:val="0"/>
      <w:marBottom w:val="180"/>
      <w:divBdr>
        <w:top w:val="none" w:sz="0" w:space="0" w:color="auto"/>
        <w:left w:val="none" w:sz="0" w:space="0" w:color="auto"/>
        <w:bottom w:val="none" w:sz="0" w:space="0" w:color="auto"/>
        <w:right w:val="none" w:sz="0" w:space="0" w:color="auto"/>
      </w:divBdr>
    </w:div>
    <w:div w:id="1117527331">
      <w:marLeft w:val="0"/>
      <w:marRight w:val="0"/>
      <w:marTop w:val="120"/>
      <w:marBottom w:val="120"/>
      <w:divBdr>
        <w:top w:val="none" w:sz="0" w:space="0" w:color="auto"/>
        <w:left w:val="none" w:sz="0" w:space="0" w:color="auto"/>
        <w:bottom w:val="none" w:sz="0" w:space="0" w:color="auto"/>
        <w:right w:val="none" w:sz="0" w:space="0" w:color="auto"/>
      </w:divBdr>
    </w:div>
    <w:div w:id="1117605393">
      <w:marLeft w:val="0"/>
      <w:marRight w:val="0"/>
      <w:marTop w:val="0"/>
      <w:marBottom w:val="180"/>
      <w:divBdr>
        <w:top w:val="none" w:sz="0" w:space="0" w:color="auto"/>
        <w:left w:val="none" w:sz="0" w:space="0" w:color="auto"/>
        <w:bottom w:val="none" w:sz="0" w:space="0" w:color="auto"/>
        <w:right w:val="none" w:sz="0" w:space="0" w:color="auto"/>
      </w:divBdr>
    </w:div>
    <w:div w:id="1118333308">
      <w:marLeft w:val="0"/>
      <w:marRight w:val="0"/>
      <w:marTop w:val="0"/>
      <w:marBottom w:val="0"/>
      <w:divBdr>
        <w:top w:val="none" w:sz="0" w:space="0" w:color="auto"/>
        <w:left w:val="none" w:sz="0" w:space="0" w:color="auto"/>
        <w:bottom w:val="none" w:sz="0" w:space="0" w:color="auto"/>
        <w:right w:val="none" w:sz="0" w:space="0" w:color="auto"/>
      </w:divBdr>
    </w:div>
    <w:div w:id="1118716912">
      <w:marLeft w:val="0"/>
      <w:marRight w:val="0"/>
      <w:marTop w:val="0"/>
      <w:marBottom w:val="0"/>
      <w:divBdr>
        <w:top w:val="none" w:sz="0" w:space="0" w:color="auto"/>
        <w:left w:val="none" w:sz="0" w:space="0" w:color="auto"/>
        <w:bottom w:val="none" w:sz="0" w:space="0" w:color="auto"/>
        <w:right w:val="none" w:sz="0" w:space="0" w:color="auto"/>
      </w:divBdr>
      <w:divsChild>
        <w:div w:id="1368682899">
          <w:marLeft w:val="0"/>
          <w:marRight w:val="0"/>
          <w:marTop w:val="0"/>
          <w:marBottom w:val="0"/>
          <w:divBdr>
            <w:top w:val="none" w:sz="0" w:space="0" w:color="auto"/>
            <w:left w:val="none" w:sz="0" w:space="0" w:color="auto"/>
            <w:bottom w:val="none" w:sz="0" w:space="0" w:color="auto"/>
            <w:right w:val="none" w:sz="0" w:space="0" w:color="auto"/>
          </w:divBdr>
        </w:div>
      </w:divsChild>
    </w:div>
    <w:div w:id="1121606914">
      <w:marLeft w:val="0"/>
      <w:marRight w:val="0"/>
      <w:marTop w:val="0"/>
      <w:marBottom w:val="180"/>
      <w:divBdr>
        <w:top w:val="none" w:sz="0" w:space="0" w:color="auto"/>
        <w:left w:val="none" w:sz="0" w:space="0" w:color="auto"/>
        <w:bottom w:val="none" w:sz="0" w:space="0" w:color="auto"/>
        <w:right w:val="none" w:sz="0" w:space="0" w:color="auto"/>
      </w:divBdr>
    </w:div>
    <w:div w:id="1122384584">
      <w:marLeft w:val="0"/>
      <w:marRight w:val="0"/>
      <w:marTop w:val="0"/>
      <w:marBottom w:val="240"/>
      <w:divBdr>
        <w:top w:val="none" w:sz="0" w:space="0" w:color="auto"/>
        <w:left w:val="none" w:sz="0" w:space="0" w:color="auto"/>
        <w:bottom w:val="none" w:sz="0" w:space="0" w:color="auto"/>
        <w:right w:val="none" w:sz="0" w:space="0" w:color="auto"/>
      </w:divBdr>
    </w:div>
    <w:div w:id="1123574921">
      <w:marLeft w:val="0"/>
      <w:marRight w:val="0"/>
      <w:marTop w:val="0"/>
      <w:marBottom w:val="180"/>
      <w:divBdr>
        <w:top w:val="none" w:sz="0" w:space="0" w:color="auto"/>
        <w:left w:val="none" w:sz="0" w:space="0" w:color="auto"/>
        <w:bottom w:val="none" w:sz="0" w:space="0" w:color="auto"/>
        <w:right w:val="none" w:sz="0" w:space="0" w:color="auto"/>
      </w:divBdr>
    </w:div>
    <w:div w:id="1124542594">
      <w:marLeft w:val="0"/>
      <w:marRight w:val="0"/>
      <w:marTop w:val="180"/>
      <w:marBottom w:val="180"/>
      <w:divBdr>
        <w:top w:val="none" w:sz="0" w:space="0" w:color="auto"/>
        <w:left w:val="none" w:sz="0" w:space="0" w:color="auto"/>
        <w:bottom w:val="none" w:sz="0" w:space="0" w:color="auto"/>
        <w:right w:val="none" w:sz="0" w:space="0" w:color="auto"/>
      </w:divBdr>
    </w:div>
    <w:div w:id="1124807083">
      <w:marLeft w:val="0"/>
      <w:marRight w:val="0"/>
      <w:marTop w:val="0"/>
      <w:marBottom w:val="0"/>
      <w:divBdr>
        <w:top w:val="none" w:sz="0" w:space="0" w:color="auto"/>
        <w:left w:val="none" w:sz="0" w:space="0" w:color="auto"/>
        <w:bottom w:val="none" w:sz="0" w:space="0" w:color="auto"/>
        <w:right w:val="none" w:sz="0" w:space="0" w:color="auto"/>
      </w:divBdr>
      <w:divsChild>
        <w:div w:id="1315141819">
          <w:marLeft w:val="0"/>
          <w:marRight w:val="0"/>
          <w:marTop w:val="0"/>
          <w:marBottom w:val="0"/>
          <w:divBdr>
            <w:top w:val="none" w:sz="0" w:space="0" w:color="auto"/>
            <w:left w:val="none" w:sz="0" w:space="0" w:color="auto"/>
            <w:bottom w:val="none" w:sz="0" w:space="0" w:color="auto"/>
            <w:right w:val="none" w:sz="0" w:space="0" w:color="auto"/>
          </w:divBdr>
        </w:div>
      </w:divsChild>
    </w:div>
    <w:div w:id="1127627161">
      <w:marLeft w:val="0"/>
      <w:marRight w:val="0"/>
      <w:marTop w:val="0"/>
      <w:marBottom w:val="240"/>
      <w:divBdr>
        <w:top w:val="none" w:sz="0" w:space="0" w:color="auto"/>
        <w:left w:val="none" w:sz="0" w:space="0" w:color="auto"/>
        <w:bottom w:val="none" w:sz="0" w:space="0" w:color="auto"/>
        <w:right w:val="none" w:sz="0" w:space="0" w:color="auto"/>
      </w:divBdr>
    </w:div>
    <w:div w:id="1128668419">
      <w:marLeft w:val="0"/>
      <w:marRight w:val="0"/>
      <w:marTop w:val="0"/>
      <w:marBottom w:val="0"/>
      <w:divBdr>
        <w:top w:val="none" w:sz="0" w:space="0" w:color="auto"/>
        <w:left w:val="none" w:sz="0" w:space="0" w:color="auto"/>
        <w:bottom w:val="none" w:sz="0" w:space="0" w:color="auto"/>
        <w:right w:val="none" w:sz="0" w:space="0" w:color="auto"/>
      </w:divBdr>
    </w:div>
    <w:div w:id="1129400053">
      <w:marLeft w:val="0"/>
      <w:marRight w:val="0"/>
      <w:marTop w:val="0"/>
      <w:marBottom w:val="0"/>
      <w:divBdr>
        <w:top w:val="none" w:sz="0" w:space="0" w:color="auto"/>
        <w:left w:val="none" w:sz="0" w:space="0" w:color="auto"/>
        <w:bottom w:val="none" w:sz="0" w:space="0" w:color="auto"/>
        <w:right w:val="none" w:sz="0" w:space="0" w:color="auto"/>
      </w:divBdr>
      <w:divsChild>
        <w:div w:id="71784679">
          <w:marLeft w:val="0"/>
          <w:marRight w:val="0"/>
          <w:marTop w:val="0"/>
          <w:marBottom w:val="0"/>
          <w:divBdr>
            <w:top w:val="none" w:sz="0" w:space="0" w:color="auto"/>
            <w:left w:val="none" w:sz="0" w:space="0" w:color="auto"/>
            <w:bottom w:val="none" w:sz="0" w:space="0" w:color="auto"/>
            <w:right w:val="none" w:sz="0" w:space="0" w:color="auto"/>
          </w:divBdr>
        </w:div>
      </w:divsChild>
    </w:div>
    <w:div w:id="1129976545">
      <w:marLeft w:val="0"/>
      <w:marRight w:val="0"/>
      <w:marTop w:val="0"/>
      <w:marBottom w:val="180"/>
      <w:divBdr>
        <w:top w:val="none" w:sz="0" w:space="0" w:color="auto"/>
        <w:left w:val="none" w:sz="0" w:space="0" w:color="auto"/>
        <w:bottom w:val="none" w:sz="0" w:space="0" w:color="auto"/>
        <w:right w:val="none" w:sz="0" w:space="0" w:color="auto"/>
      </w:divBdr>
    </w:div>
    <w:div w:id="1131242296">
      <w:marLeft w:val="0"/>
      <w:marRight w:val="0"/>
      <w:marTop w:val="0"/>
      <w:marBottom w:val="0"/>
      <w:divBdr>
        <w:top w:val="none" w:sz="0" w:space="0" w:color="auto"/>
        <w:left w:val="none" w:sz="0" w:space="0" w:color="auto"/>
        <w:bottom w:val="none" w:sz="0" w:space="0" w:color="auto"/>
        <w:right w:val="none" w:sz="0" w:space="0" w:color="auto"/>
      </w:divBdr>
      <w:divsChild>
        <w:div w:id="944767858">
          <w:marLeft w:val="0"/>
          <w:marRight w:val="0"/>
          <w:marTop w:val="0"/>
          <w:marBottom w:val="0"/>
          <w:divBdr>
            <w:top w:val="none" w:sz="0" w:space="0" w:color="auto"/>
            <w:left w:val="none" w:sz="0" w:space="0" w:color="auto"/>
            <w:bottom w:val="none" w:sz="0" w:space="0" w:color="auto"/>
            <w:right w:val="none" w:sz="0" w:space="0" w:color="auto"/>
          </w:divBdr>
        </w:div>
      </w:divsChild>
    </w:div>
    <w:div w:id="1132165643">
      <w:marLeft w:val="0"/>
      <w:marRight w:val="0"/>
      <w:marTop w:val="0"/>
      <w:marBottom w:val="240"/>
      <w:divBdr>
        <w:top w:val="none" w:sz="0" w:space="0" w:color="auto"/>
        <w:left w:val="none" w:sz="0" w:space="0" w:color="auto"/>
        <w:bottom w:val="none" w:sz="0" w:space="0" w:color="auto"/>
        <w:right w:val="none" w:sz="0" w:space="0" w:color="auto"/>
      </w:divBdr>
    </w:div>
    <w:div w:id="1132986571">
      <w:marLeft w:val="0"/>
      <w:marRight w:val="0"/>
      <w:marTop w:val="0"/>
      <w:marBottom w:val="240"/>
      <w:divBdr>
        <w:top w:val="none" w:sz="0" w:space="0" w:color="auto"/>
        <w:left w:val="none" w:sz="0" w:space="0" w:color="auto"/>
        <w:bottom w:val="none" w:sz="0" w:space="0" w:color="auto"/>
        <w:right w:val="none" w:sz="0" w:space="0" w:color="auto"/>
      </w:divBdr>
    </w:div>
    <w:div w:id="1133018468">
      <w:marLeft w:val="0"/>
      <w:marRight w:val="0"/>
      <w:marTop w:val="0"/>
      <w:marBottom w:val="240"/>
      <w:divBdr>
        <w:top w:val="none" w:sz="0" w:space="0" w:color="auto"/>
        <w:left w:val="none" w:sz="0" w:space="0" w:color="auto"/>
        <w:bottom w:val="none" w:sz="0" w:space="0" w:color="auto"/>
        <w:right w:val="none" w:sz="0" w:space="0" w:color="auto"/>
      </w:divBdr>
    </w:div>
    <w:div w:id="1133327122">
      <w:marLeft w:val="0"/>
      <w:marRight w:val="0"/>
      <w:marTop w:val="0"/>
      <w:marBottom w:val="240"/>
      <w:divBdr>
        <w:top w:val="none" w:sz="0" w:space="0" w:color="auto"/>
        <w:left w:val="none" w:sz="0" w:space="0" w:color="auto"/>
        <w:bottom w:val="none" w:sz="0" w:space="0" w:color="auto"/>
        <w:right w:val="none" w:sz="0" w:space="0" w:color="auto"/>
      </w:divBdr>
    </w:div>
    <w:div w:id="1133403260">
      <w:marLeft w:val="0"/>
      <w:marRight w:val="0"/>
      <w:marTop w:val="180"/>
      <w:marBottom w:val="180"/>
      <w:divBdr>
        <w:top w:val="none" w:sz="0" w:space="0" w:color="auto"/>
        <w:left w:val="none" w:sz="0" w:space="0" w:color="auto"/>
        <w:bottom w:val="none" w:sz="0" w:space="0" w:color="auto"/>
        <w:right w:val="none" w:sz="0" w:space="0" w:color="auto"/>
      </w:divBdr>
    </w:div>
    <w:div w:id="1133405598">
      <w:marLeft w:val="0"/>
      <w:marRight w:val="0"/>
      <w:marTop w:val="180"/>
      <w:marBottom w:val="180"/>
      <w:divBdr>
        <w:top w:val="none" w:sz="0" w:space="0" w:color="auto"/>
        <w:left w:val="none" w:sz="0" w:space="0" w:color="auto"/>
        <w:bottom w:val="none" w:sz="0" w:space="0" w:color="auto"/>
        <w:right w:val="none" w:sz="0" w:space="0" w:color="auto"/>
      </w:divBdr>
    </w:div>
    <w:div w:id="1134132822">
      <w:marLeft w:val="0"/>
      <w:marRight w:val="0"/>
      <w:marTop w:val="0"/>
      <w:marBottom w:val="0"/>
      <w:divBdr>
        <w:top w:val="none" w:sz="0" w:space="0" w:color="auto"/>
        <w:left w:val="none" w:sz="0" w:space="0" w:color="auto"/>
        <w:bottom w:val="none" w:sz="0" w:space="0" w:color="auto"/>
        <w:right w:val="none" w:sz="0" w:space="0" w:color="auto"/>
      </w:divBdr>
    </w:div>
    <w:div w:id="1134833394">
      <w:marLeft w:val="0"/>
      <w:marRight w:val="0"/>
      <w:marTop w:val="0"/>
      <w:marBottom w:val="180"/>
      <w:divBdr>
        <w:top w:val="none" w:sz="0" w:space="0" w:color="auto"/>
        <w:left w:val="none" w:sz="0" w:space="0" w:color="auto"/>
        <w:bottom w:val="none" w:sz="0" w:space="0" w:color="auto"/>
        <w:right w:val="none" w:sz="0" w:space="0" w:color="auto"/>
      </w:divBdr>
    </w:div>
    <w:div w:id="1135567297">
      <w:marLeft w:val="0"/>
      <w:marRight w:val="0"/>
      <w:marTop w:val="0"/>
      <w:marBottom w:val="0"/>
      <w:divBdr>
        <w:top w:val="none" w:sz="0" w:space="0" w:color="auto"/>
        <w:left w:val="none" w:sz="0" w:space="0" w:color="auto"/>
        <w:bottom w:val="none" w:sz="0" w:space="0" w:color="auto"/>
        <w:right w:val="none" w:sz="0" w:space="0" w:color="auto"/>
      </w:divBdr>
    </w:div>
    <w:div w:id="1135953757">
      <w:marLeft w:val="0"/>
      <w:marRight w:val="0"/>
      <w:marTop w:val="0"/>
      <w:marBottom w:val="180"/>
      <w:divBdr>
        <w:top w:val="none" w:sz="0" w:space="0" w:color="auto"/>
        <w:left w:val="none" w:sz="0" w:space="0" w:color="auto"/>
        <w:bottom w:val="none" w:sz="0" w:space="0" w:color="auto"/>
        <w:right w:val="none" w:sz="0" w:space="0" w:color="auto"/>
      </w:divBdr>
    </w:div>
    <w:div w:id="1136489721">
      <w:marLeft w:val="0"/>
      <w:marRight w:val="0"/>
      <w:marTop w:val="0"/>
      <w:marBottom w:val="180"/>
      <w:divBdr>
        <w:top w:val="none" w:sz="0" w:space="0" w:color="auto"/>
        <w:left w:val="none" w:sz="0" w:space="0" w:color="auto"/>
        <w:bottom w:val="none" w:sz="0" w:space="0" w:color="auto"/>
        <w:right w:val="none" w:sz="0" w:space="0" w:color="auto"/>
      </w:divBdr>
    </w:div>
    <w:div w:id="1136988411">
      <w:marLeft w:val="0"/>
      <w:marRight w:val="0"/>
      <w:marTop w:val="0"/>
      <w:marBottom w:val="240"/>
      <w:divBdr>
        <w:top w:val="none" w:sz="0" w:space="0" w:color="auto"/>
        <w:left w:val="none" w:sz="0" w:space="0" w:color="auto"/>
        <w:bottom w:val="none" w:sz="0" w:space="0" w:color="auto"/>
        <w:right w:val="none" w:sz="0" w:space="0" w:color="auto"/>
      </w:divBdr>
    </w:div>
    <w:div w:id="1137260532">
      <w:marLeft w:val="0"/>
      <w:marRight w:val="0"/>
      <w:marTop w:val="0"/>
      <w:marBottom w:val="0"/>
      <w:divBdr>
        <w:top w:val="none" w:sz="0" w:space="0" w:color="auto"/>
        <w:left w:val="none" w:sz="0" w:space="0" w:color="auto"/>
        <w:bottom w:val="none" w:sz="0" w:space="0" w:color="auto"/>
        <w:right w:val="none" w:sz="0" w:space="0" w:color="auto"/>
      </w:divBdr>
    </w:div>
    <w:div w:id="1137455745">
      <w:marLeft w:val="0"/>
      <w:marRight w:val="0"/>
      <w:marTop w:val="100"/>
      <w:marBottom w:val="0"/>
      <w:divBdr>
        <w:top w:val="none" w:sz="0" w:space="0" w:color="auto"/>
        <w:left w:val="none" w:sz="0" w:space="0" w:color="auto"/>
        <w:bottom w:val="none" w:sz="0" w:space="0" w:color="auto"/>
        <w:right w:val="none" w:sz="0" w:space="0" w:color="auto"/>
      </w:divBdr>
      <w:divsChild>
        <w:div w:id="2101371876">
          <w:marLeft w:val="0"/>
          <w:marRight w:val="0"/>
          <w:marTop w:val="0"/>
          <w:marBottom w:val="180"/>
          <w:divBdr>
            <w:top w:val="none" w:sz="0" w:space="0" w:color="auto"/>
            <w:left w:val="none" w:sz="0" w:space="0" w:color="auto"/>
            <w:bottom w:val="none" w:sz="0" w:space="0" w:color="auto"/>
            <w:right w:val="none" w:sz="0" w:space="0" w:color="auto"/>
          </w:divBdr>
        </w:div>
        <w:div w:id="1391031340">
          <w:marLeft w:val="0"/>
          <w:marRight w:val="0"/>
          <w:marTop w:val="0"/>
          <w:marBottom w:val="180"/>
          <w:divBdr>
            <w:top w:val="none" w:sz="0" w:space="0" w:color="auto"/>
            <w:left w:val="none" w:sz="0" w:space="0" w:color="auto"/>
            <w:bottom w:val="none" w:sz="0" w:space="0" w:color="auto"/>
            <w:right w:val="none" w:sz="0" w:space="0" w:color="auto"/>
          </w:divBdr>
        </w:div>
        <w:div w:id="1690641805">
          <w:marLeft w:val="0"/>
          <w:marRight w:val="0"/>
          <w:marTop w:val="0"/>
          <w:marBottom w:val="180"/>
          <w:divBdr>
            <w:top w:val="none" w:sz="0" w:space="0" w:color="auto"/>
            <w:left w:val="none" w:sz="0" w:space="0" w:color="auto"/>
            <w:bottom w:val="none" w:sz="0" w:space="0" w:color="auto"/>
            <w:right w:val="none" w:sz="0" w:space="0" w:color="auto"/>
          </w:divBdr>
        </w:div>
        <w:div w:id="477696578">
          <w:marLeft w:val="0"/>
          <w:marRight w:val="0"/>
          <w:marTop w:val="0"/>
          <w:marBottom w:val="180"/>
          <w:divBdr>
            <w:top w:val="none" w:sz="0" w:space="0" w:color="auto"/>
            <w:left w:val="none" w:sz="0" w:space="0" w:color="auto"/>
            <w:bottom w:val="none" w:sz="0" w:space="0" w:color="auto"/>
            <w:right w:val="none" w:sz="0" w:space="0" w:color="auto"/>
          </w:divBdr>
        </w:div>
        <w:div w:id="240144198">
          <w:marLeft w:val="0"/>
          <w:marRight w:val="0"/>
          <w:marTop w:val="0"/>
          <w:marBottom w:val="180"/>
          <w:divBdr>
            <w:top w:val="none" w:sz="0" w:space="0" w:color="auto"/>
            <w:left w:val="none" w:sz="0" w:space="0" w:color="auto"/>
            <w:bottom w:val="none" w:sz="0" w:space="0" w:color="auto"/>
            <w:right w:val="none" w:sz="0" w:space="0" w:color="auto"/>
          </w:divBdr>
        </w:div>
        <w:div w:id="1571504232">
          <w:marLeft w:val="0"/>
          <w:marRight w:val="0"/>
          <w:marTop w:val="0"/>
          <w:marBottom w:val="180"/>
          <w:divBdr>
            <w:top w:val="none" w:sz="0" w:space="0" w:color="auto"/>
            <w:left w:val="none" w:sz="0" w:space="0" w:color="auto"/>
            <w:bottom w:val="none" w:sz="0" w:space="0" w:color="auto"/>
            <w:right w:val="none" w:sz="0" w:space="0" w:color="auto"/>
          </w:divBdr>
        </w:div>
      </w:divsChild>
    </w:div>
    <w:div w:id="1138377774">
      <w:marLeft w:val="0"/>
      <w:marRight w:val="0"/>
      <w:marTop w:val="100"/>
      <w:marBottom w:val="240"/>
      <w:divBdr>
        <w:top w:val="none" w:sz="0" w:space="0" w:color="auto"/>
        <w:left w:val="none" w:sz="0" w:space="0" w:color="auto"/>
        <w:bottom w:val="none" w:sz="0" w:space="0" w:color="auto"/>
        <w:right w:val="none" w:sz="0" w:space="0" w:color="auto"/>
      </w:divBdr>
    </w:div>
    <w:div w:id="1139230974">
      <w:marLeft w:val="0"/>
      <w:marRight w:val="0"/>
      <w:marTop w:val="0"/>
      <w:marBottom w:val="180"/>
      <w:divBdr>
        <w:top w:val="none" w:sz="0" w:space="0" w:color="auto"/>
        <w:left w:val="none" w:sz="0" w:space="0" w:color="auto"/>
        <w:bottom w:val="none" w:sz="0" w:space="0" w:color="auto"/>
        <w:right w:val="none" w:sz="0" w:space="0" w:color="auto"/>
      </w:divBdr>
    </w:div>
    <w:div w:id="1139762031">
      <w:marLeft w:val="0"/>
      <w:marRight w:val="0"/>
      <w:marTop w:val="0"/>
      <w:marBottom w:val="180"/>
      <w:divBdr>
        <w:top w:val="none" w:sz="0" w:space="0" w:color="auto"/>
        <w:left w:val="none" w:sz="0" w:space="0" w:color="auto"/>
        <w:bottom w:val="none" w:sz="0" w:space="0" w:color="auto"/>
        <w:right w:val="none" w:sz="0" w:space="0" w:color="auto"/>
      </w:divBdr>
    </w:div>
    <w:div w:id="1140001091">
      <w:marLeft w:val="0"/>
      <w:marRight w:val="0"/>
      <w:marTop w:val="0"/>
      <w:marBottom w:val="180"/>
      <w:divBdr>
        <w:top w:val="none" w:sz="0" w:space="0" w:color="auto"/>
        <w:left w:val="none" w:sz="0" w:space="0" w:color="auto"/>
        <w:bottom w:val="none" w:sz="0" w:space="0" w:color="auto"/>
        <w:right w:val="none" w:sz="0" w:space="0" w:color="auto"/>
      </w:divBdr>
    </w:div>
    <w:div w:id="1140414984">
      <w:marLeft w:val="0"/>
      <w:marRight w:val="0"/>
      <w:marTop w:val="0"/>
      <w:marBottom w:val="180"/>
      <w:divBdr>
        <w:top w:val="none" w:sz="0" w:space="0" w:color="auto"/>
        <w:left w:val="none" w:sz="0" w:space="0" w:color="auto"/>
        <w:bottom w:val="none" w:sz="0" w:space="0" w:color="auto"/>
        <w:right w:val="none" w:sz="0" w:space="0" w:color="auto"/>
      </w:divBdr>
    </w:div>
    <w:div w:id="1140682876">
      <w:marLeft w:val="0"/>
      <w:marRight w:val="0"/>
      <w:marTop w:val="120"/>
      <w:marBottom w:val="120"/>
      <w:divBdr>
        <w:top w:val="none" w:sz="0" w:space="0" w:color="auto"/>
        <w:left w:val="none" w:sz="0" w:space="0" w:color="auto"/>
        <w:bottom w:val="none" w:sz="0" w:space="0" w:color="auto"/>
        <w:right w:val="none" w:sz="0" w:space="0" w:color="auto"/>
      </w:divBdr>
    </w:div>
    <w:div w:id="1140727207">
      <w:marLeft w:val="0"/>
      <w:marRight w:val="0"/>
      <w:marTop w:val="0"/>
      <w:marBottom w:val="0"/>
      <w:divBdr>
        <w:top w:val="none" w:sz="0" w:space="0" w:color="auto"/>
        <w:left w:val="none" w:sz="0" w:space="0" w:color="auto"/>
        <w:bottom w:val="none" w:sz="0" w:space="0" w:color="auto"/>
        <w:right w:val="none" w:sz="0" w:space="0" w:color="auto"/>
      </w:divBdr>
      <w:divsChild>
        <w:div w:id="1418599081">
          <w:marLeft w:val="0"/>
          <w:marRight w:val="0"/>
          <w:marTop w:val="0"/>
          <w:marBottom w:val="0"/>
          <w:divBdr>
            <w:top w:val="none" w:sz="0" w:space="0" w:color="auto"/>
            <w:left w:val="none" w:sz="0" w:space="0" w:color="auto"/>
            <w:bottom w:val="none" w:sz="0" w:space="0" w:color="auto"/>
            <w:right w:val="none" w:sz="0" w:space="0" w:color="auto"/>
          </w:divBdr>
        </w:div>
      </w:divsChild>
    </w:div>
    <w:div w:id="1141001596">
      <w:marLeft w:val="0"/>
      <w:marRight w:val="0"/>
      <w:marTop w:val="0"/>
      <w:marBottom w:val="0"/>
      <w:divBdr>
        <w:top w:val="none" w:sz="0" w:space="0" w:color="auto"/>
        <w:left w:val="none" w:sz="0" w:space="0" w:color="auto"/>
        <w:bottom w:val="none" w:sz="0" w:space="0" w:color="auto"/>
        <w:right w:val="none" w:sz="0" w:space="0" w:color="auto"/>
      </w:divBdr>
      <w:divsChild>
        <w:div w:id="214003575">
          <w:marLeft w:val="0"/>
          <w:marRight w:val="0"/>
          <w:marTop w:val="0"/>
          <w:marBottom w:val="0"/>
          <w:divBdr>
            <w:top w:val="none" w:sz="0" w:space="0" w:color="auto"/>
            <w:left w:val="none" w:sz="0" w:space="0" w:color="auto"/>
            <w:bottom w:val="none" w:sz="0" w:space="0" w:color="auto"/>
            <w:right w:val="none" w:sz="0" w:space="0" w:color="auto"/>
          </w:divBdr>
        </w:div>
      </w:divsChild>
    </w:div>
    <w:div w:id="1141267012">
      <w:marLeft w:val="0"/>
      <w:marRight w:val="0"/>
      <w:marTop w:val="0"/>
      <w:marBottom w:val="180"/>
      <w:divBdr>
        <w:top w:val="none" w:sz="0" w:space="0" w:color="auto"/>
        <w:left w:val="none" w:sz="0" w:space="0" w:color="auto"/>
        <w:bottom w:val="none" w:sz="0" w:space="0" w:color="auto"/>
        <w:right w:val="none" w:sz="0" w:space="0" w:color="auto"/>
      </w:divBdr>
    </w:div>
    <w:div w:id="1141338219">
      <w:marLeft w:val="0"/>
      <w:marRight w:val="0"/>
      <w:marTop w:val="0"/>
      <w:marBottom w:val="0"/>
      <w:divBdr>
        <w:top w:val="none" w:sz="0" w:space="0" w:color="auto"/>
        <w:left w:val="none" w:sz="0" w:space="0" w:color="auto"/>
        <w:bottom w:val="none" w:sz="0" w:space="0" w:color="auto"/>
        <w:right w:val="none" w:sz="0" w:space="0" w:color="auto"/>
      </w:divBdr>
      <w:divsChild>
        <w:div w:id="880435821">
          <w:marLeft w:val="0"/>
          <w:marRight w:val="0"/>
          <w:marTop w:val="0"/>
          <w:marBottom w:val="0"/>
          <w:divBdr>
            <w:top w:val="none" w:sz="0" w:space="0" w:color="auto"/>
            <w:left w:val="none" w:sz="0" w:space="0" w:color="auto"/>
            <w:bottom w:val="none" w:sz="0" w:space="0" w:color="auto"/>
            <w:right w:val="none" w:sz="0" w:space="0" w:color="auto"/>
          </w:divBdr>
        </w:div>
        <w:div w:id="599795149">
          <w:marLeft w:val="0"/>
          <w:marRight w:val="0"/>
          <w:marTop w:val="0"/>
          <w:marBottom w:val="0"/>
          <w:divBdr>
            <w:top w:val="none" w:sz="0" w:space="0" w:color="auto"/>
            <w:left w:val="none" w:sz="0" w:space="0" w:color="auto"/>
            <w:bottom w:val="none" w:sz="0" w:space="0" w:color="auto"/>
            <w:right w:val="none" w:sz="0" w:space="0" w:color="auto"/>
          </w:divBdr>
        </w:div>
      </w:divsChild>
    </w:div>
    <w:div w:id="1141579286">
      <w:marLeft w:val="0"/>
      <w:marRight w:val="0"/>
      <w:marTop w:val="0"/>
      <w:marBottom w:val="240"/>
      <w:divBdr>
        <w:top w:val="none" w:sz="0" w:space="0" w:color="auto"/>
        <w:left w:val="none" w:sz="0" w:space="0" w:color="auto"/>
        <w:bottom w:val="none" w:sz="0" w:space="0" w:color="auto"/>
        <w:right w:val="none" w:sz="0" w:space="0" w:color="auto"/>
      </w:divBdr>
    </w:div>
    <w:div w:id="1141965289">
      <w:marLeft w:val="0"/>
      <w:marRight w:val="0"/>
      <w:marTop w:val="0"/>
      <w:marBottom w:val="240"/>
      <w:divBdr>
        <w:top w:val="none" w:sz="0" w:space="0" w:color="auto"/>
        <w:left w:val="none" w:sz="0" w:space="0" w:color="auto"/>
        <w:bottom w:val="none" w:sz="0" w:space="0" w:color="auto"/>
        <w:right w:val="none" w:sz="0" w:space="0" w:color="auto"/>
      </w:divBdr>
    </w:div>
    <w:div w:id="1142305885">
      <w:marLeft w:val="0"/>
      <w:marRight w:val="0"/>
      <w:marTop w:val="60"/>
      <w:marBottom w:val="0"/>
      <w:divBdr>
        <w:top w:val="none" w:sz="0" w:space="0" w:color="auto"/>
        <w:left w:val="none" w:sz="0" w:space="0" w:color="auto"/>
        <w:bottom w:val="none" w:sz="0" w:space="0" w:color="auto"/>
        <w:right w:val="none" w:sz="0" w:space="0" w:color="auto"/>
      </w:divBdr>
    </w:div>
    <w:div w:id="1142696311">
      <w:marLeft w:val="0"/>
      <w:marRight w:val="0"/>
      <w:marTop w:val="0"/>
      <w:marBottom w:val="0"/>
      <w:divBdr>
        <w:top w:val="none" w:sz="0" w:space="0" w:color="auto"/>
        <w:left w:val="none" w:sz="0" w:space="0" w:color="auto"/>
        <w:bottom w:val="none" w:sz="0" w:space="0" w:color="auto"/>
        <w:right w:val="none" w:sz="0" w:space="0" w:color="auto"/>
      </w:divBdr>
    </w:div>
    <w:div w:id="1142845582">
      <w:marLeft w:val="0"/>
      <w:marRight w:val="0"/>
      <w:marTop w:val="0"/>
      <w:marBottom w:val="240"/>
      <w:divBdr>
        <w:top w:val="none" w:sz="0" w:space="0" w:color="auto"/>
        <w:left w:val="none" w:sz="0" w:space="0" w:color="auto"/>
        <w:bottom w:val="none" w:sz="0" w:space="0" w:color="auto"/>
        <w:right w:val="none" w:sz="0" w:space="0" w:color="auto"/>
      </w:divBdr>
    </w:div>
    <w:div w:id="1143041355">
      <w:marLeft w:val="0"/>
      <w:marRight w:val="0"/>
      <w:marTop w:val="120"/>
      <w:marBottom w:val="240"/>
      <w:divBdr>
        <w:top w:val="none" w:sz="0" w:space="0" w:color="auto"/>
        <w:left w:val="none" w:sz="0" w:space="0" w:color="auto"/>
        <w:bottom w:val="none" w:sz="0" w:space="0" w:color="auto"/>
        <w:right w:val="none" w:sz="0" w:space="0" w:color="auto"/>
      </w:divBdr>
    </w:div>
    <w:div w:id="1143230100">
      <w:marLeft w:val="0"/>
      <w:marRight w:val="0"/>
      <w:marTop w:val="0"/>
      <w:marBottom w:val="0"/>
      <w:divBdr>
        <w:top w:val="none" w:sz="0" w:space="0" w:color="auto"/>
        <w:left w:val="none" w:sz="0" w:space="0" w:color="auto"/>
        <w:bottom w:val="none" w:sz="0" w:space="0" w:color="auto"/>
        <w:right w:val="none" w:sz="0" w:space="0" w:color="auto"/>
      </w:divBdr>
    </w:div>
    <w:div w:id="1143231906">
      <w:marLeft w:val="0"/>
      <w:marRight w:val="0"/>
      <w:marTop w:val="0"/>
      <w:marBottom w:val="0"/>
      <w:divBdr>
        <w:top w:val="none" w:sz="0" w:space="0" w:color="auto"/>
        <w:left w:val="none" w:sz="0" w:space="0" w:color="auto"/>
        <w:bottom w:val="none" w:sz="0" w:space="0" w:color="auto"/>
        <w:right w:val="none" w:sz="0" w:space="0" w:color="auto"/>
      </w:divBdr>
      <w:divsChild>
        <w:div w:id="133301734">
          <w:marLeft w:val="0"/>
          <w:marRight w:val="0"/>
          <w:marTop w:val="0"/>
          <w:marBottom w:val="0"/>
          <w:divBdr>
            <w:top w:val="none" w:sz="0" w:space="0" w:color="auto"/>
            <w:left w:val="none" w:sz="0" w:space="0" w:color="auto"/>
            <w:bottom w:val="none" w:sz="0" w:space="0" w:color="auto"/>
            <w:right w:val="none" w:sz="0" w:space="0" w:color="auto"/>
          </w:divBdr>
        </w:div>
      </w:divsChild>
    </w:div>
    <w:div w:id="1143237902">
      <w:marLeft w:val="0"/>
      <w:marRight w:val="0"/>
      <w:marTop w:val="0"/>
      <w:marBottom w:val="240"/>
      <w:divBdr>
        <w:top w:val="none" w:sz="0" w:space="0" w:color="auto"/>
        <w:left w:val="none" w:sz="0" w:space="0" w:color="auto"/>
        <w:bottom w:val="none" w:sz="0" w:space="0" w:color="auto"/>
        <w:right w:val="none" w:sz="0" w:space="0" w:color="auto"/>
      </w:divBdr>
    </w:div>
    <w:div w:id="1143305988">
      <w:marLeft w:val="0"/>
      <w:marRight w:val="0"/>
      <w:marTop w:val="0"/>
      <w:marBottom w:val="180"/>
      <w:divBdr>
        <w:top w:val="none" w:sz="0" w:space="0" w:color="auto"/>
        <w:left w:val="none" w:sz="0" w:space="0" w:color="auto"/>
        <w:bottom w:val="none" w:sz="0" w:space="0" w:color="auto"/>
        <w:right w:val="none" w:sz="0" w:space="0" w:color="auto"/>
      </w:divBdr>
    </w:div>
    <w:div w:id="1144734036">
      <w:marLeft w:val="0"/>
      <w:marRight w:val="0"/>
      <w:marTop w:val="0"/>
      <w:marBottom w:val="0"/>
      <w:divBdr>
        <w:top w:val="none" w:sz="0" w:space="0" w:color="auto"/>
        <w:left w:val="none" w:sz="0" w:space="0" w:color="auto"/>
        <w:bottom w:val="none" w:sz="0" w:space="0" w:color="auto"/>
        <w:right w:val="none" w:sz="0" w:space="0" w:color="auto"/>
      </w:divBdr>
    </w:div>
    <w:div w:id="1145006564">
      <w:marLeft w:val="0"/>
      <w:marRight w:val="0"/>
      <w:marTop w:val="100"/>
      <w:marBottom w:val="180"/>
      <w:divBdr>
        <w:top w:val="none" w:sz="0" w:space="0" w:color="auto"/>
        <w:left w:val="none" w:sz="0" w:space="0" w:color="auto"/>
        <w:bottom w:val="none" w:sz="0" w:space="0" w:color="auto"/>
        <w:right w:val="none" w:sz="0" w:space="0" w:color="auto"/>
      </w:divBdr>
    </w:div>
    <w:div w:id="1145314028">
      <w:marLeft w:val="0"/>
      <w:marRight w:val="0"/>
      <w:marTop w:val="0"/>
      <w:marBottom w:val="180"/>
      <w:divBdr>
        <w:top w:val="none" w:sz="0" w:space="0" w:color="auto"/>
        <w:left w:val="none" w:sz="0" w:space="0" w:color="auto"/>
        <w:bottom w:val="none" w:sz="0" w:space="0" w:color="auto"/>
        <w:right w:val="none" w:sz="0" w:space="0" w:color="auto"/>
      </w:divBdr>
    </w:div>
    <w:div w:id="1146434780">
      <w:marLeft w:val="0"/>
      <w:marRight w:val="0"/>
      <w:marTop w:val="120"/>
      <w:marBottom w:val="240"/>
      <w:divBdr>
        <w:top w:val="none" w:sz="0" w:space="0" w:color="auto"/>
        <w:left w:val="none" w:sz="0" w:space="0" w:color="auto"/>
        <w:bottom w:val="none" w:sz="0" w:space="0" w:color="auto"/>
        <w:right w:val="none" w:sz="0" w:space="0" w:color="auto"/>
      </w:divBdr>
    </w:div>
    <w:div w:id="1150713801">
      <w:marLeft w:val="0"/>
      <w:marRight w:val="0"/>
      <w:marTop w:val="0"/>
      <w:marBottom w:val="0"/>
      <w:divBdr>
        <w:top w:val="none" w:sz="0" w:space="0" w:color="auto"/>
        <w:left w:val="none" w:sz="0" w:space="0" w:color="auto"/>
        <w:bottom w:val="none" w:sz="0" w:space="0" w:color="auto"/>
        <w:right w:val="none" w:sz="0" w:space="0" w:color="auto"/>
      </w:divBdr>
      <w:divsChild>
        <w:div w:id="803471782">
          <w:marLeft w:val="0"/>
          <w:marRight w:val="0"/>
          <w:marTop w:val="0"/>
          <w:marBottom w:val="0"/>
          <w:divBdr>
            <w:top w:val="none" w:sz="0" w:space="0" w:color="auto"/>
            <w:left w:val="none" w:sz="0" w:space="0" w:color="auto"/>
            <w:bottom w:val="none" w:sz="0" w:space="0" w:color="auto"/>
            <w:right w:val="none" w:sz="0" w:space="0" w:color="auto"/>
          </w:divBdr>
        </w:div>
      </w:divsChild>
    </w:div>
    <w:div w:id="1152941742">
      <w:marLeft w:val="0"/>
      <w:marRight w:val="0"/>
      <w:marTop w:val="0"/>
      <w:marBottom w:val="180"/>
      <w:divBdr>
        <w:top w:val="none" w:sz="0" w:space="0" w:color="auto"/>
        <w:left w:val="none" w:sz="0" w:space="0" w:color="auto"/>
        <w:bottom w:val="none" w:sz="0" w:space="0" w:color="auto"/>
        <w:right w:val="none" w:sz="0" w:space="0" w:color="auto"/>
      </w:divBdr>
    </w:div>
    <w:div w:id="1153181590">
      <w:marLeft w:val="0"/>
      <w:marRight w:val="0"/>
      <w:marTop w:val="0"/>
      <w:marBottom w:val="180"/>
      <w:divBdr>
        <w:top w:val="none" w:sz="0" w:space="0" w:color="auto"/>
        <w:left w:val="none" w:sz="0" w:space="0" w:color="auto"/>
        <w:bottom w:val="none" w:sz="0" w:space="0" w:color="auto"/>
        <w:right w:val="none" w:sz="0" w:space="0" w:color="auto"/>
      </w:divBdr>
    </w:div>
    <w:div w:id="1153642972">
      <w:marLeft w:val="0"/>
      <w:marRight w:val="0"/>
      <w:marTop w:val="0"/>
      <w:marBottom w:val="180"/>
      <w:divBdr>
        <w:top w:val="none" w:sz="0" w:space="0" w:color="auto"/>
        <w:left w:val="none" w:sz="0" w:space="0" w:color="auto"/>
        <w:bottom w:val="none" w:sz="0" w:space="0" w:color="auto"/>
        <w:right w:val="none" w:sz="0" w:space="0" w:color="auto"/>
      </w:divBdr>
    </w:div>
    <w:div w:id="1155948744">
      <w:marLeft w:val="0"/>
      <w:marRight w:val="0"/>
      <w:marTop w:val="0"/>
      <w:marBottom w:val="180"/>
      <w:divBdr>
        <w:top w:val="none" w:sz="0" w:space="0" w:color="auto"/>
        <w:left w:val="none" w:sz="0" w:space="0" w:color="auto"/>
        <w:bottom w:val="none" w:sz="0" w:space="0" w:color="auto"/>
        <w:right w:val="none" w:sz="0" w:space="0" w:color="auto"/>
      </w:divBdr>
    </w:div>
    <w:div w:id="1156455448">
      <w:marLeft w:val="0"/>
      <w:marRight w:val="0"/>
      <w:marTop w:val="0"/>
      <w:marBottom w:val="180"/>
      <w:divBdr>
        <w:top w:val="none" w:sz="0" w:space="0" w:color="auto"/>
        <w:left w:val="none" w:sz="0" w:space="0" w:color="auto"/>
        <w:bottom w:val="none" w:sz="0" w:space="0" w:color="auto"/>
        <w:right w:val="none" w:sz="0" w:space="0" w:color="auto"/>
      </w:divBdr>
    </w:div>
    <w:div w:id="1157500449">
      <w:marLeft w:val="0"/>
      <w:marRight w:val="0"/>
      <w:marTop w:val="0"/>
      <w:marBottom w:val="180"/>
      <w:divBdr>
        <w:top w:val="none" w:sz="0" w:space="0" w:color="auto"/>
        <w:left w:val="none" w:sz="0" w:space="0" w:color="auto"/>
        <w:bottom w:val="none" w:sz="0" w:space="0" w:color="auto"/>
        <w:right w:val="none" w:sz="0" w:space="0" w:color="auto"/>
      </w:divBdr>
    </w:div>
    <w:div w:id="1157916131">
      <w:marLeft w:val="0"/>
      <w:marRight w:val="0"/>
      <w:marTop w:val="0"/>
      <w:marBottom w:val="0"/>
      <w:divBdr>
        <w:top w:val="none" w:sz="0" w:space="0" w:color="auto"/>
        <w:left w:val="none" w:sz="0" w:space="0" w:color="auto"/>
        <w:bottom w:val="none" w:sz="0" w:space="0" w:color="auto"/>
        <w:right w:val="none" w:sz="0" w:space="0" w:color="auto"/>
      </w:divBdr>
    </w:div>
    <w:div w:id="1157916564">
      <w:marLeft w:val="0"/>
      <w:marRight w:val="0"/>
      <w:marTop w:val="0"/>
      <w:marBottom w:val="240"/>
      <w:divBdr>
        <w:top w:val="none" w:sz="0" w:space="0" w:color="auto"/>
        <w:left w:val="none" w:sz="0" w:space="0" w:color="auto"/>
        <w:bottom w:val="none" w:sz="0" w:space="0" w:color="auto"/>
        <w:right w:val="none" w:sz="0" w:space="0" w:color="auto"/>
      </w:divBdr>
    </w:div>
    <w:div w:id="1160655909">
      <w:marLeft w:val="0"/>
      <w:marRight w:val="0"/>
      <w:marTop w:val="0"/>
      <w:marBottom w:val="240"/>
      <w:divBdr>
        <w:top w:val="none" w:sz="0" w:space="0" w:color="auto"/>
        <w:left w:val="none" w:sz="0" w:space="0" w:color="auto"/>
        <w:bottom w:val="none" w:sz="0" w:space="0" w:color="auto"/>
        <w:right w:val="none" w:sz="0" w:space="0" w:color="auto"/>
      </w:divBdr>
    </w:div>
    <w:div w:id="1161119306">
      <w:marLeft w:val="0"/>
      <w:marRight w:val="0"/>
      <w:marTop w:val="0"/>
      <w:marBottom w:val="0"/>
      <w:divBdr>
        <w:top w:val="none" w:sz="0" w:space="0" w:color="auto"/>
        <w:left w:val="none" w:sz="0" w:space="0" w:color="auto"/>
        <w:bottom w:val="none" w:sz="0" w:space="0" w:color="auto"/>
        <w:right w:val="none" w:sz="0" w:space="0" w:color="auto"/>
      </w:divBdr>
    </w:div>
    <w:div w:id="1162350180">
      <w:marLeft w:val="0"/>
      <w:marRight w:val="0"/>
      <w:marTop w:val="0"/>
      <w:marBottom w:val="180"/>
      <w:divBdr>
        <w:top w:val="none" w:sz="0" w:space="0" w:color="auto"/>
        <w:left w:val="none" w:sz="0" w:space="0" w:color="auto"/>
        <w:bottom w:val="none" w:sz="0" w:space="0" w:color="auto"/>
        <w:right w:val="none" w:sz="0" w:space="0" w:color="auto"/>
      </w:divBdr>
    </w:div>
    <w:div w:id="1162505256">
      <w:marLeft w:val="0"/>
      <w:marRight w:val="0"/>
      <w:marTop w:val="180"/>
      <w:marBottom w:val="180"/>
      <w:divBdr>
        <w:top w:val="none" w:sz="0" w:space="0" w:color="auto"/>
        <w:left w:val="none" w:sz="0" w:space="0" w:color="auto"/>
        <w:bottom w:val="none" w:sz="0" w:space="0" w:color="auto"/>
        <w:right w:val="none" w:sz="0" w:space="0" w:color="auto"/>
      </w:divBdr>
    </w:div>
    <w:div w:id="1162965467">
      <w:marLeft w:val="0"/>
      <w:marRight w:val="0"/>
      <w:marTop w:val="0"/>
      <w:marBottom w:val="180"/>
      <w:divBdr>
        <w:top w:val="none" w:sz="0" w:space="0" w:color="auto"/>
        <w:left w:val="none" w:sz="0" w:space="0" w:color="auto"/>
        <w:bottom w:val="none" w:sz="0" w:space="0" w:color="auto"/>
        <w:right w:val="none" w:sz="0" w:space="0" w:color="auto"/>
      </w:divBdr>
    </w:div>
    <w:div w:id="1163664136">
      <w:marLeft w:val="0"/>
      <w:marRight w:val="0"/>
      <w:marTop w:val="100"/>
      <w:marBottom w:val="240"/>
      <w:divBdr>
        <w:top w:val="none" w:sz="0" w:space="0" w:color="auto"/>
        <w:left w:val="none" w:sz="0" w:space="0" w:color="auto"/>
        <w:bottom w:val="none" w:sz="0" w:space="0" w:color="auto"/>
        <w:right w:val="none" w:sz="0" w:space="0" w:color="auto"/>
      </w:divBdr>
    </w:div>
    <w:div w:id="1164471463">
      <w:marLeft w:val="0"/>
      <w:marRight w:val="0"/>
      <w:marTop w:val="100"/>
      <w:marBottom w:val="0"/>
      <w:divBdr>
        <w:top w:val="none" w:sz="0" w:space="0" w:color="auto"/>
        <w:left w:val="none" w:sz="0" w:space="0" w:color="auto"/>
        <w:bottom w:val="none" w:sz="0" w:space="0" w:color="auto"/>
        <w:right w:val="none" w:sz="0" w:space="0" w:color="auto"/>
      </w:divBdr>
    </w:div>
    <w:div w:id="1166088656">
      <w:marLeft w:val="0"/>
      <w:marRight w:val="0"/>
      <w:marTop w:val="0"/>
      <w:marBottom w:val="0"/>
      <w:divBdr>
        <w:top w:val="none" w:sz="0" w:space="0" w:color="auto"/>
        <w:left w:val="none" w:sz="0" w:space="0" w:color="auto"/>
        <w:bottom w:val="none" w:sz="0" w:space="0" w:color="auto"/>
        <w:right w:val="none" w:sz="0" w:space="0" w:color="auto"/>
      </w:divBdr>
    </w:div>
    <w:div w:id="1166287891">
      <w:marLeft w:val="0"/>
      <w:marRight w:val="0"/>
      <w:marTop w:val="0"/>
      <w:marBottom w:val="180"/>
      <w:divBdr>
        <w:top w:val="none" w:sz="0" w:space="0" w:color="auto"/>
        <w:left w:val="none" w:sz="0" w:space="0" w:color="auto"/>
        <w:bottom w:val="none" w:sz="0" w:space="0" w:color="auto"/>
        <w:right w:val="none" w:sz="0" w:space="0" w:color="auto"/>
      </w:divBdr>
    </w:div>
    <w:div w:id="1170293384">
      <w:marLeft w:val="0"/>
      <w:marRight w:val="0"/>
      <w:marTop w:val="0"/>
      <w:marBottom w:val="180"/>
      <w:divBdr>
        <w:top w:val="none" w:sz="0" w:space="0" w:color="auto"/>
        <w:left w:val="none" w:sz="0" w:space="0" w:color="auto"/>
        <w:bottom w:val="none" w:sz="0" w:space="0" w:color="auto"/>
        <w:right w:val="none" w:sz="0" w:space="0" w:color="auto"/>
      </w:divBdr>
    </w:div>
    <w:div w:id="1170875143">
      <w:marLeft w:val="0"/>
      <w:marRight w:val="0"/>
      <w:marTop w:val="0"/>
      <w:marBottom w:val="180"/>
      <w:divBdr>
        <w:top w:val="none" w:sz="0" w:space="0" w:color="auto"/>
        <w:left w:val="none" w:sz="0" w:space="0" w:color="auto"/>
        <w:bottom w:val="none" w:sz="0" w:space="0" w:color="auto"/>
        <w:right w:val="none" w:sz="0" w:space="0" w:color="auto"/>
      </w:divBdr>
    </w:div>
    <w:div w:id="1170877598">
      <w:marLeft w:val="0"/>
      <w:marRight w:val="0"/>
      <w:marTop w:val="0"/>
      <w:marBottom w:val="0"/>
      <w:divBdr>
        <w:top w:val="none" w:sz="0" w:space="0" w:color="auto"/>
        <w:left w:val="none" w:sz="0" w:space="0" w:color="auto"/>
        <w:bottom w:val="none" w:sz="0" w:space="0" w:color="auto"/>
        <w:right w:val="none" w:sz="0" w:space="0" w:color="auto"/>
      </w:divBdr>
      <w:divsChild>
        <w:div w:id="338579673">
          <w:marLeft w:val="0"/>
          <w:marRight w:val="0"/>
          <w:marTop w:val="0"/>
          <w:marBottom w:val="0"/>
          <w:divBdr>
            <w:top w:val="none" w:sz="0" w:space="0" w:color="auto"/>
            <w:left w:val="none" w:sz="0" w:space="0" w:color="auto"/>
            <w:bottom w:val="none" w:sz="0" w:space="0" w:color="auto"/>
            <w:right w:val="none" w:sz="0" w:space="0" w:color="auto"/>
          </w:divBdr>
        </w:div>
      </w:divsChild>
    </w:div>
    <w:div w:id="1170948198">
      <w:marLeft w:val="0"/>
      <w:marRight w:val="0"/>
      <w:marTop w:val="0"/>
      <w:marBottom w:val="180"/>
      <w:divBdr>
        <w:top w:val="none" w:sz="0" w:space="0" w:color="auto"/>
        <w:left w:val="none" w:sz="0" w:space="0" w:color="auto"/>
        <w:bottom w:val="none" w:sz="0" w:space="0" w:color="auto"/>
        <w:right w:val="none" w:sz="0" w:space="0" w:color="auto"/>
      </w:divBdr>
    </w:div>
    <w:div w:id="1171720530">
      <w:marLeft w:val="0"/>
      <w:marRight w:val="0"/>
      <w:marTop w:val="0"/>
      <w:marBottom w:val="180"/>
      <w:divBdr>
        <w:top w:val="none" w:sz="0" w:space="0" w:color="auto"/>
        <w:left w:val="none" w:sz="0" w:space="0" w:color="auto"/>
        <w:bottom w:val="none" w:sz="0" w:space="0" w:color="auto"/>
        <w:right w:val="none" w:sz="0" w:space="0" w:color="auto"/>
      </w:divBdr>
    </w:div>
    <w:div w:id="1174883131">
      <w:marLeft w:val="0"/>
      <w:marRight w:val="0"/>
      <w:marTop w:val="0"/>
      <w:marBottom w:val="240"/>
      <w:divBdr>
        <w:top w:val="none" w:sz="0" w:space="0" w:color="auto"/>
        <w:left w:val="none" w:sz="0" w:space="0" w:color="auto"/>
        <w:bottom w:val="none" w:sz="0" w:space="0" w:color="auto"/>
        <w:right w:val="none" w:sz="0" w:space="0" w:color="auto"/>
      </w:divBdr>
    </w:div>
    <w:div w:id="1176110251">
      <w:marLeft w:val="0"/>
      <w:marRight w:val="0"/>
      <w:marTop w:val="0"/>
      <w:marBottom w:val="240"/>
      <w:divBdr>
        <w:top w:val="none" w:sz="0" w:space="0" w:color="auto"/>
        <w:left w:val="none" w:sz="0" w:space="0" w:color="auto"/>
        <w:bottom w:val="none" w:sz="0" w:space="0" w:color="auto"/>
        <w:right w:val="none" w:sz="0" w:space="0" w:color="auto"/>
      </w:divBdr>
    </w:div>
    <w:div w:id="1176649257">
      <w:marLeft w:val="0"/>
      <w:marRight w:val="0"/>
      <w:marTop w:val="0"/>
      <w:marBottom w:val="240"/>
      <w:divBdr>
        <w:top w:val="none" w:sz="0" w:space="0" w:color="auto"/>
        <w:left w:val="none" w:sz="0" w:space="0" w:color="auto"/>
        <w:bottom w:val="none" w:sz="0" w:space="0" w:color="auto"/>
        <w:right w:val="none" w:sz="0" w:space="0" w:color="auto"/>
      </w:divBdr>
    </w:div>
    <w:div w:id="1176922060">
      <w:marLeft w:val="0"/>
      <w:marRight w:val="0"/>
      <w:marTop w:val="0"/>
      <w:marBottom w:val="180"/>
      <w:divBdr>
        <w:top w:val="none" w:sz="0" w:space="0" w:color="auto"/>
        <w:left w:val="none" w:sz="0" w:space="0" w:color="auto"/>
        <w:bottom w:val="none" w:sz="0" w:space="0" w:color="auto"/>
        <w:right w:val="none" w:sz="0" w:space="0" w:color="auto"/>
      </w:divBdr>
    </w:div>
    <w:div w:id="1177231486">
      <w:marLeft w:val="0"/>
      <w:marRight w:val="0"/>
      <w:marTop w:val="120"/>
      <w:marBottom w:val="240"/>
      <w:divBdr>
        <w:top w:val="none" w:sz="0" w:space="0" w:color="auto"/>
        <w:left w:val="none" w:sz="0" w:space="0" w:color="auto"/>
        <w:bottom w:val="none" w:sz="0" w:space="0" w:color="auto"/>
        <w:right w:val="none" w:sz="0" w:space="0" w:color="auto"/>
      </w:divBdr>
    </w:div>
    <w:div w:id="1177233214">
      <w:marLeft w:val="0"/>
      <w:marRight w:val="0"/>
      <w:marTop w:val="0"/>
      <w:marBottom w:val="180"/>
      <w:divBdr>
        <w:top w:val="none" w:sz="0" w:space="0" w:color="auto"/>
        <w:left w:val="none" w:sz="0" w:space="0" w:color="auto"/>
        <w:bottom w:val="none" w:sz="0" w:space="0" w:color="auto"/>
        <w:right w:val="none" w:sz="0" w:space="0" w:color="auto"/>
      </w:divBdr>
    </w:div>
    <w:div w:id="1180852676">
      <w:marLeft w:val="0"/>
      <w:marRight w:val="0"/>
      <w:marTop w:val="0"/>
      <w:marBottom w:val="180"/>
      <w:divBdr>
        <w:top w:val="none" w:sz="0" w:space="0" w:color="auto"/>
        <w:left w:val="none" w:sz="0" w:space="0" w:color="auto"/>
        <w:bottom w:val="none" w:sz="0" w:space="0" w:color="auto"/>
        <w:right w:val="none" w:sz="0" w:space="0" w:color="auto"/>
      </w:divBdr>
    </w:div>
    <w:div w:id="1181119264">
      <w:marLeft w:val="0"/>
      <w:marRight w:val="0"/>
      <w:marTop w:val="0"/>
      <w:marBottom w:val="0"/>
      <w:divBdr>
        <w:top w:val="none" w:sz="0" w:space="0" w:color="auto"/>
        <w:left w:val="none" w:sz="0" w:space="0" w:color="auto"/>
        <w:bottom w:val="none" w:sz="0" w:space="0" w:color="auto"/>
        <w:right w:val="none" w:sz="0" w:space="0" w:color="auto"/>
      </w:divBdr>
      <w:divsChild>
        <w:div w:id="1624000912">
          <w:marLeft w:val="0"/>
          <w:marRight w:val="0"/>
          <w:marTop w:val="0"/>
          <w:marBottom w:val="0"/>
          <w:divBdr>
            <w:top w:val="none" w:sz="0" w:space="0" w:color="auto"/>
            <w:left w:val="none" w:sz="0" w:space="0" w:color="auto"/>
            <w:bottom w:val="none" w:sz="0" w:space="0" w:color="auto"/>
            <w:right w:val="none" w:sz="0" w:space="0" w:color="auto"/>
          </w:divBdr>
        </w:div>
      </w:divsChild>
    </w:div>
    <w:div w:id="1181167869">
      <w:marLeft w:val="0"/>
      <w:marRight w:val="0"/>
      <w:marTop w:val="100"/>
      <w:marBottom w:val="0"/>
      <w:divBdr>
        <w:top w:val="none" w:sz="0" w:space="0" w:color="auto"/>
        <w:left w:val="none" w:sz="0" w:space="0" w:color="auto"/>
        <w:bottom w:val="none" w:sz="0" w:space="0" w:color="auto"/>
        <w:right w:val="none" w:sz="0" w:space="0" w:color="auto"/>
      </w:divBdr>
    </w:div>
    <w:div w:id="1181549154">
      <w:marLeft w:val="0"/>
      <w:marRight w:val="0"/>
      <w:marTop w:val="0"/>
      <w:marBottom w:val="0"/>
      <w:divBdr>
        <w:top w:val="none" w:sz="0" w:space="0" w:color="auto"/>
        <w:left w:val="none" w:sz="0" w:space="0" w:color="auto"/>
        <w:bottom w:val="none" w:sz="0" w:space="0" w:color="auto"/>
        <w:right w:val="none" w:sz="0" w:space="0" w:color="auto"/>
      </w:divBdr>
      <w:divsChild>
        <w:div w:id="509805476">
          <w:marLeft w:val="0"/>
          <w:marRight w:val="0"/>
          <w:marTop w:val="0"/>
          <w:marBottom w:val="0"/>
          <w:divBdr>
            <w:top w:val="none" w:sz="0" w:space="0" w:color="auto"/>
            <w:left w:val="none" w:sz="0" w:space="0" w:color="auto"/>
            <w:bottom w:val="none" w:sz="0" w:space="0" w:color="auto"/>
            <w:right w:val="none" w:sz="0" w:space="0" w:color="auto"/>
          </w:divBdr>
          <w:divsChild>
            <w:div w:id="19139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214">
      <w:marLeft w:val="0"/>
      <w:marRight w:val="0"/>
      <w:marTop w:val="0"/>
      <w:marBottom w:val="180"/>
      <w:divBdr>
        <w:top w:val="none" w:sz="0" w:space="0" w:color="auto"/>
        <w:left w:val="none" w:sz="0" w:space="0" w:color="auto"/>
        <w:bottom w:val="none" w:sz="0" w:space="0" w:color="auto"/>
        <w:right w:val="none" w:sz="0" w:space="0" w:color="auto"/>
      </w:divBdr>
    </w:div>
    <w:div w:id="1182664419">
      <w:marLeft w:val="0"/>
      <w:marRight w:val="0"/>
      <w:marTop w:val="0"/>
      <w:marBottom w:val="0"/>
      <w:divBdr>
        <w:top w:val="none" w:sz="0" w:space="0" w:color="auto"/>
        <w:left w:val="none" w:sz="0" w:space="0" w:color="auto"/>
        <w:bottom w:val="none" w:sz="0" w:space="0" w:color="auto"/>
        <w:right w:val="none" w:sz="0" w:space="0" w:color="auto"/>
      </w:divBdr>
    </w:div>
    <w:div w:id="1182816656">
      <w:marLeft w:val="0"/>
      <w:marRight w:val="0"/>
      <w:marTop w:val="0"/>
      <w:marBottom w:val="180"/>
      <w:divBdr>
        <w:top w:val="none" w:sz="0" w:space="0" w:color="auto"/>
        <w:left w:val="none" w:sz="0" w:space="0" w:color="auto"/>
        <w:bottom w:val="none" w:sz="0" w:space="0" w:color="auto"/>
        <w:right w:val="none" w:sz="0" w:space="0" w:color="auto"/>
      </w:divBdr>
    </w:div>
    <w:div w:id="1183275331">
      <w:marLeft w:val="0"/>
      <w:marRight w:val="0"/>
      <w:marTop w:val="0"/>
      <w:marBottom w:val="240"/>
      <w:divBdr>
        <w:top w:val="none" w:sz="0" w:space="0" w:color="auto"/>
        <w:left w:val="none" w:sz="0" w:space="0" w:color="auto"/>
        <w:bottom w:val="none" w:sz="0" w:space="0" w:color="auto"/>
        <w:right w:val="none" w:sz="0" w:space="0" w:color="auto"/>
      </w:divBdr>
    </w:div>
    <w:div w:id="1183586986">
      <w:marLeft w:val="0"/>
      <w:marRight w:val="0"/>
      <w:marTop w:val="120"/>
      <w:marBottom w:val="120"/>
      <w:divBdr>
        <w:top w:val="none" w:sz="0" w:space="0" w:color="auto"/>
        <w:left w:val="none" w:sz="0" w:space="0" w:color="auto"/>
        <w:bottom w:val="none" w:sz="0" w:space="0" w:color="auto"/>
        <w:right w:val="none" w:sz="0" w:space="0" w:color="auto"/>
      </w:divBdr>
    </w:div>
    <w:div w:id="1184898093">
      <w:marLeft w:val="0"/>
      <w:marRight w:val="0"/>
      <w:marTop w:val="0"/>
      <w:marBottom w:val="0"/>
      <w:divBdr>
        <w:top w:val="none" w:sz="0" w:space="0" w:color="auto"/>
        <w:left w:val="none" w:sz="0" w:space="0" w:color="auto"/>
        <w:bottom w:val="none" w:sz="0" w:space="0" w:color="auto"/>
        <w:right w:val="none" w:sz="0" w:space="0" w:color="auto"/>
      </w:divBdr>
      <w:divsChild>
        <w:div w:id="1797523111">
          <w:marLeft w:val="0"/>
          <w:marRight w:val="0"/>
          <w:marTop w:val="0"/>
          <w:marBottom w:val="0"/>
          <w:divBdr>
            <w:top w:val="none" w:sz="0" w:space="0" w:color="auto"/>
            <w:left w:val="none" w:sz="0" w:space="0" w:color="auto"/>
            <w:bottom w:val="none" w:sz="0" w:space="0" w:color="auto"/>
            <w:right w:val="none" w:sz="0" w:space="0" w:color="auto"/>
          </w:divBdr>
        </w:div>
      </w:divsChild>
    </w:div>
    <w:div w:id="1185023763">
      <w:marLeft w:val="0"/>
      <w:marRight w:val="0"/>
      <w:marTop w:val="0"/>
      <w:marBottom w:val="0"/>
      <w:divBdr>
        <w:top w:val="none" w:sz="0" w:space="0" w:color="auto"/>
        <w:left w:val="none" w:sz="0" w:space="0" w:color="auto"/>
        <w:bottom w:val="none" w:sz="0" w:space="0" w:color="auto"/>
        <w:right w:val="none" w:sz="0" w:space="0" w:color="auto"/>
      </w:divBdr>
    </w:div>
    <w:div w:id="1186941897">
      <w:marLeft w:val="0"/>
      <w:marRight w:val="0"/>
      <w:marTop w:val="0"/>
      <w:marBottom w:val="240"/>
      <w:divBdr>
        <w:top w:val="none" w:sz="0" w:space="0" w:color="auto"/>
        <w:left w:val="none" w:sz="0" w:space="0" w:color="auto"/>
        <w:bottom w:val="none" w:sz="0" w:space="0" w:color="auto"/>
        <w:right w:val="none" w:sz="0" w:space="0" w:color="auto"/>
      </w:divBdr>
    </w:div>
    <w:div w:id="1187017341">
      <w:marLeft w:val="0"/>
      <w:marRight w:val="0"/>
      <w:marTop w:val="100"/>
      <w:marBottom w:val="0"/>
      <w:divBdr>
        <w:top w:val="none" w:sz="0" w:space="0" w:color="auto"/>
        <w:left w:val="none" w:sz="0" w:space="0" w:color="auto"/>
        <w:bottom w:val="none" w:sz="0" w:space="0" w:color="auto"/>
        <w:right w:val="none" w:sz="0" w:space="0" w:color="auto"/>
      </w:divBdr>
    </w:div>
    <w:div w:id="1187332490">
      <w:marLeft w:val="0"/>
      <w:marRight w:val="0"/>
      <w:marTop w:val="0"/>
      <w:marBottom w:val="0"/>
      <w:divBdr>
        <w:top w:val="none" w:sz="0" w:space="0" w:color="auto"/>
        <w:left w:val="none" w:sz="0" w:space="0" w:color="auto"/>
        <w:bottom w:val="none" w:sz="0" w:space="0" w:color="auto"/>
        <w:right w:val="none" w:sz="0" w:space="0" w:color="auto"/>
      </w:divBdr>
    </w:div>
    <w:div w:id="1189678888">
      <w:marLeft w:val="0"/>
      <w:marRight w:val="0"/>
      <w:marTop w:val="0"/>
      <w:marBottom w:val="0"/>
      <w:divBdr>
        <w:top w:val="none" w:sz="0" w:space="0" w:color="auto"/>
        <w:left w:val="none" w:sz="0" w:space="0" w:color="auto"/>
        <w:bottom w:val="none" w:sz="0" w:space="0" w:color="auto"/>
        <w:right w:val="none" w:sz="0" w:space="0" w:color="auto"/>
      </w:divBdr>
      <w:divsChild>
        <w:div w:id="1661080215">
          <w:marLeft w:val="0"/>
          <w:marRight w:val="0"/>
          <w:marTop w:val="0"/>
          <w:marBottom w:val="0"/>
          <w:divBdr>
            <w:top w:val="none" w:sz="0" w:space="0" w:color="auto"/>
            <w:left w:val="none" w:sz="0" w:space="0" w:color="auto"/>
            <w:bottom w:val="none" w:sz="0" w:space="0" w:color="auto"/>
            <w:right w:val="none" w:sz="0" w:space="0" w:color="auto"/>
          </w:divBdr>
        </w:div>
      </w:divsChild>
    </w:div>
    <w:div w:id="1189875194">
      <w:marLeft w:val="0"/>
      <w:marRight w:val="0"/>
      <w:marTop w:val="0"/>
      <w:marBottom w:val="0"/>
      <w:divBdr>
        <w:top w:val="none" w:sz="0" w:space="0" w:color="auto"/>
        <w:left w:val="none" w:sz="0" w:space="0" w:color="auto"/>
        <w:bottom w:val="none" w:sz="0" w:space="0" w:color="auto"/>
        <w:right w:val="none" w:sz="0" w:space="0" w:color="auto"/>
      </w:divBdr>
      <w:divsChild>
        <w:div w:id="161092928">
          <w:marLeft w:val="0"/>
          <w:marRight w:val="0"/>
          <w:marTop w:val="0"/>
          <w:marBottom w:val="0"/>
          <w:divBdr>
            <w:top w:val="none" w:sz="0" w:space="0" w:color="auto"/>
            <w:left w:val="none" w:sz="0" w:space="0" w:color="auto"/>
            <w:bottom w:val="none" w:sz="0" w:space="0" w:color="auto"/>
            <w:right w:val="none" w:sz="0" w:space="0" w:color="auto"/>
          </w:divBdr>
        </w:div>
      </w:divsChild>
    </w:div>
    <w:div w:id="1190945516">
      <w:marLeft w:val="0"/>
      <w:marRight w:val="0"/>
      <w:marTop w:val="0"/>
      <w:marBottom w:val="240"/>
      <w:divBdr>
        <w:top w:val="none" w:sz="0" w:space="0" w:color="auto"/>
        <w:left w:val="none" w:sz="0" w:space="0" w:color="auto"/>
        <w:bottom w:val="none" w:sz="0" w:space="0" w:color="auto"/>
        <w:right w:val="none" w:sz="0" w:space="0" w:color="auto"/>
      </w:divBdr>
    </w:div>
    <w:div w:id="1190948575">
      <w:marLeft w:val="0"/>
      <w:marRight w:val="0"/>
      <w:marTop w:val="0"/>
      <w:marBottom w:val="0"/>
      <w:divBdr>
        <w:top w:val="none" w:sz="0" w:space="0" w:color="auto"/>
        <w:left w:val="none" w:sz="0" w:space="0" w:color="auto"/>
        <w:bottom w:val="none" w:sz="0" w:space="0" w:color="auto"/>
        <w:right w:val="none" w:sz="0" w:space="0" w:color="auto"/>
      </w:divBdr>
    </w:div>
    <w:div w:id="1191407794">
      <w:marLeft w:val="0"/>
      <w:marRight w:val="0"/>
      <w:marTop w:val="0"/>
      <w:marBottom w:val="0"/>
      <w:divBdr>
        <w:top w:val="none" w:sz="0" w:space="0" w:color="auto"/>
        <w:left w:val="none" w:sz="0" w:space="0" w:color="auto"/>
        <w:bottom w:val="none" w:sz="0" w:space="0" w:color="auto"/>
        <w:right w:val="none" w:sz="0" w:space="0" w:color="auto"/>
      </w:divBdr>
      <w:divsChild>
        <w:div w:id="108478410">
          <w:marLeft w:val="0"/>
          <w:marRight w:val="0"/>
          <w:marTop w:val="0"/>
          <w:marBottom w:val="0"/>
          <w:divBdr>
            <w:top w:val="none" w:sz="0" w:space="0" w:color="auto"/>
            <w:left w:val="none" w:sz="0" w:space="0" w:color="auto"/>
            <w:bottom w:val="none" w:sz="0" w:space="0" w:color="auto"/>
            <w:right w:val="none" w:sz="0" w:space="0" w:color="auto"/>
          </w:divBdr>
        </w:div>
      </w:divsChild>
    </w:div>
    <w:div w:id="1194612311">
      <w:marLeft w:val="0"/>
      <w:marRight w:val="0"/>
      <w:marTop w:val="0"/>
      <w:marBottom w:val="0"/>
      <w:divBdr>
        <w:top w:val="none" w:sz="0" w:space="0" w:color="auto"/>
        <w:left w:val="none" w:sz="0" w:space="0" w:color="auto"/>
        <w:bottom w:val="none" w:sz="0" w:space="0" w:color="auto"/>
        <w:right w:val="none" w:sz="0" w:space="0" w:color="auto"/>
      </w:divBdr>
      <w:divsChild>
        <w:div w:id="605191872">
          <w:marLeft w:val="0"/>
          <w:marRight w:val="0"/>
          <w:marTop w:val="0"/>
          <w:marBottom w:val="0"/>
          <w:divBdr>
            <w:top w:val="none" w:sz="0" w:space="0" w:color="auto"/>
            <w:left w:val="none" w:sz="0" w:space="0" w:color="auto"/>
            <w:bottom w:val="none" w:sz="0" w:space="0" w:color="auto"/>
            <w:right w:val="none" w:sz="0" w:space="0" w:color="auto"/>
          </w:divBdr>
        </w:div>
      </w:divsChild>
    </w:div>
    <w:div w:id="1195002822">
      <w:marLeft w:val="0"/>
      <w:marRight w:val="0"/>
      <w:marTop w:val="0"/>
      <w:marBottom w:val="0"/>
      <w:divBdr>
        <w:top w:val="none" w:sz="0" w:space="0" w:color="auto"/>
        <w:left w:val="none" w:sz="0" w:space="0" w:color="auto"/>
        <w:bottom w:val="none" w:sz="0" w:space="0" w:color="auto"/>
        <w:right w:val="none" w:sz="0" w:space="0" w:color="auto"/>
      </w:divBdr>
      <w:divsChild>
        <w:div w:id="795025942">
          <w:marLeft w:val="0"/>
          <w:marRight w:val="0"/>
          <w:marTop w:val="0"/>
          <w:marBottom w:val="0"/>
          <w:divBdr>
            <w:top w:val="none" w:sz="0" w:space="0" w:color="auto"/>
            <w:left w:val="none" w:sz="0" w:space="0" w:color="auto"/>
            <w:bottom w:val="none" w:sz="0" w:space="0" w:color="auto"/>
            <w:right w:val="none" w:sz="0" w:space="0" w:color="auto"/>
          </w:divBdr>
        </w:div>
      </w:divsChild>
    </w:div>
    <w:div w:id="1195265834">
      <w:marLeft w:val="0"/>
      <w:marRight w:val="0"/>
      <w:marTop w:val="180"/>
      <w:marBottom w:val="180"/>
      <w:divBdr>
        <w:top w:val="none" w:sz="0" w:space="0" w:color="auto"/>
        <w:left w:val="none" w:sz="0" w:space="0" w:color="auto"/>
        <w:bottom w:val="none" w:sz="0" w:space="0" w:color="auto"/>
        <w:right w:val="none" w:sz="0" w:space="0" w:color="auto"/>
      </w:divBdr>
    </w:div>
    <w:div w:id="1195386260">
      <w:marLeft w:val="0"/>
      <w:marRight w:val="0"/>
      <w:marTop w:val="0"/>
      <w:marBottom w:val="0"/>
      <w:divBdr>
        <w:top w:val="none" w:sz="0" w:space="0" w:color="auto"/>
        <w:left w:val="none" w:sz="0" w:space="0" w:color="auto"/>
        <w:bottom w:val="none" w:sz="0" w:space="0" w:color="auto"/>
        <w:right w:val="none" w:sz="0" w:space="0" w:color="auto"/>
      </w:divBdr>
    </w:div>
    <w:div w:id="1195535287">
      <w:marLeft w:val="0"/>
      <w:marRight w:val="0"/>
      <w:marTop w:val="0"/>
      <w:marBottom w:val="0"/>
      <w:divBdr>
        <w:top w:val="none" w:sz="0" w:space="0" w:color="auto"/>
        <w:left w:val="none" w:sz="0" w:space="0" w:color="auto"/>
        <w:bottom w:val="none" w:sz="0" w:space="0" w:color="auto"/>
        <w:right w:val="none" w:sz="0" w:space="0" w:color="auto"/>
      </w:divBdr>
    </w:div>
    <w:div w:id="1197087694">
      <w:marLeft w:val="0"/>
      <w:marRight w:val="0"/>
      <w:marTop w:val="0"/>
      <w:marBottom w:val="180"/>
      <w:divBdr>
        <w:top w:val="none" w:sz="0" w:space="0" w:color="auto"/>
        <w:left w:val="none" w:sz="0" w:space="0" w:color="auto"/>
        <w:bottom w:val="none" w:sz="0" w:space="0" w:color="auto"/>
        <w:right w:val="none" w:sz="0" w:space="0" w:color="auto"/>
      </w:divBdr>
    </w:div>
    <w:div w:id="1197157509">
      <w:marLeft w:val="0"/>
      <w:marRight w:val="0"/>
      <w:marTop w:val="0"/>
      <w:marBottom w:val="240"/>
      <w:divBdr>
        <w:top w:val="none" w:sz="0" w:space="0" w:color="auto"/>
        <w:left w:val="none" w:sz="0" w:space="0" w:color="auto"/>
        <w:bottom w:val="none" w:sz="0" w:space="0" w:color="auto"/>
        <w:right w:val="none" w:sz="0" w:space="0" w:color="auto"/>
      </w:divBdr>
    </w:div>
    <w:div w:id="1197237689">
      <w:marLeft w:val="0"/>
      <w:marRight w:val="0"/>
      <w:marTop w:val="0"/>
      <w:marBottom w:val="0"/>
      <w:divBdr>
        <w:top w:val="none" w:sz="0" w:space="0" w:color="auto"/>
        <w:left w:val="none" w:sz="0" w:space="0" w:color="auto"/>
        <w:bottom w:val="none" w:sz="0" w:space="0" w:color="auto"/>
        <w:right w:val="none" w:sz="0" w:space="0" w:color="auto"/>
      </w:divBdr>
      <w:divsChild>
        <w:div w:id="675502058">
          <w:marLeft w:val="0"/>
          <w:marRight w:val="0"/>
          <w:marTop w:val="0"/>
          <w:marBottom w:val="0"/>
          <w:divBdr>
            <w:top w:val="none" w:sz="0" w:space="0" w:color="auto"/>
            <w:left w:val="none" w:sz="0" w:space="0" w:color="auto"/>
            <w:bottom w:val="none" w:sz="0" w:space="0" w:color="auto"/>
            <w:right w:val="none" w:sz="0" w:space="0" w:color="auto"/>
          </w:divBdr>
        </w:div>
      </w:divsChild>
    </w:div>
    <w:div w:id="1197422872">
      <w:marLeft w:val="0"/>
      <w:marRight w:val="0"/>
      <w:marTop w:val="0"/>
      <w:marBottom w:val="0"/>
      <w:divBdr>
        <w:top w:val="none" w:sz="0" w:space="0" w:color="auto"/>
        <w:left w:val="none" w:sz="0" w:space="0" w:color="auto"/>
        <w:bottom w:val="none" w:sz="0" w:space="0" w:color="auto"/>
        <w:right w:val="none" w:sz="0" w:space="0" w:color="auto"/>
      </w:divBdr>
    </w:div>
    <w:div w:id="1197890573">
      <w:marLeft w:val="0"/>
      <w:marRight w:val="0"/>
      <w:marTop w:val="0"/>
      <w:marBottom w:val="180"/>
      <w:divBdr>
        <w:top w:val="none" w:sz="0" w:space="0" w:color="auto"/>
        <w:left w:val="none" w:sz="0" w:space="0" w:color="auto"/>
        <w:bottom w:val="none" w:sz="0" w:space="0" w:color="auto"/>
        <w:right w:val="none" w:sz="0" w:space="0" w:color="auto"/>
      </w:divBdr>
    </w:div>
    <w:div w:id="1198394634">
      <w:marLeft w:val="0"/>
      <w:marRight w:val="0"/>
      <w:marTop w:val="120"/>
      <w:marBottom w:val="120"/>
      <w:divBdr>
        <w:top w:val="none" w:sz="0" w:space="0" w:color="auto"/>
        <w:left w:val="none" w:sz="0" w:space="0" w:color="auto"/>
        <w:bottom w:val="none" w:sz="0" w:space="0" w:color="auto"/>
        <w:right w:val="none" w:sz="0" w:space="0" w:color="auto"/>
      </w:divBdr>
    </w:div>
    <w:div w:id="1199125369">
      <w:marLeft w:val="0"/>
      <w:marRight w:val="0"/>
      <w:marTop w:val="0"/>
      <w:marBottom w:val="0"/>
      <w:divBdr>
        <w:top w:val="none" w:sz="0" w:space="0" w:color="auto"/>
        <w:left w:val="none" w:sz="0" w:space="0" w:color="auto"/>
        <w:bottom w:val="none" w:sz="0" w:space="0" w:color="auto"/>
        <w:right w:val="none" w:sz="0" w:space="0" w:color="auto"/>
      </w:divBdr>
    </w:div>
    <w:div w:id="1199272670">
      <w:marLeft w:val="0"/>
      <w:marRight w:val="0"/>
      <w:marTop w:val="0"/>
      <w:marBottom w:val="240"/>
      <w:divBdr>
        <w:top w:val="none" w:sz="0" w:space="0" w:color="auto"/>
        <w:left w:val="none" w:sz="0" w:space="0" w:color="auto"/>
        <w:bottom w:val="none" w:sz="0" w:space="0" w:color="auto"/>
        <w:right w:val="none" w:sz="0" w:space="0" w:color="auto"/>
      </w:divBdr>
    </w:div>
    <w:div w:id="1199860124">
      <w:marLeft w:val="0"/>
      <w:marRight w:val="0"/>
      <w:marTop w:val="0"/>
      <w:marBottom w:val="180"/>
      <w:divBdr>
        <w:top w:val="none" w:sz="0" w:space="0" w:color="auto"/>
        <w:left w:val="none" w:sz="0" w:space="0" w:color="auto"/>
        <w:bottom w:val="none" w:sz="0" w:space="0" w:color="auto"/>
        <w:right w:val="none" w:sz="0" w:space="0" w:color="auto"/>
      </w:divBdr>
    </w:div>
    <w:div w:id="1200167997">
      <w:marLeft w:val="0"/>
      <w:marRight w:val="0"/>
      <w:marTop w:val="0"/>
      <w:marBottom w:val="0"/>
      <w:divBdr>
        <w:top w:val="none" w:sz="0" w:space="0" w:color="auto"/>
        <w:left w:val="none" w:sz="0" w:space="0" w:color="auto"/>
        <w:bottom w:val="none" w:sz="0" w:space="0" w:color="auto"/>
        <w:right w:val="none" w:sz="0" w:space="0" w:color="auto"/>
      </w:divBdr>
    </w:div>
    <w:div w:id="1200387888">
      <w:marLeft w:val="0"/>
      <w:marRight w:val="0"/>
      <w:marTop w:val="100"/>
      <w:marBottom w:val="0"/>
      <w:divBdr>
        <w:top w:val="none" w:sz="0" w:space="0" w:color="auto"/>
        <w:left w:val="none" w:sz="0" w:space="0" w:color="auto"/>
        <w:bottom w:val="none" w:sz="0" w:space="0" w:color="auto"/>
        <w:right w:val="none" w:sz="0" w:space="0" w:color="auto"/>
      </w:divBdr>
    </w:div>
    <w:div w:id="1200554532">
      <w:marLeft w:val="0"/>
      <w:marRight w:val="0"/>
      <w:marTop w:val="0"/>
      <w:marBottom w:val="240"/>
      <w:divBdr>
        <w:top w:val="none" w:sz="0" w:space="0" w:color="auto"/>
        <w:left w:val="none" w:sz="0" w:space="0" w:color="auto"/>
        <w:bottom w:val="none" w:sz="0" w:space="0" w:color="auto"/>
        <w:right w:val="none" w:sz="0" w:space="0" w:color="auto"/>
      </w:divBdr>
    </w:div>
    <w:div w:id="1200780170">
      <w:marLeft w:val="0"/>
      <w:marRight w:val="0"/>
      <w:marTop w:val="0"/>
      <w:marBottom w:val="0"/>
      <w:divBdr>
        <w:top w:val="none" w:sz="0" w:space="0" w:color="auto"/>
        <w:left w:val="none" w:sz="0" w:space="0" w:color="auto"/>
        <w:bottom w:val="none" w:sz="0" w:space="0" w:color="auto"/>
        <w:right w:val="none" w:sz="0" w:space="0" w:color="auto"/>
      </w:divBdr>
      <w:divsChild>
        <w:div w:id="1226835376">
          <w:marLeft w:val="0"/>
          <w:marRight w:val="0"/>
          <w:marTop w:val="0"/>
          <w:marBottom w:val="0"/>
          <w:divBdr>
            <w:top w:val="none" w:sz="0" w:space="0" w:color="auto"/>
            <w:left w:val="none" w:sz="0" w:space="0" w:color="auto"/>
            <w:bottom w:val="none" w:sz="0" w:space="0" w:color="auto"/>
            <w:right w:val="none" w:sz="0" w:space="0" w:color="auto"/>
          </w:divBdr>
        </w:div>
      </w:divsChild>
    </w:div>
    <w:div w:id="1200894341">
      <w:marLeft w:val="0"/>
      <w:marRight w:val="0"/>
      <w:marTop w:val="120"/>
      <w:marBottom w:val="180"/>
      <w:divBdr>
        <w:top w:val="none" w:sz="0" w:space="0" w:color="auto"/>
        <w:left w:val="none" w:sz="0" w:space="0" w:color="auto"/>
        <w:bottom w:val="none" w:sz="0" w:space="0" w:color="auto"/>
        <w:right w:val="none" w:sz="0" w:space="0" w:color="auto"/>
      </w:divBdr>
    </w:div>
    <w:div w:id="1201018850">
      <w:marLeft w:val="0"/>
      <w:marRight w:val="0"/>
      <w:marTop w:val="0"/>
      <w:marBottom w:val="0"/>
      <w:divBdr>
        <w:top w:val="none" w:sz="0" w:space="0" w:color="auto"/>
        <w:left w:val="none" w:sz="0" w:space="0" w:color="auto"/>
        <w:bottom w:val="none" w:sz="0" w:space="0" w:color="auto"/>
        <w:right w:val="none" w:sz="0" w:space="0" w:color="auto"/>
      </w:divBdr>
    </w:div>
    <w:div w:id="1201741068">
      <w:marLeft w:val="0"/>
      <w:marRight w:val="0"/>
      <w:marTop w:val="0"/>
      <w:marBottom w:val="0"/>
      <w:divBdr>
        <w:top w:val="none" w:sz="0" w:space="0" w:color="auto"/>
        <w:left w:val="none" w:sz="0" w:space="0" w:color="auto"/>
        <w:bottom w:val="none" w:sz="0" w:space="0" w:color="auto"/>
        <w:right w:val="none" w:sz="0" w:space="0" w:color="auto"/>
      </w:divBdr>
    </w:div>
    <w:div w:id="1202939420">
      <w:marLeft w:val="0"/>
      <w:marRight w:val="0"/>
      <w:marTop w:val="0"/>
      <w:marBottom w:val="0"/>
      <w:divBdr>
        <w:top w:val="none" w:sz="0" w:space="0" w:color="auto"/>
        <w:left w:val="none" w:sz="0" w:space="0" w:color="auto"/>
        <w:bottom w:val="none" w:sz="0" w:space="0" w:color="auto"/>
        <w:right w:val="none" w:sz="0" w:space="0" w:color="auto"/>
      </w:divBdr>
      <w:divsChild>
        <w:div w:id="1577477743">
          <w:marLeft w:val="0"/>
          <w:marRight w:val="0"/>
          <w:marTop w:val="0"/>
          <w:marBottom w:val="0"/>
          <w:divBdr>
            <w:top w:val="none" w:sz="0" w:space="0" w:color="auto"/>
            <w:left w:val="none" w:sz="0" w:space="0" w:color="auto"/>
            <w:bottom w:val="none" w:sz="0" w:space="0" w:color="auto"/>
            <w:right w:val="none" w:sz="0" w:space="0" w:color="auto"/>
          </w:divBdr>
        </w:div>
      </w:divsChild>
    </w:div>
    <w:div w:id="1204366382">
      <w:marLeft w:val="0"/>
      <w:marRight w:val="0"/>
      <w:marTop w:val="100"/>
      <w:marBottom w:val="180"/>
      <w:divBdr>
        <w:top w:val="none" w:sz="0" w:space="0" w:color="auto"/>
        <w:left w:val="none" w:sz="0" w:space="0" w:color="auto"/>
        <w:bottom w:val="none" w:sz="0" w:space="0" w:color="auto"/>
        <w:right w:val="none" w:sz="0" w:space="0" w:color="auto"/>
      </w:divBdr>
    </w:div>
    <w:div w:id="1205023999">
      <w:marLeft w:val="0"/>
      <w:marRight w:val="0"/>
      <w:marTop w:val="0"/>
      <w:marBottom w:val="180"/>
      <w:divBdr>
        <w:top w:val="none" w:sz="0" w:space="0" w:color="auto"/>
        <w:left w:val="none" w:sz="0" w:space="0" w:color="auto"/>
        <w:bottom w:val="none" w:sz="0" w:space="0" w:color="auto"/>
        <w:right w:val="none" w:sz="0" w:space="0" w:color="auto"/>
      </w:divBdr>
    </w:div>
    <w:div w:id="1205946159">
      <w:marLeft w:val="0"/>
      <w:marRight w:val="0"/>
      <w:marTop w:val="0"/>
      <w:marBottom w:val="240"/>
      <w:divBdr>
        <w:top w:val="none" w:sz="0" w:space="0" w:color="auto"/>
        <w:left w:val="none" w:sz="0" w:space="0" w:color="auto"/>
        <w:bottom w:val="none" w:sz="0" w:space="0" w:color="auto"/>
        <w:right w:val="none" w:sz="0" w:space="0" w:color="auto"/>
      </w:divBdr>
    </w:div>
    <w:div w:id="1206067970">
      <w:marLeft w:val="0"/>
      <w:marRight w:val="0"/>
      <w:marTop w:val="100"/>
      <w:marBottom w:val="0"/>
      <w:divBdr>
        <w:top w:val="none" w:sz="0" w:space="0" w:color="auto"/>
        <w:left w:val="none" w:sz="0" w:space="0" w:color="auto"/>
        <w:bottom w:val="none" w:sz="0" w:space="0" w:color="auto"/>
        <w:right w:val="none" w:sz="0" w:space="0" w:color="auto"/>
      </w:divBdr>
    </w:div>
    <w:div w:id="1207136097">
      <w:marLeft w:val="0"/>
      <w:marRight w:val="0"/>
      <w:marTop w:val="0"/>
      <w:marBottom w:val="0"/>
      <w:divBdr>
        <w:top w:val="none" w:sz="0" w:space="0" w:color="auto"/>
        <w:left w:val="none" w:sz="0" w:space="0" w:color="auto"/>
        <w:bottom w:val="none" w:sz="0" w:space="0" w:color="auto"/>
        <w:right w:val="none" w:sz="0" w:space="0" w:color="auto"/>
      </w:divBdr>
    </w:div>
    <w:div w:id="1207795642">
      <w:marLeft w:val="0"/>
      <w:marRight w:val="0"/>
      <w:marTop w:val="240"/>
      <w:marBottom w:val="240"/>
      <w:divBdr>
        <w:top w:val="none" w:sz="0" w:space="0" w:color="auto"/>
        <w:left w:val="none" w:sz="0" w:space="0" w:color="auto"/>
        <w:bottom w:val="none" w:sz="0" w:space="0" w:color="auto"/>
        <w:right w:val="none" w:sz="0" w:space="0" w:color="auto"/>
      </w:divBdr>
    </w:div>
    <w:div w:id="1208109465">
      <w:marLeft w:val="0"/>
      <w:marRight w:val="0"/>
      <w:marTop w:val="120"/>
      <w:marBottom w:val="120"/>
      <w:divBdr>
        <w:top w:val="none" w:sz="0" w:space="0" w:color="auto"/>
        <w:left w:val="none" w:sz="0" w:space="0" w:color="auto"/>
        <w:bottom w:val="none" w:sz="0" w:space="0" w:color="auto"/>
        <w:right w:val="none" w:sz="0" w:space="0" w:color="auto"/>
      </w:divBdr>
    </w:div>
    <w:div w:id="1208449091">
      <w:marLeft w:val="0"/>
      <w:marRight w:val="0"/>
      <w:marTop w:val="0"/>
      <w:marBottom w:val="240"/>
      <w:divBdr>
        <w:top w:val="none" w:sz="0" w:space="0" w:color="auto"/>
        <w:left w:val="none" w:sz="0" w:space="0" w:color="auto"/>
        <w:bottom w:val="none" w:sz="0" w:space="0" w:color="auto"/>
        <w:right w:val="none" w:sz="0" w:space="0" w:color="auto"/>
      </w:divBdr>
    </w:div>
    <w:div w:id="1208487502">
      <w:marLeft w:val="0"/>
      <w:marRight w:val="0"/>
      <w:marTop w:val="0"/>
      <w:marBottom w:val="180"/>
      <w:divBdr>
        <w:top w:val="none" w:sz="0" w:space="0" w:color="auto"/>
        <w:left w:val="none" w:sz="0" w:space="0" w:color="auto"/>
        <w:bottom w:val="none" w:sz="0" w:space="0" w:color="auto"/>
        <w:right w:val="none" w:sz="0" w:space="0" w:color="auto"/>
      </w:divBdr>
    </w:div>
    <w:div w:id="1208687041">
      <w:marLeft w:val="0"/>
      <w:marRight w:val="0"/>
      <w:marTop w:val="0"/>
      <w:marBottom w:val="240"/>
      <w:divBdr>
        <w:top w:val="none" w:sz="0" w:space="0" w:color="auto"/>
        <w:left w:val="none" w:sz="0" w:space="0" w:color="auto"/>
        <w:bottom w:val="none" w:sz="0" w:space="0" w:color="auto"/>
        <w:right w:val="none" w:sz="0" w:space="0" w:color="auto"/>
      </w:divBdr>
    </w:div>
    <w:div w:id="1210268491">
      <w:marLeft w:val="0"/>
      <w:marRight w:val="0"/>
      <w:marTop w:val="0"/>
      <w:marBottom w:val="0"/>
      <w:divBdr>
        <w:top w:val="none" w:sz="0" w:space="0" w:color="auto"/>
        <w:left w:val="none" w:sz="0" w:space="0" w:color="auto"/>
        <w:bottom w:val="none" w:sz="0" w:space="0" w:color="auto"/>
        <w:right w:val="none" w:sz="0" w:space="0" w:color="auto"/>
      </w:divBdr>
      <w:divsChild>
        <w:div w:id="912661955">
          <w:marLeft w:val="0"/>
          <w:marRight w:val="0"/>
          <w:marTop w:val="0"/>
          <w:marBottom w:val="0"/>
          <w:divBdr>
            <w:top w:val="none" w:sz="0" w:space="0" w:color="auto"/>
            <w:left w:val="none" w:sz="0" w:space="0" w:color="auto"/>
            <w:bottom w:val="none" w:sz="0" w:space="0" w:color="auto"/>
            <w:right w:val="none" w:sz="0" w:space="0" w:color="auto"/>
          </w:divBdr>
        </w:div>
      </w:divsChild>
    </w:div>
    <w:div w:id="1210722816">
      <w:marLeft w:val="0"/>
      <w:marRight w:val="0"/>
      <w:marTop w:val="0"/>
      <w:marBottom w:val="0"/>
      <w:divBdr>
        <w:top w:val="none" w:sz="0" w:space="0" w:color="auto"/>
        <w:left w:val="none" w:sz="0" w:space="0" w:color="auto"/>
        <w:bottom w:val="none" w:sz="0" w:space="0" w:color="auto"/>
        <w:right w:val="none" w:sz="0" w:space="0" w:color="auto"/>
      </w:divBdr>
    </w:div>
    <w:div w:id="1210873116">
      <w:marLeft w:val="0"/>
      <w:marRight w:val="0"/>
      <w:marTop w:val="0"/>
      <w:marBottom w:val="0"/>
      <w:divBdr>
        <w:top w:val="none" w:sz="0" w:space="0" w:color="auto"/>
        <w:left w:val="none" w:sz="0" w:space="0" w:color="auto"/>
        <w:bottom w:val="none" w:sz="0" w:space="0" w:color="auto"/>
        <w:right w:val="none" w:sz="0" w:space="0" w:color="auto"/>
      </w:divBdr>
      <w:divsChild>
        <w:div w:id="1082990687">
          <w:marLeft w:val="0"/>
          <w:marRight w:val="0"/>
          <w:marTop w:val="0"/>
          <w:marBottom w:val="0"/>
          <w:divBdr>
            <w:top w:val="none" w:sz="0" w:space="0" w:color="auto"/>
            <w:left w:val="none" w:sz="0" w:space="0" w:color="auto"/>
            <w:bottom w:val="none" w:sz="0" w:space="0" w:color="auto"/>
            <w:right w:val="none" w:sz="0" w:space="0" w:color="auto"/>
          </w:divBdr>
        </w:div>
        <w:div w:id="1918785180">
          <w:marLeft w:val="0"/>
          <w:marRight w:val="0"/>
          <w:marTop w:val="0"/>
          <w:marBottom w:val="0"/>
          <w:divBdr>
            <w:top w:val="none" w:sz="0" w:space="0" w:color="auto"/>
            <w:left w:val="none" w:sz="0" w:space="0" w:color="auto"/>
            <w:bottom w:val="none" w:sz="0" w:space="0" w:color="auto"/>
            <w:right w:val="none" w:sz="0" w:space="0" w:color="auto"/>
          </w:divBdr>
        </w:div>
      </w:divsChild>
    </w:div>
    <w:div w:id="1210991893">
      <w:marLeft w:val="0"/>
      <w:marRight w:val="0"/>
      <w:marTop w:val="180"/>
      <w:marBottom w:val="180"/>
      <w:divBdr>
        <w:top w:val="none" w:sz="0" w:space="0" w:color="auto"/>
        <w:left w:val="none" w:sz="0" w:space="0" w:color="auto"/>
        <w:bottom w:val="none" w:sz="0" w:space="0" w:color="auto"/>
        <w:right w:val="none" w:sz="0" w:space="0" w:color="auto"/>
      </w:divBdr>
    </w:div>
    <w:div w:id="1212301846">
      <w:marLeft w:val="0"/>
      <w:marRight w:val="0"/>
      <w:marTop w:val="0"/>
      <w:marBottom w:val="180"/>
      <w:divBdr>
        <w:top w:val="none" w:sz="0" w:space="0" w:color="auto"/>
        <w:left w:val="none" w:sz="0" w:space="0" w:color="auto"/>
        <w:bottom w:val="none" w:sz="0" w:space="0" w:color="auto"/>
        <w:right w:val="none" w:sz="0" w:space="0" w:color="auto"/>
      </w:divBdr>
    </w:div>
    <w:div w:id="1214005924">
      <w:marLeft w:val="0"/>
      <w:marRight w:val="0"/>
      <w:marTop w:val="0"/>
      <w:marBottom w:val="180"/>
      <w:divBdr>
        <w:top w:val="none" w:sz="0" w:space="0" w:color="auto"/>
        <w:left w:val="none" w:sz="0" w:space="0" w:color="auto"/>
        <w:bottom w:val="none" w:sz="0" w:space="0" w:color="auto"/>
        <w:right w:val="none" w:sz="0" w:space="0" w:color="auto"/>
      </w:divBdr>
    </w:div>
    <w:div w:id="1214007364">
      <w:marLeft w:val="0"/>
      <w:marRight w:val="0"/>
      <w:marTop w:val="0"/>
      <w:marBottom w:val="180"/>
      <w:divBdr>
        <w:top w:val="none" w:sz="0" w:space="0" w:color="auto"/>
        <w:left w:val="none" w:sz="0" w:space="0" w:color="auto"/>
        <w:bottom w:val="none" w:sz="0" w:space="0" w:color="auto"/>
        <w:right w:val="none" w:sz="0" w:space="0" w:color="auto"/>
      </w:divBdr>
    </w:div>
    <w:div w:id="1215849040">
      <w:marLeft w:val="0"/>
      <w:marRight w:val="0"/>
      <w:marTop w:val="0"/>
      <w:marBottom w:val="0"/>
      <w:divBdr>
        <w:top w:val="none" w:sz="0" w:space="0" w:color="auto"/>
        <w:left w:val="none" w:sz="0" w:space="0" w:color="auto"/>
        <w:bottom w:val="none" w:sz="0" w:space="0" w:color="auto"/>
        <w:right w:val="none" w:sz="0" w:space="0" w:color="auto"/>
      </w:divBdr>
      <w:divsChild>
        <w:div w:id="1735544482">
          <w:marLeft w:val="0"/>
          <w:marRight w:val="0"/>
          <w:marTop w:val="0"/>
          <w:marBottom w:val="0"/>
          <w:divBdr>
            <w:top w:val="none" w:sz="0" w:space="0" w:color="auto"/>
            <w:left w:val="none" w:sz="0" w:space="0" w:color="auto"/>
            <w:bottom w:val="none" w:sz="0" w:space="0" w:color="auto"/>
            <w:right w:val="none" w:sz="0" w:space="0" w:color="auto"/>
          </w:divBdr>
        </w:div>
      </w:divsChild>
    </w:div>
    <w:div w:id="1218315949">
      <w:marLeft w:val="0"/>
      <w:marRight w:val="0"/>
      <w:marTop w:val="0"/>
      <w:marBottom w:val="240"/>
      <w:divBdr>
        <w:top w:val="none" w:sz="0" w:space="0" w:color="auto"/>
        <w:left w:val="none" w:sz="0" w:space="0" w:color="auto"/>
        <w:bottom w:val="none" w:sz="0" w:space="0" w:color="auto"/>
        <w:right w:val="none" w:sz="0" w:space="0" w:color="auto"/>
      </w:divBdr>
    </w:div>
    <w:div w:id="1218931014">
      <w:marLeft w:val="0"/>
      <w:marRight w:val="0"/>
      <w:marTop w:val="0"/>
      <w:marBottom w:val="0"/>
      <w:divBdr>
        <w:top w:val="none" w:sz="0" w:space="0" w:color="auto"/>
        <w:left w:val="none" w:sz="0" w:space="0" w:color="auto"/>
        <w:bottom w:val="none" w:sz="0" w:space="0" w:color="auto"/>
        <w:right w:val="none" w:sz="0" w:space="0" w:color="auto"/>
      </w:divBdr>
      <w:divsChild>
        <w:div w:id="2056201023">
          <w:marLeft w:val="0"/>
          <w:marRight w:val="0"/>
          <w:marTop w:val="0"/>
          <w:marBottom w:val="0"/>
          <w:divBdr>
            <w:top w:val="none" w:sz="0" w:space="0" w:color="auto"/>
            <w:left w:val="none" w:sz="0" w:space="0" w:color="auto"/>
            <w:bottom w:val="none" w:sz="0" w:space="0" w:color="auto"/>
            <w:right w:val="none" w:sz="0" w:space="0" w:color="auto"/>
          </w:divBdr>
        </w:div>
      </w:divsChild>
    </w:div>
    <w:div w:id="1219365963">
      <w:marLeft w:val="0"/>
      <w:marRight w:val="0"/>
      <w:marTop w:val="0"/>
      <w:marBottom w:val="0"/>
      <w:divBdr>
        <w:top w:val="none" w:sz="0" w:space="0" w:color="auto"/>
        <w:left w:val="none" w:sz="0" w:space="0" w:color="auto"/>
        <w:bottom w:val="none" w:sz="0" w:space="0" w:color="auto"/>
        <w:right w:val="none" w:sz="0" w:space="0" w:color="auto"/>
      </w:divBdr>
      <w:divsChild>
        <w:div w:id="1038623301">
          <w:marLeft w:val="0"/>
          <w:marRight w:val="0"/>
          <w:marTop w:val="0"/>
          <w:marBottom w:val="0"/>
          <w:divBdr>
            <w:top w:val="none" w:sz="0" w:space="0" w:color="auto"/>
            <w:left w:val="none" w:sz="0" w:space="0" w:color="auto"/>
            <w:bottom w:val="none" w:sz="0" w:space="0" w:color="auto"/>
            <w:right w:val="none" w:sz="0" w:space="0" w:color="auto"/>
          </w:divBdr>
        </w:div>
      </w:divsChild>
    </w:div>
    <w:div w:id="1219513829">
      <w:marLeft w:val="0"/>
      <w:marRight w:val="0"/>
      <w:marTop w:val="0"/>
      <w:marBottom w:val="180"/>
      <w:divBdr>
        <w:top w:val="none" w:sz="0" w:space="0" w:color="auto"/>
        <w:left w:val="none" w:sz="0" w:space="0" w:color="auto"/>
        <w:bottom w:val="none" w:sz="0" w:space="0" w:color="auto"/>
        <w:right w:val="none" w:sz="0" w:space="0" w:color="auto"/>
      </w:divBdr>
    </w:div>
    <w:div w:id="1220089853">
      <w:marLeft w:val="0"/>
      <w:marRight w:val="0"/>
      <w:marTop w:val="0"/>
      <w:marBottom w:val="180"/>
      <w:divBdr>
        <w:top w:val="none" w:sz="0" w:space="0" w:color="auto"/>
        <w:left w:val="none" w:sz="0" w:space="0" w:color="auto"/>
        <w:bottom w:val="none" w:sz="0" w:space="0" w:color="auto"/>
        <w:right w:val="none" w:sz="0" w:space="0" w:color="auto"/>
      </w:divBdr>
    </w:div>
    <w:div w:id="1220825866">
      <w:marLeft w:val="0"/>
      <w:marRight w:val="0"/>
      <w:marTop w:val="0"/>
      <w:marBottom w:val="0"/>
      <w:divBdr>
        <w:top w:val="none" w:sz="0" w:space="0" w:color="auto"/>
        <w:left w:val="none" w:sz="0" w:space="0" w:color="auto"/>
        <w:bottom w:val="none" w:sz="0" w:space="0" w:color="auto"/>
        <w:right w:val="none" w:sz="0" w:space="0" w:color="auto"/>
      </w:divBdr>
    </w:div>
    <w:div w:id="1221136196">
      <w:marLeft w:val="0"/>
      <w:marRight w:val="0"/>
      <w:marTop w:val="0"/>
      <w:marBottom w:val="180"/>
      <w:divBdr>
        <w:top w:val="none" w:sz="0" w:space="0" w:color="auto"/>
        <w:left w:val="none" w:sz="0" w:space="0" w:color="auto"/>
        <w:bottom w:val="none" w:sz="0" w:space="0" w:color="auto"/>
        <w:right w:val="none" w:sz="0" w:space="0" w:color="auto"/>
      </w:divBdr>
    </w:div>
    <w:div w:id="1221402036">
      <w:marLeft w:val="0"/>
      <w:marRight w:val="0"/>
      <w:marTop w:val="0"/>
      <w:marBottom w:val="0"/>
      <w:divBdr>
        <w:top w:val="none" w:sz="0" w:space="0" w:color="auto"/>
        <w:left w:val="none" w:sz="0" w:space="0" w:color="auto"/>
        <w:bottom w:val="none" w:sz="0" w:space="0" w:color="auto"/>
        <w:right w:val="none" w:sz="0" w:space="0" w:color="auto"/>
      </w:divBdr>
      <w:divsChild>
        <w:div w:id="502665876">
          <w:marLeft w:val="0"/>
          <w:marRight w:val="0"/>
          <w:marTop w:val="0"/>
          <w:marBottom w:val="0"/>
          <w:divBdr>
            <w:top w:val="none" w:sz="0" w:space="0" w:color="auto"/>
            <w:left w:val="none" w:sz="0" w:space="0" w:color="auto"/>
            <w:bottom w:val="none" w:sz="0" w:space="0" w:color="auto"/>
            <w:right w:val="none" w:sz="0" w:space="0" w:color="auto"/>
          </w:divBdr>
        </w:div>
      </w:divsChild>
    </w:div>
    <w:div w:id="1221818530">
      <w:marLeft w:val="0"/>
      <w:marRight w:val="0"/>
      <w:marTop w:val="180"/>
      <w:marBottom w:val="180"/>
      <w:divBdr>
        <w:top w:val="none" w:sz="0" w:space="0" w:color="auto"/>
        <w:left w:val="none" w:sz="0" w:space="0" w:color="auto"/>
        <w:bottom w:val="none" w:sz="0" w:space="0" w:color="auto"/>
        <w:right w:val="none" w:sz="0" w:space="0" w:color="auto"/>
      </w:divBdr>
    </w:div>
    <w:div w:id="1222055139">
      <w:marLeft w:val="0"/>
      <w:marRight w:val="0"/>
      <w:marTop w:val="0"/>
      <w:marBottom w:val="180"/>
      <w:divBdr>
        <w:top w:val="none" w:sz="0" w:space="0" w:color="auto"/>
        <w:left w:val="none" w:sz="0" w:space="0" w:color="auto"/>
        <w:bottom w:val="none" w:sz="0" w:space="0" w:color="auto"/>
        <w:right w:val="none" w:sz="0" w:space="0" w:color="auto"/>
      </w:divBdr>
    </w:div>
    <w:div w:id="1222211299">
      <w:marLeft w:val="0"/>
      <w:marRight w:val="0"/>
      <w:marTop w:val="0"/>
      <w:marBottom w:val="240"/>
      <w:divBdr>
        <w:top w:val="none" w:sz="0" w:space="0" w:color="auto"/>
        <w:left w:val="none" w:sz="0" w:space="0" w:color="auto"/>
        <w:bottom w:val="none" w:sz="0" w:space="0" w:color="auto"/>
        <w:right w:val="none" w:sz="0" w:space="0" w:color="auto"/>
      </w:divBdr>
    </w:div>
    <w:div w:id="1222447928">
      <w:marLeft w:val="0"/>
      <w:marRight w:val="0"/>
      <w:marTop w:val="0"/>
      <w:marBottom w:val="0"/>
      <w:divBdr>
        <w:top w:val="none" w:sz="0" w:space="0" w:color="auto"/>
        <w:left w:val="none" w:sz="0" w:space="0" w:color="auto"/>
        <w:bottom w:val="none" w:sz="0" w:space="0" w:color="auto"/>
        <w:right w:val="none" w:sz="0" w:space="0" w:color="auto"/>
      </w:divBdr>
      <w:divsChild>
        <w:div w:id="1234243480">
          <w:marLeft w:val="0"/>
          <w:marRight w:val="0"/>
          <w:marTop w:val="0"/>
          <w:marBottom w:val="0"/>
          <w:divBdr>
            <w:top w:val="none" w:sz="0" w:space="0" w:color="auto"/>
            <w:left w:val="none" w:sz="0" w:space="0" w:color="auto"/>
            <w:bottom w:val="none" w:sz="0" w:space="0" w:color="auto"/>
            <w:right w:val="none" w:sz="0" w:space="0" w:color="auto"/>
          </w:divBdr>
        </w:div>
      </w:divsChild>
    </w:div>
    <w:div w:id="1222793227">
      <w:marLeft w:val="0"/>
      <w:marRight w:val="0"/>
      <w:marTop w:val="0"/>
      <w:marBottom w:val="180"/>
      <w:divBdr>
        <w:top w:val="none" w:sz="0" w:space="0" w:color="auto"/>
        <w:left w:val="none" w:sz="0" w:space="0" w:color="auto"/>
        <w:bottom w:val="none" w:sz="0" w:space="0" w:color="auto"/>
        <w:right w:val="none" w:sz="0" w:space="0" w:color="auto"/>
      </w:divBdr>
    </w:div>
    <w:div w:id="1222860668">
      <w:marLeft w:val="0"/>
      <w:marRight w:val="0"/>
      <w:marTop w:val="0"/>
      <w:marBottom w:val="180"/>
      <w:divBdr>
        <w:top w:val="none" w:sz="0" w:space="0" w:color="auto"/>
        <w:left w:val="none" w:sz="0" w:space="0" w:color="auto"/>
        <w:bottom w:val="none" w:sz="0" w:space="0" w:color="auto"/>
        <w:right w:val="none" w:sz="0" w:space="0" w:color="auto"/>
      </w:divBdr>
    </w:div>
    <w:div w:id="1222985933">
      <w:marLeft w:val="0"/>
      <w:marRight w:val="0"/>
      <w:marTop w:val="0"/>
      <w:marBottom w:val="240"/>
      <w:divBdr>
        <w:top w:val="none" w:sz="0" w:space="0" w:color="auto"/>
        <w:left w:val="none" w:sz="0" w:space="0" w:color="auto"/>
        <w:bottom w:val="none" w:sz="0" w:space="0" w:color="auto"/>
        <w:right w:val="none" w:sz="0" w:space="0" w:color="auto"/>
      </w:divBdr>
    </w:div>
    <w:div w:id="1223098570">
      <w:marLeft w:val="0"/>
      <w:marRight w:val="0"/>
      <w:marTop w:val="120"/>
      <w:marBottom w:val="120"/>
      <w:divBdr>
        <w:top w:val="none" w:sz="0" w:space="0" w:color="auto"/>
        <w:left w:val="none" w:sz="0" w:space="0" w:color="auto"/>
        <w:bottom w:val="none" w:sz="0" w:space="0" w:color="auto"/>
        <w:right w:val="none" w:sz="0" w:space="0" w:color="auto"/>
      </w:divBdr>
    </w:div>
    <w:div w:id="1223371283">
      <w:marLeft w:val="0"/>
      <w:marRight w:val="0"/>
      <w:marTop w:val="0"/>
      <w:marBottom w:val="0"/>
      <w:divBdr>
        <w:top w:val="none" w:sz="0" w:space="0" w:color="auto"/>
        <w:left w:val="none" w:sz="0" w:space="0" w:color="auto"/>
        <w:bottom w:val="none" w:sz="0" w:space="0" w:color="auto"/>
        <w:right w:val="none" w:sz="0" w:space="0" w:color="auto"/>
      </w:divBdr>
    </w:div>
    <w:div w:id="1226599953">
      <w:marLeft w:val="0"/>
      <w:marRight w:val="0"/>
      <w:marTop w:val="0"/>
      <w:marBottom w:val="180"/>
      <w:divBdr>
        <w:top w:val="none" w:sz="0" w:space="0" w:color="auto"/>
        <w:left w:val="none" w:sz="0" w:space="0" w:color="auto"/>
        <w:bottom w:val="none" w:sz="0" w:space="0" w:color="auto"/>
        <w:right w:val="none" w:sz="0" w:space="0" w:color="auto"/>
      </w:divBdr>
    </w:div>
    <w:div w:id="1226717169">
      <w:marLeft w:val="0"/>
      <w:marRight w:val="0"/>
      <w:marTop w:val="60"/>
      <w:marBottom w:val="0"/>
      <w:divBdr>
        <w:top w:val="none" w:sz="0" w:space="0" w:color="auto"/>
        <w:left w:val="none" w:sz="0" w:space="0" w:color="auto"/>
        <w:bottom w:val="none" w:sz="0" w:space="0" w:color="auto"/>
        <w:right w:val="none" w:sz="0" w:space="0" w:color="auto"/>
      </w:divBdr>
    </w:div>
    <w:div w:id="1228223408">
      <w:marLeft w:val="0"/>
      <w:marRight w:val="0"/>
      <w:marTop w:val="0"/>
      <w:marBottom w:val="0"/>
      <w:divBdr>
        <w:top w:val="none" w:sz="0" w:space="0" w:color="auto"/>
        <w:left w:val="none" w:sz="0" w:space="0" w:color="auto"/>
        <w:bottom w:val="none" w:sz="0" w:space="0" w:color="auto"/>
        <w:right w:val="none" w:sz="0" w:space="0" w:color="auto"/>
      </w:divBdr>
      <w:divsChild>
        <w:div w:id="1438254188">
          <w:marLeft w:val="0"/>
          <w:marRight w:val="0"/>
          <w:marTop w:val="0"/>
          <w:marBottom w:val="0"/>
          <w:divBdr>
            <w:top w:val="none" w:sz="0" w:space="0" w:color="auto"/>
            <w:left w:val="none" w:sz="0" w:space="0" w:color="auto"/>
            <w:bottom w:val="none" w:sz="0" w:space="0" w:color="auto"/>
            <w:right w:val="none" w:sz="0" w:space="0" w:color="auto"/>
          </w:divBdr>
        </w:div>
        <w:div w:id="652369889">
          <w:marLeft w:val="0"/>
          <w:marRight w:val="0"/>
          <w:marTop w:val="0"/>
          <w:marBottom w:val="0"/>
          <w:divBdr>
            <w:top w:val="none" w:sz="0" w:space="0" w:color="auto"/>
            <w:left w:val="none" w:sz="0" w:space="0" w:color="auto"/>
            <w:bottom w:val="none" w:sz="0" w:space="0" w:color="auto"/>
            <w:right w:val="none" w:sz="0" w:space="0" w:color="auto"/>
          </w:divBdr>
        </w:div>
      </w:divsChild>
    </w:div>
    <w:div w:id="1229075574">
      <w:marLeft w:val="0"/>
      <w:marRight w:val="0"/>
      <w:marTop w:val="0"/>
      <w:marBottom w:val="240"/>
      <w:divBdr>
        <w:top w:val="none" w:sz="0" w:space="0" w:color="auto"/>
        <w:left w:val="none" w:sz="0" w:space="0" w:color="auto"/>
        <w:bottom w:val="none" w:sz="0" w:space="0" w:color="auto"/>
        <w:right w:val="none" w:sz="0" w:space="0" w:color="auto"/>
      </w:divBdr>
    </w:div>
    <w:div w:id="1229264860">
      <w:marLeft w:val="0"/>
      <w:marRight w:val="0"/>
      <w:marTop w:val="180"/>
      <w:marBottom w:val="180"/>
      <w:divBdr>
        <w:top w:val="none" w:sz="0" w:space="0" w:color="auto"/>
        <w:left w:val="none" w:sz="0" w:space="0" w:color="auto"/>
        <w:bottom w:val="none" w:sz="0" w:space="0" w:color="auto"/>
        <w:right w:val="none" w:sz="0" w:space="0" w:color="auto"/>
      </w:divBdr>
    </w:div>
    <w:div w:id="1229724071">
      <w:marLeft w:val="0"/>
      <w:marRight w:val="0"/>
      <w:marTop w:val="0"/>
      <w:marBottom w:val="0"/>
      <w:divBdr>
        <w:top w:val="none" w:sz="0" w:space="0" w:color="auto"/>
        <w:left w:val="none" w:sz="0" w:space="0" w:color="auto"/>
        <w:bottom w:val="none" w:sz="0" w:space="0" w:color="auto"/>
        <w:right w:val="none" w:sz="0" w:space="0" w:color="auto"/>
      </w:divBdr>
    </w:div>
    <w:div w:id="1230463413">
      <w:marLeft w:val="0"/>
      <w:marRight w:val="0"/>
      <w:marTop w:val="0"/>
      <w:marBottom w:val="0"/>
      <w:divBdr>
        <w:top w:val="none" w:sz="0" w:space="0" w:color="auto"/>
        <w:left w:val="none" w:sz="0" w:space="0" w:color="auto"/>
        <w:bottom w:val="none" w:sz="0" w:space="0" w:color="auto"/>
        <w:right w:val="none" w:sz="0" w:space="0" w:color="auto"/>
      </w:divBdr>
      <w:divsChild>
        <w:div w:id="1690834985">
          <w:marLeft w:val="0"/>
          <w:marRight w:val="0"/>
          <w:marTop w:val="180"/>
          <w:marBottom w:val="0"/>
          <w:divBdr>
            <w:top w:val="none" w:sz="0" w:space="0" w:color="auto"/>
            <w:left w:val="none" w:sz="0" w:space="0" w:color="auto"/>
            <w:bottom w:val="none" w:sz="0" w:space="0" w:color="auto"/>
            <w:right w:val="none" w:sz="0" w:space="0" w:color="auto"/>
          </w:divBdr>
        </w:div>
        <w:div w:id="1818640924">
          <w:marLeft w:val="0"/>
          <w:marRight w:val="0"/>
          <w:marTop w:val="180"/>
          <w:marBottom w:val="0"/>
          <w:divBdr>
            <w:top w:val="none" w:sz="0" w:space="0" w:color="auto"/>
            <w:left w:val="none" w:sz="0" w:space="0" w:color="auto"/>
            <w:bottom w:val="none" w:sz="0" w:space="0" w:color="auto"/>
            <w:right w:val="none" w:sz="0" w:space="0" w:color="auto"/>
          </w:divBdr>
        </w:div>
      </w:divsChild>
    </w:div>
    <w:div w:id="1230916855">
      <w:marLeft w:val="0"/>
      <w:marRight w:val="0"/>
      <w:marTop w:val="0"/>
      <w:marBottom w:val="0"/>
      <w:divBdr>
        <w:top w:val="none" w:sz="0" w:space="0" w:color="auto"/>
        <w:left w:val="none" w:sz="0" w:space="0" w:color="auto"/>
        <w:bottom w:val="none" w:sz="0" w:space="0" w:color="auto"/>
        <w:right w:val="none" w:sz="0" w:space="0" w:color="auto"/>
      </w:divBdr>
      <w:divsChild>
        <w:div w:id="1963337596">
          <w:marLeft w:val="0"/>
          <w:marRight w:val="0"/>
          <w:marTop w:val="0"/>
          <w:marBottom w:val="0"/>
          <w:divBdr>
            <w:top w:val="none" w:sz="0" w:space="0" w:color="auto"/>
            <w:left w:val="none" w:sz="0" w:space="0" w:color="auto"/>
            <w:bottom w:val="none" w:sz="0" w:space="0" w:color="auto"/>
            <w:right w:val="none" w:sz="0" w:space="0" w:color="auto"/>
          </w:divBdr>
        </w:div>
      </w:divsChild>
    </w:div>
    <w:div w:id="1231187160">
      <w:marLeft w:val="0"/>
      <w:marRight w:val="0"/>
      <w:marTop w:val="0"/>
      <w:marBottom w:val="240"/>
      <w:divBdr>
        <w:top w:val="none" w:sz="0" w:space="0" w:color="auto"/>
        <w:left w:val="none" w:sz="0" w:space="0" w:color="auto"/>
        <w:bottom w:val="none" w:sz="0" w:space="0" w:color="auto"/>
        <w:right w:val="none" w:sz="0" w:space="0" w:color="auto"/>
      </w:divBdr>
    </w:div>
    <w:div w:id="1231234409">
      <w:marLeft w:val="0"/>
      <w:marRight w:val="0"/>
      <w:marTop w:val="0"/>
      <w:marBottom w:val="0"/>
      <w:divBdr>
        <w:top w:val="none" w:sz="0" w:space="0" w:color="auto"/>
        <w:left w:val="none" w:sz="0" w:space="0" w:color="auto"/>
        <w:bottom w:val="none" w:sz="0" w:space="0" w:color="auto"/>
        <w:right w:val="none" w:sz="0" w:space="0" w:color="auto"/>
      </w:divBdr>
      <w:divsChild>
        <w:div w:id="1411927154">
          <w:marLeft w:val="0"/>
          <w:marRight w:val="0"/>
          <w:marTop w:val="0"/>
          <w:marBottom w:val="0"/>
          <w:divBdr>
            <w:top w:val="none" w:sz="0" w:space="0" w:color="auto"/>
            <w:left w:val="none" w:sz="0" w:space="0" w:color="auto"/>
            <w:bottom w:val="none" w:sz="0" w:space="0" w:color="auto"/>
            <w:right w:val="none" w:sz="0" w:space="0" w:color="auto"/>
          </w:divBdr>
        </w:div>
      </w:divsChild>
    </w:div>
    <w:div w:id="1231963517">
      <w:marLeft w:val="0"/>
      <w:marRight w:val="0"/>
      <w:marTop w:val="0"/>
      <w:marBottom w:val="0"/>
      <w:divBdr>
        <w:top w:val="none" w:sz="0" w:space="0" w:color="auto"/>
        <w:left w:val="none" w:sz="0" w:space="0" w:color="auto"/>
        <w:bottom w:val="none" w:sz="0" w:space="0" w:color="auto"/>
        <w:right w:val="none" w:sz="0" w:space="0" w:color="auto"/>
      </w:divBdr>
    </w:div>
    <w:div w:id="1232038397">
      <w:marLeft w:val="0"/>
      <w:marRight w:val="0"/>
      <w:marTop w:val="0"/>
      <w:marBottom w:val="180"/>
      <w:divBdr>
        <w:top w:val="none" w:sz="0" w:space="0" w:color="auto"/>
        <w:left w:val="none" w:sz="0" w:space="0" w:color="auto"/>
        <w:bottom w:val="none" w:sz="0" w:space="0" w:color="auto"/>
        <w:right w:val="none" w:sz="0" w:space="0" w:color="auto"/>
      </w:divBdr>
    </w:div>
    <w:div w:id="1232079127">
      <w:marLeft w:val="0"/>
      <w:marRight w:val="0"/>
      <w:marTop w:val="180"/>
      <w:marBottom w:val="180"/>
      <w:divBdr>
        <w:top w:val="none" w:sz="0" w:space="0" w:color="auto"/>
        <w:left w:val="none" w:sz="0" w:space="0" w:color="auto"/>
        <w:bottom w:val="none" w:sz="0" w:space="0" w:color="auto"/>
        <w:right w:val="none" w:sz="0" w:space="0" w:color="auto"/>
      </w:divBdr>
    </w:div>
    <w:div w:id="1232303427">
      <w:marLeft w:val="0"/>
      <w:marRight w:val="0"/>
      <w:marTop w:val="0"/>
      <w:marBottom w:val="0"/>
      <w:divBdr>
        <w:top w:val="none" w:sz="0" w:space="0" w:color="auto"/>
        <w:left w:val="none" w:sz="0" w:space="0" w:color="auto"/>
        <w:bottom w:val="none" w:sz="0" w:space="0" w:color="auto"/>
        <w:right w:val="none" w:sz="0" w:space="0" w:color="auto"/>
      </w:divBdr>
      <w:divsChild>
        <w:div w:id="39283735">
          <w:marLeft w:val="0"/>
          <w:marRight w:val="0"/>
          <w:marTop w:val="0"/>
          <w:marBottom w:val="0"/>
          <w:divBdr>
            <w:top w:val="none" w:sz="0" w:space="0" w:color="auto"/>
            <w:left w:val="none" w:sz="0" w:space="0" w:color="auto"/>
            <w:bottom w:val="none" w:sz="0" w:space="0" w:color="auto"/>
            <w:right w:val="none" w:sz="0" w:space="0" w:color="auto"/>
          </w:divBdr>
        </w:div>
      </w:divsChild>
    </w:div>
    <w:div w:id="1234315972">
      <w:marLeft w:val="0"/>
      <w:marRight w:val="0"/>
      <w:marTop w:val="0"/>
      <w:marBottom w:val="240"/>
      <w:divBdr>
        <w:top w:val="none" w:sz="0" w:space="0" w:color="auto"/>
        <w:left w:val="none" w:sz="0" w:space="0" w:color="auto"/>
        <w:bottom w:val="none" w:sz="0" w:space="0" w:color="auto"/>
        <w:right w:val="none" w:sz="0" w:space="0" w:color="auto"/>
      </w:divBdr>
    </w:div>
    <w:div w:id="1234970923">
      <w:marLeft w:val="0"/>
      <w:marRight w:val="0"/>
      <w:marTop w:val="180"/>
      <w:marBottom w:val="180"/>
      <w:divBdr>
        <w:top w:val="none" w:sz="0" w:space="0" w:color="auto"/>
        <w:left w:val="none" w:sz="0" w:space="0" w:color="auto"/>
        <w:bottom w:val="none" w:sz="0" w:space="0" w:color="auto"/>
        <w:right w:val="none" w:sz="0" w:space="0" w:color="auto"/>
      </w:divBdr>
    </w:div>
    <w:div w:id="1235159805">
      <w:marLeft w:val="0"/>
      <w:marRight w:val="0"/>
      <w:marTop w:val="0"/>
      <w:marBottom w:val="240"/>
      <w:divBdr>
        <w:top w:val="none" w:sz="0" w:space="0" w:color="auto"/>
        <w:left w:val="none" w:sz="0" w:space="0" w:color="auto"/>
        <w:bottom w:val="none" w:sz="0" w:space="0" w:color="auto"/>
        <w:right w:val="none" w:sz="0" w:space="0" w:color="auto"/>
      </w:divBdr>
    </w:div>
    <w:div w:id="1235965568">
      <w:marLeft w:val="0"/>
      <w:marRight w:val="0"/>
      <w:marTop w:val="0"/>
      <w:marBottom w:val="180"/>
      <w:divBdr>
        <w:top w:val="none" w:sz="0" w:space="0" w:color="auto"/>
        <w:left w:val="none" w:sz="0" w:space="0" w:color="auto"/>
        <w:bottom w:val="none" w:sz="0" w:space="0" w:color="auto"/>
        <w:right w:val="none" w:sz="0" w:space="0" w:color="auto"/>
      </w:divBdr>
    </w:div>
    <w:div w:id="1236941576">
      <w:marLeft w:val="0"/>
      <w:marRight w:val="0"/>
      <w:marTop w:val="0"/>
      <w:marBottom w:val="0"/>
      <w:divBdr>
        <w:top w:val="none" w:sz="0" w:space="0" w:color="auto"/>
        <w:left w:val="none" w:sz="0" w:space="0" w:color="auto"/>
        <w:bottom w:val="none" w:sz="0" w:space="0" w:color="auto"/>
        <w:right w:val="none" w:sz="0" w:space="0" w:color="auto"/>
      </w:divBdr>
    </w:div>
    <w:div w:id="1238369700">
      <w:marLeft w:val="0"/>
      <w:marRight w:val="0"/>
      <w:marTop w:val="0"/>
      <w:marBottom w:val="240"/>
      <w:divBdr>
        <w:top w:val="none" w:sz="0" w:space="0" w:color="auto"/>
        <w:left w:val="none" w:sz="0" w:space="0" w:color="auto"/>
        <w:bottom w:val="none" w:sz="0" w:space="0" w:color="auto"/>
        <w:right w:val="none" w:sz="0" w:space="0" w:color="auto"/>
      </w:divBdr>
    </w:div>
    <w:div w:id="1238708988">
      <w:marLeft w:val="0"/>
      <w:marRight w:val="0"/>
      <w:marTop w:val="0"/>
      <w:marBottom w:val="180"/>
      <w:divBdr>
        <w:top w:val="none" w:sz="0" w:space="0" w:color="auto"/>
        <w:left w:val="none" w:sz="0" w:space="0" w:color="auto"/>
        <w:bottom w:val="none" w:sz="0" w:space="0" w:color="auto"/>
        <w:right w:val="none" w:sz="0" w:space="0" w:color="auto"/>
      </w:divBdr>
    </w:div>
    <w:div w:id="1238903614">
      <w:marLeft w:val="0"/>
      <w:marRight w:val="0"/>
      <w:marTop w:val="180"/>
      <w:marBottom w:val="180"/>
      <w:divBdr>
        <w:top w:val="none" w:sz="0" w:space="0" w:color="auto"/>
        <w:left w:val="none" w:sz="0" w:space="0" w:color="auto"/>
        <w:bottom w:val="none" w:sz="0" w:space="0" w:color="auto"/>
        <w:right w:val="none" w:sz="0" w:space="0" w:color="auto"/>
      </w:divBdr>
    </w:div>
    <w:div w:id="1241063286">
      <w:marLeft w:val="0"/>
      <w:marRight w:val="0"/>
      <w:marTop w:val="100"/>
      <w:marBottom w:val="0"/>
      <w:divBdr>
        <w:top w:val="none" w:sz="0" w:space="0" w:color="auto"/>
        <w:left w:val="none" w:sz="0" w:space="0" w:color="auto"/>
        <w:bottom w:val="none" w:sz="0" w:space="0" w:color="auto"/>
        <w:right w:val="none" w:sz="0" w:space="0" w:color="auto"/>
      </w:divBdr>
    </w:div>
    <w:div w:id="1241720809">
      <w:marLeft w:val="0"/>
      <w:marRight w:val="0"/>
      <w:marTop w:val="0"/>
      <w:marBottom w:val="0"/>
      <w:divBdr>
        <w:top w:val="none" w:sz="0" w:space="0" w:color="auto"/>
        <w:left w:val="none" w:sz="0" w:space="0" w:color="auto"/>
        <w:bottom w:val="none" w:sz="0" w:space="0" w:color="auto"/>
        <w:right w:val="none" w:sz="0" w:space="0" w:color="auto"/>
      </w:divBdr>
    </w:div>
    <w:div w:id="1242445372">
      <w:marLeft w:val="0"/>
      <w:marRight w:val="0"/>
      <w:marTop w:val="0"/>
      <w:marBottom w:val="240"/>
      <w:divBdr>
        <w:top w:val="none" w:sz="0" w:space="0" w:color="auto"/>
        <w:left w:val="none" w:sz="0" w:space="0" w:color="auto"/>
        <w:bottom w:val="none" w:sz="0" w:space="0" w:color="auto"/>
        <w:right w:val="none" w:sz="0" w:space="0" w:color="auto"/>
      </w:divBdr>
    </w:div>
    <w:div w:id="1243104585">
      <w:marLeft w:val="0"/>
      <w:marRight w:val="0"/>
      <w:marTop w:val="0"/>
      <w:marBottom w:val="0"/>
      <w:divBdr>
        <w:top w:val="none" w:sz="0" w:space="0" w:color="auto"/>
        <w:left w:val="none" w:sz="0" w:space="0" w:color="auto"/>
        <w:bottom w:val="none" w:sz="0" w:space="0" w:color="auto"/>
        <w:right w:val="none" w:sz="0" w:space="0" w:color="auto"/>
      </w:divBdr>
      <w:divsChild>
        <w:div w:id="276184580">
          <w:marLeft w:val="0"/>
          <w:marRight w:val="0"/>
          <w:marTop w:val="0"/>
          <w:marBottom w:val="0"/>
          <w:divBdr>
            <w:top w:val="none" w:sz="0" w:space="0" w:color="auto"/>
            <w:left w:val="none" w:sz="0" w:space="0" w:color="auto"/>
            <w:bottom w:val="none" w:sz="0" w:space="0" w:color="auto"/>
            <w:right w:val="none" w:sz="0" w:space="0" w:color="auto"/>
          </w:divBdr>
        </w:div>
      </w:divsChild>
    </w:div>
    <w:div w:id="1243687387">
      <w:marLeft w:val="0"/>
      <w:marRight w:val="0"/>
      <w:marTop w:val="180"/>
      <w:marBottom w:val="180"/>
      <w:divBdr>
        <w:top w:val="none" w:sz="0" w:space="0" w:color="auto"/>
        <w:left w:val="none" w:sz="0" w:space="0" w:color="auto"/>
        <w:bottom w:val="none" w:sz="0" w:space="0" w:color="auto"/>
        <w:right w:val="none" w:sz="0" w:space="0" w:color="auto"/>
      </w:divBdr>
    </w:div>
    <w:div w:id="1243905978">
      <w:marLeft w:val="0"/>
      <w:marRight w:val="0"/>
      <w:marTop w:val="180"/>
      <w:marBottom w:val="180"/>
      <w:divBdr>
        <w:top w:val="none" w:sz="0" w:space="0" w:color="auto"/>
        <w:left w:val="none" w:sz="0" w:space="0" w:color="auto"/>
        <w:bottom w:val="none" w:sz="0" w:space="0" w:color="auto"/>
        <w:right w:val="none" w:sz="0" w:space="0" w:color="auto"/>
      </w:divBdr>
    </w:div>
    <w:div w:id="1245796923">
      <w:marLeft w:val="0"/>
      <w:marRight w:val="0"/>
      <w:marTop w:val="0"/>
      <w:marBottom w:val="180"/>
      <w:divBdr>
        <w:top w:val="none" w:sz="0" w:space="0" w:color="auto"/>
        <w:left w:val="none" w:sz="0" w:space="0" w:color="auto"/>
        <w:bottom w:val="none" w:sz="0" w:space="0" w:color="auto"/>
        <w:right w:val="none" w:sz="0" w:space="0" w:color="auto"/>
      </w:divBdr>
    </w:div>
    <w:div w:id="1246068126">
      <w:marLeft w:val="0"/>
      <w:marRight w:val="0"/>
      <w:marTop w:val="0"/>
      <w:marBottom w:val="180"/>
      <w:divBdr>
        <w:top w:val="none" w:sz="0" w:space="0" w:color="auto"/>
        <w:left w:val="none" w:sz="0" w:space="0" w:color="auto"/>
        <w:bottom w:val="none" w:sz="0" w:space="0" w:color="auto"/>
        <w:right w:val="none" w:sz="0" w:space="0" w:color="auto"/>
      </w:divBdr>
    </w:div>
    <w:div w:id="1246769758">
      <w:marLeft w:val="0"/>
      <w:marRight w:val="0"/>
      <w:marTop w:val="180"/>
      <w:marBottom w:val="180"/>
      <w:divBdr>
        <w:top w:val="none" w:sz="0" w:space="0" w:color="auto"/>
        <w:left w:val="none" w:sz="0" w:space="0" w:color="auto"/>
        <w:bottom w:val="none" w:sz="0" w:space="0" w:color="auto"/>
        <w:right w:val="none" w:sz="0" w:space="0" w:color="auto"/>
      </w:divBdr>
    </w:div>
    <w:div w:id="1247033496">
      <w:marLeft w:val="0"/>
      <w:marRight w:val="0"/>
      <w:marTop w:val="0"/>
      <w:marBottom w:val="0"/>
      <w:divBdr>
        <w:top w:val="none" w:sz="0" w:space="0" w:color="auto"/>
        <w:left w:val="none" w:sz="0" w:space="0" w:color="auto"/>
        <w:bottom w:val="none" w:sz="0" w:space="0" w:color="auto"/>
        <w:right w:val="none" w:sz="0" w:space="0" w:color="auto"/>
      </w:divBdr>
    </w:div>
    <w:div w:id="1247223053">
      <w:marLeft w:val="0"/>
      <w:marRight w:val="0"/>
      <w:marTop w:val="100"/>
      <w:marBottom w:val="240"/>
      <w:divBdr>
        <w:top w:val="none" w:sz="0" w:space="0" w:color="auto"/>
        <w:left w:val="none" w:sz="0" w:space="0" w:color="auto"/>
        <w:bottom w:val="none" w:sz="0" w:space="0" w:color="auto"/>
        <w:right w:val="none" w:sz="0" w:space="0" w:color="auto"/>
      </w:divBdr>
    </w:div>
    <w:div w:id="1247379125">
      <w:marLeft w:val="0"/>
      <w:marRight w:val="0"/>
      <w:marTop w:val="0"/>
      <w:marBottom w:val="240"/>
      <w:divBdr>
        <w:top w:val="none" w:sz="0" w:space="0" w:color="auto"/>
        <w:left w:val="none" w:sz="0" w:space="0" w:color="auto"/>
        <w:bottom w:val="none" w:sz="0" w:space="0" w:color="auto"/>
        <w:right w:val="none" w:sz="0" w:space="0" w:color="auto"/>
      </w:divBdr>
    </w:div>
    <w:div w:id="1248223901">
      <w:marLeft w:val="0"/>
      <w:marRight w:val="0"/>
      <w:marTop w:val="0"/>
      <w:marBottom w:val="0"/>
      <w:divBdr>
        <w:top w:val="none" w:sz="0" w:space="0" w:color="auto"/>
        <w:left w:val="none" w:sz="0" w:space="0" w:color="auto"/>
        <w:bottom w:val="none" w:sz="0" w:space="0" w:color="auto"/>
        <w:right w:val="none" w:sz="0" w:space="0" w:color="auto"/>
      </w:divBdr>
      <w:divsChild>
        <w:div w:id="637422205">
          <w:marLeft w:val="0"/>
          <w:marRight w:val="0"/>
          <w:marTop w:val="0"/>
          <w:marBottom w:val="0"/>
          <w:divBdr>
            <w:top w:val="none" w:sz="0" w:space="0" w:color="auto"/>
            <w:left w:val="none" w:sz="0" w:space="0" w:color="auto"/>
            <w:bottom w:val="none" w:sz="0" w:space="0" w:color="auto"/>
            <w:right w:val="none" w:sz="0" w:space="0" w:color="auto"/>
          </w:divBdr>
        </w:div>
      </w:divsChild>
    </w:div>
    <w:div w:id="1248616135">
      <w:marLeft w:val="0"/>
      <w:marRight w:val="0"/>
      <w:marTop w:val="0"/>
      <w:marBottom w:val="180"/>
      <w:divBdr>
        <w:top w:val="none" w:sz="0" w:space="0" w:color="auto"/>
        <w:left w:val="none" w:sz="0" w:space="0" w:color="auto"/>
        <w:bottom w:val="none" w:sz="0" w:space="0" w:color="auto"/>
        <w:right w:val="none" w:sz="0" w:space="0" w:color="auto"/>
      </w:divBdr>
    </w:div>
    <w:div w:id="1249344485">
      <w:marLeft w:val="0"/>
      <w:marRight w:val="0"/>
      <w:marTop w:val="0"/>
      <w:marBottom w:val="0"/>
      <w:divBdr>
        <w:top w:val="none" w:sz="0" w:space="0" w:color="auto"/>
        <w:left w:val="none" w:sz="0" w:space="0" w:color="auto"/>
        <w:bottom w:val="none" w:sz="0" w:space="0" w:color="auto"/>
        <w:right w:val="none" w:sz="0" w:space="0" w:color="auto"/>
      </w:divBdr>
    </w:div>
    <w:div w:id="1249732027">
      <w:marLeft w:val="0"/>
      <w:marRight w:val="0"/>
      <w:marTop w:val="0"/>
      <w:marBottom w:val="0"/>
      <w:divBdr>
        <w:top w:val="none" w:sz="0" w:space="0" w:color="auto"/>
        <w:left w:val="none" w:sz="0" w:space="0" w:color="auto"/>
        <w:bottom w:val="none" w:sz="0" w:space="0" w:color="auto"/>
        <w:right w:val="none" w:sz="0" w:space="0" w:color="auto"/>
      </w:divBdr>
    </w:div>
    <w:div w:id="1249849553">
      <w:marLeft w:val="0"/>
      <w:marRight w:val="0"/>
      <w:marTop w:val="120"/>
      <w:marBottom w:val="120"/>
      <w:divBdr>
        <w:top w:val="none" w:sz="0" w:space="0" w:color="auto"/>
        <w:left w:val="none" w:sz="0" w:space="0" w:color="auto"/>
        <w:bottom w:val="none" w:sz="0" w:space="0" w:color="auto"/>
        <w:right w:val="none" w:sz="0" w:space="0" w:color="auto"/>
      </w:divBdr>
    </w:div>
    <w:div w:id="1250433333">
      <w:marLeft w:val="0"/>
      <w:marRight w:val="0"/>
      <w:marTop w:val="120"/>
      <w:marBottom w:val="120"/>
      <w:divBdr>
        <w:top w:val="none" w:sz="0" w:space="0" w:color="auto"/>
        <w:left w:val="none" w:sz="0" w:space="0" w:color="auto"/>
        <w:bottom w:val="none" w:sz="0" w:space="0" w:color="auto"/>
        <w:right w:val="none" w:sz="0" w:space="0" w:color="auto"/>
      </w:divBdr>
    </w:div>
    <w:div w:id="1251158029">
      <w:marLeft w:val="0"/>
      <w:marRight w:val="0"/>
      <w:marTop w:val="180"/>
      <w:marBottom w:val="180"/>
      <w:divBdr>
        <w:top w:val="none" w:sz="0" w:space="0" w:color="auto"/>
        <w:left w:val="none" w:sz="0" w:space="0" w:color="auto"/>
        <w:bottom w:val="none" w:sz="0" w:space="0" w:color="auto"/>
        <w:right w:val="none" w:sz="0" w:space="0" w:color="auto"/>
      </w:divBdr>
    </w:div>
    <w:div w:id="1251281556">
      <w:marLeft w:val="0"/>
      <w:marRight w:val="0"/>
      <w:marTop w:val="0"/>
      <w:marBottom w:val="180"/>
      <w:divBdr>
        <w:top w:val="none" w:sz="0" w:space="0" w:color="auto"/>
        <w:left w:val="none" w:sz="0" w:space="0" w:color="auto"/>
        <w:bottom w:val="none" w:sz="0" w:space="0" w:color="auto"/>
        <w:right w:val="none" w:sz="0" w:space="0" w:color="auto"/>
      </w:divBdr>
    </w:div>
    <w:div w:id="1251429239">
      <w:marLeft w:val="0"/>
      <w:marRight w:val="0"/>
      <w:marTop w:val="0"/>
      <w:marBottom w:val="0"/>
      <w:divBdr>
        <w:top w:val="none" w:sz="0" w:space="0" w:color="auto"/>
        <w:left w:val="none" w:sz="0" w:space="0" w:color="auto"/>
        <w:bottom w:val="none" w:sz="0" w:space="0" w:color="auto"/>
        <w:right w:val="none" w:sz="0" w:space="0" w:color="auto"/>
      </w:divBdr>
    </w:div>
    <w:div w:id="1252206110">
      <w:marLeft w:val="0"/>
      <w:marRight w:val="0"/>
      <w:marTop w:val="0"/>
      <w:marBottom w:val="240"/>
      <w:divBdr>
        <w:top w:val="none" w:sz="0" w:space="0" w:color="auto"/>
        <w:left w:val="none" w:sz="0" w:space="0" w:color="auto"/>
        <w:bottom w:val="none" w:sz="0" w:space="0" w:color="auto"/>
        <w:right w:val="none" w:sz="0" w:space="0" w:color="auto"/>
      </w:divBdr>
    </w:div>
    <w:div w:id="1253512373">
      <w:marLeft w:val="0"/>
      <w:marRight w:val="0"/>
      <w:marTop w:val="0"/>
      <w:marBottom w:val="180"/>
      <w:divBdr>
        <w:top w:val="none" w:sz="0" w:space="0" w:color="auto"/>
        <w:left w:val="none" w:sz="0" w:space="0" w:color="auto"/>
        <w:bottom w:val="none" w:sz="0" w:space="0" w:color="auto"/>
        <w:right w:val="none" w:sz="0" w:space="0" w:color="auto"/>
      </w:divBdr>
    </w:div>
    <w:div w:id="1255356521">
      <w:marLeft w:val="0"/>
      <w:marRight w:val="0"/>
      <w:marTop w:val="0"/>
      <w:marBottom w:val="0"/>
      <w:divBdr>
        <w:top w:val="none" w:sz="0" w:space="0" w:color="auto"/>
        <w:left w:val="none" w:sz="0" w:space="0" w:color="auto"/>
        <w:bottom w:val="none" w:sz="0" w:space="0" w:color="auto"/>
        <w:right w:val="none" w:sz="0" w:space="0" w:color="auto"/>
      </w:divBdr>
    </w:div>
    <w:div w:id="1255895896">
      <w:marLeft w:val="0"/>
      <w:marRight w:val="0"/>
      <w:marTop w:val="0"/>
      <w:marBottom w:val="0"/>
      <w:divBdr>
        <w:top w:val="none" w:sz="0" w:space="0" w:color="auto"/>
        <w:left w:val="none" w:sz="0" w:space="0" w:color="auto"/>
        <w:bottom w:val="none" w:sz="0" w:space="0" w:color="auto"/>
        <w:right w:val="none" w:sz="0" w:space="0" w:color="auto"/>
      </w:divBdr>
    </w:div>
    <w:div w:id="1256474788">
      <w:marLeft w:val="0"/>
      <w:marRight w:val="0"/>
      <w:marTop w:val="0"/>
      <w:marBottom w:val="240"/>
      <w:divBdr>
        <w:top w:val="none" w:sz="0" w:space="0" w:color="auto"/>
        <w:left w:val="none" w:sz="0" w:space="0" w:color="auto"/>
        <w:bottom w:val="none" w:sz="0" w:space="0" w:color="auto"/>
        <w:right w:val="none" w:sz="0" w:space="0" w:color="auto"/>
      </w:divBdr>
    </w:div>
    <w:div w:id="1256868436">
      <w:marLeft w:val="0"/>
      <w:marRight w:val="0"/>
      <w:marTop w:val="180"/>
      <w:marBottom w:val="180"/>
      <w:divBdr>
        <w:top w:val="none" w:sz="0" w:space="0" w:color="auto"/>
        <w:left w:val="none" w:sz="0" w:space="0" w:color="auto"/>
        <w:bottom w:val="none" w:sz="0" w:space="0" w:color="auto"/>
        <w:right w:val="none" w:sz="0" w:space="0" w:color="auto"/>
      </w:divBdr>
    </w:div>
    <w:div w:id="1257010192">
      <w:marLeft w:val="0"/>
      <w:marRight w:val="0"/>
      <w:marTop w:val="0"/>
      <w:marBottom w:val="180"/>
      <w:divBdr>
        <w:top w:val="none" w:sz="0" w:space="0" w:color="auto"/>
        <w:left w:val="none" w:sz="0" w:space="0" w:color="auto"/>
        <w:bottom w:val="none" w:sz="0" w:space="0" w:color="auto"/>
        <w:right w:val="none" w:sz="0" w:space="0" w:color="auto"/>
      </w:divBdr>
    </w:div>
    <w:div w:id="1258828806">
      <w:marLeft w:val="0"/>
      <w:marRight w:val="0"/>
      <w:marTop w:val="0"/>
      <w:marBottom w:val="0"/>
      <w:divBdr>
        <w:top w:val="none" w:sz="0" w:space="0" w:color="auto"/>
        <w:left w:val="none" w:sz="0" w:space="0" w:color="auto"/>
        <w:bottom w:val="none" w:sz="0" w:space="0" w:color="auto"/>
        <w:right w:val="none" w:sz="0" w:space="0" w:color="auto"/>
      </w:divBdr>
      <w:divsChild>
        <w:div w:id="227156953">
          <w:marLeft w:val="0"/>
          <w:marRight w:val="0"/>
          <w:marTop w:val="0"/>
          <w:marBottom w:val="0"/>
          <w:divBdr>
            <w:top w:val="none" w:sz="0" w:space="0" w:color="auto"/>
            <w:left w:val="none" w:sz="0" w:space="0" w:color="auto"/>
            <w:bottom w:val="none" w:sz="0" w:space="0" w:color="auto"/>
            <w:right w:val="none" w:sz="0" w:space="0" w:color="auto"/>
          </w:divBdr>
        </w:div>
      </w:divsChild>
    </w:div>
    <w:div w:id="1259173447">
      <w:marLeft w:val="0"/>
      <w:marRight w:val="0"/>
      <w:marTop w:val="0"/>
      <w:marBottom w:val="0"/>
      <w:divBdr>
        <w:top w:val="none" w:sz="0" w:space="0" w:color="auto"/>
        <w:left w:val="none" w:sz="0" w:space="0" w:color="auto"/>
        <w:bottom w:val="none" w:sz="0" w:space="0" w:color="auto"/>
        <w:right w:val="none" w:sz="0" w:space="0" w:color="auto"/>
      </w:divBdr>
      <w:divsChild>
        <w:div w:id="403991561">
          <w:marLeft w:val="0"/>
          <w:marRight w:val="0"/>
          <w:marTop w:val="0"/>
          <w:marBottom w:val="0"/>
          <w:divBdr>
            <w:top w:val="none" w:sz="0" w:space="0" w:color="auto"/>
            <w:left w:val="none" w:sz="0" w:space="0" w:color="auto"/>
            <w:bottom w:val="none" w:sz="0" w:space="0" w:color="auto"/>
            <w:right w:val="none" w:sz="0" w:space="0" w:color="auto"/>
          </w:divBdr>
        </w:div>
      </w:divsChild>
    </w:div>
    <w:div w:id="1259633864">
      <w:marLeft w:val="0"/>
      <w:marRight w:val="0"/>
      <w:marTop w:val="0"/>
      <w:marBottom w:val="180"/>
      <w:divBdr>
        <w:top w:val="none" w:sz="0" w:space="0" w:color="auto"/>
        <w:left w:val="none" w:sz="0" w:space="0" w:color="auto"/>
        <w:bottom w:val="none" w:sz="0" w:space="0" w:color="auto"/>
        <w:right w:val="none" w:sz="0" w:space="0" w:color="auto"/>
      </w:divBdr>
    </w:div>
    <w:div w:id="1260333742">
      <w:marLeft w:val="0"/>
      <w:marRight w:val="0"/>
      <w:marTop w:val="0"/>
      <w:marBottom w:val="180"/>
      <w:divBdr>
        <w:top w:val="none" w:sz="0" w:space="0" w:color="auto"/>
        <w:left w:val="none" w:sz="0" w:space="0" w:color="auto"/>
        <w:bottom w:val="none" w:sz="0" w:space="0" w:color="auto"/>
        <w:right w:val="none" w:sz="0" w:space="0" w:color="auto"/>
      </w:divBdr>
    </w:div>
    <w:div w:id="1261372484">
      <w:marLeft w:val="0"/>
      <w:marRight w:val="0"/>
      <w:marTop w:val="0"/>
      <w:marBottom w:val="240"/>
      <w:divBdr>
        <w:top w:val="none" w:sz="0" w:space="0" w:color="auto"/>
        <w:left w:val="none" w:sz="0" w:space="0" w:color="auto"/>
        <w:bottom w:val="none" w:sz="0" w:space="0" w:color="auto"/>
        <w:right w:val="none" w:sz="0" w:space="0" w:color="auto"/>
      </w:divBdr>
    </w:div>
    <w:div w:id="1261451460">
      <w:marLeft w:val="0"/>
      <w:marRight w:val="0"/>
      <w:marTop w:val="180"/>
      <w:marBottom w:val="180"/>
      <w:divBdr>
        <w:top w:val="none" w:sz="0" w:space="0" w:color="auto"/>
        <w:left w:val="none" w:sz="0" w:space="0" w:color="auto"/>
        <w:bottom w:val="none" w:sz="0" w:space="0" w:color="auto"/>
        <w:right w:val="none" w:sz="0" w:space="0" w:color="auto"/>
      </w:divBdr>
    </w:div>
    <w:div w:id="1266383323">
      <w:marLeft w:val="0"/>
      <w:marRight w:val="0"/>
      <w:marTop w:val="120"/>
      <w:marBottom w:val="240"/>
      <w:divBdr>
        <w:top w:val="none" w:sz="0" w:space="0" w:color="auto"/>
        <w:left w:val="none" w:sz="0" w:space="0" w:color="auto"/>
        <w:bottom w:val="none" w:sz="0" w:space="0" w:color="auto"/>
        <w:right w:val="none" w:sz="0" w:space="0" w:color="auto"/>
      </w:divBdr>
    </w:div>
    <w:div w:id="1266572398">
      <w:marLeft w:val="0"/>
      <w:marRight w:val="0"/>
      <w:marTop w:val="0"/>
      <w:marBottom w:val="240"/>
      <w:divBdr>
        <w:top w:val="none" w:sz="0" w:space="0" w:color="auto"/>
        <w:left w:val="none" w:sz="0" w:space="0" w:color="auto"/>
        <w:bottom w:val="none" w:sz="0" w:space="0" w:color="auto"/>
        <w:right w:val="none" w:sz="0" w:space="0" w:color="auto"/>
      </w:divBdr>
    </w:div>
    <w:div w:id="1269005319">
      <w:marLeft w:val="0"/>
      <w:marRight w:val="0"/>
      <w:marTop w:val="0"/>
      <w:marBottom w:val="180"/>
      <w:divBdr>
        <w:top w:val="none" w:sz="0" w:space="0" w:color="auto"/>
        <w:left w:val="none" w:sz="0" w:space="0" w:color="auto"/>
        <w:bottom w:val="none" w:sz="0" w:space="0" w:color="auto"/>
        <w:right w:val="none" w:sz="0" w:space="0" w:color="auto"/>
      </w:divBdr>
    </w:div>
    <w:div w:id="1269388381">
      <w:marLeft w:val="0"/>
      <w:marRight w:val="0"/>
      <w:marTop w:val="120"/>
      <w:marBottom w:val="120"/>
      <w:divBdr>
        <w:top w:val="none" w:sz="0" w:space="0" w:color="auto"/>
        <w:left w:val="none" w:sz="0" w:space="0" w:color="auto"/>
        <w:bottom w:val="none" w:sz="0" w:space="0" w:color="auto"/>
        <w:right w:val="none" w:sz="0" w:space="0" w:color="auto"/>
      </w:divBdr>
    </w:div>
    <w:div w:id="1269507545">
      <w:marLeft w:val="0"/>
      <w:marRight w:val="0"/>
      <w:marTop w:val="0"/>
      <w:marBottom w:val="0"/>
      <w:divBdr>
        <w:top w:val="none" w:sz="0" w:space="0" w:color="auto"/>
        <w:left w:val="none" w:sz="0" w:space="0" w:color="auto"/>
        <w:bottom w:val="none" w:sz="0" w:space="0" w:color="auto"/>
        <w:right w:val="none" w:sz="0" w:space="0" w:color="auto"/>
      </w:divBdr>
    </w:div>
    <w:div w:id="1269629272">
      <w:marLeft w:val="0"/>
      <w:marRight w:val="0"/>
      <w:marTop w:val="0"/>
      <w:marBottom w:val="240"/>
      <w:divBdr>
        <w:top w:val="none" w:sz="0" w:space="0" w:color="auto"/>
        <w:left w:val="none" w:sz="0" w:space="0" w:color="auto"/>
        <w:bottom w:val="none" w:sz="0" w:space="0" w:color="auto"/>
        <w:right w:val="none" w:sz="0" w:space="0" w:color="auto"/>
      </w:divBdr>
    </w:div>
    <w:div w:id="1270775547">
      <w:marLeft w:val="0"/>
      <w:marRight w:val="0"/>
      <w:marTop w:val="0"/>
      <w:marBottom w:val="0"/>
      <w:divBdr>
        <w:top w:val="none" w:sz="0" w:space="0" w:color="auto"/>
        <w:left w:val="none" w:sz="0" w:space="0" w:color="auto"/>
        <w:bottom w:val="none" w:sz="0" w:space="0" w:color="auto"/>
        <w:right w:val="none" w:sz="0" w:space="0" w:color="auto"/>
      </w:divBdr>
      <w:divsChild>
        <w:div w:id="856774988">
          <w:marLeft w:val="0"/>
          <w:marRight w:val="0"/>
          <w:marTop w:val="0"/>
          <w:marBottom w:val="0"/>
          <w:divBdr>
            <w:top w:val="none" w:sz="0" w:space="0" w:color="auto"/>
            <w:left w:val="none" w:sz="0" w:space="0" w:color="auto"/>
            <w:bottom w:val="none" w:sz="0" w:space="0" w:color="auto"/>
            <w:right w:val="none" w:sz="0" w:space="0" w:color="auto"/>
          </w:divBdr>
        </w:div>
      </w:divsChild>
    </w:div>
    <w:div w:id="1270891071">
      <w:marLeft w:val="0"/>
      <w:marRight w:val="0"/>
      <w:marTop w:val="0"/>
      <w:marBottom w:val="0"/>
      <w:divBdr>
        <w:top w:val="none" w:sz="0" w:space="0" w:color="auto"/>
        <w:left w:val="none" w:sz="0" w:space="0" w:color="auto"/>
        <w:bottom w:val="none" w:sz="0" w:space="0" w:color="auto"/>
        <w:right w:val="none" w:sz="0" w:space="0" w:color="auto"/>
      </w:divBdr>
    </w:div>
    <w:div w:id="1271012804">
      <w:marLeft w:val="0"/>
      <w:marRight w:val="0"/>
      <w:marTop w:val="0"/>
      <w:marBottom w:val="240"/>
      <w:divBdr>
        <w:top w:val="none" w:sz="0" w:space="0" w:color="auto"/>
        <w:left w:val="none" w:sz="0" w:space="0" w:color="auto"/>
        <w:bottom w:val="none" w:sz="0" w:space="0" w:color="auto"/>
        <w:right w:val="none" w:sz="0" w:space="0" w:color="auto"/>
      </w:divBdr>
    </w:div>
    <w:div w:id="1271086202">
      <w:marLeft w:val="0"/>
      <w:marRight w:val="0"/>
      <w:marTop w:val="0"/>
      <w:marBottom w:val="240"/>
      <w:divBdr>
        <w:top w:val="none" w:sz="0" w:space="0" w:color="auto"/>
        <w:left w:val="none" w:sz="0" w:space="0" w:color="auto"/>
        <w:bottom w:val="none" w:sz="0" w:space="0" w:color="auto"/>
        <w:right w:val="none" w:sz="0" w:space="0" w:color="auto"/>
      </w:divBdr>
    </w:div>
    <w:div w:id="1271162546">
      <w:marLeft w:val="0"/>
      <w:marRight w:val="0"/>
      <w:marTop w:val="0"/>
      <w:marBottom w:val="240"/>
      <w:divBdr>
        <w:top w:val="none" w:sz="0" w:space="0" w:color="auto"/>
        <w:left w:val="none" w:sz="0" w:space="0" w:color="auto"/>
        <w:bottom w:val="none" w:sz="0" w:space="0" w:color="auto"/>
        <w:right w:val="none" w:sz="0" w:space="0" w:color="auto"/>
      </w:divBdr>
    </w:div>
    <w:div w:id="1273365921">
      <w:marLeft w:val="0"/>
      <w:marRight w:val="0"/>
      <w:marTop w:val="0"/>
      <w:marBottom w:val="240"/>
      <w:divBdr>
        <w:top w:val="none" w:sz="0" w:space="0" w:color="auto"/>
        <w:left w:val="none" w:sz="0" w:space="0" w:color="auto"/>
        <w:bottom w:val="none" w:sz="0" w:space="0" w:color="auto"/>
        <w:right w:val="none" w:sz="0" w:space="0" w:color="auto"/>
      </w:divBdr>
    </w:div>
    <w:div w:id="1274823077">
      <w:marLeft w:val="0"/>
      <w:marRight w:val="0"/>
      <w:marTop w:val="120"/>
      <w:marBottom w:val="240"/>
      <w:divBdr>
        <w:top w:val="none" w:sz="0" w:space="0" w:color="auto"/>
        <w:left w:val="none" w:sz="0" w:space="0" w:color="auto"/>
        <w:bottom w:val="none" w:sz="0" w:space="0" w:color="auto"/>
        <w:right w:val="none" w:sz="0" w:space="0" w:color="auto"/>
      </w:divBdr>
    </w:div>
    <w:div w:id="1275405892">
      <w:marLeft w:val="0"/>
      <w:marRight w:val="0"/>
      <w:marTop w:val="180"/>
      <w:marBottom w:val="180"/>
      <w:divBdr>
        <w:top w:val="none" w:sz="0" w:space="0" w:color="auto"/>
        <w:left w:val="none" w:sz="0" w:space="0" w:color="auto"/>
        <w:bottom w:val="none" w:sz="0" w:space="0" w:color="auto"/>
        <w:right w:val="none" w:sz="0" w:space="0" w:color="auto"/>
      </w:divBdr>
    </w:div>
    <w:div w:id="1275793144">
      <w:marLeft w:val="0"/>
      <w:marRight w:val="0"/>
      <w:marTop w:val="0"/>
      <w:marBottom w:val="0"/>
      <w:divBdr>
        <w:top w:val="none" w:sz="0" w:space="0" w:color="auto"/>
        <w:left w:val="none" w:sz="0" w:space="0" w:color="auto"/>
        <w:bottom w:val="none" w:sz="0" w:space="0" w:color="auto"/>
        <w:right w:val="none" w:sz="0" w:space="0" w:color="auto"/>
      </w:divBdr>
      <w:divsChild>
        <w:div w:id="751465679">
          <w:marLeft w:val="0"/>
          <w:marRight w:val="0"/>
          <w:marTop w:val="0"/>
          <w:marBottom w:val="0"/>
          <w:divBdr>
            <w:top w:val="none" w:sz="0" w:space="0" w:color="auto"/>
            <w:left w:val="none" w:sz="0" w:space="0" w:color="auto"/>
            <w:bottom w:val="none" w:sz="0" w:space="0" w:color="auto"/>
            <w:right w:val="none" w:sz="0" w:space="0" w:color="auto"/>
          </w:divBdr>
        </w:div>
      </w:divsChild>
    </w:div>
    <w:div w:id="1276524403">
      <w:marLeft w:val="0"/>
      <w:marRight w:val="0"/>
      <w:marTop w:val="120"/>
      <w:marBottom w:val="120"/>
      <w:divBdr>
        <w:top w:val="none" w:sz="0" w:space="0" w:color="auto"/>
        <w:left w:val="none" w:sz="0" w:space="0" w:color="auto"/>
        <w:bottom w:val="none" w:sz="0" w:space="0" w:color="auto"/>
        <w:right w:val="none" w:sz="0" w:space="0" w:color="auto"/>
      </w:divBdr>
    </w:div>
    <w:div w:id="1278607814">
      <w:marLeft w:val="0"/>
      <w:marRight w:val="0"/>
      <w:marTop w:val="0"/>
      <w:marBottom w:val="180"/>
      <w:divBdr>
        <w:top w:val="none" w:sz="0" w:space="0" w:color="auto"/>
        <w:left w:val="none" w:sz="0" w:space="0" w:color="auto"/>
        <w:bottom w:val="none" w:sz="0" w:space="0" w:color="auto"/>
        <w:right w:val="none" w:sz="0" w:space="0" w:color="auto"/>
      </w:divBdr>
    </w:div>
    <w:div w:id="1278676398">
      <w:marLeft w:val="0"/>
      <w:marRight w:val="0"/>
      <w:marTop w:val="0"/>
      <w:marBottom w:val="240"/>
      <w:divBdr>
        <w:top w:val="none" w:sz="0" w:space="0" w:color="auto"/>
        <w:left w:val="none" w:sz="0" w:space="0" w:color="auto"/>
        <w:bottom w:val="none" w:sz="0" w:space="0" w:color="auto"/>
        <w:right w:val="none" w:sz="0" w:space="0" w:color="auto"/>
      </w:divBdr>
    </w:div>
    <w:div w:id="1279070690">
      <w:marLeft w:val="0"/>
      <w:marRight w:val="0"/>
      <w:marTop w:val="0"/>
      <w:marBottom w:val="240"/>
      <w:divBdr>
        <w:top w:val="none" w:sz="0" w:space="0" w:color="auto"/>
        <w:left w:val="none" w:sz="0" w:space="0" w:color="auto"/>
        <w:bottom w:val="none" w:sz="0" w:space="0" w:color="auto"/>
        <w:right w:val="none" w:sz="0" w:space="0" w:color="auto"/>
      </w:divBdr>
    </w:div>
    <w:div w:id="1279753328">
      <w:marLeft w:val="0"/>
      <w:marRight w:val="0"/>
      <w:marTop w:val="0"/>
      <w:marBottom w:val="0"/>
      <w:divBdr>
        <w:top w:val="none" w:sz="0" w:space="0" w:color="auto"/>
        <w:left w:val="none" w:sz="0" w:space="0" w:color="auto"/>
        <w:bottom w:val="none" w:sz="0" w:space="0" w:color="auto"/>
        <w:right w:val="none" w:sz="0" w:space="0" w:color="auto"/>
      </w:divBdr>
      <w:divsChild>
        <w:div w:id="1496797605">
          <w:marLeft w:val="0"/>
          <w:marRight w:val="0"/>
          <w:marTop w:val="0"/>
          <w:marBottom w:val="0"/>
          <w:divBdr>
            <w:top w:val="none" w:sz="0" w:space="0" w:color="auto"/>
            <w:left w:val="none" w:sz="0" w:space="0" w:color="auto"/>
            <w:bottom w:val="none" w:sz="0" w:space="0" w:color="auto"/>
            <w:right w:val="none" w:sz="0" w:space="0" w:color="auto"/>
          </w:divBdr>
        </w:div>
      </w:divsChild>
    </w:div>
    <w:div w:id="1281649242">
      <w:marLeft w:val="0"/>
      <w:marRight w:val="0"/>
      <w:marTop w:val="0"/>
      <w:marBottom w:val="240"/>
      <w:divBdr>
        <w:top w:val="none" w:sz="0" w:space="0" w:color="auto"/>
        <w:left w:val="none" w:sz="0" w:space="0" w:color="auto"/>
        <w:bottom w:val="none" w:sz="0" w:space="0" w:color="auto"/>
        <w:right w:val="none" w:sz="0" w:space="0" w:color="auto"/>
      </w:divBdr>
    </w:div>
    <w:div w:id="1283153999">
      <w:marLeft w:val="0"/>
      <w:marRight w:val="0"/>
      <w:marTop w:val="180"/>
      <w:marBottom w:val="180"/>
      <w:divBdr>
        <w:top w:val="none" w:sz="0" w:space="0" w:color="auto"/>
        <w:left w:val="none" w:sz="0" w:space="0" w:color="auto"/>
        <w:bottom w:val="none" w:sz="0" w:space="0" w:color="auto"/>
        <w:right w:val="none" w:sz="0" w:space="0" w:color="auto"/>
      </w:divBdr>
    </w:div>
    <w:div w:id="1283272453">
      <w:marLeft w:val="0"/>
      <w:marRight w:val="0"/>
      <w:marTop w:val="180"/>
      <w:marBottom w:val="180"/>
      <w:divBdr>
        <w:top w:val="none" w:sz="0" w:space="0" w:color="auto"/>
        <w:left w:val="none" w:sz="0" w:space="0" w:color="auto"/>
        <w:bottom w:val="none" w:sz="0" w:space="0" w:color="auto"/>
        <w:right w:val="none" w:sz="0" w:space="0" w:color="auto"/>
      </w:divBdr>
    </w:div>
    <w:div w:id="1283607883">
      <w:marLeft w:val="0"/>
      <w:marRight w:val="0"/>
      <w:marTop w:val="120"/>
      <w:marBottom w:val="120"/>
      <w:divBdr>
        <w:top w:val="none" w:sz="0" w:space="0" w:color="auto"/>
        <w:left w:val="none" w:sz="0" w:space="0" w:color="auto"/>
        <w:bottom w:val="none" w:sz="0" w:space="0" w:color="auto"/>
        <w:right w:val="none" w:sz="0" w:space="0" w:color="auto"/>
      </w:divBdr>
    </w:div>
    <w:div w:id="1284536539">
      <w:marLeft w:val="0"/>
      <w:marRight w:val="0"/>
      <w:marTop w:val="120"/>
      <w:marBottom w:val="120"/>
      <w:divBdr>
        <w:top w:val="none" w:sz="0" w:space="0" w:color="auto"/>
        <w:left w:val="none" w:sz="0" w:space="0" w:color="auto"/>
        <w:bottom w:val="none" w:sz="0" w:space="0" w:color="auto"/>
        <w:right w:val="none" w:sz="0" w:space="0" w:color="auto"/>
      </w:divBdr>
    </w:div>
    <w:div w:id="1284581865">
      <w:marLeft w:val="0"/>
      <w:marRight w:val="0"/>
      <w:marTop w:val="0"/>
      <w:marBottom w:val="180"/>
      <w:divBdr>
        <w:top w:val="none" w:sz="0" w:space="0" w:color="auto"/>
        <w:left w:val="none" w:sz="0" w:space="0" w:color="auto"/>
        <w:bottom w:val="none" w:sz="0" w:space="0" w:color="auto"/>
        <w:right w:val="none" w:sz="0" w:space="0" w:color="auto"/>
      </w:divBdr>
    </w:div>
    <w:div w:id="1285162313">
      <w:marLeft w:val="0"/>
      <w:marRight w:val="0"/>
      <w:marTop w:val="0"/>
      <w:marBottom w:val="180"/>
      <w:divBdr>
        <w:top w:val="none" w:sz="0" w:space="0" w:color="auto"/>
        <w:left w:val="none" w:sz="0" w:space="0" w:color="auto"/>
        <w:bottom w:val="none" w:sz="0" w:space="0" w:color="auto"/>
        <w:right w:val="none" w:sz="0" w:space="0" w:color="auto"/>
      </w:divBdr>
    </w:div>
    <w:div w:id="1286157882">
      <w:marLeft w:val="0"/>
      <w:marRight w:val="0"/>
      <w:marTop w:val="180"/>
      <w:marBottom w:val="180"/>
      <w:divBdr>
        <w:top w:val="none" w:sz="0" w:space="0" w:color="auto"/>
        <w:left w:val="none" w:sz="0" w:space="0" w:color="auto"/>
        <w:bottom w:val="none" w:sz="0" w:space="0" w:color="auto"/>
        <w:right w:val="none" w:sz="0" w:space="0" w:color="auto"/>
      </w:divBdr>
    </w:div>
    <w:div w:id="1286541013">
      <w:marLeft w:val="0"/>
      <w:marRight w:val="0"/>
      <w:marTop w:val="0"/>
      <w:marBottom w:val="240"/>
      <w:divBdr>
        <w:top w:val="none" w:sz="0" w:space="0" w:color="auto"/>
        <w:left w:val="none" w:sz="0" w:space="0" w:color="auto"/>
        <w:bottom w:val="none" w:sz="0" w:space="0" w:color="auto"/>
        <w:right w:val="none" w:sz="0" w:space="0" w:color="auto"/>
      </w:divBdr>
    </w:div>
    <w:div w:id="1288048706">
      <w:marLeft w:val="0"/>
      <w:marRight w:val="0"/>
      <w:marTop w:val="0"/>
      <w:marBottom w:val="240"/>
      <w:divBdr>
        <w:top w:val="none" w:sz="0" w:space="0" w:color="auto"/>
        <w:left w:val="none" w:sz="0" w:space="0" w:color="auto"/>
        <w:bottom w:val="none" w:sz="0" w:space="0" w:color="auto"/>
        <w:right w:val="none" w:sz="0" w:space="0" w:color="auto"/>
      </w:divBdr>
    </w:div>
    <w:div w:id="1288926850">
      <w:marLeft w:val="0"/>
      <w:marRight w:val="0"/>
      <w:marTop w:val="0"/>
      <w:marBottom w:val="0"/>
      <w:divBdr>
        <w:top w:val="none" w:sz="0" w:space="0" w:color="auto"/>
        <w:left w:val="none" w:sz="0" w:space="0" w:color="auto"/>
        <w:bottom w:val="none" w:sz="0" w:space="0" w:color="auto"/>
        <w:right w:val="none" w:sz="0" w:space="0" w:color="auto"/>
      </w:divBdr>
      <w:divsChild>
        <w:div w:id="1614970053">
          <w:marLeft w:val="0"/>
          <w:marRight w:val="0"/>
          <w:marTop w:val="0"/>
          <w:marBottom w:val="0"/>
          <w:divBdr>
            <w:top w:val="none" w:sz="0" w:space="0" w:color="auto"/>
            <w:left w:val="none" w:sz="0" w:space="0" w:color="auto"/>
            <w:bottom w:val="none" w:sz="0" w:space="0" w:color="auto"/>
            <w:right w:val="none" w:sz="0" w:space="0" w:color="auto"/>
          </w:divBdr>
        </w:div>
      </w:divsChild>
    </w:div>
    <w:div w:id="1289118000">
      <w:marLeft w:val="0"/>
      <w:marRight w:val="0"/>
      <w:marTop w:val="0"/>
      <w:marBottom w:val="0"/>
      <w:divBdr>
        <w:top w:val="none" w:sz="0" w:space="0" w:color="auto"/>
        <w:left w:val="none" w:sz="0" w:space="0" w:color="auto"/>
        <w:bottom w:val="none" w:sz="0" w:space="0" w:color="auto"/>
        <w:right w:val="none" w:sz="0" w:space="0" w:color="auto"/>
      </w:divBdr>
    </w:div>
    <w:div w:id="1290479001">
      <w:marLeft w:val="0"/>
      <w:marRight w:val="0"/>
      <w:marTop w:val="120"/>
      <w:marBottom w:val="240"/>
      <w:divBdr>
        <w:top w:val="none" w:sz="0" w:space="0" w:color="auto"/>
        <w:left w:val="none" w:sz="0" w:space="0" w:color="auto"/>
        <w:bottom w:val="none" w:sz="0" w:space="0" w:color="auto"/>
        <w:right w:val="none" w:sz="0" w:space="0" w:color="auto"/>
      </w:divBdr>
    </w:div>
    <w:div w:id="1290548134">
      <w:marLeft w:val="0"/>
      <w:marRight w:val="0"/>
      <w:marTop w:val="100"/>
      <w:marBottom w:val="120"/>
      <w:divBdr>
        <w:top w:val="none" w:sz="0" w:space="0" w:color="auto"/>
        <w:left w:val="none" w:sz="0" w:space="0" w:color="auto"/>
        <w:bottom w:val="none" w:sz="0" w:space="0" w:color="auto"/>
        <w:right w:val="none" w:sz="0" w:space="0" w:color="auto"/>
      </w:divBdr>
    </w:div>
    <w:div w:id="1290548728">
      <w:marLeft w:val="0"/>
      <w:marRight w:val="0"/>
      <w:marTop w:val="100"/>
      <w:marBottom w:val="180"/>
      <w:divBdr>
        <w:top w:val="none" w:sz="0" w:space="0" w:color="auto"/>
        <w:left w:val="none" w:sz="0" w:space="0" w:color="auto"/>
        <w:bottom w:val="none" w:sz="0" w:space="0" w:color="auto"/>
        <w:right w:val="none" w:sz="0" w:space="0" w:color="auto"/>
      </w:divBdr>
      <w:divsChild>
        <w:div w:id="654139714">
          <w:marLeft w:val="0"/>
          <w:marRight w:val="0"/>
          <w:marTop w:val="0"/>
          <w:marBottom w:val="0"/>
          <w:divBdr>
            <w:top w:val="none" w:sz="0" w:space="0" w:color="auto"/>
            <w:left w:val="none" w:sz="0" w:space="0" w:color="auto"/>
            <w:bottom w:val="none" w:sz="0" w:space="0" w:color="auto"/>
            <w:right w:val="none" w:sz="0" w:space="0" w:color="auto"/>
          </w:divBdr>
        </w:div>
        <w:div w:id="1485970632">
          <w:marLeft w:val="0"/>
          <w:marRight w:val="0"/>
          <w:marTop w:val="0"/>
          <w:marBottom w:val="0"/>
          <w:divBdr>
            <w:top w:val="none" w:sz="0" w:space="0" w:color="auto"/>
            <w:left w:val="none" w:sz="0" w:space="0" w:color="auto"/>
            <w:bottom w:val="none" w:sz="0" w:space="0" w:color="auto"/>
            <w:right w:val="none" w:sz="0" w:space="0" w:color="auto"/>
          </w:divBdr>
        </w:div>
      </w:divsChild>
    </w:div>
    <w:div w:id="1290667113">
      <w:marLeft w:val="0"/>
      <w:marRight w:val="0"/>
      <w:marTop w:val="0"/>
      <w:marBottom w:val="240"/>
      <w:divBdr>
        <w:top w:val="none" w:sz="0" w:space="0" w:color="auto"/>
        <w:left w:val="none" w:sz="0" w:space="0" w:color="auto"/>
        <w:bottom w:val="none" w:sz="0" w:space="0" w:color="auto"/>
        <w:right w:val="none" w:sz="0" w:space="0" w:color="auto"/>
      </w:divBdr>
    </w:div>
    <w:div w:id="1290823983">
      <w:marLeft w:val="0"/>
      <w:marRight w:val="0"/>
      <w:marTop w:val="180"/>
      <w:marBottom w:val="180"/>
      <w:divBdr>
        <w:top w:val="none" w:sz="0" w:space="0" w:color="auto"/>
        <w:left w:val="none" w:sz="0" w:space="0" w:color="auto"/>
        <w:bottom w:val="none" w:sz="0" w:space="0" w:color="auto"/>
        <w:right w:val="none" w:sz="0" w:space="0" w:color="auto"/>
      </w:divBdr>
    </w:div>
    <w:div w:id="1290863917">
      <w:marLeft w:val="0"/>
      <w:marRight w:val="0"/>
      <w:marTop w:val="0"/>
      <w:marBottom w:val="0"/>
      <w:divBdr>
        <w:top w:val="none" w:sz="0" w:space="0" w:color="auto"/>
        <w:left w:val="none" w:sz="0" w:space="0" w:color="auto"/>
        <w:bottom w:val="none" w:sz="0" w:space="0" w:color="auto"/>
        <w:right w:val="none" w:sz="0" w:space="0" w:color="auto"/>
      </w:divBdr>
      <w:divsChild>
        <w:div w:id="1840002277">
          <w:marLeft w:val="0"/>
          <w:marRight w:val="0"/>
          <w:marTop w:val="0"/>
          <w:marBottom w:val="0"/>
          <w:divBdr>
            <w:top w:val="none" w:sz="0" w:space="0" w:color="auto"/>
            <w:left w:val="none" w:sz="0" w:space="0" w:color="auto"/>
            <w:bottom w:val="none" w:sz="0" w:space="0" w:color="auto"/>
            <w:right w:val="none" w:sz="0" w:space="0" w:color="auto"/>
          </w:divBdr>
        </w:div>
      </w:divsChild>
    </w:div>
    <w:div w:id="1293904917">
      <w:marLeft w:val="0"/>
      <w:marRight w:val="0"/>
      <w:marTop w:val="0"/>
      <w:marBottom w:val="0"/>
      <w:divBdr>
        <w:top w:val="none" w:sz="0" w:space="0" w:color="auto"/>
        <w:left w:val="none" w:sz="0" w:space="0" w:color="auto"/>
        <w:bottom w:val="none" w:sz="0" w:space="0" w:color="auto"/>
        <w:right w:val="none" w:sz="0" w:space="0" w:color="auto"/>
      </w:divBdr>
    </w:div>
    <w:div w:id="1294023807">
      <w:marLeft w:val="0"/>
      <w:marRight w:val="0"/>
      <w:marTop w:val="0"/>
      <w:marBottom w:val="0"/>
      <w:divBdr>
        <w:top w:val="none" w:sz="0" w:space="0" w:color="auto"/>
        <w:left w:val="none" w:sz="0" w:space="0" w:color="auto"/>
        <w:bottom w:val="none" w:sz="0" w:space="0" w:color="auto"/>
        <w:right w:val="none" w:sz="0" w:space="0" w:color="auto"/>
      </w:divBdr>
    </w:div>
    <w:div w:id="1294872334">
      <w:marLeft w:val="0"/>
      <w:marRight w:val="0"/>
      <w:marTop w:val="120"/>
      <w:marBottom w:val="120"/>
      <w:divBdr>
        <w:top w:val="none" w:sz="0" w:space="0" w:color="auto"/>
        <w:left w:val="none" w:sz="0" w:space="0" w:color="auto"/>
        <w:bottom w:val="none" w:sz="0" w:space="0" w:color="auto"/>
        <w:right w:val="none" w:sz="0" w:space="0" w:color="auto"/>
      </w:divBdr>
    </w:div>
    <w:div w:id="1295408893">
      <w:marLeft w:val="0"/>
      <w:marRight w:val="0"/>
      <w:marTop w:val="0"/>
      <w:marBottom w:val="240"/>
      <w:divBdr>
        <w:top w:val="none" w:sz="0" w:space="0" w:color="auto"/>
        <w:left w:val="none" w:sz="0" w:space="0" w:color="auto"/>
        <w:bottom w:val="none" w:sz="0" w:space="0" w:color="auto"/>
        <w:right w:val="none" w:sz="0" w:space="0" w:color="auto"/>
      </w:divBdr>
    </w:div>
    <w:div w:id="1298297742">
      <w:marLeft w:val="0"/>
      <w:marRight w:val="0"/>
      <w:marTop w:val="0"/>
      <w:marBottom w:val="0"/>
      <w:divBdr>
        <w:top w:val="none" w:sz="0" w:space="0" w:color="auto"/>
        <w:left w:val="none" w:sz="0" w:space="0" w:color="auto"/>
        <w:bottom w:val="none" w:sz="0" w:space="0" w:color="auto"/>
        <w:right w:val="none" w:sz="0" w:space="0" w:color="auto"/>
      </w:divBdr>
      <w:divsChild>
        <w:div w:id="1263761025">
          <w:marLeft w:val="0"/>
          <w:marRight w:val="0"/>
          <w:marTop w:val="0"/>
          <w:marBottom w:val="0"/>
          <w:divBdr>
            <w:top w:val="none" w:sz="0" w:space="0" w:color="auto"/>
            <w:left w:val="none" w:sz="0" w:space="0" w:color="auto"/>
            <w:bottom w:val="none" w:sz="0" w:space="0" w:color="auto"/>
            <w:right w:val="none" w:sz="0" w:space="0" w:color="auto"/>
          </w:divBdr>
        </w:div>
      </w:divsChild>
    </w:div>
    <w:div w:id="1299340686">
      <w:marLeft w:val="0"/>
      <w:marRight w:val="0"/>
      <w:marTop w:val="0"/>
      <w:marBottom w:val="0"/>
      <w:divBdr>
        <w:top w:val="none" w:sz="0" w:space="0" w:color="auto"/>
        <w:left w:val="none" w:sz="0" w:space="0" w:color="auto"/>
        <w:bottom w:val="none" w:sz="0" w:space="0" w:color="auto"/>
        <w:right w:val="none" w:sz="0" w:space="0" w:color="auto"/>
      </w:divBdr>
    </w:div>
    <w:div w:id="1299648203">
      <w:marLeft w:val="0"/>
      <w:marRight w:val="0"/>
      <w:marTop w:val="0"/>
      <w:marBottom w:val="180"/>
      <w:divBdr>
        <w:top w:val="none" w:sz="0" w:space="0" w:color="auto"/>
        <w:left w:val="none" w:sz="0" w:space="0" w:color="auto"/>
        <w:bottom w:val="none" w:sz="0" w:space="0" w:color="auto"/>
        <w:right w:val="none" w:sz="0" w:space="0" w:color="auto"/>
      </w:divBdr>
    </w:div>
    <w:div w:id="1300185609">
      <w:marLeft w:val="0"/>
      <w:marRight w:val="0"/>
      <w:marTop w:val="0"/>
      <w:marBottom w:val="0"/>
      <w:divBdr>
        <w:top w:val="none" w:sz="0" w:space="0" w:color="auto"/>
        <w:left w:val="none" w:sz="0" w:space="0" w:color="auto"/>
        <w:bottom w:val="none" w:sz="0" w:space="0" w:color="auto"/>
        <w:right w:val="none" w:sz="0" w:space="0" w:color="auto"/>
      </w:divBdr>
    </w:div>
    <w:div w:id="1300572664">
      <w:marLeft w:val="0"/>
      <w:marRight w:val="0"/>
      <w:marTop w:val="0"/>
      <w:marBottom w:val="0"/>
      <w:divBdr>
        <w:top w:val="none" w:sz="0" w:space="0" w:color="auto"/>
        <w:left w:val="none" w:sz="0" w:space="0" w:color="auto"/>
        <w:bottom w:val="none" w:sz="0" w:space="0" w:color="auto"/>
        <w:right w:val="none" w:sz="0" w:space="0" w:color="auto"/>
      </w:divBdr>
      <w:divsChild>
        <w:div w:id="976373760">
          <w:marLeft w:val="0"/>
          <w:marRight w:val="0"/>
          <w:marTop w:val="0"/>
          <w:marBottom w:val="0"/>
          <w:divBdr>
            <w:top w:val="none" w:sz="0" w:space="0" w:color="auto"/>
            <w:left w:val="none" w:sz="0" w:space="0" w:color="auto"/>
            <w:bottom w:val="none" w:sz="0" w:space="0" w:color="auto"/>
            <w:right w:val="none" w:sz="0" w:space="0" w:color="auto"/>
          </w:divBdr>
        </w:div>
      </w:divsChild>
    </w:div>
    <w:div w:id="1301038548">
      <w:marLeft w:val="0"/>
      <w:marRight w:val="0"/>
      <w:marTop w:val="0"/>
      <w:marBottom w:val="0"/>
      <w:divBdr>
        <w:top w:val="none" w:sz="0" w:space="0" w:color="auto"/>
        <w:left w:val="none" w:sz="0" w:space="0" w:color="auto"/>
        <w:bottom w:val="none" w:sz="0" w:space="0" w:color="auto"/>
        <w:right w:val="none" w:sz="0" w:space="0" w:color="auto"/>
      </w:divBdr>
    </w:div>
    <w:div w:id="1301157610">
      <w:marLeft w:val="0"/>
      <w:marRight w:val="0"/>
      <w:marTop w:val="0"/>
      <w:marBottom w:val="180"/>
      <w:divBdr>
        <w:top w:val="none" w:sz="0" w:space="0" w:color="auto"/>
        <w:left w:val="none" w:sz="0" w:space="0" w:color="auto"/>
        <w:bottom w:val="none" w:sz="0" w:space="0" w:color="auto"/>
        <w:right w:val="none" w:sz="0" w:space="0" w:color="auto"/>
      </w:divBdr>
    </w:div>
    <w:div w:id="1302036092">
      <w:marLeft w:val="0"/>
      <w:marRight w:val="0"/>
      <w:marTop w:val="0"/>
      <w:marBottom w:val="240"/>
      <w:divBdr>
        <w:top w:val="none" w:sz="0" w:space="0" w:color="auto"/>
        <w:left w:val="none" w:sz="0" w:space="0" w:color="auto"/>
        <w:bottom w:val="none" w:sz="0" w:space="0" w:color="auto"/>
        <w:right w:val="none" w:sz="0" w:space="0" w:color="auto"/>
      </w:divBdr>
    </w:div>
    <w:div w:id="1305769352">
      <w:marLeft w:val="0"/>
      <w:marRight w:val="0"/>
      <w:marTop w:val="0"/>
      <w:marBottom w:val="180"/>
      <w:divBdr>
        <w:top w:val="none" w:sz="0" w:space="0" w:color="auto"/>
        <w:left w:val="none" w:sz="0" w:space="0" w:color="auto"/>
        <w:bottom w:val="none" w:sz="0" w:space="0" w:color="auto"/>
        <w:right w:val="none" w:sz="0" w:space="0" w:color="auto"/>
      </w:divBdr>
    </w:div>
    <w:div w:id="1305816697">
      <w:marLeft w:val="0"/>
      <w:marRight w:val="0"/>
      <w:marTop w:val="0"/>
      <w:marBottom w:val="0"/>
      <w:divBdr>
        <w:top w:val="none" w:sz="0" w:space="0" w:color="auto"/>
        <w:left w:val="none" w:sz="0" w:space="0" w:color="auto"/>
        <w:bottom w:val="none" w:sz="0" w:space="0" w:color="auto"/>
        <w:right w:val="none" w:sz="0" w:space="0" w:color="auto"/>
      </w:divBdr>
    </w:div>
    <w:div w:id="1305964435">
      <w:marLeft w:val="0"/>
      <w:marRight w:val="0"/>
      <w:marTop w:val="0"/>
      <w:marBottom w:val="0"/>
      <w:divBdr>
        <w:top w:val="none" w:sz="0" w:space="0" w:color="auto"/>
        <w:left w:val="none" w:sz="0" w:space="0" w:color="auto"/>
        <w:bottom w:val="none" w:sz="0" w:space="0" w:color="auto"/>
        <w:right w:val="none" w:sz="0" w:space="0" w:color="auto"/>
      </w:divBdr>
      <w:divsChild>
        <w:div w:id="2022537937">
          <w:marLeft w:val="0"/>
          <w:marRight w:val="0"/>
          <w:marTop w:val="0"/>
          <w:marBottom w:val="0"/>
          <w:divBdr>
            <w:top w:val="none" w:sz="0" w:space="0" w:color="auto"/>
            <w:left w:val="none" w:sz="0" w:space="0" w:color="auto"/>
            <w:bottom w:val="none" w:sz="0" w:space="0" w:color="auto"/>
            <w:right w:val="none" w:sz="0" w:space="0" w:color="auto"/>
          </w:divBdr>
        </w:div>
      </w:divsChild>
    </w:div>
    <w:div w:id="1306354437">
      <w:marLeft w:val="0"/>
      <w:marRight w:val="0"/>
      <w:marTop w:val="0"/>
      <w:marBottom w:val="180"/>
      <w:divBdr>
        <w:top w:val="none" w:sz="0" w:space="0" w:color="auto"/>
        <w:left w:val="none" w:sz="0" w:space="0" w:color="auto"/>
        <w:bottom w:val="none" w:sz="0" w:space="0" w:color="auto"/>
        <w:right w:val="none" w:sz="0" w:space="0" w:color="auto"/>
      </w:divBdr>
    </w:div>
    <w:div w:id="1306546371">
      <w:marLeft w:val="0"/>
      <w:marRight w:val="0"/>
      <w:marTop w:val="0"/>
      <w:marBottom w:val="0"/>
      <w:divBdr>
        <w:top w:val="none" w:sz="0" w:space="0" w:color="auto"/>
        <w:left w:val="none" w:sz="0" w:space="0" w:color="auto"/>
        <w:bottom w:val="none" w:sz="0" w:space="0" w:color="auto"/>
        <w:right w:val="none" w:sz="0" w:space="0" w:color="auto"/>
      </w:divBdr>
      <w:divsChild>
        <w:div w:id="1691494271">
          <w:marLeft w:val="0"/>
          <w:marRight w:val="0"/>
          <w:marTop w:val="0"/>
          <w:marBottom w:val="0"/>
          <w:divBdr>
            <w:top w:val="none" w:sz="0" w:space="0" w:color="auto"/>
            <w:left w:val="none" w:sz="0" w:space="0" w:color="auto"/>
            <w:bottom w:val="none" w:sz="0" w:space="0" w:color="auto"/>
            <w:right w:val="none" w:sz="0" w:space="0" w:color="auto"/>
          </w:divBdr>
        </w:div>
      </w:divsChild>
    </w:div>
    <w:div w:id="1307054589">
      <w:marLeft w:val="0"/>
      <w:marRight w:val="0"/>
      <w:marTop w:val="180"/>
      <w:marBottom w:val="180"/>
      <w:divBdr>
        <w:top w:val="none" w:sz="0" w:space="0" w:color="auto"/>
        <w:left w:val="none" w:sz="0" w:space="0" w:color="auto"/>
        <w:bottom w:val="none" w:sz="0" w:space="0" w:color="auto"/>
        <w:right w:val="none" w:sz="0" w:space="0" w:color="auto"/>
      </w:divBdr>
    </w:div>
    <w:div w:id="1309355827">
      <w:marLeft w:val="0"/>
      <w:marRight w:val="0"/>
      <w:marTop w:val="180"/>
      <w:marBottom w:val="180"/>
      <w:divBdr>
        <w:top w:val="none" w:sz="0" w:space="0" w:color="auto"/>
        <w:left w:val="none" w:sz="0" w:space="0" w:color="auto"/>
        <w:bottom w:val="none" w:sz="0" w:space="0" w:color="auto"/>
        <w:right w:val="none" w:sz="0" w:space="0" w:color="auto"/>
      </w:divBdr>
    </w:div>
    <w:div w:id="1309359970">
      <w:marLeft w:val="0"/>
      <w:marRight w:val="0"/>
      <w:marTop w:val="0"/>
      <w:marBottom w:val="0"/>
      <w:divBdr>
        <w:top w:val="none" w:sz="0" w:space="0" w:color="auto"/>
        <w:left w:val="none" w:sz="0" w:space="0" w:color="auto"/>
        <w:bottom w:val="none" w:sz="0" w:space="0" w:color="auto"/>
        <w:right w:val="none" w:sz="0" w:space="0" w:color="auto"/>
      </w:divBdr>
    </w:div>
    <w:div w:id="1309557129">
      <w:marLeft w:val="0"/>
      <w:marRight w:val="0"/>
      <w:marTop w:val="0"/>
      <w:marBottom w:val="0"/>
      <w:divBdr>
        <w:top w:val="none" w:sz="0" w:space="0" w:color="auto"/>
        <w:left w:val="none" w:sz="0" w:space="0" w:color="auto"/>
        <w:bottom w:val="none" w:sz="0" w:space="0" w:color="auto"/>
        <w:right w:val="none" w:sz="0" w:space="0" w:color="auto"/>
      </w:divBdr>
      <w:divsChild>
        <w:div w:id="1040279451">
          <w:marLeft w:val="0"/>
          <w:marRight w:val="0"/>
          <w:marTop w:val="0"/>
          <w:marBottom w:val="0"/>
          <w:divBdr>
            <w:top w:val="none" w:sz="0" w:space="0" w:color="auto"/>
            <w:left w:val="none" w:sz="0" w:space="0" w:color="auto"/>
            <w:bottom w:val="none" w:sz="0" w:space="0" w:color="auto"/>
            <w:right w:val="none" w:sz="0" w:space="0" w:color="auto"/>
          </w:divBdr>
        </w:div>
      </w:divsChild>
    </w:div>
    <w:div w:id="1309821102">
      <w:marLeft w:val="0"/>
      <w:marRight w:val="0"/>
      <w:marTop w:val="0"/>
      <w:marBottom w:val="0"/>
      <w:divBdr>
        <w:top w:val="none" w:sz="0" w:space="0" w:color="auto"/>
        <w:left w:val="none" w:sz="0" w:space="0" w:color="auto"/>
        <w:bottom w:val="none" w:sz="0" w:space="0" w:color="auto"/>
        <w:right w:val="none" w:sz="0" w:space="0" w:color="auto"/>
      </w:divBdr>
    </w:div>
    <w:div w:id="1310355797">
      <w:marLeft w:val="0"/>
      <w:marRight w:val="0"/>
      <w:marTop w:val="100"/>
      <w:marBottom w:val="0"/>
      <w:divBdr>
        <w:top w:val="none" w:sz="0" w:space="0" w:color="auto"/>
        <w:left w:val="none" w:sz="0" w:space="0" w:color="auto"/>
        <w:bottom w:val="none" w:sz="0" w:space="0" w:color="auto"/>
        <w:right w:val="none" w:sz="0" w:space="0" w:color="auto"/>
      </w:divBdr>
      <w:divsChild>
        <w:div w:id="271019062">
          <w:marLeft w:val="0"/>
          <w:marRight w:val="0"/>
          <w:marTop w:val="0"/>
          <w:marBottom w:val="0"/>
          <w:divBdr>
            <w:top w:val="none" w:sz="0" w:space="0" w:color="auto"/>
            <w:left w:val="none" w:sz="0" w:space="0" w:color="auto"/>
            <w:bottom w:val="none" w:sz="0" w:space="0" w:color="auto"/>
            <w:right w:val="none" w:sz="0" w:space="0" w:color="auto"/>
          </w:divBdr>
        </w:div>
        <w:div w:id="77600952">
          <w:marLeft w:val="0"/>
          <w:marRight w:val="0"/>
          <w:marTop w:val="0"/>
          <w:marBottom w:val="0"/>
          <w:divBdr>
            <w:top w:val="none" w:sz="0" w:space="0" w:color="auto"/>
            <w:left w:val="none" w:sz="0" w:space="0" w:color="auto"/>
            <w:bottom w:val="none" w:sz="0" w:space="0" w:color="auto"/>
            <w:right w:val="none" w:sz="0" w:space="0" w:color="auto"/>
          </w:divBdr>
        </w:div>
      </w:divsChild>
    </w:div>
    <w:div w:id="1310674113">
      <w:marLeft w:val="0"/>
      <w:marRight w:val="0"/>
      <w:marTop w:val="0"/>
      <w:marBottom w:val="0"/>
      <w:divBdr>
        <w:top w:val="none" w:sz="0" w:space="0" w:color="auto"/>
        <w:left w:val="none" w:sz="0" w:space="0" w:color="auto"/>
        <w:bottom w:val="none" w:sz="0" w:space="0" w:color="auto"/>
        <w:right w:val="none" w:sz="0" w:space="0" w:color="auto"/>
      </w:divBdr>
    </w:div>
    <w:div w:id="1311442873">
      <w:marLeft w:val="0"/>
      <w:marRight w:val="0"/>
      <w:marTop w:val="0"/>
      <w:marBottom w:val="0"/>
      <w:divBdr>
        <w:top w:val="none" w:sz="0" w:space="0" w:color="auto"/>
        <w:left w:val="none" w:sz="0" w:space="0" w:color="auto"/>
        <w:bottom w:val="none" w:sz="0" w:space="0" w:color="auto"/>
        <w:right w:val="none" w:sz="0" w:space="0" w:color="auto"/>
      </w:divBdr>
      <w:divsChild>
        <w:div w:id="1727798603">
          <w:marLeft w:val="0"/>
          <w:marRight w:val="0"/>
          <w:marTop w:val="0"/>
          <w:marBottom w:val="0"/>
          <w:divBdr>
            <w:top w:val="none" w:sz="0" w:space="0" w:color="auto"/>
            <w:left w:val="none" w:sz="0" w:space="0" w:color="auto"/>
            <w:bottom w:val="none" w:sz="0" w:space="0" w:color="auto"/>
            <w:right w:val="none" w:sz="0" w:space="0" w:color="auto"/>
          </w:divBdr>
        </w:div>
      </w:divsChild>
    </w:div>
    <w:div w:id="1312636791">
      <w:marLeft w:val="0"/>
      <w:marRight w:val="0"/>
      <w:marTop w:val="120"/>
      <w:marBottom w:val="120"/>
      <w:divBdr>
        <w:top w:val="none" w:sz="0" w:space="0" w:color="auto"/>
        <w:left w:val="none" w:sz="0" w:space="0" w:color="auto"/>
        <w:bottom w:val="none" w:sz="0" w:space="0" w:color="auto"/>
        <w:right w:val="none" w:sz="0" w:space="0" w:color="auto"/>
      </w:divBdr>
    </w:div>
    <w:div w:id="1312637094">
      <w:marLeft w:val="0"/>
      <w:marRight w:val="0"/>
      <w:marTop w:val="100"/>
      <w:marBottom w:val="0"/>
      <w:divBdr>
        <w:top w:val="none" w:sz="0" w:space="0" w:color="auto"/>
        <w:left w:val="none" w:sz="0" w:space="0" w:color="auto"/>
        <w:bottom w:val="none" w:sz="0" w:space="0" w:color="auto"/>
        <w:right w:val="none" w:sz="0" w:space="0" w:color="auto"/>
      </w:divBdr>
    </w:div>
    <w:div w:id="1314020573">
      <w:marLeft w:val="0"/>
      <w:marRight w:val="0"/>
      <w:marTop w:val="0"/>
      <w:marBottom w:val="180"/>
      <w:divBdr>
        <w:top w:val="none" w:sz="0" w:space="0" w:color="auto"/>
        <w:left w:val="none" w:sz="0" w:space="0" w:color="auto"/>
        <w:bottom w:val="none" w:sz="0" w:space="0" w:color="auto"/>
        <w:right w:val="none" w:sz="0" w:space="0" w:color="auto"/>
      </w:divBdr>
    </w:div>
    <w:div w:id="1314522781">
      <w:marLeft w:val="0"/>
      <w:marRight w:val="0"/>
      <w:marTop w:val="0"/>
      <w:marBottom w:val="60"/>
      <w:divBdr>
        <w:top w:val="none" w:sz="0" w:space="0" w:color="auto"/>
        <w:left w:val="none" w:sz="0" w:space="0" w:color="auto"/>
        <w:bottom w:val="none" w:sz="0" w:space="0" w:color="auto"/>
        <w:right w:val="none" w:sz="0" w:space="0" w:color="auto"/>
      </w:divBdr>
    </w:div>
    <w:div w:id="1314872313">
      <w:marLeft w:val="0"/>
      <w:marRight w:val="0"/>
      <w:marTop w:val="0"/>
      <w:marBottom w:val="240"/>
      <w:divBdr>
        <w:top w:val="none" w:sz="0" w:space="0" w:color="auto"/>
        <w:left w:val="none" w:sz="0" w:space="0" w:color="auto"/>
        <w:bottom w:val="none" w:sz="0" w:space="0" w:color="auto"/>
        <w:right w:val="none" w:sz="0" w:space="0" w:color="auto"/>
      </w:divBdr>
    </w:div>
    <w:div w:id="1314945758">
      <w:marLeft w:val="0"/>
      <w:marRight w:val="0"/>
      <w:marTop w:val="0"/>
      <w:marBottom w:val="180"/>
      <w:divBdr>
        <w:top w:val="none" w:sz="0" w:space="0" w:color="auto"/>
        <w:left w:val="none" w:sz="0" w:space="0" w:color="auto"/>
        <w:bottom w:val="none" w:sz="0" w:space="0" w:color="auto"/>
        <w:right w:val="none" w:sz="0" w:space="0" w:color="auto"/>
      </w:divBdr>
    </w:div>
    <w:div w:id="1316060105">
      <w:marLeft w:val="0"/>
      <w:marRight w:val="0"/>
      <w:marTop w:val="180"/>
      <w:marBottom w:val="180"/>
      <w:divBdr>
        <w:top w:val="none" w:sz="0" w:space="0" w:color="auto"/>
        <w:left w:val="none" w:sz="0" w:space="0" w:color="auto"/>
        <w:bottom w:val="none" w:sz="0" w:space="0" w:color="auto"/>
        <w:right w:val="none" w:sz="0" w:space="0" w:color="auto"/>
      </w:divBdr>
    </w:div>
    <w:div w:id="1316715476">
      <w:marLeft w:val="0"/>
      <w:marRight w:val="0"/>
      <w:marTop w:val="100"/>
      <w:marBottom w:val="0"/>
      <w:divBdr>
        <w:top w:val="none" w:sz="0" w:space="0" w:color="auto"/>
        <w:left w:val="none" w:sz="0" w:space="0" w:color="auto"/>
        <w:bottom w:val="none" w:sz="0" w:space="0" w:color="auto"/>
        <w:right w:val="none" w:sz="0" w:space="0" w:color="auto"/>
      </w:divBdr>
    </w:div>
    <w:div w:id="1316883501">
      <w:marLeft w:val="0"/>
      <w:marRight w:val="0"/>
      <w:marTop w:val="0"/>
      <w:marBottom w:val="180"/>
      <w:divBdr>
        <w:top w:val="none" w:sz="0" w:space="0" w:color="auto"/>
        <w:left w:val="none" w:sz="0" w:space="0" w:color="auto"/>
        <w:bottom w:val="none" w:sz="0" w:space="0" w:color="auto"/>
        <w:right w:val="none" w:sz="0" w:space="0" w:color="auto"/>
      </w:divBdr>
    </w:div>
    <w:div w:id="1318874050">
      <w:marLeft w:val="0"/>
      <w:marRight w:val="0"/>
      <w:marTop w:val="120"/>
      <w:marBottom w:val="180"/>
      <w:divBdr>
        <w:top w:val="none" w:sz="0" w:space="0" w:color="auto"/>
        <w:left w:val="none" w:sz="0" w:space="0" w:color="auto"/>
        <w:bottom w:val="none" w:sz="0" w:space="0" w:color="auto"/>
        <w:right w:val="none" w:sz="0" w:space="0" w:color="auto"/>
      </w:divBdr>
    </w:div>
    <w:div w:id="1318997985">
      <w:marLeft w:val="0"/>
      <w:marRight w:val="0"/>
      <w:marTop w:val="0"/>
      <w:marBottom w:val="240"/>
      <w:divBdr>
        <w:top w:val="none" w:sz="0" w:space="0" w:color="auto"/>
        <w:left w:val="none" w:sz="0" w:space="0" w:color="auto"/>
        <w:bottom w:val="none" w:sz="0" w:space="0" w:color="auto"/>
        <w:right w:val="none" w:sz="0" w:space="0" w:color="auto"/>
      </w:divBdr>
    </w:div>
    <w:div w:id="1319115113">
      <w:marLeft w:val="0"/>
      <w:marRight w:val="0"/>
      <w:marTop w:val="0"/>
      <w:marBottom w:val="180"/>
      <w:divBdr>
        <w:top w:val="none" w:sz="0" w:space="0" w:color="auto"/>
        <w:left w:val="none" w:sz="0" w:space="0" w:color="auto"/>
        <w:bottom w:val="none" w:sz="0" w:space="0" w:color="auto"/>
        <w:right w:val="none" w:sz="0" w:space="0" w:color="auto"/>
      </w:divBdr>
    </w:div>
    <w:div w:id="1320646772">
      <w:marLeft w:val="0"/>
      <w:marRight w:val="0"/>
      <w:marTop w:val="0"/>
      <w:marBottom w:val="0"/>
      <w:divBdr>
        <w:top w:val="none" w:sz="0" w:space="0" w:color="auto"/>
        <w:left w:val="none" w:sz="0" w:space="0" w:color="auto"/>
        <w:bottom w:val="none" w:sz="0" w:space="0" w:color="auto"/>
        <w:right w:val="none" w:sz="0" w:space="0" w:color="auto"/>
      </w:divBdr>
      <w:divsChild>
        <w:div w:id="1742293876">
          <w:marLeft w:val="0"/>
          <w:marRight w:val="0"/>
          <w:marTop w:val="0"/>
          <w:marBottom w:val="0"/>
          <w:divBdr>
            <w:top w:val="none" w:sz="0" w:space="0" w:color="auto"/>
            <w:left w:val="none" w:sz="0" w:space="0" w:color="auto"/>
            <w:bottom w:val="none" w:sz="0" w:space="0" w:color="auto"/>
            <w:right w:val="none" w:sz="0" w:space="0" w:color="auto"/>
          </w:divBdr>
        </w:div>
      </w:divsChild>
    </w:div>
    <w:div w:id="1322394023">
      <w:marLeft w:val="0"/>
      <w:marRight w:val="0"/>
      <w:marTop w:val="0"/>
      <w:marBottom w:val="240"/>
      <w:divBdr>
        <w:top w:val="none" w:sz="0" w:space="0" w:color="auto"/>
        <w:left w:val="none" w:sz="0" w:space="0" w:color="auto"/>
        <w:bottom w:val="none" w:sz="0" w:space="0" w:color="auto"/>
        <w:right w:val="none" w:sz="0" w:space="0" w:color="auto"/>
      </w:divBdr>
    </w:div>
    <w:div w:id="1323894556">
      <w:marLeft w:val="0"/>
      <w:marRight w:val="0"/>
      <w:marTop w:val="0"/>
      <w:marBottom w:val="0"/>
      <w:divBdr>
        <w:top w:val="none" w:sz="0" w:space="0" w:color="auto"/>
        <w:left w:val="none" w:sz="0" w:space="0" w:color="auto"/>
        <w:bottom w:val="none" w:sz="0" w:space="0" w:color="auto"/>
        <w:right w:val="none" w:sz="0" w:space="0" w:color="auto"/>
      </w:divBdr>
      <w:divsChild>
        <w:div w:id="1476145434">
          <w:marLeft w:val="0"/>
          <w:marRight w:val="0"/>
          <w:marTop w:val="0"/>
          <w:marBottom w:val="0"/>
          <w:divBdr>
            <w:top w:val="none" w:sz="0" w:space="0" w:color="auto"/>
            <w:left w:val="none" w:sz="0" w:space="0" w:color="auto"/>
            <w:bottom w:val="none" w:sz="0" w:space="0" w:color="auto"/>
            <w:right w:val="none" w:sz="0" w:space="0" w:color="auto"/>
          </w:divBdr>
        </w:div>
      </w:divsChild>
    </w:div>
    <w:div w:id="1324626389">
      <w:marLeft w:val="0"/>
      <w:marRight w:val="0"/>
      <w:marTop w:val="0"/>
      <w:marBottom w:val="0"/>
      <w:divBdr>
        <w:top w:val="none" w:sz="0" w:space="0" w:color="auto"/>
        <w:left w:val="none" w:sz="0" w:space="0" w:color="auto"/>
        <w:bottom w:val="none" w:sz="0" w:space="0" w:color="auto"/>
        <w:right w:val="none" w:sz="0" w:space="0" w:color="auto"/>
      </w:divBdr>
    </w:div>
    <w:div w:id="1324701001">
      <w:marLeft w:val="0"/>
      <w:marRight w:val="0"/>
      <w:marTop w:val="0"/>
      <w:marBottom w:val="0"/>
      <w:divBdr>
        <w:top w:val="none" w:sz="0" w:space="0" w:color="auto"/>
        <w:left w:val="none" w:sz="0" w:space="0" w:color="auto"/>
        <w:bottom w:val="none" w:sz="0" w:space="0" w:color="auto"/>
        <w:right w:val="none" w:sz="0" w:space="0" w:color="auto"/>
      </w:divBdr>
    </w:div>
    <w:div w:id="1326206964">
      <w:marLeft w:val="0"/>
      <w:marRight w:val="0"/>
      <w:marTop w:val="0"/>
      <w:marBottom w:val="240"/>
      <w:divBdr>
        <w:top w:val="none" w:sz="0" w:space="0" w:color="auto"/>
        <w:left w:val="none" w:sz="0" w:space="0" w:color="auto"/>
        <w:bottom w:val="none" w:sz="0" w:space="0" w:color="auto"/>
        <w:right w:val="none" w:sz="0" w:space="0" w:color="auto"/>
      </w:divBdr>
    </w:div>
    <w:div w:id="1326396438">
      <w:marLeft w:val="0"/>
      <w:marRight w:val="0"/>
      <w:marTop w:val="0"/>
      <w:marBottom w:val="0"/>
      <w:divBdr>
        <w:top w:val="none" w:sz="0" w:space="0" w:color="auto"/>
        <w:left w:val="none" w:sz="0" w:space="0" w:color="auto"/>
        <w:bottom w:val="none" w:sz="0" w:space="0" w:color="auto"/>
        <w:right w:val="none" w:sz="0" w:space="0" w:color="auto"/>
      </w:divBdr>
      <w:divsChild>
        <w:div w:id="289477792">
          <w:marLeft w:val="0"/>
          <w:marRight w:val="0"/>
          <w:marTop w:val="0"/>
          <w:marBottom w:val="0"/>
          <w:divBdr>
            <w:top w:val="none" w:sz="0" w:space="0" w:color="auto"/>
            <w:left w:val="none" w:sz="0" w:space="0" w:color="auto"/>
            <w:bottom w:val="none" w:sz="0" w:space="0" w:color="auto"/>
            <w:right w:val="none" w:sz="0" w:space="0" w:color="auto"/>
          </w:divBdr>
        </w:div>
      </w:divsChild>
    </w:div>
    <w:div w:id="1326473790">
      <w:marLeft w:val="0"/>
      <w:marRight w:val="0"/>
      <w:marTop w:val="180"/>
      <w:marBottom w:val="180"/>
      <w:divBdr>
        <w:top w:val="none" w:sz="0" w:space="0" w:color="auto"/>
        <w:left w:val="none" w:sz="0" w:space="0" w:color="auto"/>
        <w:bottom w:val="none" w:sz="0" w:space="0" w:color="auto"/>
        <w:right w:val="none" w:sz="0" w:space="0" w:color="auto"/>
      </w:divBdr>
    </w:div>
    <w:div w:id="1326516782">
      <w:marLeft w:val="0"/>
      <w:marRight w:val="0"/>
      <w:marTop w:val="0"/>
      <w:marBottom w:val="0"/>
      <w:divBdr>
        <w:top w:val="none" w:sz="0" w:space="0" w:color="auto"/>
        <w:left w:val="none" w:sz="0" w:space="0" w:color="auto"/>
        <w:bottom w:val="none" w:sz="0" w:space="0" w:color="auto"/>
        <w:right w:val="none" w:sz="0" w:space="0" w:color="auto"/>
      </w:divBdr>
    </w:div>
    <w:div w:id="1326591121">
      <w:marLeft w:val="0"/>
      <w:marRight w:val="0"/>
      <w:marTop w:val="0"/>
      <w:marBottom w:val="180"/>
      <w:divBdr>
        <w:top w:val="none" w:sz="0" w:space="0" w:color="auto"/>
        <w:left w:val="none" w:sz="0" w:space="0" w:color="auto"/>
        <w:bottom w:val="none" w:sz="0" w:space="0" w:color="auto"/>
        <w:right w:val="none" w:sz="0" w:space="0" w:color="auto"/>
      </w:divBdr>
    </w:div>
    <w:div w:id="1326591360">
      <w:marLeft w:val="0"/>
      <w:marRight w:val="0"/>
      <w:marTop w:val="0"/>
      <w:marBottom w:val="180"/>
      <w:divBdr>
        <w:top w:val="none" w:sz="0" w:space="0" w:color="auto"/>
        <w:left w:val="none" w:sz="0" w:space="0" w:color="auto"/>
        <w:bottom w:val="none" w:sz="0" w:space="0" w:color="auto"/>
        <w:right w:val="none" w:sz="0" w:space="0" w:color="auto"/>
      </w:divBdr>
    </w:div>
    <w:div w:id="1327825942">
      <w:marLeft w:val="0"/>
      <w:marRight w:val="0"/>
      <w:marTop w:val="180"/>
      <w:marBottom w:val="180"/>
      <w:divBdr>
        <w:top w:val="none" w:sz="0" w:space="0" w:color="auto"/>
        <w:left w:val="none" w:sz="0" w:space="0" w:color="auto"/>
        <w:bottom w:val="none" w:sz="0" w:space="0" w:color="auto"/>
        <w:right w:val="none" w:sz="0" w:space="0" w:color="auto"/>
      </w:divBdr>
    </w:div>
    <w:div w:id="1327827461">
      <w:marLeft w:val="0"/>
      <w:marRight w:val="0"/>
      <w:marTop w:val="0"/>
      <w:marBottom w:val="240"/>
      <w:divBdr>
        <w:top w:val="none" w:sz="0" w:space="0" w:color="auto"/>
        <w:left w:val="none" w:sz="0" w:space="0" w:color="auto"/>
        <w:bottom w:val="none" w:sz="0" w:space="0" w:color="auto"/>
        <w:right w:val="none" w:sz="0" w:space="0" w:color="auto"/>
      </w:divBdr>
    </w:div>
    <w:div w:id="1329017127">
      <w:marLeft w:val="0"/>
      <w:marRight w:val="0"/>
      <w:marTop w:val="180"/>
      <w:marBottom w:val="180"/>
      <w:divBdr>
        <w:top w:val="none" w:sz="0" w:space="0" w:color="auto"/>
        <w:left w:val="none" w:sz="0" w:space="0" w:color="auto"/>
        <w:bottom w:val="none" w:sz="0" w:space="0" w:color="auto"/>
        <w:right w:val="none" w:sz="0" w:space="0" w:color="auto"/>
      </w:divBdr>
    </w:div>
    <w:div w:id="1331526559">
      <w:marLeft w:val="0"/>
      <w:marRight w:val="0"/>
      <w:marTop w:val="0"/>
      <w:marBottom w:val="240"/>
      <w:divBdr>
        <w:top w:val="none" w:sz="0" w:space="0" w:color="auto"/>
        <w:left w:val="none" w:sz="0" w:space="0" w:color="auto"/>
        <w:bottom w:val="none" w:sz="0" w:space="0" w:color="auto"/>
        <w:right w:val="none" w:sz="0" w:space="0" w:color="auto"/>
      </w:divBdr>
    </w:div>
    <w:div w:id="1332832227">
      <w:marLeft w:val="0"/>
      <w:marRight w:val="0"/>
      <w:marTop w:val="0"/>
      <w:marBottom w:val="240"/>
      <w:divBdr>
        <w:top w:val="none" w:sz="0" w:space="0" w:color="auto"/>
        <w:left w:val="none" w:sz="0" w:space="0" w:color="auto"/>
        <w:bottom w:val="none" w:sz="0" w:space="0" w:color="auto"/>
        <w:right w:val="none" w:sz="0" w:space="0" w:color="auto"/>
      </w:divBdr>
    </w:div>
    <w:div w:id="1332903475">
      <w:marLeft w:val="0"/>
      <w:marRight w:val="0"/>
      <w:marTop w:val="0"/>
      <w:marBottom w:val="180"/>
      <w:divBdr>
        <w:top w:val="none" w:sz="0" w:space="0" w:color="auto"/>
        <w:left w:val="none" w:sz="0" w:space="0" w:color="auto"/>
        <w:bottom w:val="none" w:sz="0" w:space="0" w:color="auto"/>
        <w:right w:val="none" w:sz="0" w:space="0" w:color="auto"/>
      </w:divBdr>
    </w:div>
    <w:div w:id="1333026123">
      <w:marLeft w:val="0"/>
      <w:marRight w:val="0"/>
      <w:marTop w:val="0"/>
      <w:marBottom w:val="0"/>
      <w:divBdr>
        <w:top w:val="none" w:sz="0" w:space="0" w:color="auto"/>
        <w:left w:val="none" w:sz="0" w:space="0" w:color="auto"/>
        <w:bottom w:val="none" w:sz="0" w:space="0" w:color="auto"/>
        <w:right w:val="none" w:sz="0" w:space="0" w:color="auto"/>
      </w:divBdr>
    </w:div>
    <w:div w:id="1335912331">
      <w:marLeft w:val="0"/>
      <w:marRight w:val="0"/>
      <w:marTop w:val="0"/>
      <w:marBottom w:val="0"/>
      <w:divBdr>
        <w:top w:val="none" w:sz="0" w:space="0" w:color="auto"/>
        <w:left w:val="none" w:sz="0" w:space="0" w:color="auto"/>
        <w:bottom w:val="none" w:sz="0" w:space="0" w:color="auto"/>
        <w:right w:val="none" w:sz="0" w:space="0" w:color="auto"/>
      </w:divBdr>
    </w:div>
    <w:div w:id="1335961494">
      <w:marLeft w:val="0"/>
      <w:marRight w:val="0"/>
      <w:marTop w:val="0"/>
      <w:marBottom w:val="0"/>
      <w:divBdr>
        <w:top w:val="none" w:sz="0" w:space="0" w:color="auto"/>
        <w:left w:val="none" w:sz="0" w:space="0" w:color="auto"/>
        <w:bottom w:val="none" w:sz="0" w:space="0" w:color="auto"/>
        <w:right w:val="none" w:sz="0" w:space="0" w:color="auto"/>
      </w:divBdr>
    </w:div>
    <w:div w:id="1336111115">
      <w:marLeft w:val="0"/>
      <w:marRight w:val="0"/>
      <w:marTop w:val="0"/>
      <w:marBottom w:val="0"/>
      <w:divBdr>
        <w:top w:val="none" w:sz="0" w:space="0" w:color="auto"/>
        <w:left w:val="none" w:sz="0" w:space="0" w:color="auto"/>
        <w:bottom w:val="none" w:sz="0" w:space="0" w:color="auto"/>
        <w:right w:val="none" w:sz="0" w:space="0" w:color="auto"/>
      </w:divBdr>
      <w:divsChild>
        <w:div w:id="714618672">
          <w:marLeft w:val="0"/>
          <w:marRight w:val="0"/>
          <w:marTop w:val="0"/>
          <w:marBottom w:val="0"/>
          <w:divBdr>
            <w:top w:val="none" w:sz="0" w:space="0" w:color="auto"/>
            <w:left w:val="none" w:sz="0" w:space="0" w:color="auto"/>
            <w:bottom w:val="none" w:sz="0" w:space="0" w:color="auto"/>
            <w:right w:val="none" w:sz="0" w:space="0" w:color="auto"/>
          </w:divBdr>
        </w:div>
      </w:divsChild>
    </w:div>
    <w:div w:id="1336493835">
      <w:marLeft w:val="0"/>
      <w:marRight w:val="0"/>
      <w:marTop w:val="0"/>
      <w:marBottom w:val="0"/>
      <w:divBdr>
        <w:top w:val="none" w:sz="0" w:space="0" w:color="auto"/>
        <w:left w:val="none" w:sz="0" w:space="0" w:color="auto"/>
        <w:bottom w:val="none" w:sz="0" w:space="0" w:color="auto"/>
        <w:right w:val="none" w:sz="0" w:space="0" w:color="auto"/>
      </w:divBdr>
      <w:divsChild>
        <w:div w:id="1038162070">
          <w:marLeft w:val="0"/>
          <w:marRight w:val="0"/>
          <w:marTop w:val="0"/>
          <w:marBottom w:val="0"/>
          <w:divBdr>
            <w:top w:val="none" w:sz="0" w:space="0" w:color="auto"/>
            <w:left w:val="none" w:sz="0" w:space="0" w:color="auto"/>
            <w:bottom w:val="none" w:sz="0" w:space="0" w:color="auto"/>
            <w:right w:val="none" w:sz="0" w:space="0" w:color="auto"/>
          </w:divBdr>
        </w:div>
      </w:divsChild>
    </w:div>
    <w:div w:id="1336566096">
      <w:marLeft w:val="0"/>
      <w:marRight w:val="0"/>
      <w:marTop w:val="0"/>
      <w:marBottom w:val="180"/>
      <w:divBdr>
        <w:top w:val="none" w:sz="0" w:space="0" w:color="auto"/>
        <w:left w:val="none" w:sz="0" w:space="0" w:color="auto"/>
        <w:bottom w:val="none" w:sz="0" w:space="0" w:color="auto"/>
        <w:right w:val="none" w:sz="0" w:space="0" w:color="auto"/>
      </w:divBdr>
    </w:div>
    <w:div w:id="1337423803">
      <w:marLeft w:val="0"/>
      <w:marRight w:val="0"/>
      <w:marTop w:val="0"/>
      <w:marBottom w:val="0"/>
      <w:divBdr>
        <w:top w:val="none" w:sz="0" w:space="0" w:color="auto"/>
        <w:left w:val="none" w:sz="0" w:space="0" w:color="auto"/>
        <w:bottom w:val="none" w:sz="0" w:space="0" w:color="auto"/>
        <w:right w:val="none" w:sz="0" w:space="0" w:color="auto"/>
      </w:divBdr>
      <w:divsChild>
        <w:div w:id="191459661">
          <w:marLeft w:val="0"/>
          <w:marRight w:val="0"/>
          <w:marTop w:val="0"/>
          <w:marBottom w:val="0"/>
          <w:divBdr>
            <w:top w:val="none" w:sz="0" w:space="0" w:color="auto"/>
            <w:left w:val="none" w:sz="0" w:space="0" w:color="auto"/>
            <w:bottom w:val="none" w:sz="0" w:space="0" w:color="auto"/>
            <w:right w:val="none" w:sz="0" w:space="0" w:color="auto"/>
          </w:divBdr>
        </w:div>
      </w:divsChild>
    </w:div>
    <w:div w:id="1337806576">
      <w:marLeft w:val="0"/>
      <w:marRight w:val="0"/>
      <w:marTop w:val="0"/>
      <w:marBottom w:val="180"/>
      <w:divBdr>
        <w:top w:val="none" w:sz="0" w:space="0" w:color="auto"/>
        <w:left w:val="none" w:sz="0" w:space="0" w:color="auto"/>
        <w:bottom w:val="none" w:sz="0" w:space="0" w:color="auto"/>
        <w:right w:val="none" w:sz="0" w:space="0" w:color="auto"/>
      </w:divBdr>
    </w:div>
    <w:div w:id="1339037426">
      <w:marLeft w:val="0"/>
      <w:marRight w:val="0"/>
      <w:marTop w:val="0"/>
      <w:marBottom w:val="0"/>
      <w:divBdr>
        <w:top w:val="none" w:sz="0" w:space="0" w:color="auto"/>
        <w:left w:val="none" w:sz="0" w:space="0" w:color="auto"/>
        <w:bottom w:val="none" w:sz="0" w:space="0" w:color="auto"/>
        <w:right w:val="none" w:sz="0" w:space="0" w:color="auto"/>
      </w:divBdr>
    </w:div>
    <w:div w:id="1339431213">
      <w:marLeft w:val="0"/>
      <w:marRight w:val="0"/>
      <w:marTop w:val="0"/>
      <w:marBottom w:val="0"/>
      <w:divBdr>
        <w:top w:val="none" w:sz="0" w:space="0" w:color="auto"/>
        <w:left w:val="none" w:sz="0" w:space="0" w:color="auto"/>
        <w:bottom w:val="none" w:sz="0" w:space="0" w:color="auto"/>
        <w:right w:val="none" w:sz="0" w:space="0" w:color="auto"/>
      </w:divBdr>
      <w:divsChild>
        <w:div w:id="1079864600">
          <w:marLeft w:val="0"/>
          <w:marRight w:val="0"/>
          <w:marTop w:val="0"/>
          <w:marBottom w:val="0"/>
          <w:divBdr>
            <w:top w:val="none" w:sz="0" w:space="0" w:color="auto"/>
            <w:left w:val="none" w:sz="0" w:space="0" w:color="auto"/>
            <w:bottom w:val="none" w:sz="0" w:space="0" w:color="auto"/>
            <w:right w:val="none" w:sz="0" w:space="0" w:color="auto"/>
          </w:divBdr>
        </w:div>
      </w:divsChild>
    </w:div>
    <w:div w:id="1339848119">
      <w:marLeft w:val="0"/>
      <w:marRight w:val="0"/>
      <w:marTop w:val="0"/>
      <w:marBottom w:val="240"/>
      <w:divBdr>
        <w:top w:val="none" w:sz="0" w:space="0" w:color="auto"/>
        <w:left w:val="none" w:sz="0" w:space="0" w:color="auto"/>
        <w:bottom w:val="none" w:sz="0" w:space="0" w:color="auto"/>
        <w:right w:val="none" w:sz="0" w:space="0" w:color="auto"/>
      </w:divBdr>
    </w:div>
    <w:div w:id="1340352381">
      <w:marLeft w:val="0"/>
      <w:marRight w:val="0"/>
      <w:marTop w:val="0"/>
      <w:marBottom w:val="180"/>
      <w:divBdr>
        <w:top w:val="none" w:sz="0" w:space="0" w:color="auto"/>
        <w:left w:val="none" w:sz="0" w:space="0" w:color="auto"/>
        <w:bottom w:val="none" w:sz="0" w:space="0" w:color="auto"/>
        <w:right w:val="none" w:sz="0" w:space="0" w:color="auto"/>
      </w:divBdr>
    </w:div>
    <w:div w:id="1341154285">
      <w:marLeft w:val="0"/>
      <w:marRight w:val="0"/>
      <w:marTop w:val="0"/>
      <w:marBottom w:val="0"/>
      <w:divBdr>
        <w:top w:val="none" w:sz="0" w:space="0" w:color="auto"/>
        <w:left w:val="none" w:sz="0" w:space="0" w:color="auto"/>
        <w:bottom w:val="none" w:sz="0" w:space="0" w:color="auto"/>
        <w:right w:val="none" w:sz="0" w:space="0" w:color="auto"/>
      </w:divBdr>
    </w:div>
    <w:div w:id="1342004880">
      <w:marLeft w:val="0"/>
      <w:marRight w:val="0"/>
      <w:marTop w:val="0"/>
      <w:marBottom w:val="0"/>
      <w:divBdr>
        <w:top w:val="none" w:sz="0" w:space="0" w:color="auto"/>
        <w:left w:val="none" w:sz="0" w:space="0" w:color="auto"/>
        <w:bottom w:val="none" w:sz="0" w:space="0" w:color="auto"/>
        <w:right w:val="none" w:sz="0" w:space="0" w:color="auto"/>
      </w:divBdr>
      <w:divsChild>
        <w:div w:id="1452632697">
          <w:marLeft w:val="0"/>
          <w:marRight w:val="0"/>
          <w:marTop w:val="0"/>
          <w:marBottom w:val="0"/>
          <w:divBdr>
            <w:top w:val="none" w:sz="0" w:space="0" w:color="auto"/>
            <w:left w:val="none" w:sz="0" w:space="0" w:color="auto"/>
            <w:bottom w:val="none" w:sz="0" w:space="0" w:color="auto"/>
            <w:right w:val="none" w:sz="0" w:space="0" w:color="auto"/>
          </w:divBdr>
        </w:div>
      </w:divsChild>
    </w:div>
    <w:div w:id="1342125104">
      <w:marLeft w:val="0"/>
      <w:marRight w:val="0"/>
      <w:marTop w:val="0"/>
      <w:marBottom w:val="0"/>
      <w:divBdr>
        <w:top w:val="none" w:sz="0" w:space="0" w:color="auto"/>
        <w:left w:val="none" w:sz="0" w:space="0" w:color="auto"/>
        <w:bottom w:val="none" w:sz="0" w:space="0" w:color="auto"/>
        <w:right w:val="none" w:sz="0" w:space="0" w:color="auto"/>
      </w:divBdr>
      <w:divsChild>
        <w:div w:id="1332217782">
          <w:marLeft w:val="0"/>
          <w:marRight w:val="0"/>
          <w:marTop w:val="0"/>
          <w:marBottom w:val="0"/>
          <w:divBdr>
            <w:top w:val="none" w:sz="0" w:space="0" w:color="auto"/>
            <w:left w:val="none" w:sz="0" w:space="0" w:color="auto"/>
            <w:bottom w:val="none" w:sz="0" w:space="0" w:color="auto"/>
            <w:right w:val="none" w:sz="0" w:space="0" w:color="auto"/>
          </w:divBdr>
          <w:divsChild>
            <w:div w:id="18166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373">
      <w:marLeft w:val="0"/>
      <w:marRight w:val="0"/>
      <w:marTop w:val="0"/>
      <w:marBottom w:val="0"/>
      <w:divBdr>
        <w:top w:val="none" w:sz="0" w:space="0" w:color="auto"/>
        <w:left w:val="none" w:sz="0" w:space="0" w:color="auto"/>
        <w:bottom w:val="none" w:sz="0" w:space="0" w:color="auto"/>
        <w:right w:val="none" w:sz="0" w:space="0" w:color="auto"/>
      </w:divBdr>
      <w:divsChild>
        <w:div w:id="2099666619">
          <w:marLeft w:val="0"/>
          <w:marRight w:val="0"/>
          <w:marTop w:val="0"/>
          <w:marBottom w:val="0"/>
          <w:divBdr>
            <w:top w:val="none" w:sz="0" w:space="0" w:color="auto"/>
            <w:left w:val="none" w:sz="0" w:space="0" w:color="auto"/>
            <w:bottom w:val="none" w:sz="0" w:space="0" w:color="auto"/>
            <w:right w:val="none" w:sz="0" w:space="0" w:color="auto"/>
          </w:divBdr>
        </w:div>
      </w:divsChild>
    </w:div>
    <w:div w:id="1344361462">
      <w:marLeft w:val="0"/>
      <w:marRight w:val="0"/>
      <w:marTop w:val="0"/>
      <w:marBottom w:val="0"/>
      <w:divBdr>
        <w:top w:val="none" w:sz="0" w:space="0" w:color="auto"/>
        <w:left w:val="none" w:sz="0" w:space="0" w:color="auto"/>
        <w:bottom w:val="none" w:sz="0" w:space="0" w:color="auto"/>
        <w:right w:val="none" w:sz="0" w:space="0" w:color="auto"/>
      </w:divBdr>
      <w:divsChild>
        <w:div w:id="1312447516">
          <w:marLeft w:val="0"/>
          <w:marRight w:val="0"/>
          <w:marTop w:val="0"/>
          <w:marBottom w:val="0"/>
          <w:divBdr>
            <w:top w:val="none" w:sz="0" w:space="0" w:color="auto"/>
            <w:left w:val="none" w:sz="0" w:space="0" w:color="auto"/>
            <w:bottom w:val="none" w:sz="0" w:space="0" w:color="auto"/>
            <w:right w:val="none" w:sz="0" w:space="0" w:color="auto"/>
          </w:divBdr>
        </w:div>
      </w:divsChild>
    </w:div>
    <w:div w:id="1344362425">
      <w:marLeft w:val="0"/>
      <w:marRight w:val="0"/>
      <w:marTop w:val="0"/>
      <w:marBottom w:val="240"/>
      <w:divBdr>
        <w:top w:val="none" w:sz="0" w:space="0" w:color="auto"/>
        <w:left w:val="none" w:sz="0" w:space="0" w:color="auto"/>
        <w:bottom w:val="none" w:sz="0" w:space="0" w:color="auto"/>
        <w:right w:val="none" w:sz="0" w:space="0" w:color="auto"/>
      </w:divBdr>
    </w:div>
    <w:div w:id="1344936265">
      <w:marLeft w:val="0"/>
      <w:marRight w:val="0"/>
      <w:marTop w:val="120"/>
      <w:marBottom w:val="180"/>
      <w:divBdr>
        <w:top w:val="none" w:sz="0" w:space="0" w:color="auto"/>
        <w:left w:val="none" w:sz="0" w:space="0" w:color="auto"/>
        <w:bottom w:val="none" w:sz="0" w:space="0" w:color="auto"/>
        <w:right w:val="none" w:sz="0" w:space="0" w:color="auto"/>
      </w:divBdr>
    </w:div>
    <w:div w:id="1345396859">
      <w:marLeft w:val="0"/>
      <w:marRight w:val="0"/>
      <w:marTop w:val="0"/>
      <w:marBottom w:val="240"/>
      <w:divBdr>
        <w:top w:val="none" w:sz="0" w:space="0" w:color="auto"/>
        <w:left w:val="none" w:sz="0" w:space="0" w:color="auto"/>
        <w:bottom w:val="none" w:sz="0" w:space="0" w:color="auto"/>
        <w:right w:val="none" w:sz="0" w:space="0" w:color="auto"/>
      </w:divBdr>
    </w:div>
    <w:div w:id="1345745087">
      <w:marLeft w:val="0"/>
      <w:marRight w:val="0"/>
      <w:marTop w:val="0"/>
      <w:marBottom w:val="180"/>
      <w:divBdr>
        <w:top w:val="none" w:sz="0" w:space="0" w:color="auto"/>
        <w:left w:val="none" w:sz="0" w:space="0" w:color="auto"/>
        <w:bottom w:val="none" w:sz="0" w:space="0" w:color="auto"/>
        <w:right w:val="none" w:sz="0" w:space="0" w:color="auto"/>
      </w:divBdr>
    </w:div>
    <w:div w:id="1347291795">
      <w:marLeft w:val="0"/>
      <w:marRight w:val="0"/>
      <w:marTop w:val="0"/>
      <w:marBottom w:val="0"/>
      <w:divBdr>
        <w:top w:val="none" w:sz="0" w:space="0" w:color="auto"/>
        <w:left w:val="none" w:sz="0" w:space="0" w:color="auto"/>
        <w:bottom w:val="none" w:sz="0" w:space="0" w:color="auto"/>
        <w:right w:val="none" w:sz="0" w:space="0" w:color="auto"/>
      </w:divBdr>
    </w:div>
    <w:div w:id="1349256458">
      <w:marLeft w:val="0"/>
      <w:marRight w:val="0"/>
      <w:marTop w:val="0"/>
      <w:marBottom w:val="180"/>
      <w:divBdr>
        <w:top w:val="none" w:sz="0" w:space="0" w:color="auto"/>
        <w:left w:val="none" w:sz="0" w:space="0" w:color="auto"/>
        <w:bottom w:val="none" w:sz="0" w:space="0" w:color="auto"/>
        <w:right w:val="none" w:sz="0" w:space="0" w:color="auto"/>
      </w:divBdr>
    </w:div>
    <w:div w:id="1350913260">
      <w:marLeft w:val="0"/>
      <w:marRight w:val="0"/>
      <w:marTop w:val="0"/>
      <w:marBottom w:val="0"/>
      <w:divBdr>
        <w:top w:val="none" w:sz="0" w:space="0" w:color="auto"/>
        <w:left w:val="none" w:sz="0" w:space="0" w:color="auto"/>
        <w:bottom w:val="none" w:sz="0" w:space="0" w:color="auto"/>
        <w:right w:val="none" w:sz="0" w:space="0" w:color="auto"/>
      </w:divBdr>
    </w:div>
    <w:div w:id="1352994728">
      <w:marLeft w:val="0"/>
      <w:marRight w:val="0"/>
      <w:marTop w:val="0"/>
      <w:marBottom w:val="240"/>
      <w:divBdr>
        <w:top w:val="none" w:sz="0" w:space="0" w:color="auto"/>
        <w:left w:val="none" w:sz="0" w:space="0" w:color="auto"/>
        <w:bottom w:val="none" w:sz="0" w:space="0" w:color="auto"/>
        <w:right w:val="none" w:sz="0" w:space="0" w:color="auto"/>
      </w:divBdr>
    </w:div>
    <w:div w:id="1353193115">
      <w:marLeft w:val="0"/>
      <w:marRight w:val="0"/>
      <w:marTop w:val="0"/>
      <w:marBottom w:val="240"/>
      <w:divBdr>
        <w:top w:val="none" w:sz="0" w:space="0" w:color="auto"/>
        <w:left w:val="none" w:sz="0" w:space="0" w:color="auto"/>
        <w:bottom w:val="none" w:sz="0" w:space="0" w:color="auto"/>
        <w:right w:val="none" w:sz="0" w:space="0" w:color="auto"/>
      </w:divBdr>
    </w:div>
    <w:div w:id="1353459807">
      <w:marLeft w:val="0"/>
      <w:marRight w:val="0"/>
      <w:marTop w:val="180"/>
      <w:marBottom w:val="180"/>
      <w:divBdr>
        <w:top w:val="none" w:sz="0" w:space="0" w:color="auto"/>
        <w:left w:val="none" w:sz="0" w:space="0" w:color="auto"/>
        <w:bottom w:val="none" w:sz="0" w:space="0" w:color="auto"/>
        <w:right w:val="none" w:sz="0" w:space="0" w:color="auto"/>
      </w:divBdr>
    </w:div>
    <w:div w:id="1354263067">
      <w:marLeft w:val="0"/>
      <w:marRight w:val="0"/>
      <w:marTop w:val="180"/>
      <w:marBottom w:val="180"/>
      <w:divBdr>
        <w:top w:val="none" w:sz="0" w:space="0" w:color="auto"/>
        <w:left w:val="none" w:sz="0" w:space="0" w:color="auto"/>
        <w:bottom w:val="none" w:sz="0" w:space="0" w:color="auto"/>
        <w:right w:val="none" w:sz="0" w:space="0" w:color="auto"/>
      </w:divBdr>
      <w:divsChild>
        <w:div w:id="420104323">
          <w:marLeft w:val="0"/>
          <w:marRight w:val="0"/>
          <w:marTop w:val="0"/>
          <w:marBottom w:val="120"/>
          <w:divBdr>
            <w:top w:val="none" w:sz="0" w:space="0" w:color="auto"/>
            <w:left w:val="none" w:sz="0" w:space="0" w:color="auto"/>
            <w:bottom w:val="none" w:sz="0" w:space="0" w:color="auto"/>
            <w:right w:val="none" w:sz="0" w:space="0" w:color="auto"/>
          </w:divBdr>
        </w:div>
        <w:div w:id="1661425788">
          <w:marLeft w:val="0"/>
          <w:marRight w:val="0"/>
          <w:marTop w:val="0"/>
          <w:marBottom w:val="120"/>
          <w:divBdr>
            <w:top w:val="none" w:sz="0" w:space="0" w:color="auto"/>
            <w:left w:val="none" w:sz="0" w:space="0" w:color="auto"/>
            <w:bottom w:val="none" w:sz="0" w:space="0" w:color="auto"/>
            <w:right w:val="none" w:sz="0" w:space="0" w:color="auto"/>
          </w:divBdr>
        </w:div>
        <w:div w:id="492110184">
          <w:marLeft w:val="0"/>
          <w:marRight w:val="0"/>
          <w:marTop w:val="0"/>
          <w:marBottom w:val="120"/>
          <w:divBdr>
            <w:top w:val="none" w:sz="0" w:space="0" w:color="auto"/>
            <w:left w:val="none" w:sz="0" w:space="0" w:color="auto"/>
            <w:bottom w:val="none" w:sz="0" w:space="0" w:color="auto"/>
            <w:right w:val="none" w:sz="0" w:space="0" w:color="auto"/>
          </w:divBdr>
        </w:div>
        <w:div w:id="2134857959">
          <w:marLeft w:val="0"/>
          <w:marRight w:val="0"/>
          <w:marTop w:val="0"/>
          <w:marBottom w:val="120"/>
          <w:divBdr>
            <w:top w:val="none" w:sz="0" w:space="0" w:color="auto"/>
            <w:left w:val="none" w:sz="0" w:space="0" w:color="auto"/>
            <w:bottom w:val="none" w:sz="0" w:space="0" w:color="auto"/>
            <w:right w:val="none" w:sz="0" w:space="0" w:color="auto"/>
          </w:divBdr>
        </w:div>
        <w:div w:id="799882100">
          <w:marLeft w:val="0"/>
          <w:marRight w:val="0"/>
          <w:marTop w:val="0"/>
          <w:marBottom w:val="120"/>
          <w:divBdr>
            <w:top w:val="none" w:sz="0" w:space="0" w:color="auto"/>
            <w:left w:val="none" w:sz="0" w:space="0" w:color="auto"/>
            <w:bottom w:val="none" w:sz="0" w:space="0" w:color="auto"/>
            <w:right w:val="none" w:sz="0" w:space="0" w:color="auto"/>
          </w:divBdr>
        </w:div>
        <w:div w:id="1945529649">
          <w:marLeft w:val="0"/>
          <w:marRight w:val="0"/>
          <w:marTop w:val="0"/>
          <w:marBottom w:val="120"/>
          <w:divBdr>
            <w:top w:val="none" w:sz="0" w:space="0" w:color="auto"/>
            <w:left w:val="none" w:sz="0" w:space="0" w:color="auto"/>
            <w:bottom w:val="none" w:sz="0" w:space="0" w:color="auto"/>
            <w:right w:val="none" w:sz="0" w:space="0" w:color="auto"/>
          </w:divBdr>
        </w:div>
        <w:div w:id="230235694">
          <w:marLeft w:val="0"/>
          <w:marRight w:val="0"/>
          <w:marTop w:val="0"/>
          <w:marBottom w:val="120"/>
          <w:divBdr>
            <w:top w:val="none" w:sz="0" w:space="0" w:color="auto"/>
            <w:left w:val="none" w:sz="0" w:space="0" w:color="auto"/>
            <w:bottom w:val="none" w:sz="0" w:space="0" w:color="auto"/>
            <w:right w:val="none" w:sz="0" w:space="0" w:color="auto"/>
          </w:divBdr>
        </w:div>
      </w:divsChild>
    </w:div>
    <w:div w:id="1354309714">
      <w:marLeft w:val="0"/>
      <w:marRight w:val="0"/>
      <w:marTop w:val="0"/>
      <w:marBottom w:val="0"/>
      <w:divBdr>
        <w:top w:val="none" w:sz="0" w:space="0" w:color="auto"/>
        <w:left w:val="none" w:sz="0" w:space="0" w:color="auto"/>
        <w:bottom w:val="none" w:sz="0" w:space="0" w:color="auto"/>
        <w:right w:val="none" w:sz="0" w:space="0" w:color="auto"/>
      </w:divBdr>
      <w:divsChild>
        <w:div w:id="2060860626">
          <w:marLeft w:val="0"/>
          <w:marRight w:val="0"/>
          <w:marTop w:val="0"/>
          <w:marBottom w:val="0"/>
          <w:divBdr>
            <w:top w:val="none" w:sz="0" w:space="0" w:color="auto"/>
            <w:left w:val="none" w:sz="0" w:space="0" w:color="auto"/>
            <w:bottom w:val="none" w:sz="0" w:space="0" w:color="auto"/>
            <w:right w:val="none" w:sz="0" w:space="0" w:color="auto"/>
          </w:divBdr>
        </w:div>
      </w:divsChild>
    </w:div>
    <w:div w:id="1356157595">
      <w:marLeft w:val="0"/>
      <w:marRight w:val="0"/>
      <w:marTop w:val="100"/>
      <w:marBottom w:val="0"/>
      <w:divBdr>
        <w:top w:val="none" w:sz="0" w:space="0" w:color="auto"/>
        <w:left w:val="none" w:sz="0" w:space="0" w:color="auto"/>
        <w:bottom w:val="none" w:sz="0" w:space="0" w:color="auto"/>
        <w:right w:val="none" w:sz="0" w:space="0" w:color="auto"/>
      </w:divBdr>
    </w:div>
    <w:div w:id="1356612514">
      <w:marLeft w:val="0"/>
      <w:marRight w:val="0"/>
      <w:marTop w:val="0"/>
      <w:marBottom w:val="0"/>
      <w:divBdr>
        <w:top w:val="none" w:sz="0" w:space="0" w:color="auto"/>
        <w:left w:val="none" w:sz="0" w:space="0" w:color="auto"/>
        <w:bottom w:val="none" w:sz="0" w:space="0" w:color="auto"/>
        <w:right w:val="none" w:sz="0" w:space="0" w:color="auto"/>
      </w:divBdr>
      <w:divsChild>
        <w:div w:id="323045373">
          <w:marLeft w:val="0"/>
          <w:marRight w:val="0"/>
          <w:marTop w:val="0"/>
          <w:marBottom w:val="0"/>
          <w:divBdr>
            <w:top w:val="none" w:sz="0" w:space="0" w:color="auto"/>
            <w:left w:val="none" w:sz="0" w:space="0" w:color="auto"/>
            <w:bottom w:val="none" w:sz="0" w:space="0" w:color="auto"/>
            <w:right w:val="none" w:sz="0" w:space="0" w:color="auto"/>
          </w:divBdr>
        </w:div>
      </w:divsChild>
    </w:div>
    <w:div w:id="1357075998">
      <w:marLeft w:val="0"/>
      <w:marRight w:val="0"/>
      <w:marTop w:val="0"/>
      <w:marBottom w:val="240"/>
      <w:divBdr>
        <w:top w:val="none" w:sz="0" w:space="0" w:color="auto"/>
        <w:left w:val="none" w:sz="0" w:space="0" w:color="auto"/>
        <w:bottom w:val="none" w:sz="0" w:space="0" w:color="auto"/>
        <w:right w:val="none" w:sz="0" w:space="0" w:color="auto"/>
      </w:divBdr>
    </w:div>
    <w:div w:id="1357076424">
      <w:marLeft w:val="0"/>
      <w:marRight w:val="0"/>
      <w:marTop w:val="0"/>
      <w:marBottom w:val="180"/>
      <w:divBdr>
        <w:top w:val="none" w:sz="0" w:space="0" w:color="auto"/>
        <w:left w:val="none" w:sz="0" w:space="0" w:color="auto"/>
        <w:bottom w:val="none" w:sz="0" w:space="0" w:color="auto"/>
        <w:right w:val="none" w:sz="0" w:space="0" w:color="auto"/>
      </w:divBdr>
    </w:div>
    <w:div w:id="1357732907">
      <w:marLeft w:val="0"/>
      <w:marRight w:val="0"/>
      <w:marTop w:val="0"/>
      <w:marBottom w:val="180"/>
      <w:divBdr>
        <w:top w:val="none" w:sz="0" w:space="0" w:color="auto"/>
        <w:left w:val="none" w:sz="0" w:space="0" w:color="auto"/>
        <w:bottom w:val="none" w:sz="0" w:space="0" w:color="auto"/>
        <w:right w:val="none" w:sz="0" w:space="0" w:color="auto"/>
      </w:divBdr>
    </w:div>
    <w:div w:id="1359165234">
      <w:marLeft w:val="0"/>
      <w:marRight w:val="0"/>
      <w:marTop w:val="180"/>
      <w:marBottom w:val="180"/>
      <w:divBdr>
        <w:top w:val="none" w:sz="0" w:space="0" w:color="auto"/>
        <w:left w:val="none" w:sz="0" w:space="0" w:color="auto"/>
        <w:bottom w:val="none" w:sz="0" w:space="0" w:color="auto"/>
        <w:right w:val="none" w:sz="0" w:space="0" w:color="auto"/>
      </w:divBdr>
    </w:div>
    <w:div w:id="1360659987">
      <w:marLeft w:val="0"/>
      <w:marRight w:val="0"/>
      <w:marTop w:val="0"/>
      <w:marBottom w:val="180"/>
      <w:divBdr>
        <w:top w:val="none" w:sz="0" w:space="0" w:color="auto"/>
        <w:left w:val="none" w:sz="0" w:space="0" w:color="auto"/>
        <w:bottom w:val="none" w:sz="0" w:space="0" w:color="auto"/>
        <w:right w:val="none" w:sz="0" w:space="0" w:color="auto"/>
      </w:divBdr>
    </w:div>
    <w:div w:id="1361857913">
      <w:marLeft w:val="0"/>
      <w:marRight w:val="0"/>
      <w:marTop w:val="0"/>
      <w:marBottom w:val="180"/>
      <w:divBdr>
        <w:top w:val="none" w:sz="0" w:space="0" w:color="auto"/>
        <w:left w:val="none" w:sz="0" w:space="0" w:color="auto"/>
        <w:bottom w:val="none" w:sz="0" w:space="0" w:color="auto"/>
        <w:right w:val="none" w:sz="0" w:space="0" w:color="auto"/>
      </w:divBdr>
    </w:div>
    <w:div w:id="1361974127">
      <w:marLeft w:val="0"/>
      <w:marRight w:val="0"/>
      <w:marTop w:val="0"/>
      <w:marBottom w:val="0"/>
      <w:divBdr>
        <w:top w:val="none" w:sz="0" w:space="0" w:color="auto"/>
        <w:left w:val="none" w:sz="0" w:space="0" w:color="auto"/>
        <w:bottom w:val="none" w:sz="0" w:space="0" w:color="auto"/>
        <w:right w:val="none" w:sz="0" w:space="0" w:color="auto"/>
      </w:divBdr>
      <w:divsChild>
        <w:div w:id="2122147125">
          <w:marLeft w:val="0"/>
          <w:marRight w:val="0"/>
          <w:marTop w:val="0"/>
          <w:marBottom w:val="0"/>
          <w:divBdr>
            <w:top w:val="none" w:sz="0" w:space="0" w:color="auto"/>
            <w:left w:val="none" w:sz="0" w:space="0" w:color="auto"/>
            <w:bottom w:val="none" w:sz="0" w:space="0" w:color="auto"/>
            <w:right w:val="none" w:sz="0" w:space="0" w:color="auto"/>
          </w:divBdr>
        </w:div>
      </w:divsChild>
    </w:div>
    <w:div w:id="1362122348">
      <w:marLeft w:val="0"/>
      <w:marRight w:val="0"/>
      <w:marTop w:val="0"/>
      <w:marBottom w:val="0"/>
      <w:divBdr>
        <w:top w:val="none" w:sz="0" w:space="0" w:color="auto"/>
        <w:left w:val="none" w:sz="0" w:space="0" w:color="auto"/>
        <w:bottom w:val="none" w:sz="0" w:space="0" w:color="auto"/>
        <w:right w:val="none" w:sz="0" w:space="0" w:color="auto"/>
      </w:divBdr>
    </w:div>
    <w:div w:id="1362701658">
      <w:marLeft w:val="0"/>
      <w:marRight w:val="0"/>
      <w:marTop w:val="0"/>
      <w:marBottom w:val="0"/>
      <w:divBdr>
        <w:top w:val="none" w:sz="0" w:space="0" w:color="auto"/>
        <w:left w:val="none" w:sz="0" w:space="0" w:color="auto"/>
        <w:bottom w:val="none" w:sz="0" w:space="0" w:color="auto"/>
        <w:right w:val="none" w:sz="0" w:space="0" w:color="auto"/>
      </w:divBdr>
      <w:divsChild>
        <w:div w:id="911234313">
          <w:marLeft w:val="0"/>
          <w:marRight w:val="0"/>
          <w:marTop w:val="0"/>
          <w:marBottom w:val="0"/>
          <w:divBdr>
            <w:top w:val="none" w:sz="0" w:space="0" w:color="auto"/>
            <w:left w:val="none" w:sz="0" w:space="0" w:color="auto"/>
            <w:bottom w:val="none" w:sz="0" w:space="0" w:color="auto"/>
            <w:right w:val="none" w:sz="0" w:space="0" w:color="auto"/>
          </w:divBdr>
        </w:div>
      </w:divsChild>
    </w:div>
    <w:div w:id="1362703306">
      <w:marLeft w:val="0"/>
      <w:marRight w:val="0"/>
      <w:marTop w:val="0"/>
      <w:marBottom w:val="0"/>
      <w:divBdr>
        <w:top w:val="none" w:sz="0" w:space="0" w:color="auto"/>
        <w:left w:val="none" w:sz="0" w:space="0" w:color="auto"/>
        <w:bottom w:val="none" w:sz="0" w:space="0" w:color="auto"/>
        <w:right w:val="none" w:sz="0" w:space="0" w:color="auto"/>
      </w:divBdr>
    </w:div>
    <w:div w:id="1362975458">
      <w:marLeft w:val="0"/>
      <w:marRight w:val="0"/>
      <w:marTop w:val="180"/>
      <w:marBottom w:val="180"/>
      <w:divBdr>
        <w:top w:val="none" w:sz="0" w:space="0" w:color="auto"/>
        <w:left w:val="none" w:sz="0" w:space="0" w:color="auto"/>
        <w:bottom w:val="none" w:sz="0" w:space="0" w:color="auto"/>
        <w:right w:val="none" w:sz="0" w:space="0" w:color="auto"/>
      </w:divBdr>
    </w:div>
    <w:div w:id="1363551283">
      <w:marLeft w:val="0"/>
      <w:marRight w:val="0"/>
      <w:marTop w:val="180"/>
      <w:marBottom w:val="180"/>
      <w:divBdr>
        <w:top w:val="none" w:sz="0" w:space="0" w:color="auto"/>
        <w:left w:val="none" w:sz="0" w:space="0" w:color="auto"/>
        <w:bottom w:val="none" w:sz="0" w:space="0" w:color="auto"/>
        <w:right w:val="none" w:sz="0" w:space="0" w:color="auto"/>
      </w:divBdr>
    </w:div>
    <w:div w:id="1364555574">
      <w:marLeft w:val="0"/>
      <w:marRight w:val="0"/>
      <w:marTop w:val="0"/>
      <w:marBottom w:val="0"/>
      <w:divBdr>
        <w:top w:val="none" w:sz="0" w:space="0" w:color="auto"/>
        <w:left w:val="none" w:sz="0" w:space="0" w:color="auto"/>
        <w:bottom w:val="none" w:sz="0" w:space="0" w:color="auto"/>
        <w:right w:val="none" w:sz="0" w:space="0" w:color="auto"/>
      </w:divBdr>
      <w:divsChild>
        <w:div w:id="1586113314">
          <w:marLeft w:val="0"/>
          <w:marRight w:val="0"/>
          <w:marTop w:val="0"/>
          <w:marBottom w:val="0"/>
          <w:divBdr>
            <w:top w:val="none" w:sz="0" w:space="0" w:color="auto"/>
            <w:left w:val="none" w:sz="0" w:space="0" w:color="auto"/>
            <w:bottom w:val="none" w:sz="0" w:space="0" w:color="auto"/>
            <w:right w:val="none" w:sz="0" w:space="0" w:color="auto"/>
          </w:divBdr>
        </w:div>
      </w:divsChild>
    </w:div>
    <w:div w:id="1365670193">
      <w:marLeft w:val="0"/>
      <w:marRight w:val="0"/>
      <w:marTop w:val="0"/>
      <w:marBottom w:val="0"/>
      <w:divBdr>
        <w:top w:val="none" w:sz="0" w:space="0" w:color="auto"/>
        <w:left w:val="none" w:sz="0" w:space="0" w:color="auto"/>
        <w:bottom w:val="none" w:sz="0" w:space="0" w:color="auto"/>
        <w:right w:val="none" w:sz="0" w:space="0" w:color="auto"/>
      </w:divBdr>
      <w:divsChild>
        <w:div w:id="536700407">
          <w:marLeft w:val="0"/>
          <w:marRight w:val="0"/>
          <w:marTop w:val="0"/>
          <w:marBottom w:val="0"/>
          <w:divBdr>
            <w:top w:val="none" w:sz="0" w:space="0" w:color="auto"/>
            <w:left w:val="none" w:sz="0" w:space="0" w:color="auto"/>
            <w:bottom w:val="none" w:sz="0" w:space="0" w:color="auto"/>
            <w:right w:val="none" w:sz="0" w:space="0" w:color="auto"/>
          </w:divBdr>
        </w:div>
      </w:divsChild>
    </w:div>
    <w:div w:id="1366636687">
      <w:marLeft w:val="0"/>
      <w:marRight w:val="0"/>
      <w:marTop w:val="0"/>
      <w:marBottom w:val="180"/>
      <w:divBdr>
        <w:top w:val="none" w:sz="0" w:space="0" w:color="auto"/>
        <w:left w:val="none" w:sz="0" w:space="0" w:color="auto"/>
        <w:bottom w:val="none" w:sz="0" w:space="0" w:color="auto"/>
        <w:right w:val="none" w:sz="0" w:space="0" w:color="auto"/>
      </w:divBdr>
    </w:div>
    <w:div w:id="1366783556">
      <w:marLeft w:val="0"/>
      <w:marRight w:val="0"/>
      <w:marTop w:val="0"/>
      <w:marBottom w:val="180"/>
      <w:divBdr>
        <w:top w:val="none" w:sz="0" w:space="0" w:color="auto"/>
        <w:left w:val="none" w:sz="0" w:space="0" w:color="auto"/>
        <w:bottom w:val="none" w:sz="0" w:space="0" w:color="auto"/>
        <w:right w:val="none" w:sz="0" w:space="0" w:color="auto"/>
      </w:divBdr>
    </w:div>
    <w:div w:id="1367439649">
      <w:marLeft w:val="0"/>
      <w:marRight w:val="0"/>
      <w:marTop w:val="120"/>
      <w:marBottom w:val="120"/>
      <w:divBdr>
        <w:top w:val="none" w:sz="0" w:space="0" w:color="auto"/>
        <w:left w:val="none" w:sz="0" w:space="0" w:color="auto"/>
        <w:bottom w:val="none" w:sz="0" w:space="0" w:color="auto"/>
        <w:right w:val="none" w:sz="0" w:space="0" w:color="auto"/>
      </w:divBdr>
    </w:div>
    <w:div w:id="1367440505">
      <w:marLeft w:val="0"/>
      <w:marRight w:val="0"/>
      <w:marTop w:val="0"/>
      <w:marBottom w:val="180"/>
      <w:divBdr>
        <w:top w:val="none" w:sz="0" w:space="0" w:color="auto"/>
        <w:left w:val="none" w:sz="0" w:space="0" w:color="auto"/>
        <w:bottom w:val="none" w:sz="0" w:space="0" w:color="auto"/>
        <w:right w:val="none" w:sz="0" w:space="0" w:color="auto"/>
      </w:divBdr>
    </w:div>
    <w:div w:id="1367681682">
      <w:marLeft w:val="0"/>
      <w:marRight w:val="0"/>
      <w:marTop w:val="0"/>
      <w:marBottom w:val="240"/>
      <w:divBdr>
        <w:top w:val="none" w:sz="0" w:space="0" w:color="auto"/>
        <w:left w:val="none" w:sz="0" w:space="0" w:color="auto"/>
        <w:bottom w:val="none" w:sz="0" w:space="0" w:color="auto"/>
        <w:right w:val="none" w:sz="0" w:space="0" w:color="auto"/>
      </w:divBdr>
    </w:div>
    <w:div w:id="1371491845">
      <w:marLeft w:val="0"/>
      <w:marRight w:val="0"/>
      <w:marTop w:val="0"/>
      <w:marBottom w:val="0"/>
      <w:divBdr>
        <w:top w:val="none" w:sz="0" w:space="0" w:color="auto"/>
        <w:left w:val="none" w:sz="0" w:space="0" w:color="auto"/>
        <w:bottom w:val="none" w:sz="0" w:space="0" w:color="auto"/>
        <w:right w:val="none" w:sz="0" w:space="0" w:color="auto"/>
      </w:divBdr>
    </w:div>
    <w:div w:id="1372147755">
      <w:marLeft w:val="0"/>
      <w:marRight w:val="0"/>
      <w:marTop w:val="0"/>
      <w:marBottom w:val="180"/>
      <w:divBdr>
        <w:top w:val="none" w:sz="0" w:space="0" w:color="auto"/>
        <w:left w:val="none" w:sz="0" w:space="0" w:color="auto"/>
        <w:bottom w:val="none" w:sz="0" w:space="0" w:color="auto"/>
        <w:right w:val="none" w:sz="0" w:space="0" w:color="auto"/>
      </w:divBdr>
    </w:div>
    <w:div w:id="1372463546">
      <w:marLeft w:val="0"/>
      <w:marRight w:val="0"/>
      <w:marTop w:val="0"/>
      <w:marBottom w:val="180"/>
      <w:divBdr>
        <w:top w:val="none" w:sz="0" w:space="0" w:color="auto"/>
        <w:left w:val="none" w:sz="0" w:space="0" w:color="auto"/>
        <w:bottom w:val="none" w:sz="0" w:space="0" w:color="auto"/>
        <w:right w:val="none" w:sz="0" w:space="0" w:color="auto"/>
      </w:divBdr>
    </w:div>
    <w:div w:id="1375471128">
      <w:marLeft w:val="0"/>
      <w:marRight w:val="0"/>
      <w:marTop w:val="180"/>
      <w:marBottom w:val="180"/>
      <w:divBdr>
        <w:top w:val="none" w:sz="0" w:space="0" w:color="auto"/>
        <w:left w:val="none" w:sz="0" w:space="0" w:color="auto"/>
        <w:bottom w:val="none" w:sz="0" w:space="0" w:color="auto"/>
        <w:right w:val="none" w:sz="0" w:space="0" w:color="auto"/>
      </w:divBdr>
    </w:div>
    <w:div w:id="1375807723">
      <w:marLeft w:val="0"/>
      <w:marRight w:val="0"/>
      <w:marTop w:val="0"/>
      <w:marBottom w:val="0"/>
      <w:divBdr>
        <w:top w:val="none" w:sz="0" w:space="0" w:color="auto"/>
        <w:left w:val="none" w:sz="0" w:space="0" w:color="auto"/>
        <w:bottom w:val="none" w:sz="0" w:space="0" w:color="auto"/>
        <w:right w:val="none" w:sz="0" w:space="0" w:color="auto"/>
      </w:divBdr>
    </w:div>
    <w:div w:id="1375810298">
      <w:marLeft w:val="0"/>
      <w:marRight w:val="0"/>
      <w:marTop w:val="0"/>
      <w:marBottom w:val="180"/>
      <w:divBdr>
        <w:top w:val="none" w:sz="0" w:space="0" w:color="auto"/>
        <w:left w:val="none" w:sz="0" w:space="0" w:color="auto"/>
        <w:bottom w:val="none" w:sz="0" w:space="0" w:color="auto"/>
        <w:right w:val="none" w:sz="0" w:space="0" w:color="auto"/>
      </w:divBdr>
    </w:div>
    <w:div w:id="1376924076">
      <w:marLeft w:val="0"/>
      <w:marRight w:val="0"/>
      <w:marTop w:val="0"/>
      <w:marBottom w:val="180"/>
      <w:divBdr>
        <w:top w:val="none" w:sz="0" w:space="0" w:color="auto"/>
        <w:left w:val="none" w:sz="0" w:space="0" w:color="auto"/>
        <w:bottom w:val="none" w:sz="0" w:space="0" w:color="auto"/>
        <w:right w:val="none" w:sz="0" w:space="0" w:color="auto"/>
      </w:divBdr>
    </w:div>
    <w:div w:id="1377122534">
      <w:marLeft w:val="0"/>
      <w:marRight w:val="0"/>
      <w:marTop w:val="0"/>
      <w:marBottom w:val="240"/>
      <w:divBdr>
        <w:top w:val="none" w:sz="0" w:space="0" w:color="auto"/>
        <w:left w:val="none" w:sz="0" w:space="0" w:color="auto"/>
        <w:bottom w:val="none" w:sz="0" w:space="0" w:color="auto"/>
        <w:right w:val="none" w:sz="0" w:space="0" w:color="auto"/>
      </w:divBdr>
    </w:div>
    <w:div w:id="1377244342">
      <w:marLeft w:val="0"/>
      <w:marRight w:val="0"/>
      <w:marTop w:val="0"/>
      <w:marBottom w:val="0"/>
      <w:divBdr>
        <w:top w:val="none" w:sz="0" w:space="0" w:color="auto"/>
        <w:left w:val="none" w:sz="0" w:space="0" w:color="auto"/>
        <w:bottom w:val="none" w:sz="0" w:space="0" w:color="auto"/>
        <w:right w:val="none" w:sz="0" w:space="0" w:color="auto"/>
      </w:divBdr>
      <w:divsChild>
        <w:div w:id="681400635">
          <w:marLeft w:val="0"/>
          <w:marRight w:val="0"/>
          <w:marTop w:val="0"/>
          <w:marBottom w:val="0"/>
          <w:divBdr>
            <w:top w:val="none" w:sz="0" w:space="0" w:color="auto"/>
            <w:left w:val="none" w:sz="0" w:space="0" w:color="auto"/>
            <w:bottom w:val="none" w:sz="0" w:space="0" w:color="auto"/>
            <w:right w:val="none" w:sz="0" w:space="0" w:color="auto"/>
          </w:divBdr>
        </w:div>
      </w:divsChild>
    </w:div>
    <w:div w:id="1378240156">
      <w:marLeft w:val="0"/>
      <w:marRight w:val="0"/>
      <w:marTop w:val="0"/>
      <w:marBottom w:val="0"/>
      <w:divBdr>
        <w:top w:val="none" w:sz="0" w:space="0" w:color="auto"/>
        <w:left w:val="none" w:sz="0" w:space="0" w:color="auto"/>
        <w:bottom w:val="none" w:sz="0" w:space="0" w:color="auto"/>
        <w:right w:val="none" w:sz="0" w:space="0" w:color="auto"/>
      </w:divBdr>
      <w:divsChild>
        <w:div w:id="1699164369">
          <w:marLeft w:val="0"/>
          <w:marRight w:val="0"/>
          <w:marTop w:val="0"/>
          <w:marBottom w:val="0"/>
          <w:divBdr>
            <w:top w:val="none" w:sz="0" w:space="0" w:color="auto"/>
            <w:left w:val="none" w:sz="0" w:space="0" w:color="auto"/>
            <w:bottom w:val="none" w:sz="0" w:space="0" w:color="auto"/>
            <w:right w:val="none" w:sz="0" w:space="0" w:color="auto"/>
          </w:divBdr>
        </w:div>
      </w:divsChild>
    </w:div>
    <w:div w:id="1378552941">
      <w:marLeft w:val="0"/>
      <w:marRight w:val="0"/>
      <w:marTop w:val="0"/>
      <w:marBottom w:val="0"/>
      <w:divBdr>
        <w:top w:val="none" w:sz="0" w:space="0" w:color="auto"/>
        <w:left w:val="none" w:sz="0" w:space="0" w:color="auto"/>
        <w:bottom w:val="none" w:sz="0" w:space="0" w:color="auto"/>
        <w:right w:val="none" w:sz="0" w:space="0" w:color="auto"/>
      </w:divBdr>
    </w:div>
    <w:div w:id="1380322358">
      <w:marLeft w:val="0"/>
      <w:marRight w:val="0"/>
      <w:marTop w:val="0"/>
      <w:marBottom w:val="0"/>
      <w:divBdr>
        <w:top w:val="none" w:sz="0" w:space="0" w:color="auto"/>
        <w:left w:val="none" w:sz="0" w:space="0" w:color="auto"/>
        <w:bottom w:val="none" w:sz="0" w:space="0" w:color="auto"/>
        <w:right w:val="none" w:sz="0" w:space="0" w:color="auto"/>
      </w:divBdr>
      <w:divsChild>
        <w:div w:id="790395017">
          <w:marLeft w:val="0"/>
          <w:marRight w:val="0"/>
          <w:marTop w:val="0"/>
          <w:marBottom w:val="0"/>
          <w:divBdr>
            <w:top w:val="none" w:sz="0" w:space="0" w:color="auto"/>
            <w:left w:val="none" w:sz="0" w:space="0" w:color="auto"/>
            <w:bottom w:val="none" w:sz="0" w:space="0" w:color="auto"/>
            <w:right w:val="none" w:sz="0" w:space="0" w:color="auto"/>
          </w:divBdr>
        </w:div>
      </w:divsChild>
    </w:div>
    <w:div w:id="1380742709">
      <w:marLeft w:val="0"/>
      <w:marRight w:val="0"/>
      <w:marTop w:val="0"/>
      <w:marBottom w:val="240"/>
      <w:divBdr>
        <w:top w:val="none" w:sz="0" w:space="0" w:color="auto"/>
        <w:left w:val="none" w:sz="0" w:space="0" w:color="auto"/>
        <w:bottom w:val="none" w:sz="0" w:space="0" w:color="auto"/>
        <w:right w:val="none" w:sz="0" w:space="0" w:color="auto"/>
      </w:divBdr>
    </w:div>
    <w:div w:id="1381713379">
      <w:marLeft w:val="0"/>
      <w:marRight w:val="0"/>
      <w:marTop w:val="0"/>
      <w:marBottom w:val="180"/>
      <w:divBdr>
        <w:top w:val="none" w:sz="0" w:space="0" w:color="auto"/>
        <w:left w:val="none" w:sz="0" w:space="0" w:color="auto"/>
        <w:bottom w:val="none" w:sz="0" w:space="0" w:color="auto"/>
        <w:right w:val="none" w:sz="0" w:space="0" w:color="auto"/>
      </w:divBdr>
    </w:div>
    <w:div w:id="1381858567">
      <w:marLeft w:val="0"/>
      <w:marRight w:val="0"/>
      <w:marTop w:val="0"/>
      <w:marBottom w:val="180"/>
      <w:divBdr>
        <w:top w:val="none" w:sz="0" w:space="0" w:color="auto"/>
        <w:left w:val="none" w:sz="0" w:space="0" w:color="auto"/>
        <w:bottom w:val="none" w:sz="0" w:space="0" w:color="auto"/>
        <w:right w:val="none" w:sz="0" w:space="0" w:color="auto"/>
      </w:divBdr>
    </w:div>
    <w:div w:id="1382248020">
      <w:marLeft w:val="0"/>
      <w:marRight w:val="0"/>
      <w:marTop w:val="0"/>
      <w:marBottom w:val="240"/>
      <w:divBdr>
        <w:top w:val="none" w:sz="0" w:space="0" w:color="auto"/>
        <w:left w:val="none" w:sz="0" w:space="0" w:color="auto"/>
        <w:bottom w:val="none" w:sz="0" w:space="0" w:color="auto"/>
        <w:right w:val="none" w:sz="0" w:space="0" w:color="auto"/>
      </w:divBdr>
    </w:div>
    <w:div w:id="1382634674">
      <w:marLeft w:val="0"/>
      <w:marRight w:val="0"/>
      <w:marTop w:val="0"/>
      <w:marBottom w:val="24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1383939938">
      <w:marLeft w:val="0"/>
      <w:marRight w:val="0"/>
      <w:marTop w:val="0"/>
      <w:marBottom w:val="0"/>
      <w:divBdr>
        <w:top w:val="none" w:sz="0" w:space="0" w:color="auto"/>
        <w:left w:val="none" w:sz="0" w:space="0" w:color="auto"/>
        <w:bottom w:val="none" w:sz="0" w:space="0" w:color="auto"/>
        <w:right w:val="none" w:sz="0" w:space="0" w:color="auto"/>
      </w:divBdr>
      <w:divsChild>
        <w:div w:id="1786608734">
          <w:marLeft w:val="0"/>
          <w:marRight w:val="0"/>
          <w:marTop w:val="0"/>
          <w:marBottom w:val="0"/>
          <w:divBdr>
            <w:top w:val="none" w:sz="0" w:space="0" w:color="auto"/>
            <w:left w:val="none" w:sz="0" w:space="0" w:color="auto"/>
            <w:bottom w:val="none" w:sz="0" w:space="0" w:color="auto"/>
            <w:right w:val="none" w:sz="0" w:space="0" w:color="auto"/>
          </w:divBdr>
        </w:div>
      </w:divsChild>
    </w:div>
    <w:div w:id="1385064303">
      <w:marLeft w:val="0"/>
      <w:marRight w:val="0"/>
      <w:marTop w:val="0"/>
      <w:marBottom w:val="240"/>
      <w:divBdr>
        <w:top w:val="none" w:sz="0" w:space="0" w:color="auto"/>
        <w:left w:val="none" w:sz="0" w:space="0" w:color="auto"/>
        <w:bottom w:val="none" w:sz="0" w:space="0" w:color="auto"/>
        <w:right w:val="none" w:sz="0" w:space="0" w:color="auto"/>
      </w:divBdr>
    </w:div>
    <w:div w:id="1385910329">
      <w:marLeft w:val="0"/>
      <w:marRight w:val="0"/>
      <w:marTop w:val="0"/>
      <w:marBottom w:val="0"/>
      <w:divBdr>
        <w:top w:val="none" w:sz="0" w:space="0" w:color="auto"/>
        <w:left w:val="none" w:sz="0" w:space="0" w:color="auto"/>
        <w:bottom w:val="none" w:sz="0" w:space="0" w:color="auto"/>
        <w:right w:val="none" w:sz="0" w:space="0" w:color="auto"/>
      </w:divBdr>
    </w:div>
    <w:div w:id="1386221371">
      <w:marLeft w:val="0"/>
      <w:marRight w:val="0"/>
      <w:marTop w:val="0"/>
      <w:marBottom w:val="0"/>
      <w:divBdr>
        <w:top w:val="none" w:sz="0" w:space="0" w:color="auto"/>
        <w:left w:val="none" w:sz="0" w:space="0" w:color="auto"/>
        <w:bottom w:val="none" w:sz="0" w:space="0" w:color="auto"/>
        <w:right w:val="none" w:sz="0" w:space="0" w:color="auto"/>
      </w:divBdr>
    </w:div>
    <w:div w:id="1386641135">
      <w:marLeft w:val="0"/>
      <w:marRight w:val="0"/>
      <w:marTop w:val="180"/>
      <w:marBottom w:val="180"/>
      <w:divBdr>
        <w:top w:val="none" w:sz="0" w:space="0" w:color="auto"/>
        <w:left w:val="none" w:sz="0" w:space="0" w:color="auto"/>
        <w:bottom w:val="none" w:sz="0" w:space="0" w:color="auto"/>
        <w:right w:val="none" w:sz="0" w:space="0" w:color="auto"/>
      </w:divBdr>
    </w:div>
    <w:div w:id="1386948907">
      <w:marLeft w:val="0"/>
      <w:marRight w:val="0"/>
      <w:marTop w:val="180"/>
      <w:marBottom w:val="180"/>
      <w:divBdr>
        <w:top w:val="none" w:sz="0" w:space="0" w:color="auto"/>
        <w:left w:val="none" w:sz="0" w:space="0" w:color="auto"/>
        <w:bottom w:val="none" w:sz="0" w:space="0" w:color="auto"/>
        <w:right w:val="none" w:sz="0" w:space="0" w:color="auto"/>
      </w:divBdr>
    </w:div>
    <w:div w:id="1387290884">
      <w:marLeft w:val="0"/>
      <w:marRight w:val="0"/>
      <w:marTop w:val="180"/>
      <w:marBottom w:val="180"/>
      <w:divBdr>
        <w:top w:val="none" w:sz="0" w:space="0" w:color="auto"/>
        <w:left w:val="none" w:sz="0" w:space="0" w:color="auto"/>
        <w:bottom w:val="none" w:sz="0" w:space="0" w:color="auto"/>
        <w:right w:val="none" w:sz="0" w:space="0" w:color="auto"/>
      </w:divBdr>
    </w:div>
    <w:div w:id="1387602541">
      <w:marLeft w:val="0"/>
      <w:marRight w:val="0"/>
      <w:marTop w:val="120"/>
      <w:marBottom w:val="120"/>
      <w:divBdr>
        <w:top w:val="none" w:sz="0" w:space="0" w:color="auto"/>
        <w:left w:val="none" w:sz="0" w:space="0" w:color="auto"/>
        <w:bottom w:val="none" w:sz="0" w:space="0" w:color="auto"/>
        <w:right w:val="none" w:sz="0" w:space="0" w:color="auto"/>
      </w:divBdr>
    </w:div>
    <w:div w:id="1387680714">
      <w:marLeft w:val="0"/>
      <w:marRight w:val="0"/>
      <w:marTop w:val="0"/>
      <w:marBottom w:val="180"/>
      <w:divBdr>
        <w:top w:val="none" w:sz="0" w:space="0" w:color="auto"/>
        <w:left w:val="none" w:sz="0" w:space="0" w:color="auto"/>
        <w:bottom w:val="none" w:sz="0" w:space="0" w:color="auto"/>
        <w:right w:val="none" w:sz="0" w:space="0" w:color="auto"/>
      </w:divBdr>
    </w:div>
    <w:div w:id="1387797186">
      <w:marLeft w:val="0"/>
      <w:marRight w:val="0"/>
      <w:marTop w:val="0"/>
      <w:marBottom w:val="180"/>
      <w:divBdr>
        <w:top w:val="none" w:sz="0" w:space="0" w:color="auto"/>
        <w:left w:val="none" w:sz="0" w:space="0" w:color="auto"/>
        <w:bottom w:val="none" w:sz="0" w:space="0" w:color="auto"/>
        <w:right w:val="none" w:sz="0" w:space="0" w:color="auto"/>
      </w:divBdr>
    </w:div>
    <w:div w:id="1388068993">
      <w:marLeft w:val="0"/>
      <w:marRight w:val="0"/>
      <w:marTop w:val="0"/>
      <w:marBottom w:val="0"/>
      <w:divBdr>
        <w:top w:val="none" w:sz="0" w:space="0" w:color="auto"/>
        <w:left w:val="none" w:sz="0" w:space="0" w:color="auto"/>
        <w:bottom w:val="none" w:sz="0" w:space="0" w:color="auto"/>
        <w:right w:val="none" w:sz="0" w:space="0" w:color="auto"/>
      </w:divBdr>
    </w:div>
    <w:div w:id="1388188754">
      <w:marLeft w:val="0"/>
      <w:marRight w:val="0"/>
      <w:marTop w:val="0"/>
      <w:marBottom w:val="0"/>
      <w:divBdr>
        <w:top w:val="none" w:sz="0" w:space="0" w:color="auto"/>
        <w:left w:val="none" w:sz="0" w:space="0" w:color="auto"/>
        <w:bottom w:val="none" w:sz="0" w:space="0" w:color="auto"/>
        <w:right w:val="none" w:sz="0" w:space="0" w:color="auto"/>
      </w:divBdr>
      <w:divsChild>
        <w:div w:id="746071465">
          <w:marLeft w:val="0"/>
          <w:marRight w:val="0"/>
          <w:marTop w:val="0"/>
          <w:marBottom w:val="0"/>
          <w:divBdr>
            <w:top w:val="none" w:sz="0" w:space="0" w:color="auto"/>
            <w:left w:val="none" w:sz="0" w:space="0" w:color="auto"/>
            <w:bottom w:val="none" w:sz="0" w:space="0" w:color="auto"/>
            <w:right w:val="none" w:sz="0" w:space="0" w:color="auto"/>
          </w:divBdr>
        </w:div>
      </w:divsChild>
    </w:div>
    <w:div w:id="1389648417">
      <w:marLeft w:val="0"/>
      <w:marRight w:val="0"/>
      <w:marTop w:val="360"/>
      <w:marBottom w:val="140"/>
      <w:divBdr>
        <w:top w:val="none" w:sz="0" w:space="0" w:color="auto"/>
        <w:left w:val="none" w:sz="0" w:space="0" w:color="auto"/>
        <w:bottom w:val="none" w:sz="0" w:space="0" w:color="auto"/>
        <w:right w:val="none" w:sz="0" w:space="0" w:color="auto"/>
      </w:divBdr>
    </w:div>
    <w:div w:id="1390375207">
      <w:marLeft w:val="0"/>
      <w:marRight w:val="0"/>
      <w:marTop w:val="0"/>
      <w:marBottom w:val="0"/>
      <w:divBdr>
        <w:top w:val="none" w:sz="0" w:space="0" w:color="auto"/>
        <w:left w:val="none" w:sz="0" w:space="0" w:color="auto"/>
        <w:bottom w:val="none" w:sz="0" w:space="0" w:color="auto"/>
        <w:right w:val="none" w:sz="0" w:space="0" w:color="auto"/>
      </w:divBdr>
    </w:div>
    <w:div w:id="1391460401">
      <w:marLeft w:val="0"/>
      <w:marRight w:val="0"/>
      <w:marTop w:val="0"/>
      <w:marBottom w:val="180"/>
      <w:divBdr>
        <w:top w:val="none" w:sz="0" w:space="0" w:color="auto"/>
        <w:left w:val="none" w:sz="0" w:space="0" w:color="auto"/>
        <w:bottom w:val="none" w:sz="0" w:space="0" w:color="auto"/>
        <w:right w:val="none" w:sz="0" w:space="0" w:color="auto"/>
      </w:divBdr>
    </w:div>
    <w:div w:id="1392578938">
      <w:marLeft w:val="0"/>
      <w:marRight w:val="0"/>
      <w:marTop w:val="0"/>
      <w:marBottom w:val="0"/>
      <w:divBdr>
        <w:top w:val="none" w:sz="0" w:space="0" w:color="auto"/>
        <w:left w:val="none" w:sz="0" w:space="0" w:color="auto"/>
        <w:bottom w:val="none" w:sz="0" w:space="0" w:color="auto"/>
        <w:right w:val="none" w:sz="0" w:space="0" w:color="auto"/>
      </w:divBdr>
    </w:div>
    <w:div w:id="1392847081">
      <w:marLeft w:val="0"/>
      <w:marRight w:val="0"/>
      <w:marTop w:val="0"/>
      <w:marBottom w:val="180"/>
      <w:divBdr>
        <w:top w:val="none" w:sz="0" w:space="0" w:color="auto"/>
        <w:left w:val="none" w:sz="0" w:space="0" w:color="auto"/>
        <w:bottom w:val="none" w:sz="0" w:space="0" w:color="auto"/>
        <w:right w:val="none" w:sz="0" w:space="0" w:color="auto"/>
      </w:divBdr>
    </w:div>
    <w:div w:id="1393970347">
      <w:marLeft w:val="0"/>
      <w:marRight w:val="0"/>
      <w:marTop w:val="180"/>
      <w:marBottom w:val="180"/>
      <w:divBdr>
        <w:top w:val="none" w:sz="0" w:space="0" w:color="auto"/>
        <w:left w:val="none" w:sz="0" w:space="0" w:color="auto"/>
        <w:bottom w:val="none" w:sz="0" w:space="0" w:color="auto"/>
        <w:right w:val="none" w:sz="0" w:space="0" w:color="auto"/>
      </w:divBdr>
    </w:div>
    <w:div w:id="1394036366">
      <w:marLeft w:val="0"/>
      <w:marRight w:val="0"/>
      <w:marTop w:val="0"/>
      <w:marBottom w:val="240"/>
      <w:divBdr>
        <w:top w:val="none" w:sz="0" w:space="0" w:color="auto"/>
        <w:left w:val="none" w:sz="0" w:space="0" w:color="auto"/>
        <w:bottom w:val="none" w:sz="0" w:space="0" w:color="auto"/>
        <w:right w:val="none" w:sz="0" w:space="0" w:color="auto"/>
      </w:divBdr>
      <w:divsChild>
        <w:div w:id="3165569">
          <w:marLeft w:val="0"/>
          <w:marRight w:val="0"/>
          <w:marTop w:val="0"/>
          <w:marBottom w:val="0"/>
          <w:divBdr>
            <w:top w:val="none" w:sz="0" w:space="0" w:color="auto"/>
            <w:left w:val="none" w:sz="0" w:space="0" w:color="auto"/>
            <w:bottom w:val="none" w:sz="0" w:space="0" w:color="auto"/>
            <w:right w:val="none" w:sz="0" w:space="0" w:color="auto"/>
          </w:divBdr>
        </w:div>
      </w:divsChild>
    </w:div>
    <w:div w:id="1395273074">
      <w:marLeft w:val="0"/>
      <w:marRight w:val="0"/>
      <w:marTop w:val="0"/>
      <w:marBottom w:val="240"/>
      <w:divBdr>
        <w:top w:val="none" w:sz="0" w:space="0" w:color="auto"/>
        <w:left w:val="none" w:sz="0" w:space="0" w:color="auto"/>
        <w:bottom w:val="none" w:sz="0" w:space="0" w:color="auto"/>
        <w:right w:val="none" w:sz="0" w:space="0" w:color="auto"/>
      </w:divBdr>
    </w:div>
    <w:div w:id="1395473525">
      <w:marLeft w:val="0"/>
      <w:marRight w:val="0"/>
      <w:marTop w:val="0"/>
      <w:marBottom w:val="180"/>
      <w:divBdr>
        <w:top w:val="none" w:sz="0" w:space="0" w:color="auto"/>
        <w:left w:val="none" w:sz="0" w:space="0" w:color="auto"/>
        <w:bottom w:val="none" w:sz="0" w:space="0" w:color="auto"/>
        <w:right w:val="none" w:sz="0" w:space="0" w:color="auto"/>
      </w:divBdr>
    </w:div>
    <w:div w:id="1395855783">
      <w:marLeft w:val="0"/>
      <w:marRight w:val="0"/>
      <w:marTop w:val="0"/>
      <w:marBottom w:val="240"/>
      <w:divBdr>
        <w:top w:val="none" w:sz="0" w:space="0" w:color="auto"/>
        <w:left w:val="none" w:sz="0" w:space="0" w:color="auto"/>
        <w:bottom w:val="none" w:sz="0" w:space="0" w:color="auto"/>
        <w:right w:val="none" w:sz="0" w:space="0" w:color="auto"/>
      </w:divBdr>
    </w:div>
    <w:div w:id="1395931656">
      <w:marLeft w:val="0"/>
      <w:marRight w:val="0"/>
      <w:marTop w:val="0"/>
      <w:marBottom w:val="0"/>
      <w:divBdr>
        <w:top w:val="none" w:sz="0" w:space="0" w:color="auto"/>
        <w:left w:val="none" w:sz="0" w:space="0" w:color="auto"/>
        <w:bottom w:val="none" w:sz="0" w:space="0" w:color="auto"/>
        <w:right w:val="none" w:sz="0" w:space="0" w:color="auto"/>
      </w:divBdr>
      <w:divsChild>
        <w:div w:id="738753196">
          <w:marLeft w:val="0"/>
          <w:marRight w:val="0"/>
          <w:marTop w:val="0"/>
          <w:marBottom w:val="0"/>
          <w:divBdr>
            <w:top w:val="none" w:sz="0" w:space="0" w:color="auto"/>
            <w:left w:val="none" w:sz="0" w:space="0" w:color="auto"/>
            <w:bottom w:val="none" w:sz="0" w:space="0" w:color="auto"/>
            <w:right w:val="none" w:sz="0" w:space="0" w:color="auto"/>
          </w:divBdr>
        </w:div>
      </w:divsChild>
    </w:div>
    <w:div w:id="1396123061">
      <w:marLeft w:val="0"/>
      <w:marRight w:val="0"/>
      <w:marTop w:val="0"/>
      <w:marBottom w:val="240"/>
      <w:divBdr>
        <w:top w:val="none" w:sz="0" w:space="0" w:color="auto"/>
        <w:left w:val="none" w:sz="0" w:space="0" w:color="auto"/>
        <w:bottom w:val="none" w:sz="0" w:space="0" w:color="auto"/>
        <w:right w:val="none" w:sz="0" w:space="0" w:color="auto"/>
      </w:divBdr>
    </w:div>
    <w:div w:id="1396586161">
      <w:marLeft w:val="0"/>
      <w:marRight w:val="0"/>
      <w:marTop w:val="0"/>
      <w:marBottom w:val="0"/>
      <w:divBdr>
        <w:top w:val="none" w:sz="0" w:space="0" w:color="auto"/>
        <w:left w:val="none" w:sz="0" w:space="0" w:color="auto"/>
        <w:bottom w:val="none" w:sz="0" w:space="0" w:color="auto"/>
        <w:right w:val="none" w:sz="0" w:space="0" w:color="auto"/>
      </w:divBdr>
      <w:divsChild>
        <w:div w:id="2045791583">
          <w:marLeft w:val="0"/>
          <w:marRight w:val="0"/>
          <w:marTop w:val="0"/>
          <w:marBottom w:val="0"/>
          <w:divBdr>
            <w:top w:val="none" w:sz="0" w:space="0" w:color="auto"/>
            <w:left w:val="none" w:sz="0" w:space="0" w:color="auto"/>
            <w:bottom w:val="none" w:sz="0" w:space="0" w:color="auto"/>
            <w:right w:val="none" w:sz="0" w:space="0" w:color="auto"/>
          </w:divBdr>
        </w:div>
      </w:divsChild>
    </w:div>
    <w:div w:id="1397049680">
      <w:marLeft w:val="0"/>
      <w:marRight w:val="0"/>
      <w:marTop w:val="0"/>
      <w:marBottom w:val="240"/>
      <w:divBdr>
        <w:top w:val="none" w:sz="0" w:space="0" w:color="auto"/>
        <w:left w:val="none" w:sz="0" w:space="0" w:color="auto"/>
        <w:bottom w:val="none" w:sz="0" w:space="0" w:color="auto"/>
        <w:right w:val="none" w:sz="0" w:space="0" w:color="auto"/>
      </w:divBdr>
    </w:div>
    <w:div w:id="1397626179">
      <w:marLeft w:val="0"/>
      <w:marRight w:val="0"/>
      <w:marTop w:val="0"/>
      <w:marBottom w:val="240"/>
      <w:divBdr>
        <w:top w:val="none" w:sz="0" w:space="0" w:color="auto"/>
        <w:left w:val="none" w:sz="0" w:space="0" w:color="auto"/>
        <w:bottom w:val="none" w:sz="0" w:space="0" w:color="auto"/>
        <w:right w:val="none" w:sz="0" w:space="0" w:color="auto"/>
      </w:divBdr>
    </w:div>
    <w:div w:id="1399085558">
      <w:marLeft w:val="0"/>
      <w:marRight w:val="0"/>
      <w:marTop w:val="180"/>
      <w:marBottom w:val="180"/>
      <w:divBdr>
        <w:top w:val="none" w:sz="0" w:space="0" w:color="auto"/>
        <w:left w:val="none" w:sz="0" w:space="0" w:color="auto"/>
        <w:bottom w:val="none" w:sz="0" w:space="0" w:color="auto"/>
        <w:right w:val="none" w:sz="0" w:space="0" w:color="auto"/>
      </w:divBdr>
    </w:div>
    <w:div w:id="1400790482">
      <w:marLeft w:val="0"/>
      <w:marRight w:val="0"/>
      <w:marTop w:val="180"/>
      <w:marBottom w:val="180"/>
      <w:divBdr>
        <w:top w:val="none" w:sz="0" w:space="0" w:color="auto"/>
        <w:left w:val="none" w:sz="0" w:space="0" w:color="auto"/>
        <w:bottom w:val="none" w:sz="0" w:space="0" w:color="auto"/>
        <w:right w:val="none" w:sz="0" w:space="0" w:color="auto"/>
      </w:divBdr>
    </w:div>
    <w:div w:id="1400979598">
      <w:marLeft w:val="0"/>
      <w:marRight w:val="0"/>
      <w:marTop w:val="0"/>
      <w:marBottom w:val="0"/>
      <w:divBdr>
        <w:top w:val="none" w:sz="0" w:space="0" w:color="auto"/>
        <w:left w:val="none" w:sz="0" w:space="0" w:color="auto"/>
        <w:bottom w:val="none" w:sz="0" w:space="0" w:color="auto"/>
        <w:right w:val="none" w:sz="0" w:space="0" w:color="auto"/>
      </w:divBdr>
    </w:div>
    <w:div w:id="1401950103">
      <w:marLeft w:val="0"/>
      <w:marRight w:val="0"/>
      <w:marTop w:val="180"/>
      <w:marBottom w:val="180"/>
      <w:divBdr>
        <w:top w:val="none" w:sz="0" w:space="0" w:color="auto"/>
        <w:left w:val="none" w:sz="0" w:space="0" w:color="auto"/>
        <w:bottom w:val="none" w:sz="0" w:space="0" w:color="auto"/>
        <w:right w:val="none" w:sz="0" w:space="0" w:color="auto"/>
      </w:divBdr>
    </w:div>
    <w:div w:id="1402408575">
      <w:marLeft w:val="0"/>
      <w:marRight w:val="0"/>
      <w:marTop w:val="0"/>
      <w:marBottom w:val="240"/>
      <w:divBdr>
        <w:top w:val="none" w:sz="0" w:space="0" w:color="auto"/>
        <w:left w:val="none" w:sz="0" w:space="0" w:color="auto"/>
        <w:bottom w:val="none" w:sz="0" w:space="0" w:color="auto"/>
        <w:right w:val="none" w:sz="0" w:space="0" w:color="auto"/>
      </w:divBdr>
    </w:div>
    <w:div w:id="1403017864">
      <w:marLeft w:val="0"/>
      <w:marRight w:val="0"/>
      <w:marTop w:val="180"/>
      <w:marBottom w:val="180"/>
      <w:divBdr>
        <w:top w:val="none" w:sz="0" w:space="0" w:color="auto"/>
        <w:left w:val="none" w:sz="0" w:space="0" w:color="auto"/>
        <w:bottom w:val="none" w:sz="0" w:space="0" w:color="auto"/>
        <w:right w:val="none" w:sz="0" w:space="0" w:color="auto"/>
      </w:divBdr>
    </w:div>
    <w:div w:id="1403136523">
      <w:marLeft w:val="0"/>
      <w:marRight w:val="0"/>
      <w:marTop w:val="0"/>
      <w:marBottom w:val="180"/>
      <w:divBdr>
        <w:top w:val="none" w:sz="0" w:space="0" w:color="auto"/>
        <w:left w:val="none" w:sz="0" w:space="0" w:color="auto"/>
        <w:bottom w:val="none" w:sz="0" w:space="0" w:color="auto"/>
        <w:right w:val="none" w:sz="0" w:space="0" w:color="auto"/>
      </w:divBdr>
    </w:div>
    <w:div w:id="1404792106">
      <w:marLeft w:val="0"/>
      <w:marRight w:val="0"/>
      <w:marTop w:val="120"/>
      <w:marBottom w:val="120"/>
      <w:divBdr>
        <w:top w:val="none" w:sz="0" w:space="0" w:color="auto"/>
        <w:left w:val="none" w:sz="0" w:space="0" w:color="auto"/>
        <w:bottom w:val="none" w:sz="0" w:space="0" w:color="auto"/>
        <w:right w:val="none" w:sz="0" w:space="0" w:color="auto"/>
      </w:divBdr>
    </w:div>
    <w:div w:id="1404986884">
      <w:marLeft w:val="0"/>
      <w:marRight w:val="0"/>
      <w:marTop w:val="0"/>
      <w:marBottom w:val="0"/>
      <w:divBdr>
        <w:top w:val="none" w:sz="0" w:space="0" w:color="auto"/>
        <w:left w:val="none" w:sz="0" w:space="0" w:color="auto"/>
        <w:bottom w:val="none" w:sz="0" w:space="0" w:color="auto"/>
        <w:right w:val="none" w:sz="0" w:space="0" w:color="auto"/>
      </w:divBdr>
    </w:div>
    <w:div w:id="1406758112">
      <w:marLeft w:val="0"/>
      <w:marRight w:val="0"/>
      <w:marTop w:val="0"/>
      <w:marBottom w:val="240"/>
      <w:divBdr>
        <w:top w:val="none" w:sz="0" w:space="0" w:color="auto"/>
        <w:left w:val="none" w:sz="0" w:space="0" w:color="auto"/>
        <w:bottom w:val="none" w:sz="0" w:space="0" w:color="auto"/>
        <w:right w:val="none" w:sz="0" w:space="0" w:color="auto"/>
      </w:divBdr>
    </w:div>
    <w:div w:id="1406954607">
      <w:marLeft w:val="0"/>
      <w:marRight w:val="0"/>
      <w:marTop w:val="0"/>
      <w:marBottom w:val="180"/>
      <w:divBdr>
        <w:top w:val="none" w:sz="0" w:space="0" w:color="auto"/>
        <w:left w:val="none" w:sz="0" w:space="0" w:color="auto"/>
        <w:bottom w:val="none" w:sz="0" w:space="0" w:color="auto"/>
        <w:right w:val="none" w:sz="0" w:space="0" w:color="auto"/>
      </w:divBdr>
    </w:div>
    <w:div w:id="1408654133">
      <w:marLeft w:val="0"/>
      <w:marRight w:val="0"/>
      <w:marTop w:val="100"/>
      <w:marBottom w:val="180"/>
      <w:divBdr>
        <w:top w:val="none" w:sz="0" w:space="0" w:color="auto"/>
        <w:left w:val="none" w:sz="0" w:space="0" w:color="auto"/>
        <w:bottom w:val="none" w:sz="0" w:space="0" w:color="auto"/>
        <w:right w:val="none" w:sz="0" w:space="0" w:color="auto"/>
      </w:divBdr>
    </w:div>
    <w:div w:id="1409034922">
      <w:marLeft w:val="0"/>
      <w:marRight w:val="0"/>
      <w:marTop w:val="0"/>
      <w:marBottom w:val="240"/>
      <w:divBdr>
        <w:top w:val="none" w:sz="0" w:space="0" w:color="auto"/>
        <w:left w:val="none" w:sz="0" w:space="0" w:color="auto"/>
        <w:bottom w:val="none" w:sz="0" w:space="0" w:color="auto"/>
        <w:right w:val="none" w:sz="0" w:space="0" w:color="auto"/>
      </w:divBdr>
    </w:div>
    <w:div w:id="1409116720">
      <w:marLeft w:val="0"/>
      <w:marRight w:val="0"/>
      <w:marTop w:val="0"/>
      <w:marBottom w:val="180"/>
      <w:divBdr>
        <w:top w:val="none" w:sz="0" w:space="0" w:color="auto"/>
        <w:left w:val="none" w:sz="0" w:space="0" w:color="auto"/>
        <w:bottom w:val="none" w:sz="0" w:space="0" w:color="auto"/>
        <w:right w:val="none" w:sz="0" w:space="0" w:color="auto"/>
      </w:divBdr>
    </w:div>
    <w:div w:id="1409494663">
      <w:marLeft w:val="0"/>
      <w:marRight w:val="0"/>
      <w:marTop w:val="180"/>
      <w:marBottom w:val="180"/>
      <w:divBdr>
        <w:top w:val="none" w:sz="0" w:space="0" w:color="auto"/>
        <w:left w:val="none" w:sz="0" w:space="0" w:color="auto"/>
        <w:bottom w:val="none" w:sz="0" w:space="0" w:color="auto"/>
        <w:right w:val="none" w:sz="0" w:space="0" w:color="auto"/>
      </w:divBdr>
    </w:div>
    <w:div w:id="1409500632">
      <w:marLeft w:val="0"/>
      <w:marRight w:val="0"/>
      <w:marTop w:val="0"/>
      <w:marBottom w:val="240"/>
      <w:divBdr>
        <w:top w:val="none" w:sz="0" w:space="0" w:color="auto"/>
        <w:left w:val="none" w:sz="0" w:space="0" w:color="auto"/>
        <w:bottom w:val="none" w:sz="0" w:space="0" w:color="auto"/>
        <w:right w:val="none" w:sz="0" w:space="0" w:color="auto"/>
      </w:divBdr>
    </w:div>
    <w:div w:id="1410612387">
      <w:marLeft w:val="0"/>
      <w:marRight w:val="0"/>
      <w:marTop w:val="0"/>
      <w:marBottom w:val="240"/>
      <w:divBdr>
        <w:top w:val="none" w:sz="0" w:space="0" w:color="auto"/>
        <w:left w:val="none" w:sz="0" w:space="0" w:color="auto"/>
        <w:bottom w:val="none" w:sz="0" w:space="0" w:color="auto"/>
        <w:right w:val="none" w:sz="0" w:space="0" w:color="auto"/>
      </w:divBdr>
    </w:div>
    <w:div w:id="1411469028">
      <w:marLeft w:val="0"/>
      <w:marRight w:val="0"/>
      <w:marTop w:val="0"/>
      <w:marBottom w:val="240"/>
      <w:divBdr>
        <w:top w:val="none" w:sz="0" w:space="0" w:color="auto"/>
        <w:left w:val="none" w:sz="0" w:space="0" w:color="auto"/>
        <w:bottom w:val="none" w:sz="0" w:space="0" w:color="auto"/>
        <w:right w:val="none" w:sz="0" w:space="0" w:color="auto"/>
      </w:divBdr>
    </w:div>
    <w:div w:id="1412046788">
      <w:marLeft w:val="0"/>
      <w:marRight w:val="0"/>
      <w:marTop w:val="180"/>
      <w:marBottom w:val="180"/>
      <w:divBdr>
        <w:top w:val="none" w:sz="0" w:space="0" w:color="auto"/>
        <w:left w:val="none" w:sz="0" w:space="0" w:color="auto"/>
        <w:bottom w:val="none" w:sz="0" w:space="0" w:color="auto"/>
        <w:right w:val="none" w:sz="0" w:space="0" w:color="auto"/>
      </w:divBdr>
    </w:div>
    <w:div w:id="1412116565">
      <w:marLeft w:val="0"/>
      <w:marRight w:val="0"/>
      <w:marTop w:val="0"/>
      <w:marBottom w:val="240"/>
      <w:divBdr>
        <w:top w:val="none" w:sz="0" w:space="0" w:color="auto"/>
        <w:left w:val="none" w:sz="0" w:space="0" w:color="auto"/>
        <w:bottom w:val="none" w:sz="0" w:space="0" w:color="auto"/>
        <w:right w:val="none" w:sz="0" w:space="0" w:color="auto"/>
      </w:divBdr>
    </w:div>
    <w:div w:id="1413160544">
      <w:marLeft w:val="0"/>
      <w:marRight w:val="0"/>
      <w:marTop w:val="0"/>
      <w:marBottom w:val="180"/>
      <w:divBdr>
        <w:top w:val="none" w:sz="0" w:space="0" w:color="auto"/>
        <w:left w:val="none" w:sz="0" w:space="0" w:color="auto"/>
        <w:bottom w:val="none" w:sz="0" w:space="0" w:color="auto"/>
        <w:right w:val="none" w:sz="0" w:space="0" w:color="auto"/>
      </w:divBdr>
    </w:div>
    <w:div w:id="1413238897">
      <w:marLeft w:val="0"/>
      <w:marRight w:val="0"/>
      <w:marTop w:val="0"/>
      <w:marBottom w:val="0"/>
      <w:divBdr>
        <w:top w:val="none" w:sz="0" w:space="0" w:color="auto"/>
        <w:left w:val="none" w:sz="0" w:space="0" w:color="auto"/>
        <w:bottom w:val="none" w:sz="0" w:space="0" w:color="auto"/>
        <w:right w:val="none" w:sz="0" w:space="0" w:color="auto"/>
      </w:divBdr>
    </w:div>
    <w:div w:id="1413819492">
      <w:marLeft w:val="0"/>
      <w:marRight w:val="0"/>
      <w:marTop w:val="0"/>
      <w:marBottom w:val="240"/>
      <w:divBdr>
        <w:top w:val="none" w:sz="0" w:space="0" w:color="auto"/>
        <w:left w:val="none" w:sz="0" w:space="0" w:color="auto"/>
        <w:bottom w:val="none" w:sz="0" w:space="0" w:color="auto"/>
        <w:right w:val="none" w:sz="0" w:space="0" w:color="auto"/>
      </w:divBdr>
    </w:div>
    <w:div w:id="1413969666">
      <w:marLeft w:val="0"/>
      <w:marRight w:val="0"/>
      <w:marTop w:val="180"/>
      <w:marBottom w:val="180"/>
      <w:divBdr>
        <w:top w:val="none" w:sz="0" w:space="0" w:color="auto"/>
        <w:left w:val="none" w:sz="0" w:space="0" w:color="auto"/>
        <w:bottom w:val="none" w:sz="0" w:space="0" w:color="auto"/>
        <w:right w:val="none" w:sz="0" w:space="0" w:color="auto"/>
      </w:divBdr>
    </w:div>
    <w:div w:id="1414163745">
      <w:marLeft w:val="0"/>
      <w:marRight w:val="0"/>
      <w:marTop w:val="0"/>
      <w:marBottom w:val="0"/>
      <w:divBdr>
        <w:top w:val="none" w:sz="0" w:space="0" w:color="auto"/>
        <w:left w:val="none" w:sz="0" w:space="0" w:color="auto"/>
        <w:bottom w:val="none" w:sz="0" w:space="0" w:color="auto"/>
        <w:right w:val="none" w:sz="0" w:space="0" w:color="auto"/>
      </w:divBdr>
    </w:div>
    <w:div w:id="1414817677">
      <w:marLeft w:val="0"/>
      <w:marRight w:val="0"/>
      <w:marTop w:val="0"/>
      <w:marBottom w:val="240"/>
      <w:divBdr>
        <w:top w:val="none" w:sz="0" w:space="0" w:color="auto"/>
        <w:left w:val="none" w:sz="0" w:space="0" w:color="auto"/>
        <w:bottom w:val="none" w:sz="0" w:space="0" w:color="auto"/>
        <w:right w:val="none" w:sz="0" w:space="0" w:color="auto"/>
      </w:divBdr>
    </w:div>
    <w:div w:id="1415008969">
      <w:marLeft w:val="0"/>
      <w:marRight w:val="0"/>
      <w:marTop w:val="0"/>
      <w:marBottom w:val="240"/>
      <w:divBdr>
        <w:top w:val="none" w:sz="0" w:space="0" w:color="auto"/>
        <w:left w:val="none" w:sz="0" w:space="0" w:color="auto"/>
        <w:bottom w:val="none" w:sz="0" w:space="0" w:color="auto"/>
        <w:right w:val="none" w:sz="0" w:space="0" w:color="auto"/>
      </w:divBdr>
    </w:div>
    <w:div w:id="1416898640">
      <w:marLeft w:val="0"/>
      <w:marRight w:val="0"/>
      <w:marTop w:val="0"/>
      <w:marBottom w:val="180"/>
      <w:divBdr>
        <w:top w:val="none" w:sz="0" w:space="0" w:color="auto"/>
        <w:left w:val="none" w:sz="0" w:space="0" w:color="auto"/>
        <w:bottom w:val="none" w:sz="0" w:space="0" w:color="auto"/>
        <w:right w:val="none" w:sz="0" w:space="0" w:color="auto"/>
      </w:divBdr>
    </w:div>
    <w:div w:id="1417629767">
      <w:marLeft w:val="0"/>
      <w:marRight w:val="0"/>
      <w:marTop w:val="0"/>
      <w:marBottom w:val="0"/>
      <w:divBdr>
        <w:top w:val="none" w:sz="0" w:space="0" w:color="auto"/>
        <w:left w:val="none" w:sz="0" w:space="0" w:color="auto"/>
        <w:bottom w:val="none" w:sz="0" w:space="0" w:color="auto"/>
        <w:right w:val="none" w:sz="0" w:space="0" w:color="auto"/>
      </w:divBdr>
    </w:div>
    <w:div w:id="1417937102">
      <w:marLeft w:val="0"/>
      <w:marRight w:val="0"/>
      <w:marTop w:val="0"/>
      <w:marBottom w:val="0"/>
      <w:divBdr>
        <w:top w:val="none" w:sz="0" w:space="0" w:color="auto"/>
        <w:left w:val="none" w:sz="0" w:space="0" w:color="auto"/>
        <w:bottom w:val="none" w:sz="0" w:space="0" w:color="auto"/>
        <w:right w:val="none" w:sz="0" w:space="0" w:color="auto"/>
      </w:divBdr>
      <w:divsChild>
        <w:div w:id="164832097">
          <w:marLeft w:val="0"/>
          <w:marRight w:val="0"/>
          <w:marTop w:val="0"/>
          <w:marBottom w:val="0"/>
          <w:divBdr>
            <w:top w:val="none" w:sz="0" w:space="0" w:color="auto"/>
            <w:left w:val="none" w:sz="0" w:space="0" w:color="auto"/>
            <w:bottom w:val="none" w:sz="0" w:space="0" w:color="auto"/>
            <w:right w:val="none" w:sz="0" w:space="0" w:color="auto"/>
          </w:divBdr>
        </w:div>
      </w:divsChild>
    </w:div>
    <w:div w:id="1418289387">
      <w:marLeft w:val="0"/>
      <w:marRight w:val="0"/>
      <w:marTop w:val="100"/>
      <w:marBottom w:val="0"/>
      <w:divBdr>
        <w:top w:val="none" w:sz="0" w:space="0" w:color="auto"/>
        <w:left w:val="none" w:sz="0" w:space="0" w:color="auto"/>
        <w:bottom w:val="none" w:sz="0" w:space="0" w:color="auto"/>
        <w:right w:val="none" w:sz="0" w:space="0" w:color="auto"/>
      </w:divBdr>
    </w:div>
    <w:div w:id="1418792911">
      <w:marLeft w:val="0"/>
      <w:marRight w:val="0"/>
      <w:marTop w:val="0"/>
      <w:marBottom w:val="180"/>
      <w:divBdr>
        <w:top w:val="none" w:sz="0" w:space="0" w:color="auto"/>
        <w:left w:val="none" w:sz="0" w:space="0" w:color="auto"/>
        <w:bottom w:val="none" w:sz="0" w:space="0" w:color="auto"/>
        <w:right w:val="none" w:sz="0" w:space="0" w:color="auto"/>
      </w:divBdr>
    </w:div>
    <w:div w:id="1418869576">
      <w:marLeft w:val="0"/>
      <w:marRight w:val="0"/>
      <w:marTop w:val="0"/>
      <w:marBottom w:val="240"/>
      <w:divBdr>
        <w:top w:val="none" w:sz="0" w:space="0" w:color="auto"/>
        <w:left w:val="none" w:sz="0" w:space="0" w:color="auto"/>
        <w:bottom w:val="none" w:sz="0" w:space="0" w:color="auto"/>
        <w:right w:val="none" w:sz="0" w:space="0" w:color="auto"/>
      </w:divBdr>
    </w:div>
    <w:div w:id="1418942372">
      <w:marLeft w:val="0"/>
      <w:marRight w:val="0"/>
      <w:marTop w:val="180"/>
      <w:marBottom w:val="180"/>
      <w:divBdr>
        <w:top w:val="none" w:sz="0" w:space="0" w:color="auto"/>
        <w:left w:val="none" w:sz="0" w:space="0" w:color="auto"/>
        <w:bottom w:val="none" w:sz="0" w:space="0" w:color="auto"/>
        <w:right w:val="none" w:sz="0" w:space="0" w:color="auto"/>
      </w:divBdr>
    </w:div>
    <w:div w:id="1419525626">
      <w:marLeft w:val="0"/>
      <w:marRight w:val="0"/>
      <w:marTop w:val="0"/>
      <w:marBottom w:val="0"/>
      <w:divBdr>
        <w:top w:val="none" w:sz="0" w:space="0" w:color="auto"/>
        <w:left w:val="none" w:sz="0" w:space="0" w:color="auto"/>
        <w:bottom w:val="none" w:sz="0" w:space="0" w:color="auto"/>
        <w:right w:val="none" w:sz="0" w:space="0" w:color="auto"/>
      </w:divBdr>
      <w:divsChild>
        <w:div w:id="2086493433">
          <w:marLeft w:val="0"/>
          <w:marRight w:val="0"/>
          <w:marTop w:val="0"/>
          <w:marBottom w:val="0"/>
          <w:divBdr>
            <w:top w:val="none" w:sz="0" w:space="0" w:color="auto"/>
            <w:left w:val="none" w:sz="0" w:space="0" w:color="auto"/>
            <w:bottom w:val="none" w:sz="0" w:space="0" w:color="auto"/>
            <w:right w:val="none" w:sz="0" w:space="0" w:color="auto"/>
          </w:divBdr>
        </w:div>
      </w:divsChild>
    </w:div>
    <w:div w:id="1419600984">
      <w:marLeft w:val="0"/>
      <w:marRight w:val="0"/>
      <w:marTop w:val="0"/>
      <w:marBottom w:val="180"/>
      <w:divBdr>
        <w:top w:val="none" w:sz="0" w:space="0" w:color="auto"/>
        <w:left w:val="none" w:sz="0" w:space="0" w:color="auto"/>
        <w:bottom w:val="none" w:sz="0" w:space="0" w:color="auto"/>
        <w:right w:val="none" w:sz="0" w:space="0" w:color="auto"/>
      </w:divBdr>
    </w:div>
    <w:div w:id="1420328483">
      <w:marLeft w:val="0"/>
      <w:marRight w:val="0"/>
      <w:marTop w:val="0"/>
      <w:marBottom w:val="0"/>
      <w:divBdr>
        <w:top w:val="none" w:sz="0" w:space="0" w:color="auto"/>
        <w:left w:val="none" w:sz="0" w:space="0" w:color="auto"/>
        <w:bottom w:val="none" w:sz="0" w:space="0" w:color="auto"/>
        <w:right w:val="none" w:sz="0" w:space="0" w:color="auto"/>
      </w:divBdr>
      <w:divsChild>
        <w:div w:id="1597976218">
          <w:marLeft w:val="0"/>
          <w:marRight w:val="0"/>
          <w:marTop w:val="0"/>
          <w:marBottom w:val="0"/>
          <w:divBdr>
            <w:top w:val="none" w:sz="0" w:space="0" w:color="auto"/>
            <w:left w:val="none" w:sz="0" w:space="0" w:color="auto"/>
            <w:bottom w:val="none" w:sz="0" w:space="0" w:color="auto"/>
            <w:right w:val="none" w:sz="0" w:space="0" w:color="auto"/>
          </w:divBdr>
        </w:div>
      </w:divsChild>
    </w:div>
    <w:div w:id="1420641950">
      <w:marLeft w:val="0"/>
      <w:marRight w:val="0"/>
      <w:marTop w:val="0"/>
      <w:marBottom w:val="0"/>
      <w:divBdr>
        <w:top w:val="none" w:sz="0" w:space="0" w:color="auto"/>
        <w:left w:val="none" w:sz="0" w:space="0" w:color="auto"/>
        <w:bottom w:val="none" w:sz="0" w:space="0" w:color="auto"/>
        <w:right w:val="none" w:sz="0" w:space="0" w:color="auto"/>
      </w:divBdr>
    </w:div>
    <w:div w:id="1421948940">
      <w:marLeft w:val="0"/>
      <w:marRight w:val="0"/>
      <w:marTop w:val="0"/>
      <w:marBottom w:val="180"/>
      <w:divBdr>
        <w:top w:val="none" w:sz="0" w:space="0" w:color="auto"/>
        <w:left w:val="none" w:sz="0" w:space="0" w:color="auto"/>
        <w:bottom w:val="none" w:sz="0" w:space="0" w:color="auto"/>
        <w:right w:val="none" w:sz="0" w:space="0" w:color="auto"/>
      </w:divBdr>
    </w:div>
    <w:div w:id="1425302002">
      <w:marLeft w:val="0"/>
      <w:marRight w:val="0"/>
      <w:marTop w:val="0"/>
      <w:marBottom w:val="240"/>
      <w:divBdr>
        <w:top w:val="none" w:sz="0" w:space="0" w:color="auto"/>
        <w:left w:val="none" w:sz="0" w:space="0" w:color="auto"/>
        <w:bottom w:val="none" w:sz="0" w:space="0" w:color="auto"/>
        <w:right w:val="none" w:sz="0" w:space="0" w:color="auto"/>
      </w:divBdr>
    </w:div>
    <w:div w:id="1425497949">
      <w:marLeft w:val="0"/>
      <w:marRight w:val="0"/>
      <w:marTop w:val="0"/>
      <w:marBottom w:val="180"/>
      <w:divBdr>
        <w:top w:val="none" w:sz="0" w:space="0" w:color="auto"/>
        <w:left w:val="none" w:sz="0" w:space="0" w:color="auto"/>
        <w:bottom w:val="none" w:sz="0" w:space="0" w:color="auto"/>
        <w:right w:val="none" w:sz="0" w:space="0" w:color="auto"/>
      </w:divBdr>
    </w:div>
    <w:div w:id="1425498154">
      <w:marLeft w:val="0"/>
      <w:marRight w:val="0"/>
      <w:marTop w:val="0"/>
      <w:marBottom w:val="0"/>
      <w:divBdr>
        <w:top w:val="none" w:sz="0" w:space="0" w:color="auto"/>
        <w:left w:val="none" w:sz="0" w:space="0" w:color="auto"/>
        <w:bottom w:val="none" w:sz="0" w:space="0" w:color="auto"/>
        <w:right w:val="none" w:sz="0" w:space="0" w:color="auto"/>
      </w:divBdr>
    </w:div>
    <w:div w:id="1427192103">
      <w:marLeft w:val="0"/>
      <w:marRight w:val="0"/>
      <w:marTop w:val="220"/>
      <w:marBottom w:val="180"/>
      <w:divBdr>
        <w:top w:val="none" w:sz="0" w:space="0" w:color="auto"/>
        <w:left w:val="none" w:sz="0" w:space="0" w:color="auto"/>
        <w:bottom w:val="none" w:sz="0" w:space="0" w:color="auto"/>
        <w:right w:val="none" w:sz="0" w:space="0" w:color="auto"/>
      </w:divBdr>
    </w:div>
    <w:div w:id="1428038941">
      <w:marLeft w:val="0"/>
      <w:marRight w:val="0"/>
      <w:marTop w:val="180"/>
      <w:marBottom w:val="180"/>
      <w:divBdr>
        <w:top w:val="none" w:sz="0" w:space="0" w:color="auto"/>
        <w:left w:val="none" w:sz="0" w:space="0" w:color="auto"/>
        <w:bottom w:val="none" w:sz="0" w:space="0" w:color="auto"/>
        <w:right w:val="none" w:sz="0" w:space="0" w:color="auto"/>
      </w:divBdr>
    </w:div>
    <w:div w:id="1429352838">
      <w:marLeft w:val="0"/>
      <w:marRight w:val="0"/>
      <w:marTop w:val="0"/>
      <w:marBottom w:val="0"/>
      <w:divBdr>
        <w:top w:val="none" w:sz="0" w:space="0" w:color="auto"/>
        <w:left w:val="none" w:sz="0" w:space="0" w:color="auto"/>
        <w:bottom w:val="none" w:sz="0" w:space="0" w:color="auto"/>
        <w:right w:val="none" w:sz="0" w:space="0" w:color="auto"/>
      </w:divBdr>
      <w:divsChild>
        <w:div w:id="1016618006">
          <w:marLeft w:val="0"/>
          <w:marRight w:val="0"/>
          <w:marTop w:val="0"/>
          <w:marBottom w:val="0"/>
          <w:divBdr>
            <w:top w:val="none" w:sz="0" w:space="0" w:color="auto"/>
            <w:left w:val="none" w:sz="0" w:space="0" w:color="auto"/>
            <w:bottom w:val="none" w:sz="0" w:space="0" w:color="auto"/>
            <w:right w:val="none" w:sz="0" w:space="0" w:color="auto"/>
          </w:divBdr>
        </w:div>
      </w:divsChild>
    </w:div>
    <w:div w:id="1430158564">
      <w:marLeft w:val="0"/>
      <w:marRight w:val="0"/>
      <w:marTop w:val="0"/>
      <w:marBottom w:val="0"/>
      <w:divBdr>
        <w:top w:val="none" w:sz="0" w:space="0" w:color="auto"/>
        <w:left w:val="none" w:sz="0" w:space="0" w:color="auto"/>
        <w:bottom w:val="none" w:sz="0" w:space="0" w:color="auto"/>
        <w:right w:val="none" w:sz="0" w:space="0" w:color="auto"/>
      </w:divBdr>
    </w:div>
    <w:div w:id="1430856185">
      <w:marLeft w:val="0"/>
      <w:marRight w:val="0"/>
      <w:marTop w:val="0"/>
      <w:marBottom w:val="180"/>
      <w:divBdr>
        <w:top w:val="none" w:sz="0" w:space="0" w:color="auto"/>
        <w:left w:val="none" w:sz="0" w:space="0" w:color="auto"/>
        <w:bottom w:val="none" w:sz="0" w:space="0" w:color="auto"/>
        <w:right w:val="none" w:sz="0" w:space="0" w:color="auto"/>
      </w:divBdr>
    </w:div>
    <w:div w:id="1430928699">
      <w:marLeft w:val="0"/>
      <w:marRight w:val="0"/>
      <w:marTop w:val="120"/>
      <w:marBottom w:val="120"/>
      <w:divBdr>
        <w:top w:val="none" w:sz="0" w:space="0" w:color="auto"/>
        <w:left w:val="none" w:sz="0" w:space="0" w:color="auto"/>
        <w:bottom w:val="none" w:sz="0" w:space="0" w:color="auto"/>
        <w:right w:val="none" w:sz="0" w:space="0" w:color="auto"/>
      </w:divBdr>
    </w:div>
    <w:div w:id="1430932399">
      <w:marLeft w:val="0"/>
      <w:marRight w:val="0"/>
      <w:marTop w:val="180"/>
      <w:marBottom w:val="180"/>
      <w:divBdr>
        <w:top w:val="none" w:sz="0" w:space="0" w:color="auto"/>
        <w:left w:val="none" w:sz="0" w:space="0" w:color="auto"/>
        <w:bottom w:val="none" w:sz="0" w:space="0" w:color="auto"/>
        <w:right w:val="none" w:sz="0" w:space="0" w:color="auto"/>
      </w:divBdr>
    </w:div>
    <w:div w:id="1431967436">
      <w:marLeft w:val="0"/>
      <w:marRight w:val="0"/>
      <w:marTop w:val="0"/>
      <w:marBottom w:val="0"/>
      <w:divBdr>
        <w:top w:val="none" w:sz="0" w:space="0" w:color="auto"/>
        <w:left w:val="none" w:sz="0" w:space="0" w:color="auto"/>
        <w:bottom w:val="none" w:sz="0" w:space="0" w:color="auto"/>
        <w:right w:val="none" w:sz="0" w:space="0" w:color="auto"/>
      </w:divBdr>
      <w:divsChild>
        <w:div w:id="514424212">
          <w:marLeft w:val="0"/>
          <w:marRight w:val="0"/>
          <w:marTop w:val="0"/>
          <w:marBottom w:val="0"/>
          <w:divBdr>
            <w:top w:val="none" w:sz="0" w:space="0" w:color="auto"/>
            <w:left w:val="none" w:sz="0" w:space="0" w:color="auto"/>
            <w:bottom w:val="none" w:sz="0" w:space="0" w:color="auto"/>
            <w:right w:val="none" w:sz="0" w:space="0" w:color="auto"/>
          </w:divBdr>
        </w:div>
      </w:divsChild>
    </w:div>
    <w:div w:id="1432968297">
      <w:marLeft w:val="0"/>
      <w:marRight w:val="0"/>
      <w:marTop w:val="0"/>
      <w:marBottom w:val="240"/>
      <w:divBdr>
        <w:top w:val="none" w:sz="0" w:space="0" w:color="auto"/>
        <w:left w:val="none" w:sz="0" w:space="0" w:color="auto"/>
        <w:bottom w:val="none" w:sz="0" w:space="0" w:color="auto"/>
        <w:right w:val="none" w:sz="0" w:space="0" w:color="auto"/>
      </w:divBdr>
    </w:div>
    <w:div w:id="1433041889">
      <w:marLeft w:val="0"/>
      <w:marRight w:val="0"/>
      <w:marTop w:val="0"/>
      <w:marBottom w:val="0"/>
      <w:divBdr>
        <w:top w:val="none" w:sz="0" w:space="0" w:color="auto"/>
        <w:left w:val="none" w:sz="0" w:space="0" w:color="auto"/>
        <w:bottom w:val="none" w:sz="0" w:space="0" w:color="auto"/>
        <w:right w:val="none" w:sz="0" w:space="0" w:color="auto"/>
      </w:divBdr>
    </w:div>
    <w:div w:id="1433744225">
      <w:marLeft w:val="0"/>
      <w:marRight w:val="0"/>
      <w:marTop w:val="0"/>
      <w:marBottom w:val="0"/>
      <w:divBdr>
        <w:top w:val="none" w:sz="0" w:space="0" w:color="auto"/>
        <w:left w:val="none" w:sz="0" w:space="0" w:color="auto"/>
        <w:bottom w:val="none" w:sz="0" w:space="0" w:color="auto"/>
        <w:right w:val="none" w:sz="0" w:space="0" w:color="auto"/>
      </w:divBdr>
      <w:divsChild>
        <w:div w:id="1516924050">
          <w:marLeft w:val="0"/>
          <w:marRight w:val="0"/>
          <w:marTop w:val="0"/>
          <w:marBottom w:val="0"/>
          <w:divBdr>
            <w:top w:val="none" w:sz="0" w:space="0" w:color="auto"/>
            <w:left w:val="none" w:sz="0" w:space="0" w:color="auto"/>
            <w:bottom w:val="none" w:sz="0" w:space="0" w:color="auto"/>
            <w:right w:val="none" w:sz="0" w:space="0" w:color="auto"/>
          </w:divBdr>
        </w:div>
      </w:divsChild>
    </w:div>
    <w:div w:id="1433941552">
      <w:marLeft w:val="0"/>
      <w:marRight w:val="0"/>
      <w:marTop w:val="0"/>
      <w:marBottom w:val="0"/>
      <w:divBdr>
        <w:top w:val="none" w:sz="0" w:space="0" w:color="auto"/>
        <w:left w:val="none" w:sz="0" w:space="0" w:color="auto"/>
        <w:bottom w:val="none" w:sz="0" w:space="0" w:color="auto"/>
        <w:right w:val="none" w:sz="0" w:space="0" w:color="auto"/>
      </w:divBdr>
    </w:div>
    <w:div w:id="1434277149">
      <w:marLeft w:val="0"/>
      <w:marRight w:val="0"/>
      <w:marTop w:val="180"/>
      <w:marBottom w:val="180"/>
      <w:divBdr>
        <w:top w:val="none" w:sz="0" w:space="0" w:color="auto"/>
        <w:left w:val="none" w:sz="0" w:space="0" w:color="auto"/>
        <w:bottom w:val="none" w:sz="0" w:space="0" w:color="auto"/>
        <w:right w:val="none" w:sz="0" w:space="0" w:color="auto"/>
      </w:divBdr>
    </w:div>
    <w:div w:id="1436368754">
      <w:marLeft w:val="0"/>
      <w:marRight w:val="0"/>
      <w:marTop w:val="0"/>
      <w:marBottom w:val="0"/>
      <w:divBdr>
        <w:top w:val="none" w:sz="0" w:space="0" w:color="auto"/>
        <w:left w:val="none" w:sz="0" w:space="0" w:color="auto"/>
        <w:bottom w:val="none" w:sz="0" w:space="0" w:color="auto"/>
        <w:right w:val="none" w:sz="0" w:space="0" w:color="auto"/>
      </w:divBdr>
      <w:divsChild>
        <w:div w:id="985820877">
          <w:marLeft w:val="0"/>
          <w:marRight w:val="0"/>
          <w:marTop w:val="0"/>
          <w:marBottom w:val="0"/>
          <w:divBdr>
            <w:top w:val="none" w:sz="0" w:space="0" w:color="auto"/>
            <w:left w:val="none" w:sz="0" w:space="0" w:color="auto"/>
            <w:bottom w:val="none" w:sz="0" w:space="0" w:color="auto"/>
            <w:right w:val="none" w:sz="0" w:space="0" w:color="auto"/>
          </w:divBdr>
        </w:div>
      </w:divsChild>
    </w:div>
    <w:div w:id="1436485602">
      <w:marLeft w:val="0"/>
      <w:marRight w:val="0"/>
      <w:marTop w:val="0"/>
      <w:marBottom w:val="180"/>
      <w:divBdr>
        <w:top w:val="none" w:sz="0" w:space="0" w:color="auto"/>
        <w:left w:val="none" w:sz="0" w:space="0" w:color="auto"/>
        <w:bottom w:val="none" w:sz="0" w:space="0" w:color="auto"/>
        <w:right w:val="none" w:sz="0" w:space="0" w:color="auto"/>
      </w:divBdr>
    </w:div>
    <w:div w:id="1436902261">
      <w:marLeft w:val="0"/>
      <w:marRight w:val="0"/>
      <w:marTop w:val="0"/>
      <w:marBottom w:val="240"/>
      <w:divBdr>
        <w:top w:val="none" w:sz="0" w:space="0" w:color="auto"/>
        <w:left w:val="none" w:sz="0" w:space="0" w:color="auto"/>
        <w:bottom w:val="none" w:sz="0" w:space="0" w:color="auto"/>
        <w:right w:val="none" w:sz="0" w:space="0" w:color="auto"/>
      </w:divBdr>
    </w:div>
    <w:div w:id="1437364387">
      <w:marLeft w:val="0"/>
      <w:marRight w:val="0"/>
      <w:marTop w:val="0"/>
      <w:marBottom w:val="0"/>
      <w:divBdr>
        <w:top w:val="none" w:sz="0" w:space="0" w:color="auto"/>
        <w:left w:val="none" w:sz="0" w:space="0" w:color="auto"/>
        <w:bottom w:val="none" w:sz="0" w:space="0" w:color="auto"/>
        <w:right w:val="none" w:sz="0" w:space="0" w:color="auto"/>
      </w:divBdr>
      <w:divsChild>
        <w:div w:id="282199349">
          <w:marLeft w:val="0"/>
          <w:marRight w:val="0"/>
          <w:marTop w:val="0"/>
          <w:marBottom w:val="0"/>
          <w:divBdr>
            <w:top w:val="none" w:sz="0" w:space="0" w:color="auto"/>
            <w:left w:val="none" w:sz="0" w:space="0" w:color="auto"/>
            <w:bottom w:val="none" w:sz="0" w:space="0" w:color="auto"/>
            <w:right w:val="none" w:sz="0" w:space="0" w:color="auto"/>
          </w:divBdr>
        </w:div>
      </w:divsChild>
    </w:div>
    <w:div w:id="1437599340">
      <w:marLeft w:val="0"/>
      <w:marRight w:val="0"/>
      <w:marTop w:val="0"/>
      <w:marBottom w:val="180"/>
      <w:divBdr>
        <w:top w:val="none" w:sz="0" w:space="0" w:color="auto"/>
        <w:left w:val="none" w:sz="0" w:space="0" w:color="auto"/>
        <w:bottom w:val="none" w:sz="0" w:space="0" w:color="auto"/>
        <w:right w:val="none" w:sz="0" w:space="0" w:color="auto"/>
      </w:divBdr>
    </w:div>
    <w:div w:id="1438864936">
      <w:marLeft w:val="0"/>
      <w:marRight w:val="0"/>
      <w:marTop w:val="0"/>
      <w:marBottom w:val="180"/>
      <w:divBdr>
        <w:top w:val="none" w:sz="0" w:space="0" w:color="auto"/>
        <w:left w:val="none" w:sz="0" w:space="0" w:color="auto"/>
        <w:bottom w:val="none" w:sz="0" w:space="0" w:color="auto"/>
        <w:right w:val="none" w:sz="0" w:space="0" w:color="auto"/>
      </w:divBdr>
    </w:div>
    <w:div w:id="1440492726">
      <w:marLeft w:val="0"/>
      <w:marRight w:val="0"/>
      <w:marTop w:val="0"/>
      <w:marBottom w:val="0"/>
      <w:divBdr>
        <w:top w:val="none" w:sz="0" w:space="0" w:color="auto"/>
        <w:left w:val="none" w:sz="0" w:space="0" w:color="auto"/>
        <w:bottom w:val="none" w:sz="0" w:space="0" w:color="auto"/>
        <w:right w:val="none" w:sz="0" w:space="0" w:color="auto"/>
      </w:divBdr>
    </w:div>
    <w:div w:id="1441607710">
      <w:marLeft w:val="0"/>
      <w:marRight w:val="0"/>
      <w:marTop w:val="0"/>
      <w:marBottom w:val="0"/>
      <w:divBdr>
        <w:top w:val="none" w:sz="0" w:space="0" w:color="auto"/>
        <w:left w:val="none" w:sz="0" w:space="0" w:color="auto"/>
        <w:bottom w:val="none" w:sz="0" w:space="0" w:color="auto"/>
        <w:right w:val="none" w:sz="0" w:space="0" w:color="auto"/>
      </w:divBdr>
    </w:div>
    <w:div w:id="1442185679">
      <w:marLeft w:val="0"/>
      <w:marRight w:val="0"/>
      <w:marTop w:val="0"/>
      <w:marBottom w:val="180"/>
      <w:divBdr>
        <w:top w:val="none" w:sz="0" w:space="0" w:color="auto"/>
        <w:left w:val="none" w:sz="0" w:space="0" w:color="auto"/>
        <w:bottom w:val="none" w:sz="0" w:space="0" w:color="auto"/>
        <w:right w:val="none" w:sz="0" w:space="0" w:color="auto"/>
      </w:divBdr>
    </w:div>
    <w:div w:id="1442341035">
      <w:marLeft w:val="0"/>
      <w:marRight w:val="0"/>
      <w:marTop w:val="0"/>
      <w:marBottom w:val="0"/>
      <w:divBdr>
        <w:top w:val="none" w:sz="0" w:space="0" w:color="auto"/>
        <w:left w:val="none" w:sz="0" w:space="0" w:color="auto"/>
        <w:bottom w:val="none" w:sz="0" w:space="0" w:color="auto"/>
        <w:right w:val="none" w:sz="0" w:space="0" w:color="auto"/>
      </w:divBdr>
      <w:divsChild>
        <w:div w:id="1040128648">
          <w:marLeft w:val="0"/>
          <w:marRight w:val="0"/>
          <w:marTop w:val="0"/>
          <w:marBottom w:val="0"/>
          <w:divBdr>
            <w:top w:val="none" w:sz="0" w:space="0" w:color="auto"/>
            <w:left w:val="none" w:sz="0" w:space="0" w:color="auto"/>
            <w:bottom w:val="none" w:sz="0" w:space="0" w:color="auto"/>
            <w:right w:val="none" w:sz="0" w:space="0" w:color="auto"/>
          </w:divBdr>
        </w:div>
      </w:divsChild>
    </w:div>
    <w:div w:id="1447118327">
      <w:marLeft w:val="0"/>
      <w:marRight w:val="0"/>
      <w:marTop w:val="0"/>
      <w:marBottom w:val="240"/>
      <w:divBdr>
        <w:top w:val="none" w:sz="0" w:space="0" w:color="auto"/>
        <w:left w:val="none" w:sz="0" w:space="0" w:color="auto"/>
        <w:bottom w:val="none" w:sz="0" w:space="0" w:color="auto"/>
        <w:right w:val="none" w:sz="0" w:space="0" w:color="auto"/>
      </w:divBdr>
    </w:div>
    <w:div w:id="1447197245">
      <w:marLeft w:val="0"/>
      <w:marRight w:val="0"/>
      <w:marTop w:val="0"/>
      <w:marBottom w:val="180"/>
      <w:divBdr>
        <w:top w:val="none" w:sz="0" w:space="0" w:color="auto"/>
        <w:left w:val="none" w:sz="0" w:space="0" w:color="auto"/>
        <w:bottom w:val="none" w:sz="0" w:space="0" w:color="auto"/>
        <w:right w:val="none" w:sz="0" w:space="0" w:color="auto"/>
      </w:divBdr>
    </w:div>
    <w:div w:id="1448349406">
      <w:marLeft w:val="0"/>
      <w:marRight w:val="0"/>
      <w:marTop w:val="0"/>
      <w:marBottom w:val="0"/>
      <w:divBdr>
        <w:top w:val="none" w:sz="0" w:space="0" w:color="auto"/>
        <w:left w:val="none" w:sz="0" w:space="0" w:color="auto"/>
        <w:bottom w:val="none" w:sz="0" w:space="0" w:color="auto"/>
        <w:right w:val="none" w:sz="0" w:space="0" w:color="auto"/>
      </w:divBdr>
    </w:div>
    <w:div w:id="1448936308">
      <w:marLeft w:val="0"/>
      <w:marRight w:val="0"/>
      <w:marTop w:val="0"/>
      <w:marBottom w:val="180"/>
      <w:divBdr>
        <w:top w:val="none" w:sz="0" w:space="0" w:color="auto"/>
        <w:left w:val="none" w:sz="0" w:space="0" w:color="auto"/>
        <w:bottom w:val="none" w:sz="0" w:space="0" w:color="auto"/>
        <w:right w:val="none" w:sz="0" w:space="0" w:color="auto"/>
      </w:divBdr>
    </w:div>
    <w:div w:id="1449202138">
      <w:marLeft w:val="0"/>
      <w:marRight w:val="0"/>
      <w:marTop w:val="0"/>
      <w:marBottom w:val="0"/>
      <w:divBdr>
        <w:top w:val="none" w:sz="0" w:space="0" w:color="auto"/>
        <w:left w:val="none" w:sz="0" w:space="0" w:color="auto"/>
        <w:bottom w:val="none" w:sz="0" w:space="0" w:color="auto"/>
        <w:right w:val="none" w:sz="0" w:space="0" w:color="auto"/>
      </w:divBdr>
      <w:divsChild>
        <w:div w:id="1755977668">
          <w:marLeft w:val="0"/>
          <w:marRight w:val="0"/>
          <w:marTop w:val="0"/>
          <w:marBottom w:val="0"/>
          <w:divBdr>
            <w:top w:val="none" w:sz="0" w:space="0" w:color="auto"/>
            <w:left w:val="none" w:sz="0" w:space="0" w:color="auto"/>
            <w:bottom w:val="none" w:sz="0" w:space="0" w:color="auto"/>
            <w:right w:val="none" w:sz="0" w:space="0" w:color="auto"/>
          </w:divBdr>
        </w:div>
      </w:divsChild>
    </w:div>
    <w:div w:id="1450129491">
      <w:marLeft w:val="0"/>
      <w:marRight w:val="0"/>
      <w:marTop w:val="180"/>
      <w:marBottom w:val="180"/>
      <w:divBdr>
        <w:top w:val="none" w:sz="0" w:space="0" w:color="auto"/>
        <w:left w:val="none" w:sz="0" w:space="0" w:color="auto"/>
        <w:bottom w:val="none" w:sz="0" w:space="0" w:color="auto"/>
        <w:right w:val="none" w:sz="0" w:space="0" w:color="auto"/>
      </w:divBdr>
    </w:div>
    <w:div w:id="1450508673">
      <w:marLeft w:val="0"/>
      <w:marRight w:val="0"/>
      <w:marTop w:val="0"/>
      <w:marBottom w:val="0"/>
      <w:divBdr>
        <w:top w:val="none" w:sz="0" w:space="0" w:color="auto"/>
        <w:left w:val="none" w:sz="0" w:space="0" w:color="auto"/>
        <w:bottom w:val="none" w:sz="0" w:space="0" w:color="auto"/>
        <w:right w:val="none" w:sz="0" w:space="0" w:color="auto"/>
      </w:divBdr>
    </w:div>
    <w:div w:id="1451437136">
      <w:marLeft w:val="0"/>
      <w:marRight w:val="0"/>
      <w:marTop w:val="0"/>
      <w:marBottom w:val="0"/>
      <w:divBdr>
        <w:top w:val="none" w:sz="0" w:space="0" w:color="auto"/>
        <w:left w:val="none" w:sz="0" w:space="0" w:color="auto"/>
        <w:bottom w:val="none" w:sz="0" w:space="0" w:color="auto"/>
        <w:right w:val="none" w:sz="0" w:space="0" w:color="auto"/>
      </w:divBdr>
      <w:divsChild>
        <w:div w:id="54813725">
          <w:marLeft w:val="0"/>
          <w:marRight w:val="0"/>
          <w:marTop w:val="0"/>
          <w:marBottom w:val="0"/>
          <w:divBdr>
            <w:top w:val="none" w:sz="0" w:space="0" w:color="auto"/>
            <w:left w:val="none" w:sz="0" w:space="0" w:color="auto"/>
            <w:bottom w:val="none" w:sz="0" w:space="0" w:color="auto"/>
            <w:right w:val="none" w:sz="0" w:space="0" w:color="auto"/>
          </w:divBdr>
        </w:div>
      </w:divsChild>
    </w:div>
    <w:div w:id="1451437639">
      <w:marLeft w:val="0"/>
      <w:marRight w:val="0"/>
      <w:marTop w:val="0"/>
      <w:marBottom w:val="0"/>
      <w:divBdr>
        <w:top w:val="none" w:sz="0" w:space="0" w:color="auto"/>
        <w:left w:val="none" w:sz="0" w:space="0" w:color="auto"/>
        <w:bottom w:val="none" w:sz="0" w:space="0" w:color="auto"/>
        <w:right w:val="none" w:sz="0" w:space="0" w:color="auto"/>
      </w:divBdr>
      <w:divsChild>
        <w:div w:id="1001200477">
          <w:marLeft w:val="0"/>
          <w:marRight w:val="0"/>
          <w:marTop w:val="0"/>
          <w:marBottom w:val="0"/>
          <w:divBdr>
            <w:top w:val="none" w:sz="0" w:space="0" w:color="auto"/>
            <w:left w:val="none" w:sz="0" w:space="0" w:color="auto"/>
            <w:bottom w:val="none" w:sz="0" w:space="0" w:color="auto"/>
            <w:right w:val="none" w:sz="0" w:space="0" w:color="auto"/>
          </w:divBdr>
        </w:div>
      </w:divsChild>
    </w:div>
    <w:div w:id="1452284640">
      <w:marLeft w:val="0"/>
      <w:marRight w:val="0"/>
      <w:marTop w:val="0"/>
      <w:marBottom w:val="0"/>
      <w:divBdr>
        <w:top w:val="none" w:sz="0" w:space="0" w:color="auto"/>
        <w:left w:val="none" w:sz="0" w:space="0" w:color="auto"/>
        <w:bottom w:val="none" w:sz="0" w:space="0" w:color="auto"/>
        <w:right w:val="none" w:sz="0" w:space="0" w:color="auto"/>
      </w:divBdr>
    </w:div>
    <w:div w:id="1453400260">
      <w:marLeft w:val="0"/>
      <w:marRight w:val="0"/>
      <w:marTop w:val="0"/>
      <w:marBottom w:val="180"/>
      <w:divBdr>
        <w:top w:val="none" w:sz="0" w:space="0" w:color="auto"/>
        <w:left w:val="none" w:sz="0" w:space="0" w:color="auto"/>
        <w:bottom w:val="none" w:sz="0" w:space="0" w:color="auto"/>
        <w:right w:val="none" w:sz="0" w:space="0" w:color="auto"/>
      </w:divBdr>
    </w:div>
    <w:div w:id="1453670479">
      <w:marLeft w:val="0"/>
      <w:marRight w:val="0"/>
      <w:marTop w:val="0"/>
      <w:marBottom w:val="0"/>
      <w:divBdr>
        <w:top w:val="none" w:sz="0" w:space="0" w:color="auto"/>
        <w:left w:val="none" w:sz="0" w:space="0" w:color="auto"/>
        <w:bottom w:val="none" w:sz="0" w:space="0" w:color="auto"/>
        <w:right w:val="none" w:sz="0" w:space="0" w:color="auto"/>
      </w:divBdr>
    </w:div>
    <w:div w:id="1453792008">
      <w:marLeft w:val="0"/>
      <w:marRight w:val="0"/>
      <w:marTop w:val="0"/>
      <w:marBottom w:val="0"/>
      <w:divBdr>
        <w:top w:val="none" w:sz="0" w:space="0" w:color="auto"/>
        <w:left w:val="none" w:sz="0" w:space="0" w:color="auto"/>
        <w:bottom w:val="none" w:sz="0" w:space="0" w:color="auto"/>
        <w:right w:val="none" w:sz="0" w:space="0" w:color="auto"/>
      </w:divBdr>
    </w:div>
    <w:div w:id="1453940271">
      <w:marLeft w:val="0"/>
      <w:marRight w:val="0"/>
      <w:marTop w:val="0"/>
      <w:marBottom w:val="180"/>
      <w:divBdr>
        <w:top w:val="none" w:sz="0" w:space="0" w:color="auto"/>
        <w:left w:val="none" w:sz="0" w:space="0" w:color="auto"/>
        <w:bottom w:val="none" w:sz="0" w:space="0" w:color="auto"/>
        <w:right w:val="none" w:sz="0" w:space="0" w:color="auto"/>
      </w:divBdr>
    </w:div>
    <w:div w:id="1454866010">
      <w:marLeft w:val="0"/>
      <w:marRight w:val="0"/>
      <w:marTop w:val="0"/>
      <w:marBottom w:val="0"/>
      <w:divBdr>
        <w:top w:val="none" w:sz="0" w:space="0" w:color="auto"/>
        <w:left w:val="none" w:sz="0" w:space="0" w:color="auto"/>
        <w:bottom w:val="none" w:sz="0" w:space="0" w:color="auto"/>
        <w:right w:val="none" w:sz="0" w:space="0" w:color="auto"/>
      </w:divBdr>
    </w:div>
    <w:div w:id="1455293164">
      <w:marLeft w:val="0"/>
      <w:marRight w:val="0"/>
      <w:marTop w:val="0"/>
      <w:marBottom w:val="180"/>
      <w:divBdr>
        <w:top w:val="none" w:sz="0" w:space="0" w:color="auto"/>
        <w:left w:val="none" w:sz="0" w:space="0" w:color="auto"/>
        <w:bottom w:val="none" w:sz="0" w:space="0" w:color="auto"/>
        <w:right w:val="none" w:sz="0" w:space="0" w:color="auto"/>
      </w:divBdr>
    </w:div>
    <w:div w:id="1455951238">
      <w:marLeft w:val="0"/>
      <w:marRight w:val="0"/>
      <w:marTop w:val="0"/>
      <w:marBottom w:val="180"/>
      <w:divBdr>
        <w:top w:val="none" w:sz="0" w:space="0" w:color="auto"/>
        <w:left w:val="none" w:sz="0" w:space="0" w:color="auto"/>
        <w:bottom w:val="none" w:sz="0" w:space="0" w:color="auto"/>
        <w:right w:val="none" w:sz="0" w:space="0" w:color="auto"/>
      </w:divBdr>
    </w:div>
    <w:div w:id="1456410375">
      <w:marLeft w:val="0"/>
      <w:marRight w:val="0"/>
      <w:marTop w:val="0"/>
      <w:marBottom w:val="180"/>
      <w:divBdr>
        <w:top w:val="none" w:sz="0" w:space="0" w:color="auto"/>
        <w:left w:val="none" w:sz="0" w:space="0" w:color="auto"/>
        <w:bottom w:val="none" w:sz="0" w:space="0" w:color="auto"/>
        <w:right w:val="none" w:sz="0" w:space="0" w:color="auto"/>
      </w:divBdr>
    </w:div>
    <w:div w:id="1457523236">
      <w:marLeft w:val="0"/>
      <w:marRight w:val="0"/>
      <w:marTop w:val="180"/>
      <w:marBottom w:val="180"/>
      <w:divBdr>
        <w:top w:val="none" w:sz="0" w:space="0" w:color="auto"/>
        <w:left w:val="none" w:sz="0" w:space="0" w:color="auto"/>
        <w:bottom w:val="none" w:sz="0" w:space="0" w:color="auto"/>
        <w:right w:val="none" w:sz="0" w:space="0" w:color="auto"/>
      </w:divBdr>
    </w:div>
    <w:div w:id="1457875589">
      <w:marLeft w:val="0"/>
      <w:marRight w:val="0"/>
      <w:marTop w:val="0"/>
      <w:marBottom w:val="0"/>
      <w:divBdr>
        <w:top w:val="none" w:sz="0" w:space="0" w:color="auto"/>
        <w:left w:val="none" w:sz="0" w:space="0" w:color="auto"/>
        <w:bottom w:val="none" w:sz="0" w:space="0" w:color="auto"/>
        <w:right w:val="none" w:sz="0" w:space="0" w:color="auto"/>
      </w:divBdr>
    </w:div>
    <w:div w:id="1458137875">
      <w:marLeft w:val="0"/>
      <w:marRight w:val="0"/>
      <w:marTop w:val="0"/>
      <w:marBottom w:val="0"/>
      <w:divBdr>
        <w:top w:val="none" w:sz="0" w:space="0" w:color="auto"/>
        <w:left w:val="none" w:sz="0" w:space="0" w:color="auto"/>
        <w:bottom w:val="none" w:sz="0" w:space="0" w:color="auto"/>
        <w:right w:val="none" w:sz="0" w:space="0" w:color="auto"/>
      </w:divBdr>
      <w:divsChild>
        <w:div w:id="1884900653">
          <w:marLeft w:val="0"/>
          <w:marRight w:val="0"/>
          <w:marTop w:val="0"/>
          <w:marBottom w:val="0"/>
          <w:divBdr>
            <w:top w:val="none" w:sz="0" w:space="0" w:color="auto"/>
            <w:left w:val="none" w:sz="0" w:space="0" w:color="auto"/>
            <w:bottom w:val="none" w:sz="0" w:space="0" w:color="auto"/>
            <w:right w:val="none" w:sz="0" w:space="0" w:color="auto"/>
          </w:divBdr>
        </w:div>
      </w:divsChild>
    </w:div>
    <w:div w:id="1458797258">
      <w:marLeft w:val="0"/>
      <w:marRight w:val="0"/>
      <w:marTop w:val="0"/>
      <w:marBottom w:val="0"/>
      <w:divBdr>
        <w:top w:val="none" w:sz="0" w:space="0" w:color="auto"/>
        <w:left w:val="none" w:sz="0" w:space="0" w:color="auto"/>
        <w:bottom w:val="none" w:sz="0" w:space="0" w:color="auto"/>
        <w:right w:val="none" w:sz="0" w:space="0" w:color="auto"/>
      </w:divBdr>
    </w:div>
    <w:div w:id="1460030330">
      <w:marLeft w:val="0"/>
      <w:marRight w:val="0"/>
      <w:marTop w:val="0"/>
      <w:marBottom w:val="180"/>
      <w:divBdr>
        <w:top w:val="none" w:sz="0" w:space="0" w:color="auto"/>
        <w:left w:val="none" w:sz="0" w:space="0" w:color="auto"/>
        <w:bottom w:val="none" w:sz="0" w:space="0" w:color="auto"/>
        <w:right w:val="none" w:sz="0" w:space="0" w:color="auto"/>
      </w:divBdr>
    </w:div>
    <w:div w:id="1460682783">
      <w:marLeft w:val="0"/>
      <w:marRight w:val="0"/>
      <w:marTop w:val="0"/>
      <w:marBottom w:val="0"/>
      <w:divBdr>
        <w:top w:val="none" w:sz="0" w:space="0" w:color="auto"/>
        <w:left w:val="none" w:sz="0" w:space="0" w:color="auto"/>
        <w:bottom w:val="none" w:sz="0" w:space="0" w:color="auto"/>
        <w:right w:val="none" w:sz="0" w:space="0" w:color="auto"/>
      </w:divBdr>
    </w:div>
    <w:div w:id="1460804179">
      <w:marLeft w:val="0"/>
      <w:marRight w:val="0"/>
      <w:marTop w:val="0"/>
      <w:marBottom w:val="180"/>
      <w:divBdr>
        <w:top w:val="none" w:sz="0" w:space="0" w:color="auto"/>
        <w:left w:val="none" w:sz="0" w:space="0" w:color="auto"/>
        <w:bottom w:val="none" w:sz="0" w:space="0" w:color="auto"/>
        <w:right w:val="none" w:sz="0" w:space="0" w:color="auto"/>
      </w:divBdr>
    </w:div>
    <w:div w:id="1460875619">
      <w:marLeft w:val="0"/>
      <w:marRight w:val="0"/>
      <w:marTop w:val="0"/>
      <w:marBottom w:val="240"/>
      <w:divBdr>
        <w:top w:val="none" w:sz="0" w:space="0" w:color="auto"/>
        <w:left w:val="none" w:sz="0" w:space="0" w:color="auto"/>
        <w:bottom w:val="none" w:sz="0" w:space="0" w:color="auto"/>
        <w:right w:val="none" w:sz="0" w:space="0" w:color="auto"/>
      </w:divBdr>
    </w:div>
    <w:div w:id="1461654918">
      <w:marLeft w:val="0"/>
      <w:marRight w:val="0"/>
      <w:marTop w:val="0"/>
      <w:marBottom w:val="180"/>
      <w:divBdr>
        <w:top w:val="none" w:sz="0" w:space="0" w:color="auto"/>
        <w:left w:val="none" w:sz="0" w:space="0" w:color="auto"/>
        <w:bottom w:val="none" w:sz="0" w:space="0" w:color="auto"/>
        <w:right w:val="none" w:sz="0" w:space="0" w:color="auto"/>
      </w:divBdr>
    </w:div>
    <w:div w:id="1461803706">
      <w:marLeft w:val="0"/>
      <w:marRight w:val="0"/>
      <w:marTop w:val="0"/>
      <w:marBottom w:val="240"/>
      <w:divBdr>
        <w:top w:val="none" w:sz="0" w:space="0" w:color="auto"/>
        <w:left w:val="none" w:sz="0" w:space="0" w:color="auto"/>
        <w:bottom w:val="none" w:sz="0" w:space="0" w:color="auto"/>
        <w:right w:val="none" w:sz="0" w:space="0" w:color="auto"/>
      </w:divBdr>
    </w:div>
    <w:div w:id="1462919177">
      <w:marLeft w:val="0"/>
      <w:marRight w:val="0"/>
      <w:marTop w:val="180"/>
      <w:marBottom w:val="180"/>
      <w:divBdr>
        <w:top w:val="none" w:sz="0" w:space="0" w:color="auto"/>
        <w:left w:val="none" w:sz="0" w:space="0" w:color="auto"/>
        <w:bottom w:val="none" w:sz="0" w:space="0" w:color="auto"/>
        <w:right w:val="none" w:sz="0" w:space="0" w:color="auto"/>
      </w:divBdr>
    </w:div>
    <w:div w:id="1463576747">
      <w:marLeft w:val="0"/>
      <w:marRight w:val="0"/>
      <w:marTop w:val="0"/>
      <w:marBottom w:val="240"/>
      <w:divBdr>
        <w:top w:val="none" w:sz="0" w:space="0" w:color="auto"/>
        <w:left w:val="none" w:sz="0" w:space="0" w:color="auto"/>
        <w:bottom w:val="none" w:sz="0" w:space="0" w:color="auto"/>
        <w:right w:val="none" w:sz="0" w:space="0" w:color="auto"/>
      </w:divBdr>
    </w:div>
    <w:div w:id="1463887327">
      <w:marLeft w:val="0"/>
      <w:marRight w:val="0"/>
      <w:marTop w:val="0"/>
      <w:marBottom w:val="0"/>
      <w:divBdr>
        <w:top w:val="none" w:sz="0" w:space="0" w:color="auto"/>
        <w:left w:val="none" w:sz="0" w:space="0" w:color="auto"/>
        <w:bottom w:val="none" w:sz="0" w:space="0" w:color="auto"/>
        <w:right w:val="none" w:sz="0" w:space="0" w:color="auto"/>
      </w:divBdr>
      <w:divsChild>
        <w:div w:id="737560743">
          <w:marLeft w:val="0"/>
          <w:marRight w:val="0"/>
          <w:marTop w:val="0"/>
          <w:marBottom w:val="0"/>
          <w:divBdr>
            <w:top w:val="none" w:sz="0" w:space="0" w:color="auto"/>
            <w:left w:val="none" w:sz="0" w:space="0" w:color="auto"/>
            <w:bottom w:val="none" w:sz="0" w:space="0" w:color="auto"/>
            <w:right w:val="none" w:sz="0" w:space="0" w:color="auto"/>
          </w:divBdr>
        </w:div>
      </w:divsChild>
    </w:div>
    <w:div w:id="1464730136">
      <w:marLeft w:val="0"/>
      <w:marRight w:val="0"/>
      <w:marTop w:val="0"/>
      <w:marBottom w:val="60"/>
      <w:divBdr>
        <w:top w:val="none" w:sz="0" w:space="0" w:color="auto"/>
        <w:left w:val="none" w:sz="0" w:space="0" w:color="auto"/>
        <w:bottom w:val="none" w:sz="0" w:space="0" w:color="auto"/>
        <w:right w:val="none" w:sz="0" w:space="0" w:color="auto"/>
      </w:divBdr>
    </w:div>
    <w:div w:id="1464738330">
      <w:marLeft w:val="0"/>
      <w:marRight w:val="0"/>
      <w:marTop w:val="0"/>
      <w:marBottom w:val="180"/>
      <w:divBdr>
        <w:top w:val="none" w:sz="0" w:space="0" w:color="auto"/>
        <w:left w:val="none" w:sz="0" w:space="0" w:color="auto"/>
        <w:bottom w:val="none" w:sz="0" w:space="0" w:color="auto"/>
        <w:right w:val="none" w:sz="0" w:space="0" w:color="auto"/>
      </w:divBdr>
    </w:div>
    <w:div w:id="1464812141">
      <w:marLeft w:val="0"/>
      <w:marRight w:val="0"/>
      <w:marTop w:val="120"/>
      <w:marBottom w:val="120"/>
      <w:divBdr>
        <w:top w:val="none" w:sz="0" w:space="0" w:color="auto"/>
        <w:left w:val="none" w:sz="0" w:space="0" w:color="auto"/>
        <w:bottom w:val="none" w:sz="0" w:space="0" w:color="auto"/>
        <w:right w:val="none" w:sz="0" w:space="0" w:color="auto"/>
      </w:divBdr>
    </w:div>
    <w:div w:id="1467309163">
      <w:marLeft w:val="0"/>
      <w:marRight w:val="0"/>
      <w:marTop w:val="0"/>
      <w:marBottom w:val="0"/>
      <w:divBdr>
        <w:top w:val="none" w:sz="0" w:space="0" w:color="auto"/>
        <w:left w:val="none" w:sz="0" w:space="0" w:color="auto"/>
        <w:bottom w:val="none" w:sz="0" w:space="0" w:color="auto"/>
        <w:right w:val="none" w:sz="0" w:space="0" w:color="auto"/>
      </w:divBdr>
    </w:div>
    <w:div w:id="1467428060">
      <w:marLeft w:val="0"/>
      <w:marRight w:val="0"/>
      <w:marTop w:val="0"/>
      <w:marBottom w:val="0"/>
      <w:divBdr>
        <w:top w:val="none" w:sz="0" w:space="0" w:color="auto"/>
        <w:left w:val="none" w:sz="0" w:space="0" w:color="auto"/>
        <w:bottom w:val="none" w:sz="0" w:space="0" w:color="auto"/>
        <w:right w:val="none" w:sz="0" w:space="0" w:color="auto"/>
      </w:divBdr>
      <w:divsChild>
        <w:div w:id="859780168">
          <w:marLeft w:val="0"/>
          <w:marRight w:val="0"/>
          <w:marTop w:val="0"/>
          <w:marBottom w:val="0"/>
          <w:divBdr>
            <w:top w:val="none" w:sz="0" w:space="0" w:color="auto"/>
            <w:left w:val="none" w:sz="0" w:space="0" w:color="auto"/>
            <w:bottom w:val="none" w:sz="0" w:space="0" w:color="auto"/>
            <w:right w:val="none" w:sz="0" w:space="0" w:color="auto"/>
          </w:divBdr>
        </w:div>
      </w:divsChild>
    </w:div>
    <w:div w:id="1467774910">
      <w:marLeft w:val="0"/>
      <w:marRight w:val="0"/>
      <w:marTop w:val="180"/>
      <w:marBottom w:val="180"/>
      <w:divBdr>
        <w:top w:val="none" w:sz="0" w:space="0" w:color="auto"/>
        <w:left w:val="none" w:sz="0" w:space="0" w:color="auto"/>
        <w:bottom w:val="none" w:sz="0" w:space="0" w:color="auto"/>
        <w:right w:val="none" w:sz="0" w:space="0" w:color="auto"/>
      </w:divBdr>
    </w:div>
    <w:div w:id="1468469261">
      <w:marLeft w:val="0"/>
      <w:marRight w:val="0"/>
      <w:marTop w:val="0"/>
      <w:marBottom w:val="0"/>
      <w:divBdr>
        <w:top w:val="none" w:sz="0" w:space="0" w:color="auto"/>
        <w:left w:val="none" w:sz="0" w:space="0" w:color="auto"/>
        <w:bottom w:val="none" w:sz="0" w:space="0" w:color="auto"/>
        <w:right w:val="none" w:sz="0" w:space="0" w:color="auto"/>
      </w:divBdr>
      <w:divsChild>
        <w:div w:id="494297624">
          <w:marLeft w:val="0"/>
          <w:marRight w:val="0"/>
          <w:marTop w:val="0"/>
          <w:marBottom w:val="0"/>
          <w:divBdr>
            <w:top w:val="none" w:sz="0" w:space="0" w:color="auto"/>
            <w:left w:val="none" w:sz="0" w:space="0" w:color="auto"/>
            <w:bottom w:val="none" w:sz="0" w:space="0" w:color="auto"/>
            <w:right w:val="none" w:sz="0" w:space="0" w:color="auto"/>
          </w:divBdr>
        </w:div>
      </w:divsChild>
    </w:div>
    <w:div w:id="1468627355">
      <w:marLeft w:val="0"/>
      <w:marRight w:val="0"/>
      <w:marTop w:val="0"/>
      <w:marBottom w:val="0"/>
      <w:divBdr>
        <w:top w:val="none" w:sz="0" w:space="0" w:color="auto"/>
        <w:left w:val="none" w:sz="0" w:space="0" w:color="auto"/>
        <w:bottom w:val="none" w:sz="0" w:space="0" w:color="auto"/>
        <w:right w:val="none" w:sz="0" w:space="0" w:color="auto"/>
      </w:divBdr>
    </w:div>
    <w:div w:id="1468936635">
      <w:marLeft w:val="0"/>
      <w:marRight w:val="0"/>
      <w:marTop w:val="180"/>
      <w:marBottom w:val="180"/>
      <w:divBdr>
        <w:top w:val="none" w:sz="0" w:space="0" w:color="auto"/>
        <w:left w:val="none" w:sz="0" w:space="0" w:color="auto"/>
        <w:bottom w:val="none" w:sz="0" w:space="0" w:color="auto"/>
        <w:right w:val="none" w:sz="0" w:space="0" w:color="auto"/>
      </w:divBdr>
    </w:div>
    <w:div w:id="1469393811">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
      </w:divsChild>
    </w:div>
    <w:div w:id="1469398770">
      <w:marLeft w:val="0"/>
      <w:marRight w:val="0"/>
      <w:marTop w:val="0"/>
      <w:marBottom w:val="240"/>
      <w:divBdr>
        <w:top w:val="none" w:sz="0" w:space="0" w:color="auto"/>
        <w:left w:val="none" w:sz="0" w:space="0" w:color="auto"/>
        <w:bottom w:val="none" w:sz="0" w:space="0" w:color="auto"/>
        <w:right w:val="none" w:sz="0" w:space="0" w:color="auto"/>
      </w:divBdr>
    </w:div>
    <w:div w:id="1469594551">
      <w:marLeft w:val="0"/>
      <w:marRight w:val="0"/>
      <w:marTop w:val="180"/>
      <w:marBottom w:val="180"/>
      <w:divBdr>
        <w:top w:val="none" w:sz="0" w:space="0" w:color="auto"/>
        <w:left w:val="none" w:sz="0" w:space="0" w:color="auto"/>
        <w:bottom w:val="none" w:sz="0" w:space="0" w:color="auto"/>
        <w:right w:val="none" w:sz="0" w:space="0" w:color="auto"/>
      </w:divBdr>
    </w:div>
    <w:div w:id="1469661105">
      <w:marLeft w:val="0"/>
      <w:marRight w:val="0"/>
      <w:marTop w:val="180"/>
      <w:marBottom w:val="180"/>
      <w:divBdr>
        <w:top w:val="none" w:sz="0" w:space="0" w:color="auto"/>
        <w:left w:val="none" w:sz="0" w:space="0" w:color="auto"/>
        <w:bottom w:val="none" w:sz="0" w:space="0" w:color="auto"/>
        <w:right w:val="none" w:sz="0" w:space="0" w:color="auto"/>
      </w:divBdr>
    </w:div>
    <w:div w:id="1470782707">
      <w:marLeft w:val="0"/>
      <w:marRight w:val="0"/>
      <w:marTop w:val="100"/>
      <w:marBottom w:val="0"/>
      <w:divBdr>
        <w:top w:val="none" w:sz="0" w:space="0" w:color="auto"/>
        <w:left w:val="none" w:sz="0" w:space="0" w:color="auto"/>
        <w:bottom w:val="none" w:sz="0" w:space="0" w:color="auto"/>
        <w:right w:val="none" w:sz="0" w:space="0" w:color="auto"/>
      </w:divBdr>
    </w:div>
    <w:div w:id="1471897780">
      <w:marLeft w:val="0"/>
      <w:marRight w:val="0"/>
      <w:marTop w:val="0"/>
      <w:marBottom w:val="240"/>
      <w:divBdr>
        <w:top w:val="none" w:sz="0" w:space="0" w:color="auto"/>
        <w:left w:val="none" w:sz="0" w:space="0" w:color="auto"/>
        <w:bottom w:val="none" w:sz="0" w:space="0" w:color="auto"/>
        <w:right w:val="none" w:sz="0" w:space="0" w:color="auto"/>
      </w:divBdr>
    </w:div>
    <w:div w:id="1471940883">
      <w:marLeft w:val="0"/>
      <w:marRight w:val="0"/>
      <w:marTop w:val="0"/>
      <w:marBottom w:val="0"/>
      <w:divBdr>
        <w:top w:val="none" w:sz="0" w:space="0" w:color="auto"/>
        <w:left w:val="none" w:sz="0" w:space="0" w:color="auto"/>
        <w:bottom w:val="none" w:sz="0" w:space="0" w:color="auto"/>
        <w:right w:val="none" w:sz="0" w:space="0" w:color="auto"/>
      </w:divBdr>
    </w:div>
    <w:div w:id="1472626207">
      <w:marLeft w:val="0"/>
      <w:marRight w:val="0"/>
      <w:marTop w:val="0"/>
      <w:marBottom w:val="240"/>
      <w:divBdr>
        <w:top w:val="none" w:sz="0" w:space="0" w:color="auto"/>
        <w:left w:val="none" w:sz="0" w:space="0" w:color="auto"/>
        <w:bottom w:val="none" w:sz="0" w:space="0" w:color="auto"/>
        <w:right w:val="none" w:sz="0" w:space="0" w:color="auto"/>
      </w:divBdr>
    </w:div>
    <w:div w:id="1473058507">
      <w:marLeft w:val="0"/>
      <w:marRight w:val="0"/>
      <w:marTop w:val="0"/>
      <w:marBottom w:val="180"/>
      <w:divBdr>
        <w:top w:val="none" w:sz="0" w:space="0" w:color="auto"/>
        <w:left w:val="none" w:sz="0" w:space="0" w:color="auto"/>
        <w:bottom w:val="none" w:sz="0" w:space="0" w:color="auto"/>
        <w:right w:val="none" w:sz="0" w:space="0" w:color="auto"/>
      </w:divBdr>
    </w:div>
    <w:div w:id="1473131290">
      <w:marLeft w:val="0"/>
      <w:marRight w:val="0"/>
      <w:marTop w:val="0"/>
      <w:marBottom w:val="0"/>
      <w:divBdr>
        <w:top w:val="none" w:sz="0" w:space="0" w:color="auto"/>
        <w:left w:val="none" w:sz="0" w:space="0" w:color="auto"/>
        <w:bottom w:val="none" w:sz="0" w:space="0" w:color="auto"/>
        <w:right w:val="none" w:sz="0" w:space="0" w:color="auto"/>
      </w:divBdr>
    </w:div>
    <w:div w:id="1473328664">
      <w:marLeft w:val="0"/>
      <w:marRight w:val="0"/>
      <w:marTop w:val="0"/>
      <w:marBottom w:val="180"/>
      <w:divBdr>
        <w:top w:val="none" w:sz="0" w:space="0" w:color="auto"/>
        <w:left w:val="none" w:sz="0" w:space="0" w:color="auto"/>
        <w:bottom w:val="none" w:sz="0" w:space="0" w:color="auto"/>
        <w:right w:val="none" w:sz="0" w:space="0" w:color="auto"/>
      </w:divBdr>
    </w:div>
    <w:div w:id="1473518646">
      <w:marLeft w:val="0"/>
      <w:marRight w:val="0"/>
      <w:marTop w:val="0"/>
      <w:marBottom w:val="180"/>
      <w:divBdr>
        <w:top w:val="none" w:sz="0" w:space="0" w:color="auto"/>
        <w:left w:val="none" w:sz="0" w:space="0" w:color="auto"/>
        <w:bottom w:val="none" w:sz="0" w:space="0" w:color="auto"/>
        <w:right w:val="none" w:sz="0" w:space="0" w:color="auto"/>
      </w:divBdr>
    </w:div>
    <w:div w:id="1476138111">
      <w:marLeft w:val="0"/>
      <w:marRight w:val="0"/>
      <w:marTop w:val="0"/>
      <w:marBottom w:val="0"/>
      <w:divBdr>
        <w:top w:val="none" w:sz="0" w:space="0" w:color="auto"/>
        <w:left w:val="none" w:sz="0" w:space="0" w:color="auto"/>
        <w:bottom w:val="none" w:sz="0" w:space="0" w:color="auto"/>
        <w:right w:val="none" w:sz="0" w:space="0" w:color="auto"/>
      </w:divBdr>
      <w:divsChild>
        <w:div w:id="1751393238">
          <w:marLeft w:val="0"/>
          <w:marRight w:val="0"/>
          <w:marTop w:val="0"/>
          <w:marBottom w:val="0"/>
          <w:divBdr>
            <w:top w:val="none" w:sz="0" w:space="0" w:color="auto"/>
            <w:left w:val="none" w:sz="0" w:space="0" w:color="auto"/>
            <w:bottom w:val="none" w:sz="0" w:space="0" w:color="auto"/>
            <w:right w:val="none" w:sz="0" w:space="0" w:color="auto"/>
          </w:divBdr>
        </w:div>
      </w:divsChild>
    </w:div>
    <w:div w:id="1477336234">
      <w:marLeft w:val="0"/>
      <w:marRight w:val="0"/>
      <w:marTop w:val="100"/>
      <w:marBottom w:val="120"/>
      <w:divBdr>
        <w:top w:val="none" w:sz="0" w:space="0" w:color="auto"/>
        <w:left w:val="none" w:sz="0" w:space="0" w:color="auto"/>
        <w:bottom w:val="none" w:sz="0" w:space="0" w:color="auto"/>
        <w:right w:val="none" w:sz="0" w:space="0" w:color="auto"/>
      </w:divBdr>
    </w:div>
    <w:div w:id="1481727684">
      <w:marLeft w:val="0"/>
      <w:marRight w:val="0"/>
      <w:marTop w:val="0"/>
      <w:marBottom w:val="0"/>
      <w:divBdr>
        <w:top w:val="none" w:sz="0" w:space="0" w:color="auto"/>
        <w:left w:val="none" w:sz="0" w:space="0" w:color="auto"/>
        <w:bottom w:val="none" w:sz="0" w:space="0" w:color="auto"/>
        <w:right w:val="none" w:sz="0" w:space="0" w:color="auto"/>
      </w:divBdr>
      <w:divsChild>
        <w:div w:id="538512334">
          <w:marLeft w:val="0"/>
          <w:marRight w:val="0"/>
          <w:marTop w:val="0"/>
          <w:marBottom w:val="0"/>
          <w:divBdr>
            <w:top w:val="none" w:sz="0" w:space="0" w:color="auto"/>
            <w:left w:val="none" w:sz="0" w:space="0" w:color="auto"/>
            <w:bottom w:val="none" w:sz="0" w:space="0" w:color="auto"/>
            <w:right w:val="none" w:sz="0" w:space="0" w:color="auto"/>
          </w:divBdr>
        </w:div>
      </w:divsChild>
    </w:div>
    <w:div w:id="1481729791">
      <w:marLeft w:val="0"/>
      <w:marRight w:val="0"/>
      <w:marTop w:val="0"/>
      <w:marBottom w:val="0"/>
      <w:divBdr>
        <w:top w:val="none" w:sz="0" w:space="0" w:color="auto"/>
        <w:left w:val="none" w:sz="0" w:space="0" w:color="auto"/>
        <w:bottom w:val="none" w:sz="0" w:space="0" w:color="auto"/>
        <w:right w:val="none" w:sz="0" w:space="0" w:color="auto"/>
      </w:divBdr>
    </w:div>
    <w:div w:id="1481732456">
      <w:marLeft w:val="0"/>
      <w:marRight w:val="0"/>
      <w:marTop w:val="0"/>
      <w:marBottom w:val="240"/>
      <w:divBdr>
        <w:top w:val="none" w:sz="0" w:space="0" w:color="auto"/>
        <w:left w:val="none" w:sz="0" w:space="0" w:color="auto"/>
        <w:bottom w:val="none" w:sz="0" w:space="0" w:color="auto"/>
        <w:right w:val="none" w:sz="0" w:space="0" w:color="auto"/>
      </w:divBdr>
    </w:div>
    <w:div w:id="1482192329">
      <w:marLeft w:val="0"/>
      <w:marRight w:val="0"/>
      <w:marTop w:val="0"/>
      <w:marBottom w:val="240"/>
      <w:divBdr>
        <w:top w:val="none" w:sz="0" w:space="0" w:color="auto"/>
        <w:left w:val="none" w:sz="0" w:space="0" w:color="auto"/>
        <w:bottom w:val="none" w:sz="0" w:space="0" w:color="auto"/>
        <w:right w:val="none" w:sz="0" w:space="0" w:color="auto"/>
      </w:divBdr>
    </w:div>
    <w:div w:id="1482236817">
      <w:marLeft w:val="0"/>
      <w:marRight w:val="0"/>
      <w:marTop w:val="0"/>
      <w:marBottom w:val="180"/>
      <w:divBdr>
        <w:top w:val="none" w:sz="0" w:space="0" w:color="auto"/>
        <w:left w:val="none" w:sz="0" w:space="0" w:color="auto"/>
        <w:bottom w:val="none" w:sz="0" w:space="0" w:color="auto"/>
        <w:right w:val="none" w:sz="0" w:space="0" w:color="auto"/>
      </w:divBdr>
    </w:div>
    <w:div w:id="1482886372">
      <w:marLeft w:val="0"/>
      <w:marRight w:val="0"/>
      <w:marTop w:val="0"/>
      <w:marBottom w:val="0"/>
      <w:divBdr>
        <w:top w:val="none" w:sz="0" w:space="0" w:color="auto"/>
        <w:left w:val="none" w:sz="0" w:space="0" w:color="auto"/>
        <w:bottom w:val="none" w:sz="0" w:space="0" w:color="auto"/>
        <w:right w:val="none" w:sz="0" w:space="0" w:color="auto"/>
      </w:divBdr>
    </w:div>
    <w:div w:id="1483809752">
      <w:marLeft w:val="0"/>
      <w:marRight w:val="0"/>
      <w:marTop w:val="0"/>
      <w:marBottom w:val="180"/>
      <w:divBdr>
        <w:top w:val="none" w:sz="0" w:space="0" w:color="auto"/>
        <w:left w:val="none" w:sz="0" w:space="0" w:color="auto"/>
        <w:bottom w:val="none" w:sz="0" w:space="0" w:color="auto"/>
        <w:right w:val="none" w:sz="0" w:space="0" w:color="auto"/>
      </w:divBdr>
    </w:div>
    <w:div w:id="1484077414">
      <w:marLeft w:val="0"/>
      <w:marRight w:val="0"/>
      <w:marTop w:val="180"/>
      <w:marBottom w:val="180"/>
      <w:divBdr>
        <w:top w:val="none" w:sz="0" w:space="0" w:color="auto"/>
        <w:left w:val="none" w:sz="0" w:space="0" w:color="auto"/>
        <w:bottom w:val="none" w:sz="0" w:space="0" w:color="auto"/>
        <w:right w:val="none" w:sz="0" w:space="0" w:color="auto"/>
      </w:divBdr>
    </w:div>
    <w:div w:id="1484081955">
      <w:marLeft w:val="0"/>
      <w:marRight w:val="0"/>
      <w:marTop w:val="0"/>
      <w:marBottom w:val="0"/>
      <w:divBdr>
        <w:top w:val="none" w:sz="0" w:space="0" w:color="auto"/>
        <w:left w:val="none" w:sz="0" w:space="0" w:color="auto"/>
        <w:bottom w:val="none" w:sz="0" w:space="0" w:color="auto"/>
        <w:right w:val="none" w:sz="0" w:space="0" w:color="auto"/>
      </w:divBdr>
      <w:divsChild>
        <w:div w:id="1339650502">
          <w:marLeft w:val="0"/>
          <w:marRight w:val="0"/>
          <w:marTop w:val="0"/>
          <w:marBottom w:val="0"/>
          <w:divBdr>
            <w:top w:val="none" w:sz="0" w:space="0" w:color="auto"/>
            <w:left w:val="none" w:sz="0" w:space="0" w:color="auto"/>
            <w:bottom w:val="none" w:sz="0" w:space="0" w:color="auto"/>
            <w:right w:val="none" w:sz="0" w:space="0" w:color="auto"/>
          </w:divBdr>
        </w:div>
      </w:divsChild>
    </w:div>
    <w:div w:id="1484926520">
      <w:marLeft w:val="0"/>
      <w:marRight w:val="0"/>
      <w:marTop w:val="0"/>
      <w:marBottom w:val="180"/>
      <w:divBdr>
        <w:top w:val="none" w:sz="0" w:space="0" w:color="auto"/>
        <w:left w:val="none" w:sz="0" w:space="0" w:color="auto"/>
        <w:bottom w:val="none" w:sz="0" w:space="0" w:color="auto"/>
        <w:right w:val="none" w:sz="0" w:space="0" w:color="auto"/>
      </w:divBdr>
    </w:div>
    <w:div w:id="1485076334">
      <w:marLeft w:val="0"/>
      <w:marRight w:val="0"/>
      <w:marTop w:val="0"/>
      <w:marBottom w:val="180"/>
      <w:divBdr>
        <w:top w:val="none" w:sz="0" w:space="0" w:color="auto"/>
        <w:left w:val="none" w:sz="0" w:space="0" w:color="auto"/>
        <w:bottom w:val="none" w:sz="0" w:space="0" w:color="auto"/>
        <w:right w:val="none" w:sz="0" w:space="0" w:color="auto"/>
      </w:divBdr>
    </w:div>
    <w:div w:id="1485319824">
      <w:marLeft w:val="0"/>
      <w:marRight w:val="0"/>
      <w:marTop w:val="0"/>
      <w:marBottom w:val="180"/>
      <w:divBdr>
        <w:top w:val="none" w:sz="0" w:space="0" w:color="auto"/>
        <w:left w:val="none" w:sz="0" w:space="0" w:color="auto"/>
        <w:bottom w:val="none" w:sz="0" w:space="0" w:color="auto"/>
        <w:right w:val="none" w:sz="0" w:space="0" w:color="auto"/>
      </w:divBdr>
    </w:div>
    <w:div w:id="1486434800">
      <w:marLeft w:val="0"/>
      <w:marRight w:val="0"/>
      <w:marTop w:val="180"/>
      <w:marBottom w:val="180"/>
      <w:divBdr>
        <w:top w:val="none" w:sz="0" w:space="0" w:color="auto"/>
        <w:left w:val="none" w:sz="0" w:space="0" w:color="auto"/>
        <w:bottom w:val="none" w:sz="0" w:space="0" w:color="auto"/>
        <w:right w:val="none" w:sz="0" w:space="0" w:color="auto"/>
      </w:divBdr>
    </w:div>
    <w:div w:id="1487209874">
      <w:marLeft w:val="0"/>
      <w:marRight w:val="0"/>
      <w:marTop w:val="0"/>
      <w:marBottom w:val="0"/>
      <w:divBdr>
        <w:top w:val="none" w:sz="0" w:space="0" w:color="auto"/>
        <w:left w:val="none" w:sz="0" w:space="0" w:color="auto"/>
        <w:bottom w:val="none" w:sz="0" w:space="0" w:color="auto"/>
        <w:right w:val="none" w:sz="0" w:space="0" w:color="auto"/>
      </w:divBdr>
      <w:divsChild>
        <w:div w:id="1318726705">
          <w:marLeft w:val="0"/>
          <w:marRight w:val="0"/>
          <w:marTop w:val="0"/>
          <w:marBottom w:val="0"/>
          <w:divBdr>
            <w:top w:val="none" w:sz="0" w:space="0" w:color="auto"/>
            <w:left w:val="none" w:sz="0" w:space="0" w:color="auto"/>
            <w:bottom w:val="none" w:sz="0" w:space="0" w:color="auto"/>
            <w:right w:val="none" w:sz="0" w:space="0" w:color="auto"/>
          </w:divBdr>
        </w:div>
      </w:divsChild>
    </w:div>
    <w:div w:id="1487628594">
      <w:marLeft w:val="0"/>
      <w:marRight w:val="0"/>
      <w:marTop w:val="0"/>
      <w:marBottom w:val="180"/>
      <w:divBdr>
        <w:top w:val="none" w:sz="0" w:space="0" w:color="auto"/>
        <w:left w:val="none" w:sz="0" w:space="0" w:color="auto"/>
        <w:bottom w:val="none" w:sz="0" w:space="0" w:color="auto"/>
        <w:right w:val="none" w:sz="0" w:space="0" w:color="auto"/>
      </w:divBdr>
    </w:div>
    <w:div w:id="1488521320">
      <w:marLeft w:val="0"/>
      <w:marRight w:val="0"/>
      <w:marTop w:val="0"/>
      <w:marBottom w:val="180"/>
      <w:divBdr>
        <w:top w:val="none" w:sz="0" w:space="0" w:color="auto"/>
        <w:left w:val="none" w:sz="0" w:space="0" w:color="auto"/>
        <w:bottom w:val="none" w:sz="0" w:space="0" w:color="auto"/>
        <w:right w:val="none" w:sz="0" w:space="0" w:color="auto"/>
      </w:divBdr>
    </w:div>
    <w:div w:id="1489009893">
      <w:marLeft w:val="0"/>
      <w:marRight w:val="0"/>
      <w:marTop w:val="0"/>
      <w:marBottom w:val="0"/>
      <w:divBdr>
        <w:top w:val="none" w:sz="0" w:space="0" w:color="auto"/>
        <w:left w:val="none" w:sz="0" w:space="0" w:color="auto"/>
        <w:bottom w:val="none" w:sz="0" w:space="0" w:color="auto"/>
        <w:right w:val="none" w:sz="0" w:space="0" w:color="auto"/>
      </w:divBdr>
    </w:div>
    <w:div w:id="1489664015">
      <w:marLeft w:val="0"/>
      <w:marRight w:val="0"/>
      <w:marTop w:val="180"/>
      <w:marBottom w:val="180"/>
      <w:divBdr>
        <w:top w:val="none" w:sz="0" w:space="0" w:color="auto"/>
        <w:left w:val="none" w:sz="0" w:space="0" w:color="auto"/>
        <w:bottom w:val="none" w:sz="0" w:space="0" w:color="auto"/>
        <w:right w:val="none" w:sz="0" w:space="0" w:color="auto"/>
      </w:divBdr>
    </w:div>
    <w:div w:id="1489901123">
      <w:marLeft w:val="0"/>
      <w:marRight w:val="0"/>
      <w:marTop w:val="0"/>
      <w:marBottom w:val="180"/>
      <w:divBdr>
        <w:top w:val="none" w:sz="0" w:space="0" w:color="auto"/>
        <w:left w:val="none" w:sz="0" w:space="0" w:color="auto"/>
        <w:bottom w:val="none" w:sz="0" w:space="0" w:color="auto"/>
        <w:right w:val="none" w:sz="0" w:space="0" w:color="auto"/>
      </w:divBdr>
    </w:div>
    <w:div w:id="1490903863">
      <w:marLeft w:val="0"/>
      <w:marRight w:val="0"/>
      <w:marTop w:val="0"/>
      <w:marBottom w:val="0"/>
      <w:divBdr>
        <w:top w:val="none" w:sz="0" w:space="0" w:color="auto"/>
        <w:left w:val="none" w:sz="0" w:space="0" w:color="auto"/>
        <w:bottom w:val="none" w:sz="0" w:space="0" w:color="auto"/>
        <w:right w:val="none" w:sz="0" w:space="0" w:color="auto"/>
      </w:divBdr>
    </w:div>
    <w:div w:id="1491095160">
      <w:marLeft w:val="0"/>
      <w:marRight w:val="0"/>
      <w:marTop w:val="0"/>
      <w:marBottom w:val="180"/>
      <w:divBdr>
        <w:top w:val="none" w:sz="0" w:space="0" w:color="auto"/>
        <w:left w:val="none" w:sz="0" w:space="0" w:color="auto"/>
        <w:bottom w:val="none" w:sz="0" w:space="0" w:color="auto"/>
        <w:right w:val="none" w:sz="0" w:space="0" w:color="auto"/>
      </w:divBdr>
    </w:div>
    <w:div w:id="1491170610">
      <w:marLeft w:val="0"/>
      <w:marRight w:val="0"/>
      <w:marTop w:val="0"/>
      <w:marBottom w:val="0"/>
      <w:divBdr>
        <w:top w:val="none" w:sz="0" w:space="0" w:color="auto"/>
        <w:left w:val="none" w:sz="0" w:space="0" w:color="auto"/>
        <w:bottom w:val="none" w:sz="0" w:space="0" w:color="auto"/>
        <w:right w:val="none" w:sz="0" w:space="0" w:color="auto"/>
      </w:divBdr>
    </w:div>
    <w:div w:id="1491367448">
      <w:marLeft w:val="0"/>
      <w:marRight w:val="0"/>
      <w:marTop w:val="0"/>
      <w:marBottom w:val="0"/>
      <w:divBdr>
        <w:top w:val="none" w:sz="0" w:space="0" w:color="auto"/>
        <w:left w:val="none" w:sz="0" w:space="0" w:color="auto"/>
        <w:bottom w:val="none" w:sz="0" w:space="0" w:color="auto"/>
        <w:right w:val="none" w:sz="0" w:space="0" w:color="auto"/>
      </w:divBdr>
      <w:divsChild>
        <w:div w:id="351998256">
          <w:marLeft w:val="0"/>
          <w:marRight w:val="0"/>
          <w:marTop w:val="0"/>
          <w:marBottom w:val="0"/>
          <w:divBdr>
            <w:top w:val="none" w:sz="0" w:space="0" w:color="auto"/>
            <w:left w:val="none" w:sz="0" w:space="0" w:color="auto"/>
            <w:bottom w:val="none" w:sz="0" w:space="0" w:color="auto"/>
            <w:right w:val="none" w:sz="0" w:space="0" w:color="auto"/>
          </w:divBdr>
        </w:div>
      </w:divsChild>
    </w:div>
    <w:div w:id="1491679921">
      <w:marLeft w:val="0"/>
      <w:marRight w:val="0"/>
      <w:marTop w:val="60"/>
      <w:marBottom w:val="60"/>
      <w:divBdr>
        <w:top w:val="none" w:sz="0" w:space="0" w:color="auto"/>
        <w:left w:val="none" w:sz="0" w:space="0" w:color="auto"/>
        <w:bottom w:val="none" w:sz="0" w:space="0" w:color="auto"/>
        <w:right w:val="none" w:sz="0" w:space="0" w:color="auto"/>
      </w:divBdr>
    </w:div>
    <w:div w:id="1491864500">
      <w:marLeft w:val="0"/>
      <w:marRight w:val="0"/>
      <w:marTop w:val="0"/>
      <w:marBottom w:val="180"/>
      <w:divBdr>
        <w:top w:val="none" w:sz="0" w:space="0" w:color="auto"/>
        <w:left w:val="none" w:sz="0" w:space="0" w:color="auto"/>
        <w:bottom w:val="none" w:sz="0" w:space="0" w:color="auto"/>
        <w:right w:val="none" w:sz="0" w:space="0" w:color="auto"/>
      </w:divBdr>
    </w:div>
    <w:div w:id="1492789148">
      <w:marLeft w:val="0"/>
      <w:marRight w:val="0"/>
      <w:marTop w:val="120"/>
      <w:marBottom w:val="120"/>
      <w:divBdr>
        <w:top w:val="none" w:sz="0" w:space="0" w:color="auto"/>
        <w:left w:val="none" w:sz="0" w:space="0" w:color="auto"/>
        <w:bottom w:val="none" w:sz="0" w:space="0" w:color="auto"/>
        <w:right w:val="none" w:sz="0" w:space="0" w:color="auto"/>
      </w:divBdr>
    </w:div>
    <w:div w:id="1493912645">
      <w:marLeft w:val="0"/>
      <w:marRight w:val="0"/>
      <w:marTop w:val="0"/>
      <w:marBottom w:val="0"/>
      <w:divBdr>
        <w:top w:val="none" w:sz="0" w:space="0" w:color="auto"/>
        <w:left w:val="none" w:sz="0" w:space="0" w:color="auto"/>
        <w:bottom w:val="none" w:sz="0" w:space="0" w:color="auto"/>
        <w:right w:val="none" w:sz="0" w:space="0" w:color="auto"/>
      </w:divBdr>
      <w:divsChild>
        <w:div w:id="751509622">
          <w:marLeft w:val="0"/>
          <w:marRight w:val="0"/>
          <w:marTop w:val="0"/>
          <w:marBottom w:val="0"/>
          <w:divBdr>
            <w:top w:val="none" w:sz="0" w:space="0" w:color="auto"/>
            <w:left w:val="none" w:sz="0" w:space="0" w:color="auto"/>
            <w:bottom w:val="none" w:sz="0" w:space="0" w:color="auto"/>
            <w:right w:val="none" w:sz="0" w:space="0" w:color="auto"/>
          </w:divBdr>
        </w:div>
      </w:divsChild>
    </w:div>
    <w:div w:id="1494956329">
      <w:marLeft w:val="0"/>
      <w:marRight w:val="0"/>
      <w:marTop w:val="0"/>
      <w:marBottom w:val="180"/>
      <w:divBdr>
        <w:top w:val="none" w:sz="0" w:space="0" w:color="auto"/>
        <w:left w:val="none" w:sz="0" w:space="0" w:color="auto"/>
        <w:bottom w:val="none" w:sz="0" w:space="0" w:color="auto"/>
        <w:right w:val="none" w:sz="0" w:space="0" w:color="auto"/>
      </w:divBdr>
    </w:div>
    <w:div w:id="1495684322">
      <w:marLeft w:val="0"/>
      <w:marRight w:val="0"/>
      <w:marTop w:val="0"/>
      <w:marBottom w:val="0"/>
      <w:divBdr>
        <w:top w:val="none" w:sz="0" w:space="0" w:color="auto"/>
        <w:left w:val="none" w:sz="0" w:space="0" w:color="auto"/>
        <w:bottom w:val="none" w:sz="0" w:space="0" w:color="auto"/>
        <w:right w:val="none" w:sz="0" w:space="0" w:color="auto"/>
      </w:divBdr>
    </w:div>
    <w:div w:id="1496647267">
      <w:marLeft w:val="0"/>
      <w:marRight w:val="0"/>
      <w:marTop w:val="180"/>
      <w:marBottom w:val="180"/>
      <w:divBdr>
        <w:top w:val="none" w:sz="0" w:space="0" w:color="auto"/>
        <w:left w:val="none" w:sz="0" w:space="0" w:color="auto"/>
        <w:bottom w:val="none" w:sz="0" w:space="0" w:color="auto"/>
        <w:right w:val="none" w:sz="0" w:space="0" w:color="auto"/>
      </w:divBdr>
    </w:div>
    <w:div w:id="1497115456">
      <w:marLeft w:val="0"/>
      <w:marRight w:val="0"/>
      <w:marTop w:val="180"/>
      <w:marBottom w:val="180"/>
      <w:divBdr>
        <w:top w:val="none" w:sz="0" w:space="0" w:color="auto"/>
        <w:left w:val="none" w:sz="0" w:space="0" w:color="auto"/>
        <w:bottom w:val="none" w:sz="0" w:space="0" w:color="auto"/>
        <w:right w:val="none" w:sz="0" w:space="0" w:color="auto"/>
      </w:divBdr>
    </w:div>
    <w:div w:id="1497577897">
      <w:marLeft w:val="0"/>
      <w:marRight w:val="0"/>
      <w:marTop w:val="0"/>
      <w:marBottom w:val="0"/>
      <w:divBdr>
        <w:top w:val="none" w:sz="0" w:space="0" w:color="auto"/>
        <w:left w:val="none" w:sz="0" w:space="0" w:color="auto"/>
        <w:bottom w:val="none" w:sz="0" w:space="0" w:color="auto"/>
        <w:right w:val="none" w:sz="0" w:space="0" w:color="auto"/>
      </w:divBdr>
      <w:divsChild>
        <w:div w:id="1176503749">
          <w:marLeft w:val="0"/>
          <w:marRight w:val="0"/>
          <w:marTop w:val="0"/>
          <w:marBottom w:val="0"/>
          <w:divBdr>
            <w:top w:val="none" w:sz="0" w:space="0" w:color="auto"/>
            <w:left w:val="none" w:sz="0" w:space="0" w:color="auto"/>
            <w:bottom w:val="none" w:sz="0" w:space="0" w:color="auto"/>
            <w:right w:val="none" w:sz="0" w:space="0" w:color="auto"/>
          </w:divBdr>
        </w:div>
      </w:divsChild>
    </w:div>
    <w:div w:id="1497765122">
      <w:marLeft w:val="0"/>
      <w:marRight w:val="0"/>
      <w:marTop w:val="0"/>
      <w:marBottom w:val="240"/>
      <w:divBdr>
        <w:top w:val="none" w:sz="0" w:space="0" w:color="auto"/>
        <w:left w:val="none" w:sz="0" w:space="0" w:color="auto"/>
        <w:bottom w:val="none" w:sz="0" w:space="0" w:color="auto"/>
        <w:right w:val="none" w:sz="0" w:space="0" w:color="auto"/>
      </w:divBdr>
    </w:div>
    <w:div w:id="1498612832">
      <w:marLeft w:val="0"/>
      <w:marRight w:val="0"/>
      <w:marTop w:val="180"/>
      <w:marBottom w:val="180"/>
      <w:divBdr>
        <w:top w:val="none" w:sz="0" w:space="0" w:color="auto"/>
        <w:left w:val="none" w:sz="0" w:space="0" w:color="auto"/>
        <w:bottom w:val="none" w:sz="0" w:space="0" w:color="auto"/>
        <w:right w:val="none" w:sz="0" w:space="0" w:color="auto"/>
      </w:divBdr>
    </w:div>
    <w:div w:id="1499077396">
      <w:marLeft w:val="0"/>
      <w:marRight w:val="0"/>
      <w:marTop w:val="0"/>
      <w:marBottom w:val="180"/>
      <w:divBdr>
        <w:top w:val="none" w:sz="0" w:space="0" w:color="auto"/>
        <w:left w:val="none" w:sz="0" w:space="0" w:color="auto"/>
        <w:bottom w:val="none" w:sz="0" w:space="0" w:color="auto"/>
        <w:right w:val="none" w:sz="0" w:space="0" w:color="auto"/>
      </w:divBdr>
    </w:div>
    <w:div w:id="1499148613">
      <w:marLeft w:val="0"/>
      <w:marRight w:val="0"/>
      <w:marTop w:val="0"/>
      <w:marBottom w:val="240"/>
      <w:divBdr>
        <w:top w:val="none" w:sz="0" w:space="0" w:color="auto"/>
        <w:left w:val="none" w:sz="0" w:space="0" w:color="auto"/>
        <w:bottom w:val="none" w:sz="0" w:space="0" w:color="auto"/>
        <w:right w:val="none" w:sz="0" w:space="0" w:color="auto"/>
      </w:divBdr>
    </w:div>
    <w:div w:id="1499618706">
      <w:marLeft w:val="0"/>
      <w:marRight w:val="0"/>
      <w:marTop w:val="0"/>
      <w:marBottom w:val="0"/>
      <w:divBdr>
        <w:top w:val="none" w:sz="0" w:space="0" w:color="auto"/>
        <w:left w:val="none" w:sz="0" w:space="0" w:color="auto"/>
        <w:bottom w:val="none" w:sz="0" w:space="0" w:color="auto"/>
        <w:right w:val="none" w:sz="0" w:space="0" w:color="auto"/>
      </w:divBdr>
      <w:divsChild>
        <w:div w:id="2091390583">
          <w:marLeft w:val="0"/>
          <w:marRight w:val="0"/>
          <w:marTop w:val="0"/>
          <w:marBottom w:val="0"/>
          <w:divBdr>
            <w:top w:val="none" w:sz="0" w:space="0" w:color="auto"/>
            <w:left w:val="none" w:sz="0" w:space="0" w:color="auto"/>
            <w:bottom w:val="none" w:sz="0" w:space="0" w:color="auto"/>
            <w:right w:val="none" w:sz="0" w:space="0" w:color="auto"/>
          </w:divBdr>
        </w:div>
      </w:divsChild>
    </w:div>
    <w:div w:id="1499954250">
      <w:marLeft w:val="0"/>
      <w:marRight w:val="0"/>
      <w:marTop w:val="180"/>
      <w:marBottom w:val="180"/>
      <w:divBdr>
        <w:top w:val="none" w:sz="0" w:space="0" w:color="auto"/>
        <w:left w:val="none" w:sz="0" w:space="0" w:color="auto"/>
        <w:bottom w:val="none" w:sz="0" w:space="0" w:color="auto"/>
        <w:right w:val="none" w:sz="0" w:space="0" w:color="auto"/>
      </w:divBdr>
    </w:div>
    <w:div w:id="1501046452">
      <w:marLeft w:val="0"/>
      <w:marRight w:val="0"/>
      <w:marTop w:val="0"/>
      <w:marBottom w:val="0"/>
      <w:divBdr>
        <w:top w:val="none" w:sz="0" w:space="0" w:color="auto"/>
        <w:left w:val="none" w:sz="0" w:space="0" w:color="auto"/>
        <w:bottom w:val="none" w:sz="0" w:space="0" w:color="auto"/>
        <w:right w:val="none" w:sz="0" w:space="0" w:color="auto"/>
      </w:divBdr>
    </w:div>
    <w:div w:id="1501774469">
      <w:marLeft w:val="0"/>
      <w:marRight w:val="0"/>
      <w:marTop w:val="0"/>
      <w:marBottom w:val="180"/>
      <w:divBdr>
        <w:top w:val="none" w:sz="0" w:space="0" w:color="auto"/>
        <w:left w:val="none" w:sz="0" w:space="0" w:color="auto"/>
        <w:bottom w:val="none" w:sz="0" w:space="0" w:color="auto"/>
        <w:right w:val="none" w:sz="0" w:space="0" w:color="auto"/>
      </w:divBdr>
    </w:div>
    <w:div w:id="1502696088">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
      </w:divsChild>
    </w:div>
    <w:div w:id="1503662246">
      <w:marLeft w:val="0"/>
      <w:marRight w:val="0"/>
      <w:marTop w:val="100"/>
      <w:marBottom w:val="0"/>
      <w:divBdr>
        <w:top w:val="none" w:sz="0" w:space="0" w:color="auto"/>
        <w:left w:val="none" w:sz="0" w:space="0" w:color="auto"/>
        <w:bottom w:val="none" w:sz="0" w:space="0" w:color="auto"/>
        <w:right w:val="none" w:sz="0" w:space="0" w:color="auto"/>
      </w:divBdr>
    </w:div>
    <w:div w:id="1505392718">
      <w:marLeft w:val="0"/>
      <w:marRight w:val="0"/>
      <w:marTop w:val="120"/>
      <w:marBottom w:val="120"/>
      <w:divBdr>
        <w:top w:val="none" w:sz="0" w:space="0" w:color="auto"/>
        <w:left w:val="none" w:sz="0" w:space="0" w:color="auto"/>
        <w:bottom w:val="none" w:sz="0" w:space="0" w:color="auto"/>
        <w:right w:val="none" w:sz="0" w:space="0" w:color="auto"/>
      </w:divBdr>
    </w:div>
    <w:div w:id="1505440718">
      <w:marLeft w:val="0"/>
      <w:marRight w:val="0"/>
      <w:marTop w:val="0"/>
      <w:marBottom w:val="240"/>
      <w:divBdr>
        <w:top w:val="none" w:sz="0" w:space="0" w:color="auto"/>
        <w:left w:val="none" w:sz="0" w:space="0" w:color="auto"/>
        <w:bottom w:val="none" w:sz="0" w:space="0" w:color="auto"/>
        <w:right w:val="none" w:sz="0" w:space="0" w:color="auto"/>
      </w:divBdr>
    </w:div>
    <w:div w:id="1506245407">
      <w:marLeft w:val="0"/>
      <w:marRight w:val="0"/>
      <w:marTop w:val="180"/>
      <w:marBottom w:val="180"/>
      <w:divBdr>
        <w:top w:val="none" w:sz="0" w:space="0" w:color="auto"/>
        <w:left w:val="none" w:sz="0" w:space="0" w:color="auto"/>
        <w:bottom w:val="none" w:sz="0" w:space="0" w:color="auto"/>
        <w:right w:val="none" w:sz="0" w:space="0" w:color="auto"/>
      </w:divBdr>
    </w:div>
    <w:div w:id="1506940574">
      <w:marLeft w:val="0"/>
      <w:marRight w:val="0"/>
      <w:marTop w:val="0"/>
      <w:marBottom w:val="0"/>
      <w:divBdr>
        <w:top w:val="none" w:sz="0" w:space="0" w:color="auto"/>
        <w:left w:val="none" w:sz="0" w:space="0" w:color="auto"/>
        <w:bottom w:val="none" w:sz="0" w:space="0" w:color="auto"/>
        <w:right w:val="none" w:sz="0" w:space="0" w:color="auto"/>
      </w:divBdr>
    </w:div>
    <w:div w:id="1509826907">
      <w:marLeft w:val="0"/>
      <w:marRight w:val="0"/>
      <w:marTop w:val="140"/>
      <w:marBottom w:val="240"/>
      <w:divBdr>
        <w:top w:val="none" w:sz="0" w:space="0" w:color="auto"/>
        <w:left w:val="none" w:sz="0" w:space="0" w:color="auto"/>
        <w:bottom w:val="none" w:sz="0" w:space="0" w:color="auto"/>
        <w:right w:val="none" w:sz="0" w:space="0" w:color="auto"/>
      </w:divBdr>
    </w:div>
    <w:div w:id="1511530557">
      <w:marLeft w:val="0"/>
      <w:marRight w:val="0"/>
      <w:marTop w:val="0"/>
      <w:marBottom w:val="0"/>
      <w:divBdr>
        <w:top w:val="none" w:sz="0" w:space="0" w:color="auto"/>
        <w:left w:val="none" w:sz="0" w:space="0" w:color="auto"/>
        <w:bottom w:val="none" w:sz="0" w:space="0" w:color="auto"/>
        <w:right w:val="none" w:sz="0" w:space="0" w:color="auto"/>
      </w:divBdr>
      <w:divsChild>
        <w:div w:id="1938713323">
          <w:marLeft w:val="0"/>
          <w:marRight w:val="0"/>
          <w:marTop w:val="0"/>
          <w:marBottom w:val="0"/>
          <w:divBdr>
            <w:top w:val="none" w:sz="0" w:space="0" w:color="auto"/>
            <w:left w:val="none" w:sz="0" w:space="0" w:color="auto"/>
            <w:bottom w:val="none" w:sz="0" w:space="0" w:color="auto"/>
            <w:right w:val="none" w:sz="0" w:space="0" w:color="auto"/>
          </w:divBdr>
        </w:div>
      </w:divsChild>
    </w:div>
    <w:div w:id="1512333463">
      <w:marLeft w:val="0"/>
      <w:marRight w:val="0"/>
      <w:marTop w:val="0"/>
      <w:marBottom w:val="180"/>
      <w:divBdr>
        <w:top w:val="none" w:sz="0" w:space="0" w:color="auto"/>
        <w:left w:val="none" w:sz="0" w:space="0" w:color="auto"/>
        <w:bottom w:val="none" w:sz="0" w:space="0" w:color="auto"/>
        <w:right w:val="none" w:sz="0" w:space="0" w:color="auto"/>
      </w:divBdr>
    </w:div>
    <w:div w:id="1512908834">
      <w:marLeft w:val="0"/>
      <w:marRight w:val="0"/>
      <w:marTop w:val="120"/>
      <w:marBottom w:val="120"/>
      <w:divBdr>
        <w:top w:val="none" w:sz="0" w:space="0" w:color="auto"/>
        <w:left w:val="none" w:sz="0" w:space="0" w:color="auto"/>
        <w:bottom w:val="none" w:sz="0" w:space="0" w:color="auto"/>
        <w:right w:val="none" w:sz="0" w:space="0" w:color="auto"/>
      </w:divBdr>
    </w:div>
    <w:div w:id="1512990180">
      <w:marLeft w:val="0"/>
      <w:marRight w:val="0"/>
      <w:marTop w:val="0"/>
      <w:marBottom w:val="0"/>
      <w:divBdr>
        <w:top w:val="none" w:sz="0" w:space="0" w:color="auto"/>
        <w:left w:val="none" w:sz="0" w:space="0" w:color="auto"/>
        <w:bottom w:val="none" w:sz="0" w:space="0" w:color="auto"/>
        <w:right w:val="none" w:sz="0" w:space="0" w:color="auto"/>
      </w:divBdr>
      <w:divsChild>
        <w:div w:id="642809807">
          <w:marLeft w:val="0"/>
          <w:marRight w:val="0"/>
          <w:marTop w:val="0"/>
          <w:marBottom w:val="0"/>
          <w:divBdr>
            <w:top w:val="none" w:sz="0" w:space="0" w:color="auto"/>
            <w:left w:val="none" w:sz="0" w:space="0" w:color="auto"/>
            <w:bottom w:val="none" w:sz="0" w:space="0" w:color="auto"/>
            <w:right w:val="none" w:sz="0" w:space="0" w:color="auto"/>
          </w:divBdr>
        </w:div>
      </w:divsChild>
    </w:div>
    <w:div w:id="1513494441">
      <w:marLeft w:val="0"/>
      <w:marRight w:val="0"/>
      <w:marTop w:val="0"/>
      <w:marBottom w:val="240"/>
      <w:divBdr>
        <w:top w:val="none" w:sz="0" w:space="0" w:color="auto"/>
        <w:left w:val="none" w:sz="0" w:space="0" w:color="auto"/>
        <w:bottom w:val="none" w:sz="0" w:space="0" w:color="auto"/>
        <w:right w:val="none" w:sz="0" w:space="0" w:color="auto"/>
      </w:divBdr>
    </w:div>
    <w:div w:id="1515072160">
      <w:marLeft w:val="0"/>
      <w:marRight w:val="0"/>
      <w:marTop w:val="0"/>
      <w:marBottom w:val="240"/>
      <w:divBdr>
        <w:top w:val="none" w:sz="0" w:space="0" w:color="auto"/>
        <w:left w:val="none" w:sz="0" w:space="0" w:color="auto"/>
        <w:bottom w:val="none" w:sz="0" w:space="0" w:color="auto"/>
        <w:right w:val="none" w:sz="0" w:space="0" w:color="auto"/>
      </w:divBdr>
    </w:div>
    <w:div w:id="1515266858">
      <w:marLeft w:val="0"/>
      <w:marRight w:val="0"/>
      <w:marTop w:val="0"/>
      <w:marBottom w:val="240"/>
      <w:divBdr>
        <w:top w:val="none" w:sz="0" w:space="0" w:color="auto"/>
        <w:left w:val="none" w:sz="0" w:space="0" w:color="auto"/>
        <w:bottom w:val="none" w:sz="0" w:space="0" w:color="auto"/>
        <w:right w:val="none" w:sz="0" w:space="0" w:color="auto"/>
      </w:divBdr>
    </w:div>
    <w:div w:id="1515800335">
      <w:marLeft w:val="0"/>
      <w:marRight w:val="0"/>
      <w:marTop w:val="0"/>
      <w:marBottom w:val="240"/>
      <w:divBdr>
        <w:top w:val="none" w:sz="0" w:space="0" w:color="auto"/>
        <w:left w:val="none" w:sz="0" w:space="0" w:color="auto"/>
        <w:bottom w:val="none" w:sz="0" w:space="0" w:color="auto"/>
        <w:right w:val="none" w:sz="0" w:space="0" w:color="auto"/>
      </w:divBdr>
    </w:div>
    <w:div w:id="1516142272">
      <w:marLeft w:val="0"/>
      <w:marRight w:val="0"/>
      <w:marTop w:val="0"/>
      <w:marBottom w:val="240"/>
      <w:divBdr>
        <w:top w:val="none" w:sz="0" w:space="0" w:color="auto"/>
        <w:left w:val="none" w:sz="0" w:space="0" w:color="auto"/>
        <w:bottom w:val="none" w:sz="0" w:space="0" w:color="auto"/>
        <w:right w:val="none" w:sz="0" w:space="0" w:color="auto"/>
      </w:divBdr>
    </w:div>
    <w:div w:id="1517115882">
      <w:marLeft w:val="0"/>
      <w:marRight w:val="0"/>
      <w:marTop w:val="0"/>
      <w:marBottom w:val="180"/>
      <w:divBdr>
        <w:top w:val="none" w:sz="0" w:space="0" w:color="auto"/>
        <w:left w:val="none" w:sz="0" w:space="0" w:color="auto"/>
        <w:bottom w:val="none" w:sz="0" w:space="0" w:color="auto"/>
        <w:right w:val="none" w:sz="0" w:space="0" w:color="auto"/>
      </w:divBdr>
    </w:div>
    <w:div w:id="1517688662">
      <w:marLeft w:val="0"/>
      <w:marRight w:val="0"/>
      <w:marTop w:val="0"/>
      <w:marBottom w:val="240"/>
      <w:divBdr>
        <w:top w:val="none" w:sz="0" w:space="0" w:color="auto"/>
        <w:left w:val="none" w:sz="0" w:space="0" w:color="auto"/>
        <w:bottom w:val="none" w:sz="0" w:space="0" w:color="auto"/>
        <w:right w:val="none" w:sz="0" w:space="0" w:color="auto"/>
      </w:divBdr>
    </w:div>
    <w:div w:id="1518152702">
      <w:marLeft w:val="0"/>
      <w:marRight w:val="0"/>
      <w:marTop w:val="0"/>
      <w:marBottom w:val="240"/>
      <w:divBdr>
        <w:top w:val="none" w:sz="0" w:space="0" w:color="auto"/>
        <w:left w:val="none" w:sz="0" w:space="0" w:color="auto"/>
        <w:bottom w:val="none" w:sz="0" w:space="0" w:color="auto"/>
        <w:right w:val="none" w:sz="0" w:space="0" w:color="auto"/>
      </w:divBdr>
    </w:div>
    <w:div w:id="1518158790">
      <w:marLeft w:val="0"/>
      <w:marRight w:val="0"/>
      <w:marTop w:val="0"/>
      <w:marBottom w:val="0"/>
      <w:divBdr>
        <w:top w:val="none" w:sz="0" w:space="0" w:color="auto"/>
        <w:left w:val="none" w:sz="0" w:space="0" w:color="auto"/>
        <w:bottom w:val="none" w:sz="0" w:space="0" w:color="auto"/>
        <w:right w:val="none" w:sz="0" w:space="0" w:color="auto"/>
      </w:divBdr>
      <w:divsChild>
        <w:div w:id="806825145">
          <w:marLeft w:val="0"/>
          <w:marRight w:val="0"/>
          <w:marTop w:val="0"/>
          <w:marBottom w:val="0"/>
          <w:divBdr>
            <w:top w:val="none" w:sz="0" w:space="0" w:color="auto"/>
            <w:left w:val="none" w:sz="0" w:space="0" w:color="auto"/>
            <w:bottom w:val="none" w:sz="0" w:space="0" w:color="auto"/>
            <w:right w:val="none" w:sz="0" w:space="0" w:color="auto"/>
          </w:divBdr>
        </w:div>
      </w:divsChild>
    </w:div>
    <w:div w:id="1518496967">
      <w:marLeft w:val="0"/>
      <w:marRight w:val="0"/>
      <w:marTop w:val="180"/>
      <w:marBottom w:val="180"/>
      <w:divBdr>
        <w:top w:val="none" w:sz="0" w:space="0" w:color="auto"/>
        <w:left w:val="none" w:sz="0" w:space="0" w:color="auto"/>
        <w:bottom w:val="none" w:sz="0" w:space="0" w:color="auto"/>
        <w:right w:val="none" w:sz="0" w:space="0" w:color="auto"/>
      </w:divBdr>
    </w:div>
    <w:div w:id="1518542527">
      <w:marLeft w:val="0"/>
      <w:marRight w:val="0"/>
      <w:marTop w:val="0"/>
      <w:marBottom w:val="0"/>
      <w:divBdr>
        <w:top w:val="none" w:sz="0" w:space="0" w:color="auto"/>
        <w:left w:val="none" w:sz="0" w:space="0" w:color="auto"/>
        <w:bottom w:val="none" w:sz="0" w:space="0" w:color="auto"/>
        <w:right w:val="none" w:sz="0" w:space="0" w:color="auto"/>
      </w:divBdr>
      <w:divsChild>
        <w:div w:id="890115628">
          <w:marLeft w:val="0"/>
          <w:marRight w:val="0"/>
          <w:marTop w:val="0"/>
          <w:marBottom w:val="0"/>
          <w:divBdr>
            <w:top w:val="none" w:sz="0" w:space="0" w:color="auto"/>
            <w:left w:val="none" w:sz="0" w:space="0" w:color="auto"/>
            <w:bottom w:val="none" w:sz="0" w:space="0" w:color="auto"/>
            <w:right w:val="none" w:sz="0" w:space="0" w:color="auto"/>
          </w:divBdr>
          <w:divsChild>
            <w:div w:id="1697272473">
              <w:marLeft w:val="0"/>
              <w:marRight w:val="0"/>
              <w:marTop w:val="120"/>
              <w:marBottom w:val="120"/>
              <w:divBdr>
                <w:top w:val="none" w:sz="0" w:space="0" w:color="auto"/>
                <w:left w:val="none" w:sz="0" w:space="0" w:color="auto"/>
                <w:bottom w:val="none" w:sz="0" w:space="0" w:color="auto"/>
                <w:right w:val="none" w:sz="0" w:space="0" w:color="auto"/>
              </w:divBdr>
            </w:div>
            <w:div w:id="1639411900">
              <w:marLeft w:val="0"/>
              <w:marRight w:val="0"/>
              <w:marTop w:val="120"/>
              <w:marBottom w:val="120"/>
              <w:divBdr>
                <w:top w:val="none" w:sz="0" w:space="0" w:color="auto"/>
                <w:left w:val="none" w:sz="0" w:space="0" w:color="auto"/>
                <w:bottom w:val="none" w:sz="0" w:space="0" w:color="auto"/>
                <w:right w:val="none" w:sz="0" w:space="0" w:color="auto"/>
              </w:divBdr>
            </w:div>
            <w:div w:id="2038460306">
              <w:marLeft w:val="0"/>
              <w:marRight w:val="0"/>
              <w:marTop w:val="120"/>
              <w:marBottom w:val="120"/>
              <w:divBdr>
                <w:top w:val="none" w:sz="0" w:space="0" w:color="auto"/>
                <w:left w:val="none" w:sz="0" w:space="0" w:color="auto"/>
                <w:bottom w:val="none" w:sz="0" w:space="0" w:color="auto"/>
                <w:right w:val="none" w:sz="0" w:space="0" w:color="auto"/>
              </w:divBdr>
            </w:div>
            <w:div w:id="1735011282">
              <w:marLeft w:val="0"/>
              <w:marRight w:val="0"/>
              <w:marTop w:val="120"/>
              <w:marBottom w:val="120"/>
              <w:divBdr>
                <w:top w:val="none" w:sz="0" w:space="0" w:color="auto"/>
                <w:left w:val="none" w:sz="0" w:space="0" w:color="auto"/>
                <w:bottom w:val="none" w:sz="0" w:space="0" w:color="auto"/>
                <w:right w:val="none" w:sz="0" w:space="0" w:color="auto"/>
              </w:divBdr>
            </w:div>
            <w:div w:id="885802117">
              <w:marLeft w:val="0"/>
              <w:marRight w:val="0"/>
              <w:marTop w:val="120"/>
              <w:marBottom w:val="120"/>
              <w:divBdr>
                <w:top w:val="none" w:sz="0" w:space="0" w:color="auto"/>
                <w:left w:val="none" w:sz="0" w:space="0" w:color="auto"/>
                <w:bottom w:val="none" w:sz="0" w:space="0" w:color="auto"/>
                <w:right w:val="none" w:sz="0" w:space="0" w:color="auto"/>
              </w:divBdr>
            </w:div>
            <w:div w:id="1046368599">
              <w:marLeft w:val="0"/>
              <w:marRight w:val="0"/>
              <w:marTop w:val="120"/>
              <w:marBottom w:val="120"/>
              <w:divBdr>
                <w:top w:val="none" w:sz="0" w:space="0" w:color="auto"/>
                <w:left w:val="none" w:sz="0" w:space="0" w:color="auto"/>
                <w:bottom w:val="none" w:sz="0" w:space="0" w:color="auto"/>
                <w:right w:val="none" w:sz="0" w:space="0" w:color="auto"/>
              </w:divBdr>
            </w:div>
            <w:div w:id="107631161">
              <w:marLeft w:val="0"/>
              <w:marRight w:val="0"/>
              <w:marTop w:val="120"/>
              <w:marBottom w:val="120"/>
              <w:divBdr>
                <w:top w:val="none" w:sz="0" w:space="0" w:color="auto"/>
                <w:left w:val="none" w:sz="0" w:space="0" w:color="auto"/>
                <w:bottom w:val="none" w:sz="0" w:space="0" w:color="auto"/>
                <w:right w:val="none" w:sz="0" w:space="0" w:color="auto"/>
              </w:divBdr>
            </w:div>
            <w:div w:id="1979723755">
              <w:marLeft w:val="0"/>
              <w:marRight w:val="0"/>
              <w:marTop w:val="120"/>
              <w:marBottom w:val="120"/>
              <w:divBdr>
                <w:top w:val="none" w:sz="0" w:space="0" w:color="auto"/>
                <w:left w:val="none" w:sz="0" w:space="0" w:color="auto"/>
                <w:bottom w:val="none" w:sz="0" w:space="0" w:color="auto"/>
                <w:right w:val="none" w:sz="0" w:space="0" w:color="auto"/>
              </w:divBdr>
            </w:div>
            <w:div w:id="1462655734">
              <w:marLeft w:val="0"/>
              <w:marRight w:val="0"/>
              <w:marTop w:val="120"/>
              <w:marBottom w:val="120"/>
              <w:divBdr>
                <w:top w:val="none" w:sz="0" w:space="0" w:color="auto"/>
                <w:left w:val="none" w:sz="0" w:space="0" w:color="auto"/>
                <w:bottom w:val="none" w:sz="0" w:space="0" w:color="auto"/>
                <w:right w:val="none" w:sz="0" w:space="0" w:color="auto"/>
              </w:divBdr>
            </w:div>
            <w:div w:id="681665428">
              <w:marLeft w:val="0"/>
              <w:marRight w:val="0"/>
              <w:marTop w:val="120"/>
              <w:marBottom w:val="120"/>
              <w:divBdr>
                <w:top w:val="none" w:sz="0" w:space="0" w:color="auto"/>
                <w:left w:val="none" w:sz="0" w:space="0" w:color="auto"/>
                <w:bottom w:val="none" w:sz="0" w:space="0" w:color="auto"/>
                <w:right w:val="none" w:sz="0" w:space="0" w:color="auto"/>
              </w:divBdr>
            </w:div>
            <w:div w:id="1506438469">
              <w:marLeft w:val="0"/>
              <w:marRight w:val="0"/>
              <w:marTop w:val="120"/>
              <w:marBottom w:val="120"/>
              <w:divBdr>
                <w:top w:val="none" w:sz="0" w:space="0" w:color="auto"/>
                <w:left w:val="none" w:sz="0" w:space="0" w:color="auto"/>
                <w:bottom w:val="none" w:sz="0" w:space="0" w:color="auto"/>
                <w:right w:val="none" w:sz="0" w:space="0" w:color="auto"/>
              </w:divBdr>
            </w:div>
            <w:div w:id="642076428">
              <w:marLeft w:val="0"/>
              <w:marRight w:val="0"/>
              <w:marTop w:val="120"/>
              <w:marBottom w:val="120"/>
              <w:divBdr>
                <w:top w:val="none" w:sz="0" w:space="0" w:color="auto"/>
                <w:left w:val="none" w:sz="0" w:space="0" w:color="auto"/>
                <w:bottom w:val="none" w:sz="0" w:space="0" w:color="auto"/>
                <w:right w:val="none" w:sz="0" w:space="0" w:color="auto"/>
              </w:divBdr>
            </w:div>
            <w:div w:id="473988112">
              <w:marLeft w:val="0"/>
              <w:marRight w:val="0"/>
              <w:marTop w:val="120"/>
              <w:marBottom w:val="120"/>
              <w:divBdr>
                <w:top w:val="none" w:sz="0" w:space="0" w:color="auto"/>
                <w:left w:val="none" w:sz="0" w:space="0" w:color="auto"/>
                <w:bottom w:val="none" w:sz="0" w:space="0" w:color="auto"/>
                <w:right w:val="none" w:sz="0" w:space="0" w:color="auto"/>
              </w:divBdr>
            </w:div>
            <w:div w:id="830373340">
              <w:marLeft w:val="0"/>
              <w:marRight w:val="0"/>
              <w:marTop w:val="120"/>
              <w:marBottom w:val="120"/>
              <w:divBdr>
                <w:top w:val="none" w:sz="0" w:space="0" w:color="auto"/>
                <w:left w:val="none" w:sz="0" w:space="0" w:color="auto"/>
                <w:bottom w:val="none" w:sz="0" w:space="0" w:color="auto"/>
                <w:right w:val="none" w:sz="0" w:space="0" w:color="auto"/>
              </w:divBdr>
            </w:div>
            <w:div w:id="2072608228">
              <w:marLeft w:val="0"/>
              <w:marRight w:val="0"/>
              <w:marTop w:val="120"/>
              <w:marBottom w:val="120"/>
              <w:divBdr>
                <w:top w:val="none" w:sz="0" w:space="0" w:color="auto"/>
                <w:left w:val="none" w:sz="0" w:space="0" w:color="auto"/>
                <w:bottom w:val="none" w:sz="0" w:space="0" w:color="auto"/>
                <w:right w:val="none" w:sz="0" w:space="0" w:color="auto"/>
              </w:divBdr>
            </w:div>
            <w:div w:id="829712787">
              <w:marLeft w:val="0"/>
              <w:marRight w:val="0"/>
              <w:marTop w:val="120"/>
              <w:marBottom w:val="120"/>
              <w:divBdr>
                <w:top w:val="none" w:sz="0" w:space="0" w:color="auto"/>
                <w:left w:val="none" w:sz="0" w:space="0" w:color="auto"/>
                <w:bottom w:val="none" w:sz="0" w:space="0" w:color="auto"/>
                <w:right w:val="none" w:sz="0" w:space="0" w:color="auto"/>
              </w:divBdr>
            </w:div>
            <w:div w:id="1372656518">
              <w:marLeft w:val="0"/>
              <w:marRight w:val="0"/>
              <w:marTop w:val="120"/>
              <w:marBottom w:val="120"/>
              <w:divBdr>
                <w:top w:val="none" w:sz="0" w:space="0" w:color="auto"/>
                <w:left w:val="none" w:sz="0" w:space="0" w:color="auto"/>
                <w:bottom w:val="none" w:sz="0" w:space="0" w:color="auto"/>
                <w:right w:val="none" w:sz="0" w:space="0" w:color="auto"/>
              </w:divBdr>
            </w:div>
            <w:div w:id="113139113">
              <w:marLeft w:val="0"/>
              <w:marRight w:val="0"/>
              <w:marTop w:val="120"/>
              <w:marBottom w:val="120"/>
              <w:divBdr>
                <w:top w:val="none" w:sz="0" w:space="0" w:color="auto"/>
                <w:left w:val="none" w:sz="0" w:space="0" w:color="auto"/>
                <w:bottom w:val="none" w:sz="0" w:space="0" w:color="auto"/>
                <w:right w:val="none" w:sz="0" w:space="0" w:color="auto"/>
              </w:divBdr>
            </w:div>
            <w:div w:id="1088230548">
              <w:marLeft w:val="0"/>
              <w:marRight w:val="0"/>
              <w:marTop w:val="120"/>
              <w:marBottom w:val="120"/>
              <w:divBdr>
                <w:top w:val="none" w:sz="0" w:space="0" w:color="auto"/>
                <w:left w:val="none" w:sz="0" w:space="0" w:color="auto"/>
                <w:bottom w:val="none" w:sz="0" w:space="0" w:color="auto"/>
                <w:right w:val="none" w:sz="0" w:space="0" w:color="auto"/>
              </w:divBdr>
            </w:div>
            <w:div w:id="303508455">
              <w:marLeft w:val="0"/>
              <w:marRight w:val="0"/>
              <w:marTop w:val="120"/>
              <w:marBottom w:val="120"/>
              <w:divBdr>
                <w:top w:val="none" w:sz="0" w:space="0" w:color="auto"/>
                <w:left w:val="none" w:sz="0" w:space="0" w:color="auto"/>
                <w:bottom w:val="none" w:sz="0" w:space="0" w:color="auto"/>
                <w:right w:val="none" w:sz="0" w:space="0" w:color="auto"/>
              </w:divBdr>
            </w:div>
            <w:div w:id="1136070038">
              <w:marLeft w:val="0"/>
              <w:marRight w:val="0"/>
              <w:marTop w:val="120"/>
              <w:marBottom w:val="120"/>
              <w:divBdr>
                <w:top w:val="none" w:sz="0" w:space="0" w:color="auto"/>
                <w:left w:val="none" w:sz="0" w:space="0" w:color="auto"/>
                <w:bottom w:val="none" w:sz="0" w:space="0" w:color="auto"/>
                <w:right w:val="none" w:sz="0" w:space="0" w:color="auto"/>
              </w:divBdr>
            </w:div>
            <w:div w:id="935792775">
              <w:marLeft w:val="0"/>
              <w:marRight w:val="0"/>
              <w:marTop w:val="120"/>
              <w:marBottom w:val="120"/>
              <w:divBdr>
                <w:top w:val="none" w:sz="0" w:space="0" w:color="auto"/>
                <w:left w:val="none" w:sz="0" w:space="0" w:color="auto"/>
                <w:bottom w:val="none" w:sz="0" w:space="0" w:color="auto"/>
                <w:right w:val="none" w:sz="0" w:space="0" w:color="auto"/>
              </w:divBdr>
            </w:div>
            <w:div w:id="176165751">
              <w:marLeft w:val="0"/>
              <w:marRight w:val="0"/>
              <w:marTop w:val="120"/>
              <w:marBottom w:val="120"/>
              <w:divBdr>
                <w:top w:val="none" w:sz="0" w:space="0" w:color="auto"/>
                <w:left w:val="none" w:sz="0" w:space="0" w:color="auto"/>
                <w:bottom w:val="none" w:sz="0" w:space="0" w:color="auto"/>
                <w:right w:val="none" w:sz="0" w:space="0" w:color="auto"/>
              </w:divBdr>
            </w:div>
            <w:div w:id="1060860233">
              <w:marLeft w:val="0"/>
              <w:marRight w:val="0"/>
              <w:marTop w:val="120"/>
              <w:marBottom w:val="120"/>
              <w:divBdr>
                <w:top w:val="none" w:sz="0" w:space="0" w:color="auto"/>
                <w:left w:val="none" w:sz="0" w:space="0" w:color="auto"/>
                <w:bottom w:val="none" w:sz="0" w:space="0" w:color="auto"/>
                <w:right w:val="none" w:sz="0" w:space="0" w:color="auto"/>
              </w:divBdr>
            </w:div>
            <w:div w:id="534655263">
              <w:marLeft w:val="0"/>
              <w:marRight w:val="0"/>
              <w:marTop w:val="120"/>
              <w:marBottom w:val="120"/>
              <w:divBdr>
                <w:top w:val="none" w:sz="0" w:space="0" w:color="auto"/>
                <w:left w:val="none" w:sz="0" w:space="0" w:color="auto"/>
                <w:bottom w:val="none" w:sz="0" w:space="0" w:color="auto"/>
                <w:right w:val="none" w:sz="0" w:space="0" w:color="auto"/>
              </w:divBdr>
            </w:div>
            <w:div w:id="2004164758">
              <w:marLeft w:val="0"/>
              <w:marRight w:val="0"/>
              <w:marTop w:val="120"/>
              <w:marBottom w:val="120"/>
              <w:divBdr>
                <w:top w:val="none" w:sz="0" w:space="0" w:color="auto"/>
                <w:left w:val="none" w:sz="0" w:space="0" w:color="auto"/>
                <w:bottom w:val="none" w:sz="0" w:space="0" w:color="auto"/>
                <w:right w:val="none" w:sz="0" w:space="0" w:color="auto"/>
              </w:divBdr>
            </w:div>
            <w:div w:id="712197237">
              <w:marLeft w:val="0"/>
              <w:marRight w:val="0"/>
              <w:marTop w:val="120"/>
              <w:marBottom w:val="120"/>
              <w:divBdr>
                <w:top w:val="none" w:sz="0" w:space="0" w:color="auto"/>
                <w:left w:val="none" w:sz="0" w:space="0" w:color="auto"/>
                <w:bottom w:val="none" w:sz="0" w:space="0" w:color="auto"/>
                <w:right w:val="none" w:sz="0" w:space="0" w:color="auto"/>
              </w:divBdr>
            </w:div>
            <w:div w:id="1614745747">
              <w:marLeft w:val="0"/>
              <w:marRight w:val="0"/>
              <w:marTop w:val="120"/>
              <w:marBottom w:val="120"/>
              <w:divBdr>
                <w:top w:val="none" w:sz="0" w:space="0" w:color="auto"/>
                <w:left w:val="none" w:sz="0" w:space="0" w:color="auto"/>
                <w:bottom w:val="none" w:sz="0" w:space="0" w:color="auto"/>
                <w:right w:val="none" w:sz="0" w:space="0" w:color="auto"/>
              </w:divBdr>
            </w:div>
            <w:div w:id="2000574143">
              <w:marLeft w:val="0"/>
              <w:marRight w:val="0"/>
              <w:marTop w:val="120"/>
              <w:marBottom w:val="120"/>
              <w:divBdr>
                <w:top w:val="none" w:sz="0" w:space="0" w:color="auto"/>
                <w:left w:val="none" w:sz="0" w:space="0" w:color="auto"/>
                <w:bottom w:val="none" w:sz="0" w:space="0" w:color="auto"/>
                <w:right w:val="none" w:sz="0" w:space="0" w:color="auto"/>
              </w:divBdr>
            </w:div>
            <w:div w:id="101806803">
              <w:marLeft w:val="0"/>
              <w:marRight w:val="0"/>
              <w:marTop w:val="120"/>
              <w:marBottom w:val="120"/>
              <w:divBdr>
                <w:top w:val="none" w:sz="0" w:space="0" w:color="auto"/>
                <w:left w:val="none" w:sz="0" w:space="0" w:color="auto"/>
                <w:bottom w:val="none" w:sz="0" w:space="0" w:color="auto"/>
                <w:right w:val="none" w:sz="0" w:space="0" w:color="auto"/>
              </w:divBdr>
            </w:div>
            <w:div w:id="781459623">
              <w:marLeft w:val="0"/>
              <w:marRight w:val="0"/>
              <w:marTop w:val="120"/>
              <w:marBottom w:val="120"/>
              <w:divBdr>
                <w:top w:val="none" w:sz="0" w:space="0" w:color="auto"/>
                <w:left w:val="none" w:sz="0" w:space="0" w:color="auto"/>
                <w:bottom w:val="none" w:sz="0" w:space="0" w:color="auto"/>
                <w:right w:val="none" w:sz="0" w:space="0" w:color="auto"/>
              </w:divBdr>
            </w:div>
          </w:divsChild>
        </w:div>
        <w:div w:id="20475911">
          <w:marLeft w:val="0"/>
          <w:marRight w:val="0"/>
          <w:marTop w:val="0"/>
          <w:marBottom w:val="0"/>
          <w:divBdr>
            <w:top w:val="none" w:sz="0" w:space="0" w:color="auto"/>
            <w:left w:val="none" w:sz="0" w:space="0" w:color="auto"/>
            <w:bottom w:val="none" w:sz="0" w:space="0" w:color="auto"/>
            <w:right w:val="none" w:sz="0" w:space="0" w:color="auto"/>
          </w:divBdr>
          <w:divsChild>
            <w:div w:id="615715431">
              <w:marLeft w:val="0"/>
              <w:marRight w:val="0"/>
              <w:marTop w:val="120"/>
              <w:marBottom w:val="120"/>
              <w:divBdr>
                <w:top w:val="none" w:sz="0" w:space="0" w:color="auto"/>
                <w:left w:val="none" w:sz="0" w:space="0" w:color="auto"/>
                <w:bottom w:val="none" w:sz="0" w:space="0" w:color="auto"/>
                <w:right w:val="none" w:sz="0" w:space="0" w:color="auto"/>
              </w:divBdr>
            </w:div>
            <w:div w:id="1973830138">
              <w:marLeft w:val="0"/>
              <w:marRight w:val="0"/>
              <w:marTop w:val="120"/>
              <w:marBottom w:val="120"/>
              <w:divBdr>
                <w:top w:val="none" w:sz="0" w:space="0" w:color="auto"/>
                <w:left w:val="none" w:sz="0" w:space="0" w:color="auto"/>
                <w:bottom w:val="none" w:sz="0" w:space="0" w:color="auto"/>
                <w:right w:val="none" w:sz="0" w:space="0" w:color="auto"/>
              </w:divBdr>
            </w:div>
            <w:div w:id="759716800">
              <w:marLeft w:val="0"/>
              <w:marRight w:val="0"/>
              <w:marTop w:val="120"/>
              <w:marBottom w:val="120"/>
              <w:divBdr>
                <w:top w:val="none" w:sz="0" w:space="0" w:color="auto"/>
                <w:left w:val="none" w:sz="0" w:space="0" w:color="auto"/>
                <w:bottom w:val="none" w:sz="0" w:space="0" w:color="auto"/>
                <w:right w:val="none" w:sz="0" w:space="0" w:color="auto"/>
              </w:divBdr>
            </w:div>
            <w:div w:id="1723670498">
              <w:marLeft w:val="0"/>
              <w:marRight w:val="0"/>
              <w:marTop w:val="120"/>
              <w:marBottom w:val="120"/>
              <w:divBdr>
                <w:top w:val="none" w:sz="0" w:space="0" w:color="auto"/>
                <w:left w:val="none" w:sz="0" w:space="0" w:color="auto"/>
                <w:bottom w:val="none" w:sz="0" w:space="0" w:color="auto"/>
                <w:right w:val="none" w:sz="0" w:space="0" w:color="auto"/>
              </w:divBdr>
            </w:div>
            <w:div w:id="1037855177">
              <w:marLeft w:val="0"/>
              <w:marRight w:val="0"/>
              <w:marTop w:val="120"/>
              <w:marBottom w:val="120"/>
              <w:divBdr>
                <w:top w:val="none" w:sz="0" w:space="0" w:color="auto"/>
                <w:left w:val="none" w:sz="0" w:space="0" w:color="auto"/>
                <w:bottom w:val="none" w:sz="0" w:space="0" w:color="auto"/>
                <w:right w:val="none" w:sz="0" w:space="0" w:color="auto"/>
              </w:divBdr>
            </w:div>
            <w:div w:id="2104454964">
              <w:marLeft w:val="0"/>
              <w:marRight w:val="0"/>
              <w:marTop w:val="120"/>
              <w:marBottom w:val="120"/>
              <w:divBdr>
                <w:top w:val="none" w:sz="0" w:space="0" w:color="auto"/>
                <w:left w:val="none" w:sz="0" w:space="0" w:color="auto"/>
                <w:bottom w:val="none" w:sz="0" w:space="0" w:color="auto"/>
                <w:right w:val="none" w:sz="0" w:space="0" w:color="auto"/>
              </w:divBdr>
            </w:div>
            <w:div w:id="1228538606">
              <w:marLeft w:val="0"/>
              <w:marRight w:val="0"/>
              <w:marTop w:val="120"/>
              <w:marBottom w:val="120"/>
              <w:divBdr>
                <w:top w:val="none" w:sz="0" w:space="0" w:color="auto"/>
                <w:left w:val="none" w:sz="0" w:space="0" w:color="auto"/>
                <w:bottom w:val="none" w:sz="0" w:space="0" w:color="auto"/>
                <w:right w:val="none" w:sz="0" w:space="0" w:color="auto"/>
              </w:divBdr>
            </w:div>
            <w:div w:id="1944726370">
              <w:marLeft w:val="0"/>
              <w:marRight w:val="0"/>
              <w:marTop w:val="120"/>
              <w:marBottom w:val="120"/>
              <w:divBdr>
                <w:top w:val="none" w:sz="0" w:space="0" w:color="auto"/>
                <w:left w:val="none" w:sz="0" w:space="0" w:color="auto"/>
                <w:bottom w:val="none" w:sz="0" w:space="0" w:color="auto"/>
                <w:right w:val="none" w:sz="0" w:space="0" w:color="auto"/>
              </w:divBdr>
            </w:div>
            <w:div w:id="1569074523">
              <w:marLeft w:val="0"/>
              <w:marRight w:val="0"/>
              <w:marTop w:val="120"/>
              <w:marBottom w:val="120"/>
              <w:divBdr>
                <w:top w:val="none" w:sz="0" w:space="0" w:color="auto"/>
                <w:left w:val="none" w:sz="0" w:space="0" w:color="auto"/>
                <w:bottom w:val="none" w:sz="0" w:space="0" w:color="auto"/>
                <w:right w:val="none" w:sz="0" w:space="0" w:color="auto"/>
              </w:divBdr>
            </w:div>
            <w:div w:id="362436492">
              <w:marLeft w:val="0"/>
              <w:marRight w:val="0"/>
              <w:marTop w:val="120"/>
              <w:marBottom w:val="120"/>
              <w:divBdr>
                <w:top w:val="none" w:sz="0" w:space="0" w:color="auto"/>
                <w:left w:val="none" w:sz="0" w:space="0" w:color="auto"/>
                <w:bottom w:val="none" w:sz="0" w:space="0" w:color="auto"/>
                <w:right w:val="none" w:sz="0" w:space="0" w:color="auto"/>
              </w:divBdr>
            </w:div>
            <w:div w:id="664432483">
              <w:marLeft w:val="0"/>
              <w:marRight w:val="0"/>
              <w:marTop w:val="120"/>
              <w:marBottom w:val="120"/>
              <w:divBdr>
                <w:top w:val="none" w:sz="0" w:space="0" w:color="auto"/>
                <w:left w:val="none" w:sz="0" w:space="0" w:color="auto"/>
                <w:bottom w:val="none" w:sz="0" w:space="0" w:color="auto"/>
                <w:right w:val="none" w:sz="0" w:space="0" w:color="auto"/>
              </w:divBdr>
            </w:div>
            <w:div w:id="1589775479">
              <w:marLeft w:val="0"/>
              <w:marRight w:val="0"/>
              <w:marTop w:val="120"/>
              <w:marBottom w:val="120"/>
              <w:divBdr>
                <w:top w:val="none" w:sz="0" w:space="0" w:color="auto"/>
                <w:left w:val="none" w:sz="0" w:space="0" w:color="auto"/>
                <w:bottom w:val="none" w:sz="0" w:space="0" w:color="auto"/>
                <w:right w:val="none" w:sz="0" w:space="0" w:color="auto"/>
              </w:divBdr>
            </w:div>
            <w:div w:id="1046493412">
              <w:marLeft w:val="0"/>
              <w:marRight w:val="0"/>
              <w:marTop w:val="120"/>
              <w:marBottom w:val="120"/>
              <w:divBdr>
                <w:top w:val="none" w:sz="0" w:space="0" w:color="auto"/>
                <w:left w:val="none" w:sz="0" w:space="0" w:color="auto"/>
                <w:bottom w:val="none" w:sz="0" w:space="0" w:color="auto"/>
                <w:right w:val="none" w:sz="0" w:space="0" w:color="auto"/>
              </w:divBdr>
            </w:div>
            <w:div w:id="274944577">
              <w:marLeft w:val="0"/>
              <w:marRight w:val="0"/>
              <w:marTop w:val="120"/>
              <w:marBottom w:val="120"/>
              <w:divBdr>
                <w:top w:val="none" w:sz="0" w:space="0" w:color="auto"/>
                <w:left w:val="none" w:sz="0" w:space="0" w:color="auto"/>
                <w:bottom w:val="none" w:sz="0" w:space="0" w:color="auto"/>
                <w:right w:val="none" w:sz="0" w:space="0" w:color="auto"/>
              </w:divBdr>
            </w:div>
            <w:div w:id="613825319">
              <w:marLeft w:val="0"/>
              <w:marRight w:val="0"/>
              <w:marTop w:val="120"/>
              <w:marBottom w:val="120"/>
              <w:divBdr>
                <w:top w:val="none" w:sz="0" w:space="0" w:color="auto"/>
                <w:left w:val="none" w:sz="0" w:space="0" w:color="auto"/>
                <w:bottom w:val="none" w:sz="0" w:space="0" w:color="auto"/>
                <w:right w:val="none" w:sz="0" w:space="0" w:color="auto"/>
              </w:divBdr>
            </w:div>
            <w:div w:id="1651594900">
              <w:marLeft w:val="0"/>
              <w:marRight w:val="0"/>
              <w:marTop w:val="120"/>
              <w:marBottom w:val="120"/>
              <w:divBdr>
                <w:top w:val="none" w:sz="0" w:space="0" w:color="auto"/>
                <w:left w:val="none" w:sz="0" w:space="0" w:color="auto"/>
                <w:bottom w:val="none" w:sz="0" w:space="0" w:color="auto"/>
                <w:right w:val="none" w:sz="0" w:space="0" w:color="auto"/>
              </w:divBdr>
            </w:div>
            <w:div w:id="169177649">
              <w:marLeft w:val="0"/>
              <w:marRight w:val="0"/>
              <w:marTop w:val="120"/>
              <w:marBottom w:val="120"/>
              <w:divBdr>
                <w:top w:val="none" w:sz="0" w:space="0" w:color="auto"/>
                <w:left w:val="none" w:sz="0" w:space="0" w:color="auto"/>
                <w:bottom w:val="none" w:sz="0" w:space="0" w:color="auto"/>
                <w:right w:val="none" w:sz="0" w:space="0" w:color="auto"/>
              </w:divBdr>
            </w:div>
            <w:div w:id="21098082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9198914">
      <w:marLeft w:val="0"/>
      <w:marRight w:val="0"/>
      <w:marTop w:val="180"/>
      <w:marBottom w:val="180"/>
      <w:divBdr>
        <w:top w:val="none" w:sz="0" w:space="0" w:color="auto"/>
        <w:left w:val="none" w:sz="0" w:space="0" w:color="auto"/>
        <w:bottom w:val="none" w:sz="0" w:space="0" w:color="auto"/>
        <w:right w:val="none" w:sz="0" w:space="0" w:color="auto"/>
      </w:divBdr>
    </w:div>
    <w:div w:id="1519848727">
      <w:marLeft w:val="0"/>
      <w:marRight w:val="0"/>
      <w:marTop w:val="120"/>
      <w:marBottom w:val="120"/>
      <w:divBdr>
        <w:top w:val="none" w:sz="0" w:space="0" w:color="auto"/>
        <w:left w:val="none" w:sz="0" w:space="0" w:color="auto"/>
        <w:bottom w:val="none" w:sz="0" w:space="0" w:color="auto"/>
        <w:right w:val="none" w:sz="0" w:space="0" w:color="auto"/>
      </w:divBdr>
    </w:div>
    <w:div w:id="1521238994">
      <w:marLeft w:val="0"/>
      <w:marRight w:val="0"/>
      <w:marTop w:val="0"/>
      <w:marBottom w:val="240"/>
      <w:divBdr>
        <w:top w:val="none" w:sz="0" w:space="0" w:color="auto"/>
        <w:left w:val="none" w:sz="0" w:space="0" w:color="auto"/>
        <w:bottom w:val="none" w:sz="0" w:space="0" w:color="auto"/>
        <w:right w:val="none" w:sz="0" w:space="0" w:color="auto"/>
      </w:divBdr>
    </w:div>
    <w:div w:id="1522236110">
      <w:marLeft w:val="0"/>
      <w:marRight w:val="0"/>
      <w:marTop w:val="0"/>
      <w:marBottom w:val="240"/>
      <w:divBdr>
        <w:top w:val="none" w:sz="0" w:space="0" w:color="auto"/>
        <w:left w:val="none" w:sz="0" w:space="0" w:color="auto"/>
        <w:bottom w:val="none" w:sz="0" w:space="0" w:color="auto"/>
        <w:right w:val="none" w:sz="0" w:space="0" w:color="auto"/>
      </w:divBdr>
    </w:div>
    <w:div w:id="1523131883">
      <w:marLeft w:val="0"/>
      <w:marRight w:val="0"/>
      <w:marTop w:val="180"/>
      <w:marBottom w:val="180"/>
      <w:divBdr>
        <w:top w:val="none" w:sz="0" w:space="0" w:color="auto"/>
        <w:left w:val="none" w:sz="0" w:space="0" w:color="auto"/>
        <w:bottom w:val="none" w:sz="0" w:space="0" w:color="auto"/>
        <w:right w:val="none" w:sz="0" w:space="0" w:color="auto"/>
      </w:divBdr>
    </w:div>
    <w:div w:id="1524251022">
      <w:marLeft w:val="0"/>
      <w:marRight w:val="0"/>
      <w:marTop w:val="120"/>
      <w:marBottom w:val="120"/>
      <w:divBdr>
        <w:top w:val="none" w:sz="0" w:space="0" w:color="auto"/>
        <w:left w:val="none" w:sz="0" w:space="0" w:color="auto"/>
        <w:bottom w:val="none" w:sz="0" w:space="0" w:color="auto"/>
        <w:right w:val="none" w:sz="0" w:space="0" w:color="auto"/>
      </w:divBdr>
    </w:div>
    <w:div w:id="1524436162">
      <w:marLeft w:val="0"/>
      <w:marRight w:val="0"/>
      <w:marTop w:val="0"/>
      <w:marBottom w:val="0"/>
      <w:divBdr>
        <w:top w:val="none" w:sz="0" w:space="0" w:color="auto"/>
        <w:left w:val="none" w:sz="0" w:space="0" w:color="auto"/>
        <w:bottom w:val="none" w:sz="0" w:space="0" w:color="auto"/>
        <w:right w:val="none" w:sz="0" w:space="0" w:color="auto"/>
      </w:divBdr>
      <w:divsChild>
        <w:div w:id="2020614909">
          <w:marLeft w:val="0"/>
          <w:marRight w:val="0"/>
          <w:marTop w:val="0"/>
          <w:marBottom w:val="0"/>
          <w:divBdr>
            <w:top w:val="none" w:sz="0" w:space="0" w:color="auto"/>
            <w:left w:val="none" w:sz="0" w:space="0" w:color="auto"/>
            <w:bottom w:val="none" w:sz="0" w:space="0" w:color="auto"/>
            <w:right w:val="none" w:sz="0" w:space="0" w:color="auto"/>
          </w:divBdr>
        </w:div>
      </w:divsChild>
    </w:div>
    <w:div w:id="1528329090">
      <w:marLeft w:val="0"/>
      <w:marRight w:val="0"/>
      <w:marTop w:val="180"/>
      <w:marBottom w:val="180"/>
      <w:divBdr>
        <w:top w:val="none" w:sz="0" w:space="0" w:color="auto"/>
        <w:left w:val="none" w:sz="0" w:space="0" w:color="auto"/>
        <w:bottom w:val="none" w:sz="0" w:space="0" w:color="auto"/>
        <w:right w:val="none" w:sz="0" w:space="0" w:color="auto"/>
      </w:divBdr>
    </w:div>
    <w:div w:id="1529641819">
      <w:marLeft w:val="0"/>
      <w:marRight w:val="0"/>
      <w:marTop w:val="0"/>
      <w:marBottom w:val="180"/>
      <w:divBdr>
        <w:top w:val="none" w:sz="0" w:space="0" w:color="auto"/>
        <w:left w:val="none" w:sz="0" w:space="0" w:color="auto"/>
        <w:bottom w:val="none" w:sz="0" w:space="0" w:color="auto"/>
        <w:right w:val="none" w:sz="0" w:space="0" w:color="auto"/>
      </w:divBdr>
    </w:div>
    <w:div w:id="1530140765">
      <w:marLeft w:val="0"/>
      <w:marRight w:val="0"/>
      <w:marTop w:val="0"/>
      <w:marBottom w:val="180"/>
      <w:divBdr>
        <w:top w:val="none" w:sz="0" w:space="0" w:color="auto"/>
        <w:left w:val="none" w:sz="0" w:space="0" w:color="auto"/>
        <w:bottom w:val="none" w:sz="0" w:space="0" w:color="auto"/>
        <w:right w:val="none" w:sz="0" w:space="0" w:color="auto"/>
      </w:divBdr>
    </w:div>
    <w:div w:id="1530414461">
      <w:marLeft w:val="0"/>
      <w:marRight w:val="0"/>
      <w:marTop w:val="0"/>
      <w:marBottom w:val="240"/>
      <w:divBdr>
        <w:top w:val="none" w:sz="0" w:space="0" w:color="auto"/>
        <w:left w:val="none" w:sz="0" w:space="0" w:color="auto"/>
        <w:bottom w:val="none" w:sz="0" w:space="0" w:color="auto"/>
        <w:right w:val="none" w:sz="0" w:space="0" w:color="auto"/>
      </w:divBdr>
    </w:div>
    <w:div w:id="1530604358">
      <w:marLeft w:val="0"/>
      <w:marRight w:val="0"/>
      <w:marTop w:val="120"/>
      <w:marBottom w:val="120"/>
      <w:divBdr>
        <w:top w:val="none" w:sz="0" w:space="0" w:color="auto"/>
        <w:left w:val="none" w:sz="0" w:space="0" w:color="auto"/>
        <w:bottom w:val="none" w:sz="0" w:space="0" w:color="auto"/>
        <w:right w:val="none" w:sz="0" w:space="0" w:color="auto"/>
      </w:divBdr>
    </w:div>
    <w:div w:id="1530952328">
      <w:marLeft w:val="0"/>
      <w:marRight w:val="0"/>
      <w:marTop w:val="0"/>
      <w:marBottom w:val="0"/>
      <w:divBdr>
        <w:top w:val="none" w:sz="0" w:space="0" w:color="auto"/>
        <w:left w:val="none" w:sz="0" w:space="0" w:color="auto"/>
        <w:bottom w:val="none" w:sz="0" w:space="0" w:color="auto"/>
        <w:right w:val="none" w:sz="0" w:space="0" w:color="auto"/>
      </w:divBdr>
    </w:div>
    <w:div w:id="1531845083">
      <w:marLeft w:val="0"/>
      <w:marRight w:val="0"/>
      <w:marTop w:val="0"/>
      <w:marBottom w:val="0"/>
      <w:divBdr>
        <w:top w:val="none" w:sz="0" w:space="0" w:color="auto"/>
        <w:left w:val="none" w:sz="0" w:space="0" w:color="auto"/>
        <w:bottom w:val="none" w:sz="0" w:space="0" w:color="auto"/>
        <w:right w:val="none" w:sz="0" w:space="0" w:color="auto"/>
      </w:divBdr>
      <w:divsChild>
        <w:div w:id="433594956">
          <w:marLeft w:val="0"/>
          <w:marRight w:val="0"/>
          <w:marTop w:val="0"/>
          <w:marBottom w:val="0"/>
          <w:divBdr>
            <w:top w:val="none" w:sz="0" w:space="0" w:color="auto"/>
            <w:left w:val="none" w:sz="0" w:space="0" w:color="auto"/>
            <w:bottom w:val="none" w:sz="0" w:space="0" w:color="auto"/>
            <w:right w:val="none" w:sz="0" w:space="0" w:color="auto"/>
          </w:divBdr>
        </w:div>
      </w:divsChild>
    </w:div>
    <w:div w:id="1532451332">
      <w:marLeft w:val="0"/>
      <w:marRight w:val="0"/>
      <w:marTop w:val="0"/>
      <w:marBottom w:val="0"/>
      <w:divBdr>
        <w:top w:val="none" w:sz="0" w:space="0" w:color="auto"/>
        <w:left w:val="none" w:sz="0" w:space="0" w:color="auto"/>
        <w:bottom w:val="none" w:sz="0" w:space="0" w:color="auto"/>
        <w:right w:val="none" w:sz="0" w:space="0" w:color="auto"/>
      </w:divBdr>
    </w:div>
    <w:div w:id="1532498122">
      <w:marLeft w:val="0"/>
      <w:marRight w:val="0"/>
      <w:marTop w:val="0"/>
      <w:marBottom w:val="180"/>
      <w:divBdr>
        <w:top w:val="none" w:sz="0" w:space="0" w:color="auto"/>
        <w:left w:val="none" w:sz="0" w:space="0" w:color="auto"/>
        <w:bottom w:val="none" w:sz="0" w:space="0" w:color="auto"/>
        <w:right w:val="none" w:sz="0" w:space="0" w:color="auto"/>
      </w:divBdr>
    </w:div>
    <w:div w:id="1532570720">
      <w:marLeft w:val="0"/>
      <w:marRight w:val="0"/>
      <w:marTop w:val="180"/>
      <w:marBottom w:val="180"/>
      <w:divBdr>
        <w:top w:val="none" w:sz="0" w:space="0" w:color="auto"/>
        <w:left w:val="none" w:sz="0" w:space="0" w:color="auto"/>
        <w:bottom w:val="none" w:sz="0" w:space="0" w:color="auto"/>
        <w:right w:val="none" w:sz="0" w:space="0" w:color="auto"/>
      </w:divBdr>
    </w:div>
    <w:div w:id="1532843029">
      <w:marLeft w:val="0"/>
      <w:marRight w:val="0"/>
      <w:marTop w:val="0"/>
      <w:marBottom w:val="180"/>
      <w:divBdr>
        <w:top w:val="none" w:sz="0" w:space="0" w:color="auto"/>
        <w:left w:val="none" w:sz="0" w:space="0" w:color="auto"/>
        <w:bottom w:val="none" w:sz="0" w:space="0" w:color="auto"/>
        <w:right w:val="none" w:sz="0" w:space="0" w:color="auto"/>
      </w:divBdr>
    </w:div>
    <w:div w:id="1533151899">
      <w:marLeft w:val="0"/>
      <w:marRight w:val="0"/>
      <w:marTop w:val="0"/>
      <w:marBottom w:val="0"/>
      <w:divBdr>
        <w:top w:val="none" w:sz="0" w:space="0" w:color="auto"/>
        <w:left w:val="none" w:sz="0" w:space="0" w:color="auto"/>
        <w:bottom w:val="none" w:sz="0" w:space="0" w:color="auto"/>
        <w:right w:val="none" w:sz="0" w:space="0" w:color="auto"/>
      </w:divBdr>
    </w:div>
    <w:div w:id="1534345579">
      <w:marLeft w:val="0"/>
      <w:marRight w:val="0"/>
      <w:marTop w:val="0"/>
      <w:marBottom w:val="240"/>
      <w:divBdr>
        <w:top w:val="none" w:sz="0" w:space="0" w:color="auto"/>
        <w:left w:val="none" w:sz="0" w:space="0" w:color="auto"/>
        <w:bottom w:val="none" w:sz="0" w:space="0" w:color="auto"/>
        <w:right w:val="none" w:sz="0" w:space="0" w:color="auto"/>
      </w:divBdr>
    </w:div>
    <w:div w:id="1534532776">
      <w:marLeft w:val="0"/>
      <w:marRight w:val="0"/>
      <w:marTop w:val="0"/>
      <w:marBottom w:val="240"/>
      <w:divBdr>
        <w:top w:val="none" w:sz="0" w:space="0" w:color="auto"/>
        <w:left w:val="none" w:sz="0" w:space="0" w:color="auto"/>
        <w:bottom w:val="none" w:sz="0" w:space="0" w:color="auto"/>
        <w:right w:val="none" w:sz="0" w:space="0" w:color="auto"/>
      </w:divBdr>
    </w:div>
    <w:div w:id="1534688525">
      <w:marLeft w:val="0"/>
      <w:marRight w:val="0"/>
      <w:marTop w:val="0"/>
      <w:marBottom w:val="0"/>
      <w:divBdr>
        <w:top w:val="none" w:sz="0" w:space="0" w:color="auto"/>
        <w:left w:val="none" w:sz="0" w:space="0" w:color="auto"/>
        <w:bottom w:val="none" w:sz="0" w:space="0" w:color="auto"/>
        <w:right w:val="none" w:sz="0" w:space="0" w:color="auto"/>
      </w:divBdr>
    </w:div>
    <w:div w:id="1534926526">
      <w:marLeft w:val="0"/>
      <w:marRight w:val="0"/>
      <w:marTop w:val="0"/>
      <w:marBottom w:val="240"/>
      <w:divBdr>
        <w:top w:val="none" w:sz="0" w:space="0" w:color="auto"/>
        <w:left w:val="none" w:sz="0" w:space="0" w:color="auto"/>
        <w:bottom w:val="none" w:sz="0" w:space="0" w:color="auto"/>
        <w:right w:val="none" w:sz="0" w:space="0" w:color="auto"/>
      </w:divBdr>
    </w:div>
    <w:div w:id="1536232841">
      <w:marLeft w:val="0"/>
      <w:marRight w:val="0"/>
      <w:marTop w:val="0"/>
      <w:marBottom w:val="0"/>
      <w:divBdr>
        <w:top w:val="none" w:sz="0" w:space="0" w:color="auto"/>
        <w:left w:val="none" w:sz="0" w:space="0" w:color="auto"/>
        <w:bottom w:val="none" w:sz="0" w:space="0" w:color="auto"/>
        <w:right w:val="none" w:sz="0" w:space="0" w:color="auto"/>
      </w:divBdr>
    </w:div>
    <w:div w:id="1536305116">
      <w:marLeft w:val="0"/>
      <w:marRight w:val="0"/>
      <w:marTop w:val="0"/>
      <w:marBottom w:val="180"/>
      <w:divBdr>
        <w:top w:val="none" w:sz="0" w:space="0" w:color="auto"/>
        <w:left w:val="none" w:sz="0" w:space="0" w:color="auto"/>
        <w:bottom w:val="none" w:sz="0" w:space="0" w:color="auto"/>
        <w:right w:val="none" w:sz="0" w:space="0" w:color="auto"/>
      </w:divBdr>
    </w:div>
    <w:div w:id="1536310853">
      <w:marLeft w:val="0"/>
      <w:marRight w:val="0"/>
      <w:marTop w:val="0"/>
      <w:marBottom w:val="180"/>
      <w:divBdr>
        <w:top w:val="none" w:sz="0" w:space="0" w:color="auto"/>
        <w:left w:val="none" w:sz="0" w:space="0" w:color="auto"/>
        <w:bottom w:val="none" w:sz="0" w:space="0" w:color="auto"/>
        <w:right w:val="none" w:sz="0" w:space="0" w:color="auto"/>
      </w:divBdr>
    </w:div>
    <w:div w:id="1537501032">
      <w:marLeft w:val="0"/>
      <w:marRight w:val="0"/>
      <w:marTop w:val="0"/>
      <w:marBottom w:val="240"/>
      <w:divBdr>
        <w:top w:val="none" w:sz="0" w:space="0" w:color="auto"/>
        <w:left w:val="none" w:sz="0" w:space="0" w:color="auto"/>
        <w:bottom w:val="none" w:sz="0" w:space="0" w:color="auto"/>
        <w:right w:val="none" w:sz="0" w:space="0" w:color="auto"/>
      </w:divBdr>
    </w:div>
    <w:div w:id="1540782550">
      <w:marLeft w:val="0"/>
      <w:marRight w:val="0"/>
      <w:marTop w:val="180"/>
      <w:marBottom w:val="180"/>
      <w:divBdr>
        <w:top w:val="none" w:sz="0" w:space="0" w:color="auto"/>
        <w:left w:val="none" w:sz="0" w:space="0" w:color="auto"/>
        <w:bottom w:val="none" w:sz="0" w:space="0" w:color="auto"/>
        <w:right w:val="none" w:sz="0" w:space="0" w:color="auto"/>
      </w:divBdr>
    </w:div>
    <w:div w:id="1541473546">
      <w:marLeft w:val="0"/>
      <w:marRight w:val="0"/>
      <w:marTop w:val="0"/>
      <w:marBottom w:val="240"/>
      <w:divBdr>
        <w:top w:val="none" w:sz="0" w:space="0" w:color="auto"/>
        <w:left w:val="none" w:sz="0" w:space="0" w:color="auto"/>
        <w:bottom w:val="none" w:sz="0" w:space="0" w:color="auto"/>
        <w:right w:val="none" w:sz="0" w:space="0" w:color="auto"/>
      </w:divBdr>
    </w:div>
    <w:div w:id="1542938092">
      <w:marLeft w:val="0"/>
      <w:marRight w:val="0"/>
      <w:marTop w:val="0"/>
      <w:marBottom w:val="0"/>
      <w:divBdr>
        <w:top w:val="none" w:sz="0" w:space="0" w:color="auto"/>
        <w:left w:val="none" w:sz="0" w:space="0" w:color="auto"/>
        <w:bottom w:val="none" w:sz="0" w:space="0" w:color="auto"/>
        <w:right w:val="none" w:sz="0" w:space="0" w:color="auto"/>
      </w:divBdr>
      <w:divsChild>
        <w:div w:id="1580797205">
          <w:marLeft w:val="0"/>
          <w:marRight w:val="0"/>
          <w:marTop w:val="0"/>
          <w:marBottom w:val="0"/>
          <w:divBdr>
            <w:top w:val="none" w:sz="0" w:space="0" w:color="auto"/>
            <w:left w:val="none" w:sz="0" w:space="0" w:color="auto"/>
            <w:bottom w:val="none" w:sz="0" w:space="0" w:color="auto"/>
            <w:right w:val="none" w:sz="0" w:space="0" w:color="auto"/>
          </w:divBdr>
        </w:div>
      </w:divsChild>
    </w:div>
    <w:div w:id="1544053325">
      <w:marLeft w:val="0"/>
      <w:marRight w:val="0"/>
      <w:marTop w:val="0"/>
      <w:marBottom w:val="0"/>
      <w:divBdr>
        <w:top w:val="none" w:sz="0" w:space="0" w:color="auto"/>
        <w:left w:val="none" w:sz="0" w:space="0" w:color="auto"/>
        <w:bottom w:val="none" w:sz="0" w:space="0" w:color="auto"/>
        <w:right w:val="none" w:sz="0" w:space="0" w:color="auto"/>
      </w:divBdr>
      <w:divsChild>
        <w:div w:id="1917550476">
          <w:marLeft w:val="0"/>
          <w:marRight w:val="0"/>
          <w:marTop w:val="0"/>
          <w:marBottom w:val="0"/>
          <w:divBdr>
            <w:top w:val="none" w:sz="0" w:space="0" w:color="auto"/>
            <w:left w:val="none" w:sz="0" w:space="0" w:color="auto"/>
            <w:bottom w:val="none" w:sz="0" w:space="0" w:color="auto"/>
            <w:right w:val="none" w:sz="0" w:space="0" w:color="auto"/>
          </w:divBdr>
        </w:div>
      </w:divsChild>
    </w:div>
    <w:div w:id="1545487993">
      <w:marLeft w:val="0"/>
      <w:marRight w:val="0"/>
      <w:marTop w:val="0"/>
      <w:marBottom w:val="0"/>
      <w:divBdr>
        <w:top w:val="none" w:sz="0" w:space="0" w:color="auto"/>
        <w:left w:val="none" w:sz="0" w:space="0" w:color="auto"/>
        <w:bottom w:val="none" w:sz="0" w:space="0" w:color="auto"/>
        <w:right w:val="none" w:sz="0" w:space="0" w:color="auto"/>
      </w:divBdr>
    </w:div>
    <w:div w:id="1545559127">
      <w:marLeft w:val="0"/>
      <w:marRight w:val="0"/>
      <w:marTop w:val="0"/>
      <w:marBottom w:val="180"/>
      <w:divBdr>
        <w:top w:val="none" w:sz="0" w:space="0" w:color="auto"/>
        <w:left w:val="none" w:sz="0" w:space="0" w:color="auto"/>
        <w:bottom w:val="none" w:sz="0" w:space="0" w:color="auto"/>
        <w:right w:val="none" w:sz="0" w:space="0" w:color="auto"/>
      </w:divBdr>
    </w:div>
    <w:div w:id="1545753894">
      <w:marLeft w:val="0"/>
      <w:marRight w:val="0"/>
      <w:marTop w:val="0"/>
      <w:marBottom w:val="0"/>
      <w:divBdr>
        <w:top w:val="none" w:sz="0" w:space="0" w:color="auto"/>
        <w:left w:val="none" w:sz="0" w:space="0" w:color="auto"/>
        <w:bottom w:val="none" w:sz="0" w:space="0" w:color="auto"/>
        <w:right w:val="none" w:sz="0" w:space="0" w:color="auto"/>
      </w:divBdr>
    </w:div>
    <w:div w:id="1545865176">
      <w:marLeft w:val="0"/>
      <w:marRight w:val="0"/>
      <w:marTop w:val="100"/>
      <w:marBottom w:val="180"/>
      <w:divBdr>
        <w:top w:val="none" w:sz="0" w:space="0" w:color="auto"/>
        <w:left w:val="none" w:sz="0" w:space="0" w:color="auto"/>
        <w:bottom w:val="none" w:sz="0" w:space="0" w:color="auto"/>
        <w:right w:val="none" w:sz="0" w:space="0" w:color="auto"/>
      </w:divBdr>
    </w:div>
    <w:div w:id="1546480475">
      <w:marLeft w:val="0"/>
      <w:marRight w:val="0"/>
      <w:marTop w:val="180"/>
      <w:marBottom w:val="180"/>
      <w:divBdr>
        <w:top w:val="none" w:sz="0" w:space="0" w:color="auto"/>
        <w:left w:val="none" w:sz="0" w:space="0" w:color="auto"/>
        <w:bottom w:val="none" w:sz="0" w:space="0" w:color="auto"/>
        <w:right w:val="none" w:sz="0" w:space="0" w:color="auto"/>
      </w:divBdr>
    </w:div>
    <w:div w:id="1546526348">
      <w:marLeft w:val="0"/>
      <w:marRight w:val="0"/>
      <w:marTop w:val="0"/>
      <w:marBottom w:val="0"/>
      <w:divBdr>
        <w:top w:val="none" w:sz="0" w:space="0" w:color="auto"/>
        <w:left w:val="none" w:sz="0" w:space="0" w:color="auto"/>
        <w:bottom w:val="none" w:sz="0" w:space="0" w:color="auto"/>
        <w:right w:val="none" w:sz="0" w:space="0" w:color="auto"/>
      </w:divBdr>
      <w:divsChild>
        <w:div w:id="198249675">
          <w:marLeft w:val="0"/>
          <w:marRight w:val="0"/>
          <w:marTop w:val="0"/>
          <w:marBottom w:val="0"/>
          <w:divBdr>
            <w:top w:val="none" w:sz="0" w:space="0" w:color="auto"/>
            <w:left w:val="none" w:sz="0" w:space="0" w:color="auto"/>
            <w:bottom w:val="none" w:sz="0" w:space="0" w:color="auto"/>
            <w:right w:val="none" w:sz="0" w:space="0" w:color="auto"/>
          </w:divBdr>
        </w:div>
      </w:divsChild>
    </w:div>
    <w:div w:id="1547571133">
      <w:marLeft w:val="0"/>
      <w:marRight w:val="0"/>
      <w:marTop w:val="180"/>
      <w:marBottom w:val="180"/>
      <w:divBdr>
        <w:top w:val="none" w:sz="0" w:space="0" w:color="auto"/>
        <w:left w:val="none" w:sz="0" w:space="0" w:color="auto"/>
        <w:bottom w:val="none" w:sz="0" w:space="0" w:color="auto"/>
        <w:right w:val="none" w:sz="0" w:space="0" w:color="auto"/>
      </w:divBdr>
    </w:div>
    <w:div w:id="1548374550">
      <w:marLeft w:val="0"/>
      <w:marRight w:val="0"/>
      <w:marTop w:val="180"/>
      <w:marBottom w:val="180"/>
      <w:divBdr>
        <w:top w:val="none" w:sz="0" w:space="0" w:color="auto"/>
        <w:left w:val="none" w:sz="0" w:space="0" w:color="auto"/>
        <w:bottom w:val="none" w:sz="0" w:space="0" w:color="auto"/>
        <w:right w:val="none" w:sz="0" w:space="0" w:color="auto"/>
      </w:divBdr>
    </w:div>
    <w:div w:id="1548491950">
      <w:marLeft w:val="0"/>
      <w:marRight w:val="0"/>
      <w:marTop w:val="0"/>
      <w:marBottom w:val="0"/>
      <w:divBdr>
        <w:top w:val="none" w:sz="0" w:space="0" w:color="auto"/>
        <w:left w:val="none" w:sz="0" w:space="0" w:color="auto"/>
        <w:bottom w:val="none" w:sz="0" w:space="0" w:color="auto"/>
        <w:right w:val="none" w:sz="0" w:space="0" w:color="auto"/>
      </w:divBdr>
      <w:divsChild>
        <w:div w:id="260453752">
          <w:marLeft w:val="0"/>
          <w:marRight w:val="0"/>
          <w:marTop w:val="0"/>
          <w:marBottom w:val="0"/>
          <w:divBdr>
            <w:top w:val="none" w:sz="0" w:space="0" w:color="auto"/>
            <w:left w:val="none" w:sz="0" w:space="0" w:color="auto"/>
            <w:bottom w:val="none" w:sz="0" w:space="0" w:color="auto"/>
            <w:right w:val="none" w:sz="0" w:space="0" w:color="auto"/>
          </w:divBdr>
        </w:div>
      </w:divsChild>
    </w:div>
    <w:div w:id="1548755429">
      <w:marLeft w:val="0"/>
      <w:marRight w:val="0"/>
      <w:marTop w:val="0"/>
      <w:marBottom w:val="0"/>
      <w:divBdr>
        <w:top w:val="none" w:sz="0" w:space="0" w:color="auto"/>
        <w:left w:val="none" w:sz="0" w:space="0" w:color="auto"/>
        <w:bottom w:val="none" w:sz="0" w:space="0" w:color="auto"/>
        <w:right w:val="none" w:sz="0" w:space="0" w:color="auto"/>
      </w:divBdr>
    </w:div>
    <w:div w:id="1549293223">
      <w:marLeft w:val="0"/>
      <w:marRight w:val="0"/>
      <w:marTop w:val="0"/>
      <w:marBottom w:val="0"/>
      <w:divBdr>
        <w:top w:val="none" w:sz="0" w:space="0" w:color="auto"/>
        <w:left w:val="none" w:sz="0" w:space="0" w:color="auto"/>
        <w:bottom w:val="none" w:sz="0" w:space="0" w:color="auto"/>
        <w:right w:val="none" w:sz="0" w:space="0" w:color="auto"/>
      </w:divBdr>
    </w:div>
    <w:div w:id="1549368699">
      <w:marLeft w:val="0"/>
      <w:marRight w:val="0"/>
      <w:marTop w:val="0"/>
      <w:marBottom w:val="240"/>
      <w:divBdr>
        <w:top w:val="none" w:sz="0" w:space="0" w:color="auto"/>
        <w:left w:val="none" w:sz="0" w:space="0" w:color="auto"/>
        <w:bottom w:val="none" w:sz="0" w:space="0" w:color="auto"/>
        <w:right w:val="none" w:sz="0" w:space="0" w:color="auto"/>
      </w:divBdr>
    </w:div>
    <w:div w:id="1550260482">
      <w:marLeft w:val="0"/>
      <w:marRight w:val="0"/>
      <w:marTop w:val="0"/>
      <w:marBottom w:val="0"/>
      <w:divBdr>
        <w:top w:val="none" w:sz="0" w:space="0" w:color="auto"/>
        <w:left w:val="none" w:sz="0" w:space="0" w:color="auto"/>
        <w:bottom w:val="none" w:sz="0" w:space="0" w:color="auto"/>
        <w:right w:val="none" w:sz="0" w:space="0" w:color="auto"/>
      </w:divBdr>
      <w:divsChild>
        <w:div w:id="922372937">
          <w:marLeft w:val="0"/>
          <w:marRight w:val="0"/>
          <w:marTop w:val="0"/>
          <w:marBottom w:val="0"/>
          <w:divBdr>
            <w:top w:val="none" w:sz="0" w:space="0" w:color="auto"/>
            <w:left w:val="none" w:sz="0" w:space="0" w:color="auto"/>
            <w:bottom w:val="none" w:sz="0" w:space="0" w:color="auto"/>
            <w:right w:val="none" w:sz="0" w:space="0" w:color="auto"/>
          </w:divBdr>
        </w:div>
      </w:divsChild>
    </w:div>
    <w:div w:id="1550997268">
      <w:marLeft w:val="0"/>
      <w:marRight w:val="0"/>
      <w:marTop w:val="0"/>
      <w:marBottom w:val="180"/>
      <w:divBdr>
        <w:top w:val="none" w:sz="0" w:space="0" w:color="auto"/>
        <w:left w:val="none" w:sz="0" w:space="0" w:color="auto"/>
        <w:bottom w:val="none" w:sz="0" w:space="0" w:color="auto"/>
        <w:right w:val="none" w:sz="0" w:space="0" w:color="auto"/>
      </w:divBdr>
    </w:div>
    <w:div w:id="1551190477">
      <w:marLeft w:val="0"/>
      <w:marRight w:val="0"/>
      <w:marTop w:val="0"/>
      <w:marBottom w:val="0"/>
      <w:divBdr>
        <w:top w:val="none" w:sz="0" w:space="0" w:color="auto"/>
        <w:left w:val="none" w:sz="0" w:space="0" w:color="auto"/>
        <w:bottom w:val="none" w:sz="0" w:space="0" w:color="auto"/>
        <w:right w:val="none" w:sz="0" w:space="0" w:color="auto"/>
      </w:divBdr>
      <w:divsChild>
        <w:div w:id="341670576">
          <w:marLeft w:val="0"/>
          <w:marRight w:val="0"/>
          <w:marTop w:val="0"/>
          <w:marBottom w:val="0"/>
          <w:divBdr>
            <w:top w:val="none" w:sz="0" w:space="0" w:color="auto"/>
            <w:left w:val="none" w:sz="0" w:space="0" w:color="auto"/>
            <w:bottom w:val="none" w:sz="0" w:space="0" w:color="auto"/>
            <w:right w:val="none" w:sz="0" w:space="0" w:color="auto"/>
          </w:divBdr>
        </w:div>
      </w:divsChild>
    </w:div>
    <w:div w:id="1551306675">
      <w:marLeft w:val="0"/>
      <w:marRight w:val="0"/>
      <w:marTop w:val="0"/>
      <w:marBottom w:val="180"/>
      <w:divBdr>
        <w:top w:val="none" w:sz="0" w:space="0" w:color="auto"/>
        <w:left w:val="none" w:sz="0" w:space="0" w:color="auto"/>
        <w:bottom w:val="none" w:sz="0" w:space="0" w:color="auto"/>
        <w:right w:val="none" w:sz="0" w:space="0" w:color="auto"/>
      </w:divBdr>
    </w:div>
    <w:div w:id="1551725790">
      <w:marLeft w:val="0"/>
      <w:marRight w:val="0"/>
      <w:marTop w:val="0"/>
      <w:marBottom w:val="240"/>
      <w:divBdr>
        <w:top w:val="none" w:sz="0" w:space="0" w:color="auto"/>
        <w:left w:val="none" w:sz="0" w:space="0" w:color="auto"/>
        <w:bottom w:val="none" w:sz="0" w:space="0" w:color="auto"/>
        <w:right w:val="none" w:sz="0" w:space="0" w:color="auto"/>
      </w:divBdr>
    </w:div>
    <w:div w:id="1552426071">
      <w:marLeft w:val="0"/>
      <w:marRight w:val="0"/>
      <w:marTop w:val="120"/>
      <w:marBottom w:val="180"/>
      <w:divBdr>
        <w:top w:val="none" w:sz="0" w:space="0" w:color="auto"/>
        <w:left w:val="none" w:sz="0" w:space="0" w:color="auto"/>
        <w:bottom w:val="none" w:sz="0" w:space="0" w:color="auto"/>
        <w:right w:val="none" w:sz="0" w:space="0" w:color="auto"/>
      </w:divBdr>
    </w:div>
    <w:div w:id="1553228768">
      <w:marLeft w:val="0"/>
      <w:marRight w:val="0"/>
      <w:marTop w:val="0"/>
      <w:marBottom w:val="180"/>
      <w:divBdr>
        <w:top w:val="none" w:sz="0" w:space="0" w:color="auto"/>
        <w:left w:val="none" w:sz="0" w:space="0" w:color="auto"/>
        <w:bottom w:val="none" w:sz="0" w:space="0" w:color="auto"/>
        <w:right w:val="none" w:sz="0" w:space="0" w:color="auto"/>
      </w:divBdr>
    </w:div>
    <w:div w:id="1553728782">
      <w:marLeft w:val="0"/>
      <w:marRight w:val="0"/>
      <w:marTop w:val="0"/>
      <w:marBottom w:val="0"/>
      <w:divBdr>
        <w:top w:val="none" w:sz="0" w:space="0" w:color="auto"/>
        <w:left w:val="none" w:sz="0" w:space="0" w:color="auto"/>
        <w:bottom w:val="none" w:sz="0" w:space="0" w:color="auto"/>
        <w:right w:val="none" w:sz="0" w:space="0" w:color="auto"/>
      </w:divBdr>
    </w:div>
    <w:div w:id="1553888052">
      <w:marLeft w:val="0"/>
      <w:marRight w:val="0"/>
      <w:marTop w:val="0"/>
      <w:marBottom w:val="180"/>
      <w:divBdr>
        <w:top w:val="none" w:sz="0" w:space="0" w:color="auto"/>
        <w:left w:val="none" w:sz="0" w:space="0" w:color="auto"/>
        <w:bottom w:val="none" w:sz="0" w:space="0" w:color="auto"/>
        <w:right w:val="none" w:sz="0" w:space="0" w:color="auto"/>
      </w:divBdr>
    </w:div>
    <w:div w:id="1554733134">
      <w:marLeft w:val="0"/>
      <w:marRight w:val="0"/>
      <w:marTop w:val="0"/>
      <w:marBottom w:val="0"/>
      <w:divBdr>
        <w:top w:val="none" w:sz="0" w:space="0" w:color="auto"/>
        <w:left w:val="none" w:sz="0" w:space="0" w:color="auto"/>
        <w:bottom w:val="none" w:sz="0" w:space="0" w:color="auto"/>
        <w:right w:val="none" w:sz="0" w:space="0" w:color="auto"/>
      </w:divBdr>
      <w:divsChild>
        <w:div w:id="1477644758">
          <w:marLeft w:val="0"/>
          <w:marRight w:val="0"/>
          <w:marTop w:val="0"/>
          <w:marBottom w:val="0"/>
          <w:divBdr>
            <w:top w:val="none" w:sz="0" w:space="0" w:color="auto"/>
            <w:left w:val="none" w:sz="0" w:space="0" w:color="auto"/>
            <w:bottom w:val="none" w:sz="0" w:space="0" w:color="auto"/>
            <w:right w:val="none" w:sz="0" w:space="0" w:color="auto"/>
          </w:divBdr>
        </w:div>
      </w:divsChild>
    </w:div>
    <w:div w:id="1555432484">
      <w:marLeft w:val="0"/>
      <w:marRight w:val="0"/>
      <w:marTop w:val="0"/>
      <w:marBottom w:val="0"/>
      <w:divBdr>
        <w:top w:val="none" w:sz="0" w:space="0" w:color="auto"/>
        <w:left w:val="none" w:sz="0" w:space="0" w:color="auto"/>
        <w:bottom w:val="none" w:sz="0" w:space="0" w:color="auto"/>
        <w:right w:val="none" w:sz="0" w:space="0" w:color="auto"/>
      </w:divBdr>
      <w:divsChild>
        <w:div w:id="587349723">
          <w:marLeft w:val="0"/>
          <w:marRight w:val="0"/>
          <w:marTop w:val="0"/>
          <w:marBottom w:val="0"/>
          <w:divBdr>
            <w:top w:val="none" w:sz="0" w:space="0" w:color="auto"/>
            <w:left w:val="none" w:sz="0" w:space="0" w:color="auto"/>
            <w:bottom w:val="none" w:sz="0" w:space="0" w:color="auto"/>
            <w:right w:val="none" w:sz="0" w:space="0" w:color="auto"/>
          </w:divBdr>
          <w:divsChild>
            <w:div w:id="357317223">
              <w:marLeft w:val="0"/>
              <w:marRight w:val="0"/>
              <w:marTop w:val="120"/>
              <w:marBottom w:val="120"/>
              <w:divBdr>
                <w:top w:val="none" w:sz="0" w:space="0" w:color="auto"/>
                <w:left w:val="none" w:sz="0" w:space="0" w:color="auto"/>
                <w:bottom w:val="none" w:sz="0" w:space="0" w:color="auto"/>
                <w:right w:val="none" w:sz="0" w:space="0" w:color="auto"/>
              </w:divBdr>
            </w:div>
            <w:div w:id="728041715">
              <w:marLeft w:val="0"/>
              <w:marRight w:val="0"/>
              <w:marTop w:val="120"/>
              <w:marBottom w:val="120"/>
              <w:divBdr>
                <w:top w:val="none" w:sz="0" w:space="0" w:color="auto"/>
                <w:left w:val="none" w:sz="0" w:space="0" w:color="auto"/>
                <w:bottom w:val="none" w:sz="0" w:space="0" w:color="auto"/>
                <w:right w:val="none" w:sz="0" w:space="0" w:color="auto"/>
              </w:divBdr>
            </w:div>
            <w:div w:id="1252353377">
              <w:marLeft w:val="0"/>
              <w:marRight w:val="0"/>
              <w:marTop w:val="120"/>
              <w:marBottom w:val="120"/>
              <w:divBdr>
                <w:top w:val="none" w:sz="0" w:space="0" w:color="auto"/>
                <w:left w:val="none" w:sz="0" w:space="0" w:color="auto"/>
                <w:bottom w:val="none" w:sz="0" w:space="0" w:color="auto"/>
                <w:right w:val="none" w:sz="0" w:space="0" w:color="auto"/>
              </w:divBdr>
            </w:div>
            <w:div w:id="1358971153">
              <w:marLeft w:val="0"/>
              <w:marRight w:val="0"/>
              <w:marTop w:val="120"/>
              <w:marBottom w:val="120"/>
              <w:divBdr>
                <w:top w:val="none" w:sz="0" w:space="0" w:color="auto"/>
                <w:left w:val="none" w:sz="0" w:space="0" w:color="auto"/>
                <w:bottom w:val="none" w:sz="0" w:space="0" w:color="auto"/>
                <w:right w:val="none" w:sz="0" w:space="0" w:color="auto"/>
              </w:divBdr>
            </w:div>
            <w:div w:id="1267231901">
              <w:marLeft w:val="0"/>
              <w:marRight w:val="0"/>
              <w:marTop w:val="120"/>
              <w:marBottom w:val="120"/>
              <w:divBdr>
                <w:top w:val="none" w:sz="0" w:space="0" w:color="auto"/>
                <w:left w:val="none" w:sz="0" w:space="0" w:color="auto"/>
                <w:bottom w:val="none" w:sz="0" w:space="0" w:color="auto"/>
                <w:right w:val="none" w:sz="0" w:space="0" w:color="auto"/>
              </w:divBdr>
            </w:div>
            <w:div w:id="1925989003">
              <w:marLeft w:val="0"/>
              <w:marRight w:val="0"/>
              <w:marTop w:val="120"/>
              <w:marBottom w:val="120"/>
              <w:divBdr>
                <w:top w:val="none" w:sz="0" w:space="0" w:color="auto"/>
                <w:left w:val="none" w:sz="0" w:space="0" w:color="auto"/>
                <w:bottom w:val="none" w:sz="0" w:space="0" w:color="auto"/>
                <w:right w:val="none" w:sz="0" w:space="0" w:color="auto"/>
              </w:divBdr>
            </w:div>
            <w:div w:id="1728406894">
              <w:marLeft w:val="0"/>
              <w:marRight w:val="0"/>
              <w:marTop w:val="120"/>
              <w:marBottom w:val="120"/>
              <w:divBdr>
                <w:top w:val="none" w:sz="0" w:space="0" w:color="auto"/>
                <w:left w:val="none" w:sz="0" w:space="0" w:color="auto"/>
                <w:bottom w:val="none" w:sz="0" w:space="0" w:color="auto"/>
                <w:right w:val="none" w:sz="0" w:space="0" w:color="auto"/>
              </w:divBdr>
            </w:div>
            <w:div w:id="1473133229">
              <w:marLeft w:val="0"/>
              <w:marRight w:val="0"/>
              <w:marTop w:val="120"/>
              <w:marBottom w:val="120"/>
              <w:divBdr>
                <w:top w:val="none" w:sz="0" w:space="0" w:color="auto"/>
                <w:left w:val="none" w:sz="0" w:space="0" w:color="auto"/>
                <w:bottom w:val="none" w:sz="0" w:space="0" w:color="auto"/>
                <w:right w:val="none" w:sz="0" w:space="0" w:color="auto"/>
              </w:divBdr>
            </w:div>
            <w:div w:id="411120216">
              <w:marLeft w:val="0"/>
              <w:marRight w:val="0"/>
              <w:marTop w:val="120"/>
              <w:marBottom w:val="120"/>
              <w:divBdr>
                <w:top w:val="none" w:sz="0" w:space="0" w:color="auto"/>
                <w:left w:val="none" w:sz="0" w:space="0" w:color="auto"/>
                <w:bottom w:val="none" w:sz="0" w:space="0" w:color="auto"/>
                <w:right w:val="none" w:sz="0" w:space="0" w:color="auto"/>
              </w:divBdr>
            </w:div>
            <w:div w:id="24254432">
              <w:marLeft w:val="0"/>
              <w:marRight w:val="0"/>
              <w:marTop w:val="120"/>
              <w:marBottom w:val="120"/>
              <w:divBdr>
                <w:top w:val="none" w:sz="0" w:space="0" w:color="auto"/>
                <w:left w:val="none" w:sz="0" w:space="0" w:color="auto"/>
                <w:bottom w:val="none" w:sz="0" w:space="0" w:color="auto"/>
                <w:right w:val="none" w:sz="0" w:space="0" w:color="auto"/>
              </w:divBdr>
            </w:div>
            <w:div w:id="1952467679">
              <w:marLeft w:val="0"/>
              <w:marRight w:val="0"/>
              <w:marTop w:val="120"/>
              <w:marBottom w:val="120"/>
              <w:divBdr>
                <w:top w:val="none" w:sz="0" w:space="0" w:color="auto"/>
                <w:left w:val="none" w:sz="0" w:space="0" w:color="auto"/>
                <w:bottom w:val="none" w:sz="0" w:space="0" w:color="auto"/>
                <w:right w:val="none" w:sz="0" w:space="0" w:color="auto"/>
              </w:divBdr>
            </w:div>
            <w:div w:id="1742482204">
              <w:marLeft w:val="0"/>
              <w:marRight w:val="0"/>
              <w:marTop w:val="120"/>
              <w:marBottom w:val="120"/>
              <w:divBdr>
                <w:top w:val="none" w:sz="0" w:space="0" w:color="auto"/>
                <w:left w:val="none" w:sz="0" w:space="0" w:color="auto"/>
                <w:bottom w:val="none" w:sz="0" w:space="0" w:color="auto"/>
                <w:right w:val="none" w:sz="0" w:space="0" w:color="auto"/>
              </w:divBdr>
            </w:div>
            <w:div w:id="1869634520">
              <w:marLeft w:val="0"/>
              <w:marRight w:val="0"/>
              <w:marTop w:val="120"/>
              <w:marBottom w:val="120"/>
              <w:divBdr>
                <w:top w:val="none" w:sz="0" w:space="0" w:color="auto"/>
                <w:left w:val="none" w:sz="0" w:space="0" w:color="auto"/>
                <w:bottom w:val="none" w:sz="0" w:space="0" w:color="auto"/>
                <w:right w:val="none" w:sz="0" w:space="0" w:color="auto"/>
              </w:divBdr>
            </w:div>
            <w:div w:id="110323541">
              <w:marLeft w:val="0"/>
              <w:marRight w:val="0"/>
              <w:marTop w:val="120"/>
              <w:marBottom w:val="120"/>
              <w:divBdr>
                <w:top w:val="none" w:sz="0" w:space="0" w:color="auto"/>
                <w:left w:val="none" w:sz="0" w:space="0" w:color="auto"/>
                <w:bottom w:val="none" w:sz="0" w:space="0" w:color="auto"/>
                <w:right w:val="none" w:sz="0" w:space="0" w:color="auto"/>
              </w:divBdr>
            </w:div>
            <w:div w:id="1206019368">
              <w:marLeft w:val="0"/>
              <w:marRight w:val="0"/>
              <w:marTop w:val="120"/>
              <w:marBottom w:val="120"/>
              <w:divBdr>
                <w:top w:val="none" w:sz="0" w:space="0" w:color="auto"/>
                <w:left w:val="none" w:sz="0" w:space="0" w:color="auto"/>
                <w:bottom w:val="none" w:sz="0" w:space="0" w:color="auto"/>
                <w:right w:val="none" w:sz="0" w:space="0" w:color="auto"/>
              </w:divBdr>
            </w:div>
            <w:div w:id="1454522259">
              <w:marLeft w:val="0"/>
              <w:marRight w:val="0"/>
              <w:marTop w:val="120"/>
              <w:marBottom w:val="120"/>
              <w:divBdr>
                <w:top w:val="none" w:sz="0" w:space="0" w:color="auto"/>
                <w:left w:val="none" w:sz="0" w:space="0" w:color="auto"/>
                <w:bottom w:val="none" w:sz="0" w:space="0" w:color="auto"/>
                <w:right w:val="none" w:sz="0" w:space="0" w:color="auto"/>
              </w:divBdr>
            </w:div>
            <w:div w:id="219025844">
              <w:marLeft w:val="0"/>
              <w:marRight w:val="0"/>
              <w:marTop w:val="120"/>
              <w:marBottom w:val="120"/>
              <w:divBdr>
                <w:top w:val="none" w:sz="0" w:space="0" w:color="auto"/>
                <w:left w:val="none" w:sz="0" w:space="0" w:color="auto"/>
                <w:bottom w:val="none" w:sz="0" w:space="0" w:color="auto"/>
                <w:right w:val="none" w:sz="0" w:space="0" w:color="auto"/>
              </w:divBdr>
            </w:div>
            <w:div w:id="731654948">
              <w:marLeft w:val="0"/>
              <w:marRight w:val="0"/>
              <w:marTop w:val="120"/>
              <w:marBottom w:val="120"/>
              <w:divBdr>
                <w:top w:val="none" w:sz="0" w:space="0" w:color="auto"/>
                <w:left w:val="none" w:sz="0" w:space="0" w:color="auto"/>
                <w:bottom w:val="none" w:sz="0" w:space="0" w:color="auto"/>
                <w:right w:val="none" w:sz="0" w:space="0" w:color="auto"/>
              </w:divBdr>
            </w:div>
            <w:div w:id="176045521">
              <w:marLeft w:val="0"/>
              <w:marRight w:val="0"/>
              <w:marTop w:val="120"/>
              <w:marBottom w:val="120"/>
              <w:divBdr>
                <w:top w:val="none" w:sz="0" w:space="0" w:color="auto"/>
                <w:left w:val="none" w:sz="0" w:space="0" w:color="auto"/>
                <w:bottom w:val="none" w:sz="0" w:space="0" w:color="auto"/>
                <w:right w:val="none" w:sz="0" w:space="0" w:color="auto"/>
              </w:divBdr>
            </w:div>
            <w:div w:id="627207044">
              <w:marLeft w:val="0"/>
              <w:marRight w:val="0"/>
              <w:marTop w:val="120"/>
              <w:marBottom w:val="120"/>
              <w:divBdr>
                <w:top w:val="none" w:sz="0" w:space="0" w:color="auto"/>
                <w:left w:val="none" w:sz="0" w:space="0" w:color="auto"/>
                <w:bottom w:val="none" w:sz="0" w:space="0" w:color="auto"/>
                <w:right w:val="none" w:sz="0" w:space="0" w:color="auto"/>
              </w:divBdr>
            </w:div>
            <w:div w:id="1515263932">
              <w:marLeft w:val="0"/>
              <w:marRight w:val="0"/>
              <w:marTop w:val="120"/>
              <w:marBottom w:val="120"/>
              <w:divBdr>
                <w:top w:val="none" w:sz="0" w:space="0" w:color="auto"/>
                <w:left w:val="none" w:sz="0" w:space="0" w:color="auto"/>
                <w:bottom w:val="none" w:sz="0" w:space="0" w:color="auto"/>
                <w:right w:val="none" w:sz="0" w:space="0" w:color="auto"/>
              </w:divBdr>
            </w:div>
            <w:div w:id="255796255">
              <w:marLeft w:val="0"/>
              <w:marRight w:val="0"/>
              <w:marTop w:val="120"/>
              <w:marBottom w:val="120"/>
              <w:divBdr>
                <w:top w:val="none" w:sz="0" w:space="0" w:color="auto"/>
                <w:left w:val="none" w:sz="0" w:space="0" w:color="auto"/>
                <w:bottom w:val="none" w:sz="0" w:space="0" w:color="auto"/>
                <w:right w:val="none" w:sz="0" w:space="0" w:color="auto"/>
              </w:divBdr>
            </w:div>
            <w:div w:id="1048996166">
              <w:marLeft w:val="0"/>
              <w:marRight w:val="0"/>
              <w:marTop w:val="120"/>
              <w:marBottom w:val="120"/>
              <w:divBdr>
                <w:top w:val="none" w:sz="0" w:space="0" w:color="auto"/>
                <w:left w:val="none" w:sz="0" w:space="0" w:color="auto"/>
                <w:bottom w:val="none" w:sz="0" w:space="0" w:color="auto"/>
                <w:right w:val="none" w:sz="0" w:space="0" w:color="auto"/>
              </w:divBdr>
            </w:div>
            <w:div w:id="1044795667">
              <w:marLeft w:val="0"/>
              <w:marRight w:val="0"/>
              <w:marTop w:val="120"/>
              <w:marBottom w:val="120"/>
              <w:divBdr>
                <w:top w:val="none" w:sz="0" w:space="0" w:color="auto"/>
                <w:left w:val="none" w:sz="0" w:space="0" w:color="auto"/>
                <w:bottom w:val="none" w:sz="0" w:space="0" w:color="auto"/>
                <w:right w:val="none" w:sz="0" w:space="0" w:color="auto"/>
              </w:divBdr>
            </w:div>
            <w:div w:id="1520117330">
              <w:marLeft w:val="0"/>
              <w:marRight w:val="0"/>
              <w:marTop w:val="120"/>
              <w:marBottom w:val="120"/>
              <w:divBdr>
                <w:top w:val="none" w:sz="0" w:space="0" w:color="auto"/>
                <w:left w:val="none" w:sz="0" w:space="0" w:color="auto"/>
                <w:bottom w:val="none" w:sz="0" w:space="0" w:color="auto"/>
                <w:right w:val="none" w:sz="0" w:space="0" w:color="auto"/>
              </w:divBdr>
            </w:div>
          </w:divsChild>
        </w:div>
        <w:div w:id="1244217551">
          <w:marLeft w:val="0"/>
          <w:marRight w:val="0"/>
          <w:marTop w:val="0"/>
          <w:marBottom w:val="0"/>
          <w:divBdr>
            <w:top w:val="none" w:sz="0" w:space="0" w:color="auto"/>
            <w:left w:val="none" w:sz="0" w:space="0" w:color="auto"/>
            <w:bottom w:val="none" w:sz="0" w:space="0" w:color="auto"/>
            <w:right w:val="none" w:sz="0" w:space="0" w:color="auto"/>
          </w:divBdr>
          <w:divsChild>
            <w:div w:id="1925141437">
              <w:marLeft w:val="0"/>
              <w:marRight w:val="0"/>
              <w:marTop w:val="120"/>
              <w:marBottom w:val="120"/>
              <w:divBdr>
                <w:top w:val="none" w:sz="0" w:space="0" w:color="auto"/>
                <w:left w:val="none" w:sz="0" w:space="0" w:color="auto"/>
                <w:bottom w:val="none" w:sz="0" w:space="0" w:color="auto"/>
                <w:right w:val="none" w:sz="0" w:space="0" w:color="auto"/>
              </w:divBdr>
            </w:div>
            <w:div w:id="476143923">
              <w:marLeft w:val="0"/>
              <w:marRight w:val="0"/>
              <w:marTop w:val="120"/>
              <w:marBottom w:val="120"/>
              <w:divBdr>
                <w:top w:val="none" w:sz="0" w:space="0" w:color="auto"/>
                <w:left w:val="none" w:sz="0" w:space="0" w:color="auto"/>
                <w:bottom w:val="none" w:sz="0" w:space="0" w:color="auto"/>
                <w:right w:val="none" w:sz="0" w:space="0" w:color="auto"/>
              </w:divBdr>
            </w:div>
            <w:div w:id="247153646">
              <w:marLeft w:val="0"/>
              <w:marRight w:val="0"/>
              <w:marTop w:val="120"/>
              <w:marBottom w:val="120"/>
              <w:divBdr>
                <w:top w:val="none" w:sz="0" w:space="0" w:color="auto"/>
                <w:left w:val="none" w:sz="0" w:space="0" w:color="auto"/>
                <w:bottom w:val="none" w:sz="0" w:space="0" w:color="auto"/>
                <w:right w:val="none" w:sz="0" w:space="0" w:color="auto"/>
              </w:divBdr>
            </w:div>
            <w:div w:id="369040438">
              <w:marLeft w:val="0"/>
              <w:marRight w:val="0"/>
              <w:marTop w:val="120"/>
              <w:marBottom w:val="120"/>
              <w:divBdr>
                <w:top w:val="none" w:sz="0" w:space="0" w:color="auto"/>
                <w:left w:val="none" w:sz="0" w:space="0" w:color="auto"/>
                <w:bottom w:val="none" w:sz="0" w:space="0" w:color="auto"/>
                <w:right w:val="none" w:sz="0" w:space="0" w:color="auto"/>
              </w:divBdr>
            </w:div>
            <w:div w:id="1559168838">
              <w:marLeft w:val="0"/>
              <w:marRight w:val="0"/>
              <w:marTop w:val="120"/>
              <w:marBottom w:val="120"/>
              <w:divBdr>
                <w:top w:val="none" w:sz="0" w:space="0" w:color="auto"/>
                <w:left w:val="none" w:sz="0" w:space="0" w:color="auto"/>
                <w:bottom w:val="none" w:sz="0" w:space="0" w:color="auto"/>
                <w:right w:val="none" w:sz="0" w:space="0" w:color="auto"/>
              </w:divBdr>
            </w:div>
            <w:div w:id="480922876">
              <w:marLeft w:val="0"/>
              <w:marRight w:val="0"/>
              <w:marTop w:val="120"/>
              <w:marBottom w:val="120"/>
              <w:divBdr>
                <w:top w:val="none" w:sz="0" w:space="0" w:color="auto"/>
                <w:left w:val="none" w:sz="0" w:space="0" w:color="auto"/>
                <w:bottom w:val="none" w:sz="0" w:space="0" w:color="auto"/>
                <w:right w:val="none" w:sz="0" w:space="0" w:color="auto"/>
              </w:divBdr>
            </w:div>
            <w:div w:id="1848865702">
              <w:marLeft w:val="0"/>
              <w:marRight w:val="0"/>
              <w:marTop w:val="120"/>
              <w:marBottom w:val="120"/>
              <w:divBdr>
                <w:top w:val="none" w:sz="0" w:space="0" w:color="auto"/>
                <w:left w:val="none" w:sz="0" w:space="0" w:color="auto"/>
                <w:bottom w:val="none" w:sz="0" w:space="0" w:color="auto"/>
                <w:right w:val="none" w:sz="0" w:space="0" w:color="auto"/>
              </w:divBdr>
            </w:div>
            <w:div w:id="1518234546">
              <w:marLeft w:val="0"/>
              <w:marRight w:val="0"/>
              <w:marTop w:val="120"/>
              <w:marBottom w:val="120"/>
              <w:divBdr>
                <w:top w:val="none" w:sz="0" w:space="0" w:color="auto"/>
                <w:left w:val="none" w:sz="0" w:space="0" w:color="auto"/>
                <w:bottom w:val="none" w:sz="0" w:space="0" w:color="auto"/>
                <w:right w:val="none" w:sz="0" w:space="0" w:color="auto"/>
              </w:divBdr>
            </w:div>
            <w:div w:id="616956396">
              <w:marLeft w:val="0"/>
              <w:marRight w:val="0"/>
              <w:marTop w:val="120"/>
              <w:marBottom w:val="120"/>
              <w:divBdr>
                <w:top w:val="none" w:sz="0" w:space="0" w:color="auto"/>
                <w:left w:val="none" w:sz="0" w:space="0" w:color="auto"/>
                <w:bottom w:val="none" w:sz="0" w:space="0" w:color="auto"/>
                <w:right w:val="none" w:sz="0" w:space="0" w:color="auto"/>
              </w:divBdr>
            </w:div>
            <w:div w:id="1314413201">
              <w:marLeft w:val="0"/>
              <w:marRight w:val="0"/>
              <w:marTop w:val="120"/>
              <w:marBottom w:val="120"/>
              <w:divBdr>
                <w:top w:val="none" w:sz="0" w:space="0" w:color="auto"/>
                <w:left w:val="none" w:sz="0" w:space="0" w:color="auto"/>
                <w:bottom w:val="none" w:sz="0" w:space="0" w:color="auto"/>
                <w:right w:val="none" w:sz="0" w:space="0" w:color="auto"/>
              </w:divBdr>
            </w:div>
            <w:div w:id="560678078">
              <w:marLeft w:val="0"/>
              <w:marRight w:val="0"/>
              <w:marTop w:val="120"/>
              <w:marBottom w:val="120"/>
              <w:divBdr>
                <w:top w:val="none" w:sz="0" w:space="0" w:color="auto"/>
                <w:left w:val="none" w:sz="0" w:space="0" w:color="auto"/>
                <w:bottom w:val="none" w:sz="0" w:space="0" w:color="auto"/>
                <w:right w:val="none" w:sz="0" w:space="0" w:color="auto"/>
              </w:divBdr>
            </w:div>
            <w:div w:id="1292898887">
              <w:marLeft w:val="0"/>
              <w:marRight w:val="0"/>
              <w:marTop w:val="120"/>
              <w:marBottom w:val="120"/>
              <w:divBdr>
                <w:top w:val="none" w:sz="0" w:space="0" w:color="auto"/>
                <w:left w:val="none" w:sz="0" w:space="0" w:color="auto"/>
                <w:bottom w:val="none" w:sz="0" w:space="0" w:color="auto"/>
                <w:right w:val="none" w:sz="0" w:space="0" w:color="auto"/>
              </w:divBdr>
            </w:div>
            <w:div w:id="686951294">
              <w:marLeft w:val="0"/>
              <w:marRight w:val="0"/>
              <w:marTop w:val="120"/>
              <w:marBottom w:val="120"/>
              <w:divBdr>
                <w:top w:val="none" w:sz="0" w:space="0" w:color="auto"/>
                <w:left w:val="none" w:sz="0" w:space="0" w:color="auto"/>
                <w:bottom w:val="none" w:sz="0" w:space="0" w:color="auto"/>
                <w:right w:val="none" w:sz="0" w:space="0" w:color="auto"/>
              </w:divBdr>
            </w:div>
            <w:div w:id="2043431505">
              <w:marLeft w:val="0"/>
              <w:marRight w:val="0"/>
              <w:marTop w:val="120"/>
              <w:marBottom w:val="120"/>
              <w:divBdr>
                <w:top w:val="none" w:sz="0" w:space="0" w:color="auto"/>
                <w:left w:val="none" w:sz="0" w:space="0" w:color="auto"/>
                <w:bottom w:val="none" w:sz="0" w:space="0" w:color="auto"/>
                <w:right w:val="none" w:sz="0" w:space="0" w:color="auto"/>
              </w:divBdr>
            </w:div>
            <w:div w:id="446893610">
              <w:marLeft w:val="0"/>
              <w:marRight w:val="0"/>
              <w:marTop w:val="120"/>
              <w:marBottom w:val="120"/>
              <w:divBdr>
                <w:top w:val="none" w:sz="0" w:space="0" w:color="auto"/>
                <w:left w:val="none" w:sz="0" w:space="0" w:color="auto"/>
                <w:bottom w:val="none" w:sz="0" w:space="0" w:color="auto"/>
                <w:right w:val="none" w:sz="0" w:space="0" w:color="auto"/>
              </w:divBdr>
            </w:div>
            <w:div w:id="2137336016">
              <w:marLeft w:val="0"/>
              <w:marRight w:val="0"/>
              <w:marTop w:val="120"/>
              <w:marBottom w:val="120"/>
              <w:divBdr>
                <w:top w:val="none" w:sz="0" w:space="0" w:color="auto"/>
                <w:left w:val="none" w:sz="0" w:space="0" w:color="auto"/>
                <w:bottom w:val="none" w:sz="0" w:space="0" w:color="auto"/>
                <w:right w:val="none" w:sz="0" w:space="0" w:color="auto"/>
              </w:divBdr>
            </w:div>
            <w:div w:id="1051228153">
              <w:marLeft w:val="0"/>
              <w:marRight w:val="0"/>
              <w:marTop w:val="120"/>
              <w:marBottom w:val="120"/>
              <w:divBdr>
                <w:top w:val="none" w:sz="0" w:space="0" w:color="auto"/>
                <w:left w:val="none" w:sz="0" w:space="0" w:color="auto"/>
                <w:bottom w:val="none" w:sz="0" w:space="0" w:color="auto"/>
                <w:right w:val="none" w:sz="0" w:space="0" w:color="auto"/>
              </w:divBdr>
            </w:div>
            <w:div w:id="1237469364">
              <w:marLeft w:val="0"/>
              <w:marRight w:val="0"/>
              <w:marTop w:val="120"/>
              <w:marBottom w:val="120"/>
              <w:divBdr>
                <w:top w:val="none" w:sz="0" w:space="0" w:color="auto"/>
                <w:left w:val="none" w:sz="0" w:space="0" w:color="auto"/>
                <w:bottom w:val="none" w:sz="0" w:space="0" w:color="auto"/>
                <w:right w:val="none" w:sz="0" w:space="0" w:color="auto"/>
              </w:divBdr>
            </w:div>
            <w:div w:id="1325279670">
              <w:marLeft w:val="0"/>
              <w:marRight w:val="0"/>
              <w:marTop w:val="120"/>
              <w:marBottom w:val="120"/>
              <w:divBdr>
                <w:top w:val="none" w:sz="0" w:space="0" w:color="auto"/>
                <w:left w:val="none" w:sz="0" w:space="0" w:color="auto"/>
                <w:bottom w:val="none" w:sz="0" w:space="0" w:color="auto"/>
                <w:right w:val="none" w:sz="0" w:space="0" w:color="auto"/>
              </w:divBdr>
            </w:div>
            <w:div w:id="803353709">
              <w:marLeft w:val="0"/>
              <w:marRight w:val="0"/>
              <w:marTop w:val="120"/>
              <w:marBottom w:val="120"/>
              <w:divBdr>
                <w:top w:val="none" w:sz="0" w:space="0" w:color="auto"/>
                <w:left w:val="none" w:sz="0" w:space="0" w:color="auto"/>
                <w:bottom w:val="none" w:sz="0" w:space="0" w:color="auto"/>
                <w:right w:val="none" w:sz="0" w:space="0" w:color="auto"/>
              </w:divBdr>
            </w:div>
            <w:div w:id="1245844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6354499">
      <w:marLeft w:val="0"/>
      <w:marRight w:val="0"/>
      <w:marTop w:val="0"/>
      <w:marBottom w:val="0"/>
      <w:divBdr>
        <w:top w:val="none" w:sz="0" w:space="0" w:color="auto"/>
        <w:left w:val="none" w:sz="0" w:space="0" w:color="auto"/>
        <w:bottom w:val="none" w:sz="0" w:space="0" w:color="auto"/>
        <w:right w:val="none" w:sz="0" w:space="0" w:color="auto"/>
      </w:divBdr>
      <w:divsChild>
        <w:div w:id="1882785875">
          <w:marLeft w:val="0"/>
          <w:marRight w:val="0"/>
          <w:marTop w:val="0"/>
          <w:marBottom w:val="0"/>
          <w:divBdr>
            <w:top w:val="none" w:sz="0" w:space="0" w:color="auto"/>
            <w:left w:val="none" w:sz="0" w:space="0" w:color="auto"/>
            <w:bottom w:val="none" w:sz="0" w:space="0" w:color="auto"/>
            <w:right w:val="none" w:sz="0" w:space="0" w:color="auto"/>
          </w:divBdr>
        </w:div>
      </w:divsChild>
    </w:div>
    <w:div w:id="1556430595">
      <w:marLeft w:val="0"/>
      <w:marRight w:val="0"/>
      <w:marTop w:val="0"/>
      <w:marBottom w:val="240"/>
      <w:divBdr>
        <w:top w:val="none" w:sz="0" w:space="0" w:color="auto"/>
        <w:left w:val="none" w:sz="0" w:space="0" w:color="auto"/>
        <w:bottom w:val="none" w:sz="0" w:space="0" w:color="auto"/>
        <w:right w:val="none" w:sz="0" w:space="0" w:color="auto"/>
      </w:divBdr>
    </w:div>
    <w:div w:id="1557660750">
      <w:marLeft w:val="0"/>
      <w:marRight w:val="0"/>
      <w:marTop w:val="180"/>
      <w:marBottom w:val="180"/>
      <w:divBdr>
        <w:top w:val="none" w:sz="0" w:space="0" w:color="auto"/>
        <w:left w:val="none" w:sz="0" w:space="0" w:color="auto"/>
        <w:bottom w:val="none" w:sz="0" w:space="0" w:color="auto"/>
        <w:right w:val="none" w:sz="0" w:space="0" w:color="auto"/>
      </w:divBdr>
    </w:div>
    <w:div w:id="1559515222">
      <w:marLeft w:val="0"/>
      <w:marRight w:val="0"/>
      <w:marTop w:val="0"/>
      <w:marBottom w:val="60"/>
      <w:divBdr>
        <w:top w:val="none" w:sz="0" w:space="0" w:color="auto"/>
        <w:left w:val="none" w:sz="0" w:space="0" w:color="auto"/>
        <w:bottom w:val="none" w:sz="0" w:space="0" w:color="auto"/>
        <w:right w:val="none" w:sz="0" w:space="0" w:color="auto"/>
      </w:divBdr>
    </w:div>
    <w:div w:id="1559627795">
      <w:marLeft w:val="0"/>
      <w:marRight w:val="0"/>
      <w:marTop w:val="0"/>
      <w:marBottom w:val="180"/>
      <w:divBdr>
        <w:top w:val="none" w:sz="0" w:space="0" w:color="auto"/>
        <w:left w:val="none" w:sz="0" w:space="0" w:color="auto"/>
        <w:bottom w:val="none" w:sz="0" w:space="0" w:color="auto"/>
        <w:right w:val="none" w:sz="0" w:space="0" w:color="auto"/>
      </w:divBdr>
    </w:div>
    <w:div w:id="1559777344">
      <w:marLeft w:val="0"/>
      <w:marRight w:val="0"/>
      <w:marTop w:val="0"/>
      <w:marBottom w:val="240"/>
      <w:divBdr>
        <w:top w:val="none" w:sz="0" w:space="0" w:color="auto"/>
        <w:left w:val="none" w:sz="0" w:space="0" w:color="auto"/>
        <w:bottom w:val="none" w:sz="0" w:space="0" w:color="auto"/>
        <w:right w:val="none" w:sz="0" w:space="0" w:color="auto"/>
      </w:divBdr>
    </w:div>
    <w:div w:id="1560478150">
      <w:marLeft w:val="0"/>
      <w:marRight w:val="0"/>
      <w:marTop w:val="0"/>
      <w:marBottom w:val="0"/>
      <w:divBdr>
        <w:top w:val="none" w:sz="0" w:space="0" w:color="auto"/>
        <w:left w:val="none" w:sz="0" w:space="0" w:color="auto"/>
        <w:bottom w:val="none" w:sz="0" w:space="0" w:color="auto"/>
        <w:right w:val="none" w:sz="0" w:space="0" w:color="auto"/>
      </w:divBdr>
      <w:divsChild>
        <w:div w:id="1026324230">
          <w:marLeft w:val="0"/>
          <w:marRight w:val="0"/>
          <w:marTop w:val="0"/>
          <w:marBottom w:val="0"/>
          <w:divBdr>
            <w:top w:val="none" w:sz="0" w:space="0" w:color="auto"/>
            <w:left w:val="none" w:sz="0" w:space="0" w:color="auto"/>
            <w:bottom w:val="none" w:sz="0" w:space="0" w:color="auto"/>
            <w:right w:val="none" w:sz="0" w:space="0" w:color="auto"/>
          </w:divBdr>
        </w:div>
      </w:divsChild>
    </w:div>
    <w:div w:id="1562016104">
      <w:marLeft w:val="0"/>
      <w:marRight w:val="0"/>
      <w:marTop w:val="0"/>
      <w:marBottom w:val="0"/>
      <w:divBdr>
        <w:top w:val="none" w:sz="0" w:space="0" w:color="auto"/>
        <w:left w:val="none" w:sz="0" w:space="0" w:color="auto"/>
        <w:bottom w:val="none" w:sz="0" w:space="0" w:color="auto"/>
        <w:right w:val="none" w:sz="0" w:space="0" w:color="auto"/>
      </w:divBdr>
    </w:div>
    <w:div w:id="1562255923">
      <w:marLeft w:val="0"/>
      <w:marRight w:val="0"/>
      <w:marTop w:val="240"/>
      <w:marBottom w:val="0"/>
      <w:divBdr>
        <w:top w:val="none" w:sz="0" w:space="0" w:color="auto"/>
        <w:left w:val="none" w:sz="0" w:space="0" w:color="auto"/>
        <w:bottom w:val="none" w:sz="0" w:space="0" w:color="auto"/>
        <w:right w:val="none" w:sz="0" w:space="0" w:color="auto"/>
      </w:divBdr>
    </w:div>
    <w:div w:id="1562793382">
      <w:marLeft w:val="0"/>
      <w:marRight w:val="0"/>
      <w:marTop w:val="0"/>
      <w:marBottom w:val="240"/>
      <w:divBdr>
        <w:top w:val="none" w:sz="0" w:space="0" w:color="auto"/>
        <w:left w:val="none" w:sz="0" w:space="0" w:color="auto"/>
        <w:bottom w:val="none" w:sz="0" w:space="0" w:color="auto"/>
        <w:right w:val="none" w:sz="0" w:space="0" w:color="auto"/>
      </w:divBdr>
    </w:div>
    <w:div w:id="1563440932">
      <w:marLeft w:val="0"/>
      <w:marRight w:val="0"/>
      <w:marTop w:val="0"/>
      <w:marBottom w:val="0"/>
      <w:divBdr>
        <w:top w:val="none" w:sz="0" w:space="0" w:color="auto"/>
        <w:left w:val="none" w:sz="0" w:space="0" w:color="auto"/>
        <w:bottom w:val="none" w:sz="0" w:space="0" w:color="auto"/>
        <w:right w:val="none" w:sz="0" w:space="0" w:color="auto"/>
      </w:divBdr>
    </w:div>
    <w:div w:id="1565290808">
      <w:marLeft w:val="0"/>
      <w:marRight w:val="0"/>
      <w:marTop w:val="0"/>
      <w:marBottom w:val="0"/>
      <w:divBdr>
        <w:top w:val="none" w:sz="0" w:space="0" w:color="auto"/>
        <w:left w:val="none" w:sz="0" w:space="0" w:color="auto"/>
        <w:bottom w:val="none" w:sz="0" w:space="0" w:color="auto"/>
        <w:right w:val="none" w:sz="0" w:space="0" w:color="auto"/>
      </w:divBdr>
      <w:divsChild>
        <w:div w:id="1497110378">
          <w:marLeft w:val="0"/>
          <w:marRight w:val="0"/>
          <w:marTop w:val="0"/>
          <w:marBottom w:val="0"/>
          <w:divBdr>
            <w:top w:val="none" w:sz="0" w:space="0" w:color="auto"/>
            <w:left w:val="none" w:sz="0" w:space="0" w:color="auto"/>
            <w:bottom w:val="none" w:sz="0" w:space="0" w:color="auto"/>
            <w:right w:val="none" w:sz="0" w:space="0" w:color="auto"/>
          </w:divBdr>
        </w:div>
      </w:divsChild>
    </w:div>
    <w:div w:id="1565681735">
      <w:marLeft w:val="0"/>
      <w:marRight w:val="0"/>
      <w:marTop w:val="0"/>
      <w:marBottom w:val="180"/>
      <w:divBdr>
        <w:top w:val="none" w:sz="0" w:space="0" w:color="auto"/>
        <w:left w:val="none" w:sz="0" w:space="0" w:color="auto"/>
        <w:bottom w:val="none" w:sz="0" w:space="0" w:color="auto"/>
        <w:right w:val="none" w:sz="0" w:space="0" w:color="auto"/>
      </w:divBdr>
    </w:div>
    <w:div w:id="1566645916">
      <w:marLeft w:val="0"/>
      <w:marRight w:val="0"/>
      <w:marTop w:val="0"/>
      <w:marBottom w:val="240"/>
      <w:divBdr>
        <w:top w:val="none" w:sz="0" w:space="0" w:color="auto"/>
        <w:left w:val="none" w:sz="0" w:space="0" w:color="auto"/>
        <w:bottom w:val="none" w:sz="0" w:space="0" w:color="auto"/>
        <w:right w:val="none" w:sz="0" w:space="0" w:color="auto"/>
      </w:divBdr>
    </w:div>
    <w:div w:id="1566795247">
      <w:marLeft w:val="0"/>
      <w:marRight w:val="0"/>
      <w:marTop w:val="0"/>
      <w:marBottom w:val="180"/>
      <w:divBdr>
        <w:top w:val="none" w:sz="0" w:space="0" w:color="auto"/>
        <w:left w:val="none" w:sz="0" w:space="0" w:color="auto"/>
        <w:bottom w:val="none" w:sz="0" w:space="0" w:color="auto"/>
        <w:right w:val="none" w:sz="0" w:space="0" w:color="auto"/>
      </w:divBdr>
    </w:div>
    <w:div w:id="1566795435">
      <w:marLeft w:val="0"/>
      <w:marRight w:val="0"/>
      <w:marTop w:val="0"/>
      <w:marBottom w:val="240"/>
      <w:divBdr>
        <w:top w:val="none" w:sz="0" w:space="0" w:color="auto"/>
        <w:left w:val="none" w:sz="0" w:space="0" w:color="auto"/>
        <w:bottom w:val="none" w:sz="0" w:space="0" w:color="auto"/>
        <w:right w:val="none" w:sz="0" w:space="0" w:color="auto"/>
      </w:divBdr>
    </w:div>
    <w:div w:id="1566798738">
      <w:marLeft w:val="0"/>
      <w:marRight w:val="0"/>
      <w:marTop w:val="0"/>
      <w:marBottom w:val="0"/>
      <w:divBdr>
        <w:top w:val="none" w:sz="0" w:space="0" w:color="auto"/>
        <w:left w:val="none" w:sz="0" w:space="0" w:color="auto"/>
        <w:bottom w:val="none" w:sz="0" w:space="0" w:color="auto"/>
        <w:right w:val="none" w:sz="0" w:space="0" w:color="auto"/>
      </w:divBdr>
      <w:divsChild>
        <w:div w:id="1396246948">
          <w:marLeft w:val="0"/>
          <w:marRight w:val="0"/>
          <w:marTop w:val="0"/>
          <w:marBottom w:val="0"/>
          <w:divBdr>
            <w:top w:val="none" w:sz="0" w:space="0" w:color="auto"/>
            <w:left w:val="none" w:sz="0" w:space="0" w:color="auto"/>
            <w:bottom w:val="none" w:sz="0" w:space="0" w:color="auto"/>
            <w:right w:val="none" w:sz="0" w:space="0" w:color="auto"/>
          </w:divBdr>
        </w:div>
      </w:divsChild>
    </w:div>
    <w:div w:id="1567450763">
      <w:marLeft w:val="0"/>
      <w:marRight w:val="0"/>
      <w:marTop w:val="0"/>
      <w:marBottom w:val="0"/>
      <w:divBdr>
        <w:top w:val="none" w:sz="0" w:space="0" w:color="auto"/>
        <w:left w:val="none" w:sz="0" w:space="0" w:color="auto"/>
        <w:bottom w:val="none" w:sz="0" w:space="0" w:color="auto"/>
        <w:right w:val="none" w:sz="0" w:space="0" w:color="auto"/>
      </w:divBdr>
      <w:divsChild>
        <w:div w:id="263150978">
          <w:marLeft w:val="0"/>
          <w:marRight w:val="0"/>
          <w:marTop w:val="0"/>
          <w:marBottom w:val="0"/>
          <w:divBdr>
            <w:top w:val="none" w:sz="0" w:space="0" w:color="auto"/>
            <w:left w:val="none" w:sz="0" w:space="0" w:color="auto"/>
            <w:bottom w:val="none" w:sz="0" w:space="0" w:color="auto"/>
            <w:right w:val="none" w:sz="0" w:space="0" w:color="auto"/>
          </w:divBdr>
        </w:div>
      </w:divsChild>
    </w:div>
    <w:div w:id="1567838383">
      <w:marLeft w:val="0"/>
      <w:marRight w:val="0"/>
      <w:marTop w:val="180"/>
      <w:marBottom w:val="180"/>
      <w:divBdr>
        <w:top w:val="none" w:sz="0" w:space="0" w:color="auto"/>
        <w:left w:val="none" w:sz="0" w:space="0" w:color="auto"/>
        <w:bottom w:val="none" w:sz="0" w:space="0" w:color="auto"/>
        <w:right w:val="none" w:sz="0" w:space="0" w:color="auto"/>
      </w:divBdr>
    </w:div>
    <w:div w:id="1568148798">
      <w:marLeft w:val="0"/>
      <w:marRight w:val="0"/>
      <w:marTop w:val="0"/>
      <w:marBottom w:val="180"/>
      <w:divBdr>
        <w:top w:val="none" w:sz="0" w:space="0" w:color="auto"/>
        <w:left w:val="none" w:sz="0" w:space="0" w:color="auto"/>
        <w:bottom w:val="none" w:sz="0" w:space="0" w:color="auto"/>
        <w:right w:val="none" w:sz="0" w:space="0" w:color="auto"/>
      </w:divBdr>
    </w:div>
    <w:div w:id="1569145262">
      <w:marLeft w:val="0"/>
      <w:marRight w:val="0"/>
      <w:marTop w:val="0"/>
      <w:marBottom w:val="240"/>
      <w:divBdr>
        <w:top w:val="none" w:sz="0" w:space="0" w:color="auto"/>
        <w:left w:val="none" w:sz="0" w:space="0" w:color="auto"/>
        <w:bottom w:val="none" w:sz="0" w:space="0" w:color="auto"/>
        <w:right w:val="none" w:sz="0" w:space="0" w:color="auto"/>
      </w:divBdr>
    </w:div>
    <w:div w:id="1569146332">
      <w:marLeft w:val="0"/>
      <w:marRight w:val="0"/>
      <w:marTop w:val="0"/>
      <w:marBottom w:val="240"/>
      <w:divBdr>
        <w:top w:val="none" w:sz="0" w:space="0" w:color="auto"/>
        <w:left w:val="none" w:sz="0" w:space="0" w:color="auto"/>
        <w:bottom w:val="none" w:sz="0" w:space="0" w:color="auto"/>
        <w:right w:val="none" w:sz="0" w:space="0" w:color="auto"/>
      </w:divBdr>
    </w:div>
    <w:div w:id="1569220047">
      <w:marLeft w:val="0"/>
      <w:marRight w:val="0"/>
      <w:marTop w:val="0"/>
      <w:marBottom w:val="180"/>
      <w:divBdr>
        <w:top w:val="none" w:sz="0" w:space="0" w:color="auto"/>
        <w:left w:val="none" w:sz="0" w:space="0" w:color="auto"/>
        <w:bottom w:val="none" w:sz="0" w:space="0" w:color="auto"/>
        <w:right w:val="none" w:sz="0" w:space="0" w:color="auto"/>
      </w:divBdr>
    </w:div>
    <w:div w:id="1569656774">
      <w:marLeft w:val="0"/>
      <w:marRight w:val="0"/>
      <w:marTop w:val="0"/>
      <w:marBottom w:val="0"/>
      <w:divBdr>
        <w:top w:val="none" w:sz="0" w:space="0" w:color="auto"/>
        <w:left w:val="none" w:sz="0" w:space="0" w:color="auto"/>
        <w:bottom w:val="none" w:sz="0" w:space="0" w:color="auto"/>
        <w:right w:val="none" w:sz="0" w:space="0" w:color="auto"/>
      </w:divBdr>
      <w:divsChild>
        <w:div w:id="1866600238">
          <w:marLeft w:val="0"/>
          <w:marRight w:val="0"/>
          <w:marTop w:val="0"/>
          <w:marBottom w:val="0"/>
          <w:divBdr>
            <w:top w:val="none" w:sz="0" w:space="0" w:color="auto"/>
            <w:left w:val="none" w:sz="0" w:space="0" w:color="auto"/>
            <w:bottom w:val="none" w:sz="0" w:space="0" w:color="auto"/>
            <w:right w:val="none" w:sz="0" w:space="0" w:color="auto"/>
          </w:divBdr>
        </w:div>
      </w:divsChild>
    </w:div>
    <w:div w:id="1569921096">
      <w:marLeft w:val="0"/>
      <w:marRight w:val="0"/>
      <w:marTop w:val="0"/>
      <w:marBottom w:val="20"/>
      <w:divBdr>
        <w:top w:val="none" w:sz="0" w:space="0" w:color="auto"/>
        <w:left w:val="none" w:sz="0" w:space="0" w:color="auto"/>
        <w:bottom w:val="none" w:sz="0" w:space="0" w:color="auto"/>
        <w:right w:val="none" w:sz="0" w:space="0" w:color="auto"/>
      </w:divBdr>
    </w:div>
    <w:div w:id="1570264613">
      <w:marLeft w:val="0"/>
      <w:marRight w:val="0"/>
      <w:marTop w:val="0"/>
      <w:marBottom w:val="180"/>
      <w:divBdr>
        <w:top w:val="none" w:sz="0" w:space="0" w:color="auto"/>
        <w:left w:val="none" w:sz="0" w:space="0" w:color="auto"/>
        <w:bottom w:val="none" w:sz="0" w:space="0" w:color="auto"/>
        <w:right w:val="none" w:sz="0" w:space="0" w:color="auto"/>
      </w:divBdr>
    </w:div>
    <w:div w:id="1570386102">
      <w:marLeft w:val="0"/>
      <w:marRight w:val="0"/>
      <w:marTop w:val="0"/>
      <w:marBottom w:val="180"/>
      <w:divBdr>
        <w:top w:val="none" w:sz="0" w:space="0" w:color="auto"/>
        <w:left w:val="none" w:sz="0" w:space="0" w:color="auto"/>
        <w:bottom w:val="none" w:sz="0" w:space="0" w:color="auto"/>
        <w:right w:val="none" w:sz="0" w:space="0" w:color="auto"/>
      </w:divBdr>
    </w:div>
    <w:div w:id="1570992344">
      <w:marLeft w:val="0"/>
      <w:marRight w:val="0"/>
      <w:marTop w:val="0"/>
      <w:marBottom w:val="0"/>
      <w:divBdr>
        <w:top w:val="none" w:sz="0" w:space="0" w:color="auto"/>
        <w:left w:val="none" w:sz="0" w:space="0" w:color="auto"/>
        <w:bottom w:val="none" w:sz="0" w:space="0" w:color="auto"/>
        <w:right w:val="none" w:sz="0" w:space="0" w:color="auto"/>
      </w:divBdr>
      <w:divsChild>
        <w:div w:id="122698335">
          <w:marLeft w:val="0"/>
          <w:marRight w:val="0"/>
          <w:marTop w:val="0"/>
          <w:marBottom w:val="0"/>
          <w:divBdr>
            <w:top w:val="none" w:sz="0" w:space="0" w:color="auto"/>
            <w:left w:val="none" w:sz="0" w:space="0" w:color="auto"/>
            <w:bottom w:val="none" w:sz="0" w:space="0" w:color="auto"/>
            <w:right w:val="none" w:sz="0" w:space="0" w:color="auto"/>
          </w:divBdr>
        </w:div>
      </w:divsChild>
    </w:div>
    <w:div w:id="1571574496">
      <w:marLeft w:val="0"/>
      <w:marRight w:val="0"/>
      <w:marTop w:val="0"/>
      <w:marBottom w:val="240"/>
      <w:divBdr>
        <w:top w:val="none" w:sz="0" w:space="0" w:color="auto"/>
        <w:left w:val="none" w:sz="0" w:space="0" w:color="auto"/>
        <w:bottom w:val="none" w:sz="0" w:space="0" w:color="auto"/>
        <w:right w:val="none" w:sz="0" w:space="0" w:color="auto"/>
      </w:divBdr>
    </w:div>
    <w:div w:id="1573347826">
      <w:marLeft w:val="0"/>
      <w:marRight w:val="0"/>
      <w:marTop w:val="0"/>
      <w:marBottom w:val="240"/>
      <w:divBdr>
        <w:top w:val="none" w:sz="0" w:space="0" w:color="auto"/>
        <w:left w:val="none" w:sz="0" w:space="0" w:color="auto"/>
        <w:bottom w:val="none" w:sz="0" w:space="0" w:color="auto"/>
        <w:right w:val="none" w:sz="0" w:space="0" w:color="auto"/>
      </w:divBdr>
    </w:div>
    <w:div w:id="1573810474">
      <w:marLeft w:val="0"/>
      <w:marRight w:val="0"/>
      <w:marTop w:val="0"/>
      <w:marBottom w:val="0"/>
      <w:divBdr>
        <w:top w:val="none" w:sz="0" w:space="0" w:color="auto"/>
        <w:left w:val="none" w:sz="0" w:space="0" w:color="auto"/>
        <w:bottom w:val="none" w:sz="0" w:space="0" w:color="auto"/>
        <w:right w:val="none" w:sz="0" w:space="0" w:color="auto"/>
      </w:divBdr>
      <w:divsChild>
        <w:div w:id="54545409">
          <w:marLeft w:val="0"/>
          <w:marRight w:val="0"/>
          <w:marTop w:val="0"/>
          <w:marBottom w:val="0"/>
          <w:divBdr>
            <w:top w:val="none" w:sz="0" w:space="0" w:color="auto"/>
            <w:left w:val="none" w:sz="0" w:space="0" w:color="auto"/>
            <w:bottom w:val="none" w:sz="0" w:space="0" w:color="auto"/>
            <w:right w:val="none" w:sz="0" w:space="0" w:color="auto"/>
          </w:divBdr>
        </w:div>
      </w:divsChild>
    </w:div>
    <w:div w:id="1574658225">
      <w:marLeft w:val="0"/>
      <w:marRight w:val="0"/>
      <w:marTop w:val="0"/>
      <w:marBottom w:val="0"/>
      <w:divBdr>
        <w:top w:val="none" w:sz="0" w:space="0" w:color="auto"/>
        <w:left w:val="none" w:sz="0" w:space="0" w:color="auto"/>
        <w:bottom w:val="none" w:sz="0" w:space="0" w:color="auto"/>
        <w:right w:val="none" w:sz="0" w:space="0" w:color="auto"/>
      </w:divBdr>
    </w:div>
    <w:div w:id="1575554975">
      <w:marLeft w:val="0"/>
      <w:marRight w:val="0"/>
      <w:marTop w:val="0"/>
      <w:marBottom w:val="180"/>
      <w:divBdr>
        <w:top w:val="none" w:sz="0" w:space="0" w:color="auto"/>
        <w:left w:val="none" w:sz="0" w:space="0" w:color="auto"/>
        <w:bottom w:val="none" w:sz="0" w:space="0" w:color="auto"/>
        <w:right w:val="none" w:sz="0" w:space="0" w:color="auto"/>
      </w:divBdr>
    </w:div>
    <w:div w:id="1575773263">
      <w:marLeft w:val="0"/>
      <w:marRight w:val="0"/>
      <w:marTop w:val="0"/>
      <w:marBottom w:val="180"/>
      <w:divBdr>
        <w:top w:val="none" w:sz="0" w:space="0" w:color="auto"/>
        <w:left w:val="none" w:sz="0" w:space="0" w:color="auto"/>
        <w:bottom w:val="none" w:sz="0" w:space="0" w:color="auto"/>
        <w:right w:val="none" w:sz="0" w:space="0" w:color="auto"/>
      </w:divBdr>
    </w:div>
    <w:div w:id="1576088729">
      <w:marLeft w:val="0"/>
      <w:marRight w:val="0"/>
      <w:marTop w:val="0"/>
      <w:marBottom w:val="240"/>
      <w:divBdr>
        <w:top w:val="none" w:sz="0" w:space="0" w:color="auto"/>
        <w:left w:val="none" w:sz="0" w:space="0" w:color="auto"/>
        <w:bottom w:val="none" w:sz="0" w:space="0" w:color="auto"/>
        <w:right w:val="none" w:sz="0" w:space="0" w:color="auto"/>
      </w:divBdr>
    </w:div>
    <w:div w:id="1577128104">
      <w:marLeft w:val="0"/>
      <w:marRight w:val="0"/>
      <w:marTop w:val="180"/>
      <w:marBottom w:val="180"/>
      <w:divBdr>
        <w:top w:val="none" w:sz="0" w:space="0" w:color="auto"/>
        <w:left w:val="none" w:sz="0" w:space="0" w:color="auto"/>
        <w:bottom w:val="none" w:sz="0" w:space="0" w:color="auto"/>
        <w:right w:val="none" w:sz="0" w:space="0" w:color="auto"/>
      </w:divBdr>
    </w:div>
    <w:div w:id="1577203873">
      <w:marLeft w:val="0"/>
      <w:marRight w:val="0"/>
      <w:marTop w:val="0"/>
      <w:marBottom w:val="180"/>
      <w:divBdr>
        <w:top w:val="none" w:sz="0" w:space="0" w:color="auto"/>
        <w:left w:val="none" w:sz="0" w:space="0" w:color="auto"/>
        <w:bottom w:val="none" w:sz="0" w:space="0" w:color="auto"/>
        <w:right w:val="none" w:sz="0" w:space="0" w:color="auto"/>
      </w:divBdr>
    </w:div>
    <w:div w:id="1577547212">
      <w:marLeft w:val="0"/>
      <w:marRight w:val="0"/>
      <w:marTop w:val="0"/>
      <w:marBottom w:val="0"/>
      <w:divBdr>
        <w:top w:val="none" w:sz="0" w:space="0" w:color="auto"/>
        <w:left w:val="none" w:sz="0" w:space="0" w:color="auto"/>
        <w:bottom w:val="none" w:sz="0" w:space="0" w:color="auto"/>
        <w:right w:val="none" w:sz="0" w:space="0" w:color="auto"/>
      </w:divBdr>
      <w:divsChild>
        <w:div w:id="1289238301">
          <w:marLeft w:val="0"/>
          <w:marRight w:val="0"/>
          <w:marTop w:val="0"/>
          <w:marBottom w:val="0"/>
          <w:divBdr>
            <w:top w:val="none" w:sz="0" w:space="0" w:color="auto"/>
            <w:left w:val="none" w:sz="0" w:space="0" w:color="auto"/>
            <w:bottom w:val="none" w:sz="0" w:space="0" w:color="auto"/>
            <w:right w:val="none" w:sz="0" w:space="0" w:color="auto"/>
          </w:divBdr>
        </w:div>
      </w:divsChild>
    </w:div>
    <w:div w:id="1577737993">
      <w:marLeft w:val="0"/>
      <w:marRight w:val="0"/>
      <w:marTop w:val="0"/>
      <w:marBottom w:val="0"/>
      <w:divBdr>
        <w:top w:val="none" w:sz="0" w:space="0" w:color="auto"/>
        <w:left w:val="none" w:sz="0" w:space="0" w:color="auto"/>
        <w:bottom w:val="none" w:sz="0" w:space="0" w:color="auto"/>
        <w:right w:val="none" w:sz="0" w:space="0" w:color="auto"/>
      </w:divBdr>
    </w:div>
    <w:div w:id="1577981814">
      <w:marLeft w:val="0"/>
      <w:marRight w:val="0"/>
      <w:marTop w:val="0"/>
      <w:marBottom w:val="0"/>
      <w:divBdr>
        <w:top w:val="none" w:sz="0" w:space="0" w:color="auto"/>
        <w:left w:val="none" w:sz="0" w:space="0" w:color="auto"/>
        <w:bottom w:val="none" w:sz="0" w:space="0" w:color="auto"/>
        <w:right w:val="none" w:sz="0" w:space="0" w:color="auto"/>
      </w:divBdr>
      <w:divsChild>
        <w:div w:id="776288279">
          <w:marLeft w:val="0"/>
          <w:marRight w:val="0"/>
          <w:marTop w:val="0"/>
          <w:marBottom w:val="0"/>
          <w:divBdr>
            <w:top w:val="none" w:sz="0" w:space="0" w:color="auto"/>
            <w:left w:val="none" w:sz="0" w:space="0" w:color="auto"/>
            <w:bottom w:val="none" w:sz="0" w:space="0" w:color="auto"/>
            <w:right w:val="none" w:sz="0" w:space="0" w:color="auto"/>
          </w:divBdr>
        </w:div>
      </w:divsChild>
    </w:div>
    <w:div w:id="1578398139">
      <w:marLeft w:val="0"/>
      <w:marRight w:val="0"/>
      <w:marTop w:val="0"/>
      <w:marBottom w:val="180"/>
      <w:divBdr>
        <w:top w:val="none" w:sz="0" w:space="0" w:color="auto"/>
        <w:left w:val="none" w:sz="0" w:space="0" w:color="auto"/>
        <w:bottom w:val="none" w:sz="0" w:space="0" w:color="auto"/>
        <w:right w:val="none" w:sz="0" w:space="0" w:color="auto"/>
      </w:divBdr>
    </w:div>
    <w:div w:id="1579286651">
      <w:marLeft w:val="0"/>
      <w:marRight w:val="0"/>
      <w:marTop w:val="0"/>
      <w:marBottom w:val="0"/>
      <w:divBdr>
        <w:top w:val="none" w:sz="0" w:space="0" w:color="auto"/>
        <w:left w:val="none" w:sz="0" w:space="0" w:color="auto"/>
        <w:bottom w:val="none" w:sz="0" w:space="0" w:color="auto"/>
        <w:right w:val="none" w:sz="0" w:space="0" w:color="auto"/>
      </w:divBdr>
    </w:div>
    <w:div w:id="1580677091">
      <w:marLeft w:val="0"/>
      <w:marRight w:val="0"/>
      <w:marTop w:val="0"/>
      <w:marBottom w:val="0"/>
      <w:divBdr>
        <w:top w:val="none" w:sz="0" w:space="0" w:color="auto"/>
        <w:left w:val="none" w:sz="0" w:space="0" w:color="auto"/>
        <w:bottom w:val="none" w:sz="0" w:space="0" w:color="auto"/>
        <w:right w:val="none" w:sz="0" w:space="0" w:color="auto"/>
      </w:divBdr>
    </w:div>
    <w:div w:id="1581021679">
      <w:marLeft w:val="0"/>
      <w:marRight w:val="0"/>
      <w:marTop w:val="0"/>
      <w:marBottom w:val="180"/>
      <w:divBdr>
        <w:top w:val="none" w:sz="0" w:space="0" w:color="auto"/>
        <w:left w:val="none" w:sz="0" w:space="0" w:color="auto"/>
        <w:bottom w:val="none" w:sz="0" w:space="0" w:color="auto"/>
        <w:right w:val="none" w:sz="0" w:space="0" w:color="auto"/>
      </w:divBdr>
    </w:div>
    <w:div w:id="1581329950">
      <w:marLeft w:val="0"/>
      <w:marRight w:val="0"/>
      <w:marTop w:val="100"/>
      <w:marBottom w:val="0"/>
      <w:divBdr>
        <w:top w:val="none" w:sz="0" w:space="0" w:color="auto"/>
        <w:left w:val="none" w:sz="0" w:space="0" w:color="auto"/>
        <w:bottom w:val="none" w:sz="0" w:space="0" w:color="auto"/>
        <w:right w:val="none" w:sz="0" w:space="0" w:color="auto"/>
      </w:divBdr>
    </w:div>
    <w:div w:id="1581670440">
      <w:marLeft w:val="0"/>
      <w:marRight w:val="0"/>
      <w:marTop w:val="180"/>
      <w:marBottom w:val="180"/>
      <w:divBdr>
        <w:top w:val="none" w:sz="0" w:space="0" w:color="auto"/>
        <w:left w:val="none" w:sz="0" w:space="0" w:color="auto"/>
        <w:bottom w:val="none" w:sz="0" w:space="0" w:color="auto"/>
        <w:right w:val="none" w:sz="0" w:space="0" w:color="auto"/>
      </w:divBdr>
    </w:div>
    <w:div w:id="1581863755">
      <w:marLeft w:val="0"/>
      <w:marRight w:val="0"/>
      <w:marTop w:val="0"/>
      <w:marBottom w:val="240"/>
      <w:divBdr>
        <w:top w:val="none" w:sz="0" w:space="0" w:color="auto"/>
        <w:left w:val="none" w:sz="0" w:space="0" w:color="auto"/>
        <w:bottom w:val="none" w:sz="0" w:space="0" w:color="auto"/>
        <w:right w:val="none" w:sz="0" w:space="0" w:color="auto"/>
      </w:divBdr>
    </w:div>
    <w:div w:id="1581867391">
      <w:marLeft w:val="0"/>
      <w:marRight w:val="0"/>
      <w:marTop w:val="0"/>
      <w:marBottom w:val="180"/>
      <w:divBdr>
        <w:top w:val="none" w:sz="0" w:space="0" w:color="auto"/>
        <w:left w:val="none" w:sz="0" w:space="0" w:color="auto"/>
        <w:bottom w:val="none" w:sz="0" w:space="0" w:color="auto"/>
        <w:right w:val="none" w:sz="0" w:space="0" w:color="auto"/>
      </w:divBdr>
    </w:div>
    <w:div w:id="1582057918">
      <w:marLeft w:val="0"/>
      <w:marRight w:val="0"/>
      <w:marTop w:val="100"/>
      <w:marBottom w:val="120"/>
      <w:divBdr>
        <w:top w:val="none" w:sz="0" w:space="0" w:color="auto"/>
        <w:left w:val="none" w:sz="0" w:space="0" w:color="auto"/>
        <w:bottom w:val="none" w:sz="0" w:space="0" w:color="auto"/>
        <w:right w:val="none" w:sz="0" w:space="0" w:color="auto"/>
      </w:divBdr>
      <w:divsChild>
        <w:div w:id="283850810">
          <w:marLeft w:val="0"/>
          <w:marRight w:val="0"/>
          <w:marTop w:val="0"/>
          <w:marBottom w:val="180"/>
          <w:divBdr>
            <w:top w:val="none" w:sz="0" w:space="0" w:color="auto"/>
            <w:left w:val="none" w:sz="0" w:space="0" w:color="auto"/>
            <w:bottom w:val="none" w:sz="0" w:space="0" w:color="auto"/>
            <w:right w:val="none" w:sz="0" w:space="0" w:color="auto"/>
          </w:divBdr>
        </w:div>
      </w:divsChild>
    </w:div>
    <w:div w:id="1582791873">
      <w:marLeft w:val="0"/>
      <w:marRight w:val="0"/>
      <w:marTop w:val="120"/>
      <w:marBottom w:val="120"/>
      <w:divBdr>
        <w:top w:val="none" w:sz="0" w:space="0" w:color="auto"/>
        <w:left w:val="none" w:sz="0" w:space="0" w:color="auto"/>
        <w:bottom w:val="none" w:sz="0" w:space="0" w:color="auto"/>
        <w:right w:val="none" w:sz="0" w:space="0" w:color="auto"/>
      </w:divBdr>
    </w:div>
    <w:div w:id="1582833043">
      <w:marLeft w:val="0"/>
      <w:marRight w:val="0"/>
      <w:marTop w:val="120"/>
      <w:marBottom w:val="240"/>
      <w:divBdr>
        <w:top w:val="none" w:sz="0" w:space="0" w:color="auto"/>
        <w:left w:val="none" w:sz="0" w:space="0" w:color="auto"/>
        <w:bottom w:val="none" w:sz="0" w:space="0" w:color="auto"/>
        <w:right w:val="none" w:sz="0" w:space="0" w:color="auto"/>
      </w:divBdr>
    </w:div>
    <w:div w:id="1582982815">
      <w:marLeft w:val="0"/>
      <w:marRight w:val="0"/>
      <w:marTop w:val="100"/>
      <w:marBottom w:val="0"/>
      <w:divBdr>
        <w:top w:val="none" w:sz="0" w:space="0" w:color="auto"/>
        <w:left w:val="none" w:sz="0" w:space="0" w:color="auto"/>
        <w:bottom w:val="none" w:sz="0" w:space="0" w:color="auto"/>
        <w:right w:val="none" w:sz="0" w:space="0" w:color="auto"/>
      </w:divBdr>
    </w:div>
    <w:div w:id="1583761647">
      <w:marLeft w:val="0"/>
      <w:marRight w:val="0"/>
      <w:marTop w:val="0"/>
      <w:marBottom w:val="180"/>
      <w:divBdr>
        <w:top w:val="none" w:sz="0" w:space="0" w:color="auto"/>
        <w:left w:val="none" w:sz="0" w:space="0" w:color="auto"/>
        <w:bottom w:val="none" w:sz="0" w:space="0" w:color="auto"/>
        <w:right w:val="none" w:sz="0" w:space="0" w:color="auto"/>
      </w:divBdr>
    </w:div>
    <w:div w:id="1583831457">
      <w:marLeft w:val="0"/>
      <w:marRight w:val="0"/>
      <w:marTop w:val="0"/>
      <w:marBottom w:val="180"/>
      <w:divBdr>
        <w:top w:val="none" w:sz="0" w:space="0" w:color="auto"/>
        <w:left w:val="none" w:sz="0" w:space="0" w:color="auto"/>
        <w:bottom w:val="none" w:sz="0" w:space="0" w:color="auto"/>
        <w:right w:val="none" w:sz="0" w:space="0" w:color="auto"/>
      </w:divBdr>
    </w:div>
    <w:div w:id="1585869728">
      <w:marLeft w:val="0"/>
      <w:marRight w:val="0"/>
      <w:marTop w:val="0"/>
      <w:marBottom w:val="0"/>
      <w:divBdr>
        <w:top w:val="none" w:sz="0" w:space="0" w:color="auto"/>
        <w:left w:val="none" w:sz="0" w:space="0" w:color="auto"/>
        <w:bottom w:val="none" w:sz="0" w:space="0" w:color="auto"/>
        <w:right w:val="none" w:sz="0" w:space="0" w:color="auto"/>
      </w:divBdr>
      <w:divsChild>
        <w:div w:id="1476139773">
          <w:marLeft w:val="0"/>
          <w:marRight w:val="0"/>
          <w:marTop w:val="0"/>
          <w:marBottom w:val="0"/>
          <w:divBdr>
            <w:top w:val="none" w:sz="0" w:space="0" w:color="auto"/>
            <w:left w:val="none" w:sz="0" w:space="0" w:color="auto"/>
            <w:bottom w:val="none" w:sz="0" w:space="0" w:color="auto"/>
            <w:right w:val="none" w:sz="0" w:space="0" w:color="auto"/>
          </w:divBdr>
        </w:div>
      </w:divsChild>
    </w:div>
    <w:div w:id="1588071659">
      <w:marLeft w:val="0"/>
      <w:marRight w:val="0"/>
      <w:marTop w:val="0"/>
      <w:marBottom w:val="0"/>
      <w:divBdr>
        <w:top w:val="none" w:sz="0" w:space="0" w:color="auto"/>
        <w:left w:val="none" w:sz="0" w:space="0" w:color="auto"/>
        <w:bottom w:val="none" w:sz="0" w:space="0" w:color="auto"/>
        <w:right w:val="none" w:sz="0" w:space="0" w:color="auto"/>
      </w:divBdr>
    </w:div>
    <w:div w:id="1588466204">
      <w:marLeft w:val="0"/>
      <w:marRight w:val="0"/>
      <w:marTop w:val="0"/>
      <w:marBottom w:val="180"/>
      <w:divBdr>
        <w:top w:val="none" w:sz="0" w:space="0" w:color="auto"/>
        <w:left w:val="none" w:sz="0" w:space="0" w:color="auto"/>
        <w:bottom w:val="none" w:sz="0" w:space="0" w:color="auto"/>
        <w:right w:val="none" w:sz="0" w:space="0" w:color="auto"/>
      </w:divBdr>
    </w:div>
    <w:div w:id="1589191851">
      <w:marLeft w:val="0"/>
      <w:marRight w:val="0"/>
      <w:marTop w:val="0"/>
      <w:marBottom w:val="180"/>
      <w:divBdr>
        <w:top w:val="none" w:sz="0" w:space="0" w:color="auto"/>
        <w:left w:val="none" w:sz="0" w:space="0" w:color="auto"/>
        <w:bottom w:val="none" w:sz="0" w:space="0" w:color="auto"/>
        <w:right w:val="none" w:sz="0" w:space="0" w:color="auto"/>
      </w:divBdr>
    </w:div>
    <w:div w:id="1591230918">
      <w:marLeft w:val="0"/>
      <w:marRight w:val="0"/>
      <w:marTop w:val="0"/>
      <w:marBottom w:val="240"/>
      <w:divBdr>
        <w:top w:val="none" w:sz="0" w:space="0" w:color="auto"/>
        <w:left w:val="none" w:sz="0" w:space="0" w:color="auto"/>
        <w:bottom w:val="none" w:sz="0" w:space="0" w:color="auto"/>
        <w:right w:val="none" w:sz="0" w:space="0" w:color="auto"/>
      </w:divBdr>
    </w:div>
    <w:div w:id="1591352413">
      <w:marLeft w:val="0"/>
      <w:marRight w:val="0"/>
      <w:marTop w:val="120"/>
      <w:marBottom w:val="180"/>
      <w:divBdr>
        <w:top w:val="none" w:sz="0" w:space="0" w:color="auto"/>
        <w:left w:val="none" w:sz="0" w:space="0" w:color="auto"/>
        <w:bottom w:val="none" w:sz="0" w:space="0" w:color="auto"/>
        <w:right w:val="none" w:sz="0" w:space="0" w:color="auto"/>
      </w:divBdr>
    </w:div>
    <w:div w:id="1591740338">
      <w:marLeft w:val="0"/>
      <w:marRight w:val="0"/>
      <w:marTop w:val="0"/>
      <w:marBottom w:val="180"/>
      <w:divBdr>
        <w:top w:val="none" w:sz="0" w:space="0" w:color="auto"/>
        <w:left w:val="none" w:sz="0" w:space="0" w:color="auto"/>
        <w:bottom w:val="none" w:sz="0" w:space="0" w:color="auto"/>
        <w:right w:val="none" w:sz="0" w:space="0" w:color="auto"/>
      </w:divBdr>
    </w:div>
    <w:div w:id="1593853099">
      <w:marLeft w:val="0"/>
      <w:marRight w:val="0"/>
      <w:marTop w:val="0"/>
      <w:marBottom w:val="240"/>
      <w:divBdr>
        <w:top w:val="none" w:sz="0" w:space="0" w:color="auto"/>
        <w:left w:val="none" w:sz="0" w:space="0" w:color="auto"/>
        <w:bottom w:val="none" w:sz="0" w:space="0" w:color="auto"/>
        <w:right w:val="none" w:sz="0" w:space="0" w:color="auto"/>
      </w:divBdr>
    </w:div>
    <w:div w:id="1594051863">
      <w:marLeft w:val="0"/>
      <w:marRight w:val="0"/>
      <w:marTop w:val="100"/>
      <w:marBottom w:val="0"/>
      <w:divBdr>
        <w:top w:val="none" w:sz="0" w:space="0" w:color="auto"/>
        <w:left w:val="none" w:sz="0" w:space="0" w:color="auto"/>
        <w:bottom w:val="none" w:sz="0" w:space="0" w:color="auto"/>
        <w:right w:val="none" w:sz="0" w:space="0" w:color="auto"/>
      </w:divBdr>
    </w:div>
    <w:div w:id="1594510437">
      <w:marLeft w:val="0"/>
      <w:marRight w:val="0"/>
      <w:marTop w:val="120"/>
      <w:marBottom w:val="120"/>
      <w:divBdr>
        <w:top w:val="none" w:sz="0" w:space="0" w:color="auto"/>
        <w:left w:val="none" w:sz="0" w:space="0" w:color="auto"/>
        <w:bottom w:val="none" w:sz="0" w:space="0" w:color="auto"/>
        <w:right w:val="none" w:sz="0" w:space="0" w:color="auto"/>
      </w:divBdr>
    </w:div>
    <w:div w:id="1595363744">
      <w:marLeft w:val="0"/>
      <w:marRight w:val="0"/>
      <w:marTop w:val="120"/>
      <w:marBottom w:val="120"/>
      <w:divBdr>
        <w:top w:val="none" w:sz="0" w:space="0" w:color="auto"/>
        <w:left w:val="none" w:sz="0" w:space="0" w:color="auto"/>
        <w:bottom w:val="none" w:sz="0" w:space="0" w:color="auto"/>
        <w:right w:val="none" w:sz="0" w:space="0" w:color="auto"/>
      </w:divBdr>
    </w:div>
    <w:div w:id="1596933816">
      <w:marLeft w:val="0"/>
      <w:marRight w:val="0"/>
      <w:marTop w:val="0"/>
      <w:marBottom w:val="240"/>
      <w:divBdr>
        <w:top w:val="none" w:sz="0" w:space="0" w:color="auto"/>
        <w:left w:val="none" w:sz="0" w:space="0" w:color="auto"/>
        <w:bottom w:val="none" w:sz="0" w:space="0" w:color="auto"/>
        <w:right w:val="none" w:sz="0" w:space="0" w:color="auto"/>
      </w:divBdr>
    </w:div>
    <w:div w:id="1597325652">
      <w:marLeft w:val="0"/>
      <w:marRight w:val="0"/>
      <w:marTop w:val="0"/>
      <w:marBottom w:val="60"/>
      <w:divBdr>
        <w:top w:val="none" w:sz="0" w:space="0" w:color="auto"/>
        <w:left w:val="none" w:sz="0" w:space="0" w:color="auto"/>
        <w:bottom w:val="none" w:sz="0" w:space="0" w:color="auto"/>
        <w:right w:val="none" w:sz="0" w:space="0" w:color="auto"/>
      </w:divBdr>
    </w:div>
    <w:div w:id="1598712231">
      <w:marLeft w:val="0"/>
      <w:marRight w:val="0"/>
      <w:marTop w:val="0"/>
      <w:marBottom w:val="240"/>
      <w:divBdr>
        <w:top w:val="none" w:sz="0" w:space="0" w:color="auto"/>
        <w:left w:val="none" w:sz="0" w:space="0" w:color="auto"/>
        <w:bottom w:val="none" w:sz="0" w:space="0" w:color="auto"/>
        <w:right w:val="none" w:sz="0" w:space="0" w:color="auto"/>
      </w:divBdr>
    </w:div>
    <w:div w:id="1599366667">
      <w:marLeft w:val="0"/>
      <w:marRight w:val="0"/>
      <w:marTop w:val="0"/>
      <w:marBottom w:val="0"/>
      <w:divBdr>
        <w:top w:val="none" w:sz="0" w:space="0" w:color="auto"/>
        <w:left w:val="none" w:sz="0" w:space="0" w:color="auto"/>
        <w:bottom w:val="none" w:sz="0" w:space="0" w:color="auto"/>
        <w:right w:val="none" w:sz="0" w:space="0" w:color="auto"/>
      </w:divBdr>
    </w:div>
    <w:div w:id="1600480852">
      <w:marLeft w:val="0"/>
      <w:marRight w:val="0"/>
      <w:marTop w:val="180"/>
      <w:marBottom w:val="180"/>
      <w:divBdr>
        <w:top w:val="none" w:sz="0" w:space="0" w:color="auto"/>
        <w:left w:val="none" w:sz="0" w:space="0" w:color="auto"/>
        <w:bottom w:val="none" w:sz="0" w:space="0" w:color="auto"/>
        <w:right w:val="none" w:sz="0" w:space="0" w:color="auto"/>
      </w:divBdr>
    </w:div>
    <w:div w:id="1600869618">
      <w:marLeft w:val="0"/>
      <w:marRight w:val="0"/>
      <w:marTop w:val="0"/>
      <w:marBottom w:val="0"/>
      <w:divBdr>
        <w:top w:val="none" w:sz="0" w:space="0" w:color="auto"/>
        <w:left w:val="none" w:sz="0" w:space="0" w:color="auto"/>
        <w:bottom w:val="none" w:sz="0" w:space="0" w:color="auto"/>
        <w:right w:val="none" w:sz="0" w:space="0" w:color="auto"/>
      </w:divBdr>
    </w:div>
    <w:div w:id="1601986530">
      <w:marLeft w:val="0"/>
      <w:marRight w:val="0"/>
      <w:marTop w:val="0"/>
      <w:marBottom w:val="0"/>
      <w:divBdr>
        <w:top w:val="none" w:sz="0" w:space="0" w:color="auto"/>
        <w:left w:val="none" w:sz="0" w:space="0" w:color="auto"/>
        <w:bottom w:val="none" w:sz="0" w:space="0" w:color="auto"/>
        <w:right w:val="none" w:sz="0" w:space="0" w:color="auto"/>
      </w:divBdr>
      <w:divsChild>
        <w:div w:id="289360290">
          <w:marLeft w:val="0"/>
          <w:marRight w:val="0"/>
          <w:marTop w:val="0"/>
          <w:marBottom w:val="0"/>
          <w:divBdr>
            <w:top w:val="none" w:sz="0" w:space="0" w:color="auto"/>
            <w:left w:val="none" w:sz="0" w:space="0" w:color="auto"/>
            <w:bottom w:val="none" w:sz="0" w:space="0" w:color="auto"/>
            <w:right w:val="none" w:sz="0" w:space="0" w:color="auto"/>
          </w:divBdr>
        </w:div>
      </w:divsChild>
    </w:div>
    <w:div w:id="1601989462">
      <w:marLeft w:val="0"/>
      <w:marRight w:val="0"/>
      <w:marTop w:val="0"/>
      <w:marBottom w:val="0"/>
      <w:divBdr>
        <w:top w:val="none" w:sz="0" w:space="0" w:color="auto"/>
        <w:left w:val="none" w:sz="0" w:space="0" w:color="auto"/>
        <w:bottom w:val="none" w:sz="0" w:space="0" w:color="auto"/>
        <w:right w:val="none" w:sz="0" w:space="0" w:color="auto"/>
      </w:divBdr>
    </w:div>
    <w:div w:id="1602375132">
      <w:marLeft w:val="0"/>
      <w:marRight w:val="0"/>
      <w:marTop w:val="0"/>
      <w:marBottom w:val="240"/>
      <w:divBdr>
        <w:top w:val="none" w:sz="0" w:space="0" w:color="auto"/>
        <w:left w:val="none" w:sz="0" w:space="0" w:color="auto"/>
        <w:bottom w:val="none" w:sz="0" w:space="0" w:color="auto"/>
        <w:right w:val="none" w:sz="0" w:space="0" w:color="auto"/>
      </w:divBdr>
    </w:div>
    <w:div w:id="1602764238">
      <w:marLeft w:val="0"/>
      <w:marRight w:val="0"/>
      <w:marTop w:val="0"/>
      <w:marBottom w:val="0"/>
      <w:divBdr>
        <w:top w:val="none" w:sz="0" w:space="0" w:color="auto"/>
        <w:left w:val="none" w:sz="0" w:space="0" w:color="auto"/>
        <w:bottom w:val="none" w:sz="0" w:space="0" w:color="auto"/>
        <w:right w:val="none" w:sz="0" w:space="0" w:color="auto"/>
      </w:divBdr>
      <w:divsChild>
        <w:div w:id="1878660884">
          <w:marLeft w:val="0"/>
          <w:marRight w:val="0"/>
          <w:marTop w:val="0"/>
          <w:marBottom w:val="0"/>
          <w:divBdr>
            <w:top w:val="none" w:sz="0" w:space="0" w:color="auto"/>
            <w:left w:val="none" w:sz="0" w:space="0" w:color="auto"/>
            <w:bottom w:val="none" w:sz="0" w:space="0" w:color="auto"/>
            <w:right w:val="none" w:sz="0" w:space="0" w:color="auto"/>
          </w:divBdr>
        </w:div>
      </w:divsChild>
    </w:div>
    <w:div w:id="1604534812">
      <w:marLeft w:val="0"/>
      <w:marRight w:val="0"/>
      <w:marTop w:val="0"/>
      <w:marBottom w:val="180"/>
      <w:divBdr>
        <w:top w:val="none" w:sz="0" w:space="0" w:color="auto"/>
        <w:left w:val="none" w:sz="0" w:space="0" w:color="auto"/>
        <w:bottom w:val="none" w:sz="0" w:space="0" w:color="auto"/>
        <w:right w:val="none" w:sz="0" w:space="0" w:color="auto"/>
      </w:divBdr>
    </w:div>
    <w:div w:id="1605654494">
      <w:marLeft w:val="0"/>
      <w:marRight w:val="0"/>
      <w:marTop w:val="0"/>
      <w:marBottom w:val="240"/>
      <w:divBdr>
        <w:top w:val="none" w:sz="0" w:space="0" w:color="auto"/>
        <w:left w:val="none" w:sz="0" w:space="0" w:color="auto"/>
        <w:bottom w:val="none" w:sz="0" w:space="0" w:color="auto"/>
        <w:right w:val="none" w:sz="0" w:space="0" w:color="auto"/>
      </w:divBdr>
    </w:div>
    <w:div w:id="1605725033">
      <w:marLeft w:val="0"/>
      <w:marRight w:val="0"/>
      <w:marTop w:val="0"/>
      <w:marBottom w:val="0"/>
      <w:divBdr>
        <w:top w:val="none" w:sz="0" w:space="0" w:color="auto"/>
        <w:left w:val="none" w:sz="0" w:space="0" w:color="auto"/>
        <w:bottom w:val="none" w:sz="0" w:space="0" w:color="auto"/>
        <w:right w:val="none" w:sz="0" w:space="0" w:color="auto"/>
      </w:divBdr>
    </w:div>
    <w:div w:id="1606109083">
      <w:marLeft w:val="0"/>
      <w:marRight w:val="0"/>
      <w:marTop w:val="0"/>
      <w:marBottom w:val="240"/>
      <w:divBdr>
        <w:top w:val="none" w:sz="0" w:space="0" w:color="auto"/>
        <w:left w:val="none" w:sz="0" w:space="0" w:color="auto"/>
        <w:bottom w:val="none" w:sz="0" w:space="0" w:color="auto"/>
        <w:right w:val="none" w:sz="0" w:space="0" w:color="auto"/>
      </w:divBdr>
    </w:div>
    <w:div w:id="1606576822">
      <w:marLeft w:val="0"/>
      <w:marRight w:val="0"/>
      <w:marTop w:val="0"/>
      <w:marBottom w:val="180"/>
      <w:divBdr>
        <w:top w:val="none" w:sz="0" w:space="0" w:color="auto"/>
        <w:left w:val="none" w:sz="0" w:space="0" w:color="auto"/>
        <w:bottom w:val="none" w:sz="0" w:space="0" w:color="auto"/>
        <w:right w:val="none" w:sz="0" w:space="0" w:color="auto"/>
      </w:divBdr>
    </w:div>
    <w:div w:id="1607231973">
      <w:marLeft w:val="0"/>
      <w:marRight w:val="0"/>
      <w:marTop w:val="0"/>
      <w:marBottom w:val="180"/>
      <w:divBdr>
        <w:top w:val="none" w:sz="0" w:space="0" w:color="auto"/>
        <w:left w:val="none" w:sz="0" w:space="0" w:color="auto"/>
        <w:bottom w:val="none" w:sz="0" w:space="0" w:color="auto"/>
        <w:right w:val="none" w:sz="0" w:space="0" w:color="auto"/>
      </w:divBdr>
    </w:div>
    <w:div w:id="1607423775">
      <w:marLeft w:val="0"/>
      <w:marRight w:val="0"/>
      <w:marTop w:val="0"/>
      <w:marBottom w:val="0"/>
      <w:divBdr>
        <w:top w:val="none" w:sz="0" w:space="0" w:color="auto"/>
        <w:left w:val="none" w:sz="0" w:space="0" w:color="auto"/>
        <w:bottom w:val="none" w:sz="0" w:space="0" w:color="auto"/>
        <w:right w:val="none" w:sz="0" w:space="0" w:color="auto"/>
      </w:divBdr>
      <w:divsChild>
        <w:div w:id="1687632112">
          <w:marLeft w:val="0"/>
          <w:marRight w:val="0"/>
          <w:marTop w:val="0"/>
          <w:marBottom w:val="0"/>
          <w:divBdr>
            <w:top w:val="none" w:sz="0" w:space="0" w:color="auto"/>
            <w:left w:val="none" w:sz="0" w:space="0" w:color="auto"/>
            <w:bottom w:val="none" w:sz="0" w:space="0" w:color="auto"/>
            <w:right w:val="none" w:sz="0" w:space="0" w:color="auto"/>
          </w:divBdr>
        </w:div>
      </w:divsChild>
    </w:div>
    <w:div w:id="1607493522">
      <w:marLeft w:val="0"/>
      <w:marRight w:val="0"/>
      <w:marTop w:val="120"/>
      <w:marBottom w:val="120"/>
      <w:divBdr>
        <w:top w:val="none" w:sz="0" w:space="0" w:color="auto"/>
        <w:left w:val="none" w:sz="0" w:space="0" w:color="auto"/>
        <w:bottom w:val="none" w:sz="0" w:space="0" w:color="auto"/>
        <w:right w:val="none" w:sz="0" w:space="0" w:color="auto"/>
      </w:divBdr>
    </w:div>
    <w:div w:id="1607545577">
      <w:marLeft w:val="0"/>
      <w:marRight w:val="0"/>
      <w:marTop w:val="0"/>
      <w:marBottom w:val="0"/>
      <w:divBdr>
        <w:top w:val="none" w:sz="0" w:space="0" w:color="auto"/>
        <w:left w:val="none" w:sz="0" w:space="0" w:color="auto"/>
        <w:bottom w:val="none" w:sz="0" w:space="0" w:color="auto"/>
        <w:right w:val="none" w:sz="0" w:space="0" w:color="auto"/>
      </w:divBdr>
    </w:div>
    <w:div w:id="1610114765">
      <w:marLeft w:val="0"/>
      <w:marRight w:val="0"/>
      <w:marTop w:val="0"/>
      <w:marBottom w:val="0"/>
      <w:divBdr>
        <w:top w:val="none" w:sz="0" w:space="0" w:color="auto"/>
        <w:left w:val="none" w:sz="0" w:space="0" w:color="auto"/>
        <w:bottom w:val="none" w:sz="0" w:space="0" w:color="auto"/>
        <w:right w:val="none" w:sz="0" w:space="0" w:color="auto"/>
      </w:divBdr>
      <w:divsChild>
        <w:div w:id="44137710">
          <w:marLeft w:val="0"/>
          <w:marRight w:val="0"/>
          <w:marTop w:val="0"/>
          <w:marBottom w:val="0"/>
          <w:divBdr>
            <w:top w:val="none" w:sz="0" w:space="0" w:color="auto"/>
            <w:left w:val="none" w:sz="0" w:space="0" w:color="auto"/>
            <w:bottom w:val="none" w:sz="0" w:space="0" w:color="auto"/>
            <w:right w:val="none" w:sz="0" w:space="0" w:color="auto"/>
          </w:divBdr>
        </w:div>
      </w:divsChild>
    </w:div>
    <w:div w:id="1610507241">
      <w:marLeft w:val="0"/>
      <w:marRight w:val="0"/>
      <w:marTop w:val="180"/>
      <w:marBottom w:val="180"/>
      <w:divBdr>
        <w:top w:val="none" w:sz="0" w:space="0" w:color="auto"/>
        <w:left w:val="none" w:sz="0" w:space="0" w:color="auto"/>
        <w:bottom w:val="none" w:sz="0" w:space="0" w:color="auto"/>
        <w:right w:val="none" w:sz="0" w:space="0" w:color="auto"/>
      </w:divBdr>
    </w:div>
    <w:div w:id="1611008623">
      <w:marLeft w:val="0"/>
      <w:marRight w:val="0"/>
      <w:marTop w:val="180"/>
      <w:marBottom w:val="180"/>
      <w:divBdr>
        <w:top w:val="none" w:sz="0" w:space="0" w:color="auto"/>
        <w:left w:val="none" w:sz="0" w:space="0" w:color="auto"/>
        <w:bottom w:val="none" w:sz="0" w:space="0" w:color="auto"/>
        <w:right w:val="none" w:sz="0" w:space="0" w:color="auto"/>
      </w:divBdr>
    </w:div>
    <w:div w:id="1611206818">
      <w:marLeft w:val="0"/>
      <w:marRight w:val="0"/>
      <w:marTop w:val="0"/>
      <w:marBottom w:val="0"/>
      <w:divBdr>
        <w:top w:val="none" w:sz="0" w:space="0" w:color="auto"/>
        <w:left w:val="none" w:sz="0" w:space="0" w:color="auto"/>
        <w:bottom w:val="none" w:sz="0" w:space="0" w:color="auto"/>
        <w:right w:val="none" w:sz="0" w:space="0" w:color="auto"/>
      </w:divBdr>
    </w:div>
    <w:div w:id="1611887598">
      <w:marLeft w:val="0"/>
      <w:marRight w:val="0"/>
      <w:marTop w:val="180"/>
      <w:marBottom w:val="180"/>
      <w:divBdr>
        <w:top w:val="none" w:sz="0" w:space="0" w:color="auto"/>
        <w:left w:val="none" w:sz="0" w:space="0" w:color="auto"/>
        <w:bottom w:val="none" w:sz="0" w:space="0" w:color="auto"/>
        <w:right w:val="none" w:sz="0" w:space="0" w:color="auto"/>
      </w:divBdr>
    </w:div>
    <w:div w:id="1613171331">
      <w:marLeft w:val="0"/>
      <w:marRight w:val="0"/>
      <w:marTop w:val="180"/>
      <w:marBottom w:val="180"/>
      <w:divBdr>
        <w:top w:val="none" w:sz="0" w:space="0" w:color="auto"/>
        <w:left w:val="none" w:sz="0" w:space="0" w:color="auto"/>
        <w:bottom w:val="none" w:sz="0" w:space="0" w:color="auto"/>
        <w:right w:val="none" w:sz="0" w:space="0" w:color="auto"/>
      </w:divBdr>
    </w:div>
    <w:div w:id="1613973046">
      <w:marLeft w:val="0"/>
      <w:marRight w:val="0"/>
      <w:marTop w:val="180"/>
      <w:marBottom w:val="180"/>
      <w:divBdr>
        <w:top w:val="none" w:sz="0" w:space="0" w:color="auto"/>
        <w:left w:val="none" w:sz="0" w:space="0" w:color="auto"/>
        <w:bottom w:val="none" w:sz="0" w:space="0" w:color="auto"/>
        <w:right w:val="none" w:sz="0" w:space="0" w:color="auto"/>
      </w:divBdr>
    </w:div>
    <w:div w:id="1614245309">
      <w:marLeft w:val="0"/>
      <w:marRight w:val="0"/>
      <w:marTop w:val="0"/>
      <w:marBottom w:val="240"/>
      <w:divBdr>
        <w:top w:val="none" w:sz="0" w:space="0" w:color="auto"/>
        <w:left w:val="none" w:sz="0" w:space="0" w:color="auto"/>
        <w:bottom w:val="none" w:sz="0" w:space="0" w:color="auto"/>
        <w:right w:val="none" w:sz="0" w:space="0" w:color="auto"/>
      </w:divBdr>
    </w:div>
    <w:div w:id="1615361955">
      <w:marLeft w:val="0"/>
      <w:marRight w:val="0"/>
      <w:marTop w:val="0"/>
      <w:marBottom w:val="240"/>
      <w:divBdr>
        <w:top w:val="none" w:sz="0" w:space="0" w:color="auto"/>
        <w:left w:val="none" w:sz="0" w:space="0" w:color="auto"/>
        <w:bottom w:val="none" w:sz="0" w:space="0" w:color="auto"/>
        <w:right w:val="none" w:sz="0" w:space="0" w:color="auto"/>
      </w:divBdr>
    </w:div>
    <w:div w:id="1615406173">
      <w:marLeft w:val="0"/>
      <w:marRight w:val="0"/>
      <w:marTop w:val="0"/>
      <w:marBottom w:val="180"/>
      <w:divBdr>
        <w:top w:val="none" w:sz="0" w:space="0" w:color="auto"/>
        <w:left w:val="none" w:sz="0" w:space="0" w:color="auto"/>
        <w:bottom w:val="none" w:sz="0" w:space="0" w:color="auto"/>
        <w:right w:val="none" w:sz="0" w:space="0" w:color="auto"/>
      </w:divBdr>
    </w:div>
    <w:div w:id="1617374489">
      <w:marLeft w:val="0"/>
      <w:marRight w:val="0"/>
      <w:marTop w:val="0"/>
      <w:marBottom w:val="240"/>
      <w:divBdr>
        <w:top w:val="none" w:sz="0" w:space="0" w:color="auto"/>
        <w:left w:val="none" w:sz="0" w:space="0" w:color="auto"/>
        <w:bottom w:val="none" w:sz="0" w:space="0" w:color="auto"/>
        <w:right w:val="none" w:sz="0" w:space="0" w:color="auto"/>
      </w:divBdr>
    </w:div>
    <w:div w:id="1619099622">
      <w:marLeft w:val="0"/>
      <w:marRight w:val="0"/>
      <w:marTop w:val="100"/>
      <w:marBottom w:val="0"/>
      <w:divBdr>
        <w:top w:val="none" w:sz="0" w:space="0" w:color="auto"/>
        <w:left w:val="none" w:sz="0" w:space="0" w:color="auto"/>
        <w:bottom w:val="none" w:sz="0" w:space="0" w:color="auto"/>
        <w:right w:val="none" w:sz="0" w:space="0" w:color="auto"/>
      </w:divBdr>
    </w:div>
    <w:div w:id="1619335985">
      <w:marLeft w:val="0"/>
      <w:marRight w:val="0"/>
      <w:marTop w:val="0"/>
      <w:marBottom w:val="240"/>
      <w:divBdr>
        <w:top w:val="none" w:sz="0" w:space="0" w:color="auto"/>
        <w:left w:val="none" w:sz="0" w:space="0" w:color="auto"/>
        <w:bottom w:val="none" w:sz="0" w:space="0" w:color="auto"/>
        <w:right w:val="none" w:sz="0" w:space="0" w:color="auto"/>
      </w:divBdr>
    </w:div>
    <w:div w:id="1621303019">
      <w:marLeft w:val="0"/>
      <w:marRight w:val="0"/>
      <w:marTop w:val="0"/>
      <w:marBottom w:val="180"/>
      <w:divBdr>
        <w:top w:val="none" w:sz="0" w:space="0" w:color="auto"/>
        <w:left w:val="none" w:sz="0" w:space="0" w:color="auto"/>
        <w:bottom w:val="none" w:sz="0" w:space="0" w:color="auto"/>
        <w:right w:val="none" w:sz="0" w:space="0" w:color="auto"/>
      </w:divBdr>
    </w:div>
    <w:div w:id="1622225762">
      <w:marLeft w:val="0"/>
      <w:marRight w:val="0"/>
      <w:marTop w:val="0"/>
      <w:marBottom w:val="180"/>
      <w:divBdr>
        <w:top w:val="none" w:sz="0" w:space="0" w:color="auto"/>
        <w:left w:val="none" w:sz="0" w:space="0" w:color="auto"/>
        <w:bottom w:val="none" w:sz="0" w:space="0" w:color="auto"/>
        <w:right w:val="none" w:sz="0" w:space="0" w:color="auto"/>
      </w:divBdr>
    </w:div>
    <w:div w:id="1623221716">
      <w:marLeft w:val="0"/>
      <w:marRight w:val="0"/>
      <w:marTop w:val="0"/>
      <w:marBottom w:val="240"/>
      <w:divBdr>
        <w:top w:val="none" w:sz="0" w:space="0" w:color="auto"/>
        <w:left w:val="none" w:sz="0" w:space="0" w:color="auto"/>
        <w:bottom w:val="none" w:sz="0" w:space="0" w:color="auto"/>
        <w:right w:val="none" w:sz="0" w:space="0" w:color="auto"/>
      </w:divBdr>
    </w:div>
    <w:div w:id="1623684268">
      <w:marLeft w:val="0"/>
      <w:marRight w:val="0"/>
      <w:marTop w:val="0"/>
      <w:marBottom w:val="240"/>
      <w:divBdr>
        <w:top w:val="none" w:sz="0" w:space="0" w:color="auto"/>
        <w:left w:val="none" w:sz="0" w:space="0" w:color="auto"/>
        <w:bottom w:val="none" w:sz="0" w:space="0" w:color="auto"/>
        <w:right w:val="none" w:sz="0" w:space="0" w:color="auto"/>
      </w:divBdr>
    </w:div>
    <w:div w:id="1624769237">
      <w:marLeft w:val="0"/>
      <w:marRight w:val="0"/>
      <w:marTop w:val="0"/>
      <w:marBottom w:val="0"/>
      <w:divBdr>
        <w:top w:val="none" w:sz="0" w:space="0" w:color="auto"/>
        <w:left w:val="none" w:sz="0" w:space="0" w:color="auto"/>
        <w:bottom w:val="none" w:sz="0" w:space="0" w:color="auto"/>
        <w:right w:val="none" w:sz="0" w:space="0" w:color="auto"/>
      </w:divBdr>
      <w:divsChild>
        <w:div w:id="2119567747">
          <w:marLeft w:val="0"/>
          <w:marRight w:val="0"/>
          <w:marTop w:val="0"/>
          <w:marBottom w:val="0"/>
          <w:divBdr>
            <w:top w:val="none" w:sz="0" w:space="0" w:color="auto"/>
            <w:left w:val="none" w:sz="0" w:space="0" w:color="auto"/>
            <w:bottom w:val="none" w:sz="0" w:space="0" w:color="auto"/>
            <w:right w:val="none" w:sz="0" w:space="0" w:color="auto"/>
          </w:divBdr>
        </w:div>
      </w:divsChild>
    </w:div>
    <w:div w:id="1625506104">
      <w:marLeft w:val="0"/>
      <w:marRight w:val="0"/>
      <w:marTop w:val="0"/>
      <w:marBottom w:val="240"/>
      <w:divBdr>
        <w:top w:val="none" w:sz="0" w:space="0" w:color="auto"/>
        <w:left w:val="none" w:sz="0" w:space="0" w:color="auto"/>
        <w:bottom w:val="none" w:sz="0" w:space="0" w:color="auto"/>
        <w:right w:val="none" w:sz="0" w:space="0" w:color="auto"/>
      </w:divBdr>
    </w:div>
    <w:div w:id="1625961718">
      <w:marLeft w:val="0"/>
      <w:marRight w:val="0"/>
      <w:marTop w:val="0"/>
      <w:marBottom w:val="0"/>
      <w:divBdr>
        <w:top w:val="none" w:sz="0" w:space="0" w:color="auto"/>
        <w:left w:val="none" w:sz="0" w:space="0" w:color="auto"/>
        <w:bottom w:val="none" w:sz="0" w:space="0" w:color="auto"/>
        <w:right w:val="none" w:sz="0" w:space="0" w:color="auto"/>
      </w:divBdr>
    </w:div>
    <w:div w:id="1626884023">
      <w:marLeft w:val="0"/>
      <w:marRight w:val="0"/>
      <w:marTop w:val="0"/>
      <w:marBottom w:val="0"/>
      <w:divBdr>
        <w:top w:val="none" w:sz="0" w:space="0" w:color="auto"/>
        <w:left w:val="none" w:sz="0" w:space="0" w:color="auto"/>
        <w:bottom w:val="none" w:sz="0" w:space="0" w:color="auto"/>
        <w:right w:val="none" w:sz="0" w:space="0" w:color="auto"/>
      </w:divBdr>
      <w:divsChild>
        <w:div w:id="1572696878">
          <w:marLeft w:val="0"/>
          <w:marRight w:val="0"/>
          <w:marTop w:val="0"/>
          <w:marBottom w:val="0"/>
          <w:divBdr>
            <w:top w:val="none" w:sz="0" w:space="0" w:color="auto"/>
            <w:left w:val="none" w:sz="0" w:space="0" w:color="auto"/>
            <w:bottom w:val="none" w:sz="0" w:space="0" w:color="auto"/>
            <w:right w:val="none" w:sz="0" w:space="0" w:color="auto"/>
          </w:divBdr>
        </w:div>
      </w:divsChild>
    </w:div>
    <w:div w:id="1627544298">
      <w:marLeft w:val="0"/>
      <w:marRight w:val="0"/>
      <w:marTop w:val="0"/>
      <w:marBottom w:val="240"/>
      <w:divBdr>
        <w:top w:val="none" w:sz="0" w:space="0" w:color="auto"/>
        <w:left w:val="none" w:sz="0" w:space="0" w:color="auto"/>
        <w:bottom w:val="none" w:sz="0" w:space="0" w:color="auto"/>
        <w:right w:val="none" w:sz="0" w:space="0" w:color="auto"/>
      </w:divBdr>
    </w:div>
    <w:div w:id="1628732314">
      <w:marLeft w:val="0"/>
      <w:marRight w:val="0"/>
      <w:marTop w:val="0"/>
      <w:marBottom w:val="0"/>
      <w:divBdr>
        <w:top w:val="none" w:sz="0" w:space="0" w:color="auto"/>
        <w:left w:val="none" w:sz="0" w:space="0" w:color="auto"/>
        <w:bottom w:val="none" w:sz="0" w:space="0" w:color="auto"/>
        <w:right w:val="none" w:sz="0" w:space="0" w:color="auto"/>
      </w:divBdr>
    </w:div>
    <w:div w:id="1629698452">
      <w:marLeft w:val="0"/>
      <w:marRight w:val="0"/>
      <w:marTop w:val="100"/>
      <w:marBottom w:val="0"/>
      <w:divBdr>
        <w:top w:val="none" w:sz="0" w:space="0" w:color="auto"/>
        <w:left w:val="none" w:sz="0" w:space="0" w:color="auto"/>
        <w:bottom w:val="none" w:sz="0" w:space="0" w:color="auto"/>
        <w:right w:val="none" w:sz="0" w:space="0" w:color="auto"/>
      </w:divBdr>
    </w:div>
    <w:div w:id="1630017475">
      <w:marLeft w:val="0"/>
      <w:marRight w:val="0"/>
      <w:marTop w:val="180"/>
      <w:marBottom w:val="180"/>
      <w:divBdr>
        <w:top w:val="none" w:sz="0" w:space="0" w:color="auto"/>
        <w:left w:val="none" w:sz="0" w:space="0" w:color="auto"/>
        <w:bottom w:val="none" w:sz="0" w:space="0" w:color="auto"/>
        <w:right w:val="none" w:sz="0" w:space="0" w:color="auto"/>
      </w:divBdr>
    </w:div>
    <w:div w:id="1630698311">
      <w:marLeft w:val="0"/>
      <w:marRight w:val="0"/>
      <w:marTop w:val="0"/>
      <w:marBottom w:val="180"/>
      <w:divBdr>
        <w:top w:val="none" w:sz="0" w:space="0" w:color="auto"/>
        <w:left w:val="none" w:sz="0" w:space="0" w:color="auto"/>
        <w:bottom w:val="none" w:sz="0" w:space="0" w:color="auto"/>
        <w:right w:val="none" w:sz="0" w:space="0" w:color="auto"/>
      </w:divBdr>
    </w:div>
    <w:div w:id="1630748165">
      <w:marLeft w:val="0"/>
      <w:marRight w:val="0"/>
      <w:marTop w:val="0"/>
      <w:marBottom w:val="0"/>
      <w:divBdr>
        <w:top w:val="none" w:sz="0" w:space="0" w:color="auto"/>
        <w:left w:val="none" w:sz="0" w:space="0" w:color="auto"/>
        <w:bottom w:val="none" w:sz="0" w:space="0" w:color="auto"/>
        <w:right w:val="none" w:sz="0" w:space="0" w:color="auto"/>
      </w:divBdr>
      <w:divsChild>
        <w:div w:id="584923993">
          <w:marLeft w:val="0"/>
          <w:marRight w:val="0"/>
          <w:marTop w:val="0"/>
          <w:marBottom w:val="0"/>
          <w:divBdr>
            <w:top w:val="none" w:sz="0" w:space="0" w:color="auto"/>
            <w:left w:val="none" w:sz="0" w:space="0" w:color="auto"/>
            <w:bottom w:val="none" w:sz="0" w:space="0" w:color="auto"/>
            <w:right w:val="none" w:sz="0" w:space="0" w:color="auto"/>
          </w:divBdr>
        </w:div>
      </w:divsChild>
    </w:div>
    <w:div w:id="1632780462">
      <w:marLeft w:val="0"/>
      <w:marRight w:val="0"/>
      <w:marTop w:val="0"/>
      <w:marBottom w:val="240"/>
      <w:divBdr>
        <w:top w:val="none" w:sz="0" w:space="0" w:color="auto"/>
        <w:left w:val="none" w:sz="0" w:space="0" w:color="auto"/>
        <w:bottom w:val="none" w:sz="0" w:space="0" w:color="auto"/>
        <w:right w:val="none" w:sz="0" w:space="0" w:color="auto"/>
      </w:divBdr>
    </w:div>
    <w:div w:id="1632788735">
      <w:marLeft w:val="0"/>
      <w:marRight w:val="0"/>
      <w:marTop w:val="0"/>
      <w:marBottom w:val="180"/>
      <w:divBdr>
        <w:top w:val="none" w:sz="0" w:space="0" w:color="auto"/>
        <w:left w:val="none" w:sz="0" w:space="0" w:color="auto"/>
        <w:bottom w:val="none" w:sz="0" w:space="0" w:color="auto"/>
        <w:right w:val="none" w:sz="0" w:space="0" w:color="auto"/>
      </w:divBdr>
    </w:div>
    <w:div w:id="1632862159">
      <w:marLeft w:val="0"/>
      <w:marRight w:val="0"/>
      <w:marTop w:val="100"/>
      <w:marBottom w:val="0"/>
      <w:divBdr>
        <w:top w:val="none" w:sz="0" w:space="0" w:color="auto"/>
        <w:left w:val="none" w:sz="0" w:space="0" w:color="auto"/>
        <w:bottom w:val="none" w:sz="0" w:space="0" w:color="auto"/>
        <w:right w:val="none" w:sz="0" w:space="0" w:color="auto"/>
      </w:divBdr>
      <w:divsChild>
        <w:div w:id="1571772847">
          <w:marLeft w:val="0"/>
          <w:marRight w:val="0"/>
          <w:marTop w:val="0"/>
          <w:marBottom w:val="0"/>
          <w:divBdr>
            <w:top w:val="none" w:sz="0" w:space="0" w:color="auto"/>
            <w:left w:val="none" w:sz="0" w:space="0" w:color="auto"/>
            <w:bottom w:val="none" w:sz="0" w:space="0" w:color="auto"/>
            <w:right w:val="none" w:sz="0" w:space="0" w:color="auto"/>
          </w:divBdr>
        </w:div>
      </w:divsChild>
    </w:div>
    <w:div w:id="1634215064">
      <w:marLeft w:val="0"/>
      <w:marRight w:val="0"/>
      <w:marTop w:val="0"/>
      <w:marBottom w:val="240"/>
      <w:divBdr>
        <w:top w:val="none" w:sz="0" w:space="0" w:color="auto"/>
        <w:left w:val="none" w:sz="0" w:space="0" w:color="auto"/>
        <w:bottom w:val="none" w:sz="0" w:space="0" w:color="auto"/>
        <w:right w:val="none" w:sz="0" w:space="0" w:color="auto"/>
      </w:divBdr>
    </w:div>
    <w:div w:id="1635477774">
      <w:marLeft w:val="0"/>
      <w:marRight w:val="0"/>
      <w:marTop w:val="120"/>
      <w:marBottom w:val="120"/>
      <w:divBdr>
        <w:top w:val="none" w:sz="0" w:space="0" w:color="auto"/>
        <w:left w:val="none" w:sz="0" w:space="0" w:color="auto"/>
        <w:bottom w:val="none" w:sz="0" w:space="0" w:color="auto"/>
        <w:right w:val="none" w:sz="0" w:space="0" w:color="auto"/>
      </w:divBdr>
    </w:div>
    <w:div w:id="1636639051">
      <w:marLeft w:val="0"/>
      <w:marRight w:val="0"/>
      <w:marTop w:val="0"/>
      <w:marBottom w:val="180"/>
      <w:divBdr>
        <w:top w:val="none" w:sz="0" w:space="0" w:color="auto"/>
        <w:left w:val="none" w:sz="0" w:space="0" w:color="auto"/>
        <w:bottom w:val="none" w:sz="0" w:space="0" w:color="auto"/>
        <w:right w:val="none" w:sz="0" w:space="0" w:color="auto"/>
      </w:divBdr>
    </w:div>
    <w:div w:id="1636788890">
      <w:marLeft w:val="0"/>
      <w:marRight w:val="0"/>
      <w:marTop w:val="0"/>
      <w:marBottom w:val="240"/>
      <w:divBdr>
        <w:top w:val="none" w:sz="0" w:space="0" w:color="auto"/>
        <w:left w:val="none" w:sz="0" w:space="0" w:color="auto"/>
        <w:bottom w:val="none" w:sz="0" w:space="0" w:color="auto"/>
        <w:right w:val="none" w:sz="0" w:space="0" w:color="auto"/>
      </w:divBdr>
    </w:div>
    <w:div w:id="1637370018">
      <w:marLeft w:val="0"/>
      <w:marRight w:val="0"/>
      <w:marTop w:val="0"/>
      <w:marBottom w:val="180"/>
      <w:divBdr>
        <w:top w:val="none" w:sz="0" w:space="0" w:color="auto"/>
        <w:left w:val="none" w:sz="0" w:space="0" w:color="auto"/>
        <w:bottom w:val="none" w:sz="0" w:space="0" w:color="auto"/>
        <w:right w:val="none" w:sz="0" w:space="0" w:color="auto"/>
      </w:divBdr>
    </w:div>
    <w:div w:id="1637375500">
      <w:marLeft w:val="0"/>
      <w:marRight w:val="0"/>
      <w:marTop w:val="0"/>
      <w:marBottom w:val="0"/>
      <w:divBdr>
        <w:top w:val="none" w:sz="0" w:space="0" w:color="auto"/>
        <w:left w:val="none" w:sz="0" w:space="0" w:color="auto"/>
        <w:bottom w:val="none" w:sz="0" w:space="0" w:color="auto"/>
        <w:right w:val="none" w:sz="0" w:space="0" w:color="auto"/>
      </w:divBdr>
    </w:div>
    <w:div w:id="1637952101">
      <w:marLeft w:val="0"/>
      <w:marRight w:val="0"/>
      <w:marTop w:val="0"/>
      <w:marBottom w:val="240"/>
      <w:divBdr>
        <w:top w:val="none" w:sz="0" w:space="0" w:color="auto"/>
        <w:left w:val="none" w:sz="0" w:space="0" w:color="auto"/>
        <w:bottom w:val="none" w:sz="0" w:space="0" w:color="auto"/>
        <w:right w:val="none" w:sz="0" w:space="0" w:color="auto"/>
      </w:divBdr>
    </w:div>
    <w:div w:id="1638416830">
      <w:marLeft w:val="0"/>
      <w:marRight w:val="0"/>
      <w:marTop w:val="0"/>
      <w:marBottom w:val="0"/>
      <w:divBdr>
        <w:top w:val="none" w:sz="0" w:space="0" w:color="auto"/>
        <w:left w:val="none" w:sz="0" w:space="0" w:color="auto"/>
        <w:bottom w:val="none" w:sz="0" w:space="0" w:color="auto"/>
        <w:right w:val="none" w:sz="0" w:space="0" w:color="auto"/>
      </w:divBdr>
    </w:div>
    <w:div w:id="1639922100">
      <w:marLeft w:val="0"/>
      <w:marRight w:val="0"/>
      <w:marTop w:val="100"/>
      <w:marBottom w:val="0"/>
      <w:divBdr>
        <w:top w:val="none" w:sz="0" w:space="0" w:color="auto"/>
        <w:left w:val="none" w:sz="0" w:space="0" w:color="auto"/>
        <w:bottom w:val="none" w:sz="0" w:space="0" w:color="auto"/>
        <w:right w:val="none" w:sz="0" w:space="0" w:color="auto"/>
      </w:divBdr>
    </w:div>
    <w:div w:id="1640695502">
      <w:marLeft w:val="0"/>
      <w:marRight w:val="0"/>
      <w:marTop w:val="180"/>
      <w:marBottom w:val="180"/>
      <w:divBdr>
        <w:top w:val="none" w:sz="0" w:space="0" w:color="auto"/>
        <w:left w:val="none" w:sz="0" w:space="0" w:color="auto"/>
        <w:bottom w:val="none" w:sz="0" w:space="0" w:color="auto"/>
        <w:right w:val="none" w:sz="0" w:space="0" w:color="auto"/>
      </w:divBdr>
    </w:div>
    <w:div w:id="1642077718">
      <w:marLeft w:val="0"/>
      <w:marRight w:val="0"/>
      <w:marTop w:val="120"/>
      <w:marBottom w:val="120"/>
      <w:divBdr>
        <w:top w:val="none" w:sz="0" w:space="0" w:color="auto"/>
        <w:left w:val="none" w:sz="0" w:space="0" w:color="auto"/>
        <w:bottom w:val="none" w:sz="0" w:space="0" w:color="auto"/>
        <w:right w:val="none" w:sz="0" w:space="0" w:color="auto"/>
      </w:divBdr>
    </w:div>
    <w:div w:id="1643345878">
      <w:marLeft w:val="0"/>
      <w:marRight w:val="0"/>
      <w:marTop w:val="0"/>
      <w:marBottom w:val="180"/>
      <w:divBdr>
        <w:top w:val="none" w:sz="0" w:space="0" w:color="auto"/>
        <w:left w:val="none" w:sz="0" w:space="0" w:color="auto"/>
        <w:bottom w:val="none" w:sz="0" w:space="0" w:color="auto"/>
        <w:right w:val="none" w:sz="0" w:space="0" w:color="auto"/>
      </w:divBdr>
    </w:div>
    <w:div w:id="1644038905">
      <w:marLeft w:val="0"/>
      <w:marRight w:val="0"/>
      <w:marTop w:val="0"/>
      <w:marBottom w:val="240"/>
      <w:divBdr>
        <w:top w:val="none" w:sz="0" w:space="0" w:color="auto"/>
        <w:left w:val="none" w:sz="0" w:space="0" w:color="auto"/>
        <w:bottom w:val="none" w:sz="0" w:space="0" w:color="auto"/>
        <w:right w:val="none" w:sz="0" w:space="0" w:color="auto"/>
      </w:divBdr>
    </w:div>
    <w:div w:id="1644500116">
      <w:marLeft w:val="0"/>
      <w:marRight w:val="0"/>
      <w:marTop w:val="0"/>
      <w:marBottom w:val="180"/>
      <w:divBdr>
        <w:top w:val="none" w:sz="0" w:space="0" w:color="auto"/>
        <w:left w:val="none" w:sz="0" w:space="0" w:color="auto"/>
        <w:bottom w:val="none" w:sz="0" w:space="0" w:color="auto"/>
        <w:right w:val="none" w:sz="0" w:space="0" w:color="auto"/>
      </w:divBdr>
    </w:div>
    <w:div w:id="1644776213">
      <w:marLeft w:val="0"/>
      <w:marRight w:val="0"/>
      <w:marTop w:val="0"/>
      <w:marBottom w:val="0"/>
      <w:divBdr>
        <w:top w:val="none" w:sz="0" w:space="0" w:color="auto"/>
        <w:left w:val="none" w:sz="0" w:space="0" w:color="auto"/>
        <w:bottom w:val="none" w:sz="0" w:space="0" w:color="auto"/>
        <w:right w:val="none" w:sz="0" w:space="0" w:color="auto"/>
      </w:divBdr>
      <w:divsChild>
        <w:div w:id="918054548">
          <w:marLeft w:val="0"/>
          <w:marRight w:val="0"/>
          <w:marTop w:val="0"/>
          <w:marBottom w:val="0"/>
          <w:divBdr>
            <w:top w:val="none" w:sz="0" w:space="0" w:color="auto"/>
            <w:left w:val="none" w:sz="0" w:space="0" w:color="auto"/>
            <w:bottom w:val="none" w:sz="0" w:space="0" w:color="auto"/>
            <w:right w:val="none" w:sz="0" w:space="0" w:color="auto"/>
          </w:divBdr>
        </w:div>
      </w:divsChild>
    </w:div>
    <w:div w:id="1646356428">
      <w:marLeft w:val="0"/>
      <w:marRight w:val="0"/>
      <w:marTop w:val="0"/>
      <w:marBottom w:val="240"/>
      <w:divBdr>
        <w:top w:val="none" w:sz="0" w:space="0" w:color="auto"/>
        <w:left w:val="none" w:sz="0" w:space="0" w:color="auto"/>
        <w:bottom w:val="none" w:sz="0" w:space="0" w:color="auto"/>
        <w:right w:val="none" w:sz="0" w:space="0" w:color="auto"/>
      </w:divBdr>
    </w:div>
    <w:div w:id="1646396956">
      <w:marLeft w:val="0"/>
      <w:marRight w:val="0"/>
      <w:marTop w:val="0"/>
      <w:marBottom w:val="180"/>
      <w:divBdr>
        <w:top w:val="none" w:sz="0" w:space="0" w:color="auto"/>
        <w:left w:val="none" w:sz="0" w:space="0" w:color="auto"/>
        <w:bottom w:val="none" w:sz="0" w:space="0" w:color="auto"/>
        <w:right w:val="none" w:sz="0" w:space="0" w:color="auto"/>
      </w:divBdr>
    </w:div>
    <w:div w:id="1646665355">
      <w:marLeft w:val="0"/>
      <w:marRight w:val="0"/>
      <w:marTop w:val="0"/>
      <w:marBottom w:val="0"/>
      <w:divBdr>
        <w:top w:val="none" w:sz="0" w:space="0" w:color="auto"/>
        <w:left w:val="none" w:sz="0" w:space="0" w:color="auto"/>
        <w:bottom w:val="none" w:sz="0" w:space="0" w:color="auto"/>
        <w:right w:val="none" w:sz="0" w:space="0" w:color="auto"/>
      </w:divBdr>
    </w:div>
    <w:div w:id="1647080199">
      <w:marLeft w:val="0"/>
      <w:marRight w:val="0"/>
      <w:marTop w:val="0"/>
      <w:marBottom w:val="0"/>
      <w:divBdr>
        <w:top w:val="none" w:sz="0" w:space="0" w:color="auto"/>
        <w:left w:val="none" w:sz="0" w:space="0" w:color="auto"/>
        <w:bottom w:val="none" w:sz="0" w:space="0" w:color="auto"/>
        <w:right w:val="none" w:sz="0" w:space="0" w:color="auto"/>
      </w:divBdr>
      <w:divsChild>
        <w:div w:id="894855651">
          <w:marLeft w:val="0"/>
          <w:marRight w:val="0"/>
          <w:marTop w:val="0"/>
          <w:marBottom w:val="0"/>
          <w:divBdr>
            <w:top w:val="none" w:sz="0" w:space="0" w:color="auto"/>
            <w:left w:val="none" w:sz="0" w:space="0" w:color="auto"/>
            <w:bottom w:val="none" w:sz="0" w:space="0" w:color="auto"/>
            <w:right w:val="none" w:sz="0" w:space="0" w:color="auto"/>
          </w:divBdr>
        </w:div>
      </w:divsChild>
    </w:div>
    <w:div w:id="1647396945">
      <w:marLeft w:val="0"/>
      <w:marRight w:val="0"/>
      <w:marTop w:val="0"/>
      <w:marBottom w:val="180"/>
      <w:divBdr>
        <w:top w:val="none" w:sz="0" w:space="0" w:color="auto"/>
        <w:left w:val="none" w:sz="0" w:space="0" w:color="auto"/>
        <w:bottom w:val="none" w:sz="0" w:space="0" w:color="auto"/>
        <w:right w:val="none" w:sz="0" w:space="0" w:color="auto"/>
      </w:divBdr>
    </w:div>
    <w:div w:id="1647661062">
      <w:marLeft w:val="0"/>
      <w:marRight w:val="0"/>
      <w:marTop w:val="100"/>
      <w:marBottom w:val="180"/>
      <w:divBdr>
        <w:top w:val="none" w:sz="0" w:space="0" w:color="auto"/>
        <w:left w:val="none" w:sz="0" w:space="0" w:color="auto"/>
        <w:bottom w:val="none" w:sz="0" w:space="0" w:color="auto"/>
        <w:right w:val="none" w:sz="0" w:space="0" w:color="auto"/>
      </w:divBdr>
    </w:div>
    <w:div w:id="1647662306">
      <w:marLeft w:val="0"/>
      <w:marRight w:val="0"/>
      <w:marTop w:val="0"/>
      <w:marBottom w:val="240"/>
      <w:divBdr>
        <w:top w:val="none" w:sz="0" w:space="0" w:color="auto"/>
        <w:left w:val="none" w:sz="0" w:space="0" w:color="auto"/>
        <w:bottom w:val="none" w:sz="0" w:space="0" w:color="auto"/>
        <w:right w:val="none" w:sz="0" w:space="0" w:color="auto"/>
      </w:divBdr>
    </w:div>
    <w:div w:id="1649047920">
      <w:marLeft w:val="0"/>
      <w:marRight w:val="0"/>
      <w:marTop w:val="0"/>
      <w:marBottom w:val="180"/>
      <w:divBdr>
        <w:top w:val="none" w:sz="0" w:space="0" w:color="auto"/>
        <w:left w:val="none" w:sz="0" w:space="0" w:color="auto"/>
        <w:bottom w:val="none" w:sz="0" w:space="0" w:color="auto"/>
        <w:right w:val="none" w:sz="0" w:space="0" w:color="auto"/>
      </w:divBdr>
    </w:div>
    <w:div w:id="1649090281">
      <w:marLeft w:val="0"/>
      <w:marRight w:val="0"/>
      <w:marTop w:val="0"/>
      <w:marBottom w:val="0"/>
      <w:divBdr>
        <w:top w:val="none" w:sz="0" w:space="0" w:color="auto"/>
        <w:left w:val="none" w:sz="0" w:space="0" w:color="auto"/>
        <w:bottom w:val="none" w:sz="0" w:space="0" w:color="auto"/>
        <w:right w:val="none" w:sz="0" w:space="0" w:color="auto"/>
      </w:divBdr>
    </w:div>
    <w:div w:id="1653486928">
      <w:marLeft w:val="0"/>
      <w:marRight w:val="0"/>
      <w:marTop w:val="0"/>
      <w:marBottom w:val="0"/>
      <w:divBdr>
        <w:top w:val="none" w:sz="0" w:space="0" w:color="auto"/>
        <w:left w:val="none" w:sz="0" w:space="0" w:color="auto"/>
        <w:bottom w:val="none" w:sz="0" w:space="0" w:color="auto"/>
        <w:right w:val="none" w:sz="0" w:space="0" w:color="auto"/>
      </w:divBdr>
    </w:div>
    <w:div w:id="1654871177">
      <w:marLeft w:val="0"/>
      <w:marRight w:val="0"/>
      <w:marTop w:val="180"/>
      <w:marBottom w:val="180"/>
      <w:divBdr>
        <w:top w:val="none" w:sz="0" w:space="0" w:color="auto"/>
        <w:left w:val="none" w:sz="0" w:space="0" w:color="auto"/>
        <w:bottom w:val="none" w:sz="0" w:space="0" w:color="auto"/>
        <w:right w:val="none" w:sz="0" w:space="0" w:color="auto"/>
      </w:divBdr>
    </w:div>
    <w:div w:id="1657029430">
      <w:marLeft w:val="0"/>
      <w:marRight w:val="0"/>
      <w:marTop w:val="0"/>
      <w:marBottom w:val="240"/>
      <w:divBdr>
        <w:top w:val="none" w:sz="0" w:space="0" w:color="auto"/>
        <w:left w:val="none" w:sz="0" w:space="0" w:color="auto"/>
        <w:bottom w:val="none" w:sz="0" w:space="0" w:color="auto"/>
        <w:right w:val="none" w:sz="0" w:space="0" w:color="auto"/>
      </w:divBdr>
    </w:div>
    <w:div w:id="1657605953">
      <w:marLeft w:val="0"/>
      <w:marRight w:val="0"/>
      <w:marTop w:val="0"/>
      <w:marBottom w:val="180"/>
      <w:divBdr>
        <w:top w:val="none" w:sz="0" w:space="0" w:color="auto"/>
        <w:left w:val="none" w:sz="0" w:space="0" w:color="auto"/>
        <w:bottom w:val="none" w:sz="0" w:space="0" w:color="auto"/>
        <w:right w:val="none" w:sz="0" w:space="0" w:color="auto"/>
      </w:divBdr>
    </w:div>
    <w:div w:id="1659069804">
      <w:marLeft w:val="0"/>
      <w:marRight w:val="0"/>
      <w:marTop w:val="0"/>
      <w:marBottom w:val="0"/>
      <w:divBdr>
        <w:top w:val="none" w:sz="0" w:space="0" w:color="auto"/>
        <w:left w:val="none" w:sz="0" w:space="0" w:color="auto"/>
        <w:bottom w:val="none" w:sz="0" w:space="0" w:color="auto"/>
        <w:right w:val="none" w:sz="0" w:space="0" w:color="auto"/>
      </w:divBdr>
    </w:div>
    <w:div w:id="1659262330">
      <w:marLeft w:val="0"/>
      <w:marRight w:val="0"/>
      <w:marTop w:val="0"/>
      <w:marBottom w:val="240"/>
      <w:divBdr>
        <w:top w:val="none" w:sz="0" w:space="0" w:color="auto"/>
        <w:left w:val="none" w:sz="0" w:space="0" w:color="auto"/>
        <w:bottom w:val="none" w:sz="0" w:space="0" w:color="auto"/>
        <w:right w:val="none" w:sz="0" w:space="0" w:color="auto"/>
      </w:divBdr>
    </w:div>
    <w:div w:id="1659962738">
      <w:marLeft w:val="0"/>
      <w:marRight w:val="0"/>
      <w:marTop w:val="0"/>
      <w:marBottom w:val="240"/>
      <w:divBdr>
        <w:top w:val="none" w:sz="0" w:space="0" w:color="auto"/>
        <w:left w:val="none" w:sz="0" w:space="0" w:color="auto"/>
        <w:bottom w:val="none" w:sz="0" w:space="0" w:color="auto"/>
        <w:right w:val="none" w:sz="0" w:space="0" w:color="auto"/>
      </w:divBdr>
    </w:div>
    <w:div w:id="1661275095">
      <w:marLeft w:val="0"/>
      <w:marRight w:val="0"/>
      <w:marTop w:val="180"/>
      <w:marBottom w:val="180"/>
      <w:divBdr>
        <w:top w:val="none" w:sz="0" w:space="0" w:color="auto"/>
        <w:left w:val="none" w:sz="0" w:space="0" w:color="auto"/>
        <w:bottom w:val="none" w:sz="0" w:space="0" w:color="auto"/>
        <w:right w:val="none" w:sz="0" w:space="0" w:color="auto"/>
      </w:divBdr>
    </w:div>
    <w:div w:id="1661808942">
      <w:marLeft w:val="0"/>
      <w:marRight w:val="0"/>
      <w:marTop w:val="0"/>
      <w:marBottom w:val="0"/>
      <w:divBdr>
        <w:top w:val="none" w:sz="0" w:space="0" w:color="auto"/>
        <w:left w:val="none" w:sz="0" w:space="0" w:color="auto"/>
        <w:bottom w:val="none" w:sz="0" w:space="0" w:color="auto"/>
        <w:right w:val="none" w:sz="0" w:space="0" w:color="auto"/>
      </w:divBdr>
    </w:div>
    <w:div w:id="1662125999">
      <w:marLeft w:val="0"/>
      <w:marRight w:val="0"/>
      <w:marTop w:val="0"/>
      <w:marBottom w:val="180"/>
      <w:divBdr>
        <w:top w:val="none" w:sz="0" w:space="0" w:color="auto"/>
        <w:left w:val="none" w:sz="0" w:space="0" w:color="auto"/>
        <w:bottom w:val="none" w:sz="0" w:space="0" w:color="auto"/>
        <w:right w:val="none" w:sz="0" w:space="0" w:color="auto"/>
      </w:divBdr>
    </w:div>
    <w:div w:id="1662737218">
      <w:marLeft w:val="0"/>
      <w:marRight w:val="0"/>
      <w:marTop w:val="180"/>
      <w:marBottom w:val="180"/>
      <w:divBdr>
        <w:top w:val="none" w:sz="0" w:space="0" w:color="auto"/>
        <w:left w:val="none" w:sz="0" w:space="0" w:color="auto"/>
        <w:bottom w:val="none" w:sz="0" w:space="0" w:color="auto"/>
        <w:right w:val="none" w:sz="0" w:space="0" w:color="auto"/>
      </w:divBdr>
    </w:div>
    <w:div w:id="1663660503">
      <w:marLeft w:val="0"/>
      <w:marRight w:val="0"/>
      <w:marTop w:val="0"/>
      <w:marBottom w:val="180"/>
      <w:divBdr>
        <w:top w:val="none" w:sz="0" w:space="0" w:color="auto"/>
        <w:left w:val="none" w:sz="0" w:space="0" w:color="auto"/>
        <w:bottom w:val="none" w:sz="0" w:space="0" w:color="auto"/>
        <w:right w:val="none" w:sz="0" w:space="0" w:color="auto"/>
      </w:divBdr>
    </w:div>
    <w:div w:id="1664310253">
      <w:marLeft w:val="0"/>
      <w:marRight w:val="0"/>
      <w:marTop w:val="0"/>
      <w:marBottom w:val="0"/>
      <w:divBdr>
        <w:top w:val="none" w:sz="0" w:space="0" w:color="auto"/>
        <w:left w:val="none" w:sz="0" w:space="0" w:color="auto"/>
        <w:bottom w:val="none" w:sz="0" w:space="0" w:color="auto"/>
        <w:right w:val="none" w:sz="0" w:space="0" w:color="auto"/>
      </w:divBdr>
      <w:divsChild>
        <w:div w:id="1823042774">
          <w:marLeft w:val="0"/>
          <w:marRight w:val="0"/>
          <w:marTop w:val="0"/>
          <w:marBottom w:val="0"/>
          <w:divBdr>
            <w:top w:val="none" w:sz="0" w:space="0" w:color="auto"/>
            <w:left w:val="none" w:sz="0" w:space="0" w:color="auto"/>
            <w:bottom w:val="none" w:sz="0" w:space="0" w:color="auto"/>
            <w:right w:val="none" w:sz="0" w:space="0" w:color="auto"/>
          </w:divBdr>
        </w:div>
      </w:divsChild>
    </w:div>
    <w:div w:id="1664818882">
      <w:marLeft w:val="0"/>
      <w:marRight w:val="0"/>
      <w:marTop w:val="0"/>
      <w:marBottom w:val="240"/>
      <w:divBdr>
        <w:top w:val="none" w:sz="0" w:space="0" w:color="auto"/>
        <w:left w:val="none" w:sz="0" w:space="0" w:color="auto"/>
        <w:bottom w:val="none" w:sz="0" w:space="0" w:color="auto"/>
        <w:right w:val="none" w:sz="0" w:space="0" w:color="auto"/>
      </w:divBdr>
    </w:div>
    <w:div w:id="1665358242">
      <w:marLeft w:val="0"/>
      <w:marRight w:val="0"/>
      <w:marTop w:val="0"/>
      <w:marBottom w:val="240"/>
      <w:divBdr>
        <w:top w:val="none" w:sz="0" w:space="0" w:color="auto"/>
        <w:left w:val="none" w:sz="0" w:space="0" w:color="auto"/>
        <w:bottom w:val="none" w:sz="0" w:space="0" w:color="auto"/>
        <w:right w:val="none" w:sz="0" w:space="0" w:color="auto"/>
      </w:divBdr>
    </w:div>
    <w:div w:id="1665743544">
      <w:marLeft w:val="0"/>
      <w:marRight w:val="0"/>
      <w:marTop w:val="0"/>
      <w:marBottom w:val="240"/>
      <w:divBdr>
        <w:top w:val="none" w:sz="0" w:space="0" w:color="auto"/>
        <w:left w:val="none" w:sz="0" w:space="0" w:color="auto"/>
        <w:bottom w:val="none" w:sz="0" w:space="0" w:color="auto"/>
        <w:right w:val="none" w:sz="0" w:space="0" w:color="auto"/>
      </w:divBdr>
    </w:div>
    <w:div w:id="1666126620">
      <w:marLeft w:val="0"/>
      <w:marRight w:val="0"/>
      <w:marTop w:val="0"/>
      <w:marBottom w:val="0"/>
      <w:divBdr>
        <w:top w:val="none" w:sz="0" w:space="0" w:color="auto"/>
        <w:left w:val="none" w:sz="0" w:space="0" w:color="auto"/>
        <w:bottom w:val="none" w:sz="0" w:space="0" w:color="auto"/>
        <w:right w:val="none" w:sz="0" w:space="0" w:color="auto"/>
      </w:divBdr>
      <w:divsChild>
        <w:div w:id="424496833">
          <w:marLeft w:val="0"/>
          <w:marRight w:val="0"/>
          <w:marTop w:val="0"/>
          <w:marBottom w:val="0"/>
          <w:divBdr>
            <w:top w:val="none" w:sz="0" w:space="0" w:color="auto"/>
            <w:left w:val="none" w:sz="0" w:space="0" w:color="auto"/>
            <w:bottom w:val="none" w:sz="0" w:space="0" w:color="auto"/>
            <w:right w:val="none" w:sz="0" w:space="0" w:color="auto"/>
          </w:divBdr>
        </w:div>
      </w:divsChild>
    </w:div>
    <w:div w:id="1666205527">
      <w:marLeft w:val="0"/>
      <w:marRight w:val="0"/>
      <w:marTop w:val="0"/>
      <w:marBottom w:val="0"/>
      <w:divBdr>
        <w:top w:val="none" w:sz="0" w:space="0" w:color="auto"/>
        <w:left w:val="none" w:sz="0" w:space="0" w:color="auto"/>
        <w:bottom w:val="none" w:sz="0" w:space="0" w:color="auto"/>
        <w:right w:val="none" w:sz="0" w:space="0" w:color="auto"/>
      </w:divBdr>
    </w:div>
    <w:div w:id="1666855427">
      <w:marLeft w:val="0"/>
      <w:marRight w:val="0"/>
      <w:marTop w:val="0"/>
      <w:marBottom w:val="240"/>
      <w:divBdr>
        <w:top w:val="none" w:sz="0" w:space="0" w:color="auto"/>
        <w:left w:val="none" w:sz="0" w:space="0" w:color="auto"/>
        <w:bottom w:val="none" w:sz="0" w:space="0" w:color="auto"/>
        <w:right w:val="none" w:sz="0" w:space="0" w:color="auto"/>
      </w:divBdr>
    </w:div>
    <w:div w:id="1669671243">
      <w:marLeft w:val="0"/>
      <w:marRight w:val="0"/>
      <w:marTop w:val="0"/>
      <w:marBottom w:val="0"/>
      <w:divBdr>
        <w:top w:val="none" w:sz="0" w:space="0" w:color="auto"/>
        <w:left w:val="none" w:sz="0" w:space="0" w:color="auto"/>
        <w:bottom w:val="none" w:sz="0" w:space="0" w:color="auto"/>
        <w:right w:val="none" w:sz="0" w:space="0" w:color="auto"/>
      </w:divBdr>
    </w:div>
    <w:div w:id="1670450093">
      <w:marLeft w:val="0"/>
      <w:marRight w:val="0"/>
      <w:marTop w:val="0"/>
      <w:marBottom w:val="180"/>
      <w:divBdr>
        <w:top w:val="none" w:sz="0" w:space="0" w:color="auto"/>
        <w:left w:val="none" w:sz="0" w:space="0" w:color="auto"/>
        <w:bottom w:val="none" w:sz="0" w:space="0" w:color="auto"/>
        <w:right w:val="none" w:sz="0" w:space="0" w:color="auto"/>
      </w:divBdr>
    </w:div>
    <w:div w:id="1670715025">
      <w:marLeft w:val="0"/>
      <w:marRight w:val="0"/>
      <w:marTop w:val="0"/>
      <w:marBottom w:val="0"/>
      <w:divBdr>
        <w:top w:val="none" w:sz="0" w:space="0" w:color="auto"/>
        <w:left w:val="none" w:sz="0" w:space="0" w:color="auto"/>
        <w:bottom w:val="none" w:sz="0" w:space="0" w:color="auto"/>
        <w:right w:val="none" w:sz="0" w:space="0" w:color="auto"/>
      </w:divBdr>
    </w:div>
    <w:div w:id="1671254109">
      <w:marLeft w:val="0"/>
      <w:marRight w:val="0"/>
      <w:marTop w:val="0"/>
      <w:marBottom w:val="0"/>
      <w:divBdr>
        <w:top w:val="none" w:sz="0" w:space="0" w:color="auto"/>
        <w:left w:val="none" w:sz="0" w:space="0" w:color="auto"/>
        <w:bottom w:val="none" w:sz="0" w:space="0" w:color="auto"/>
        <w:right w:val="none" w:sz="0" w:space="0" w:color="auto"/>
      </w:divBdr>
    </w:div>
    <w:div w:id="1671522831">
      <w:marLeft w:val="0"/>
      <w:marRight w:val="0"/>
      <w:marTop w:val="0"/>
      <w:marBottom w:val="180"/>
      <w:divBdr>
        <w:top w:val="none" w:sz="0" w:space="0" w:color="auto"/>
        <w:left w:val="none" w:sz="0" w:space="0" w:color="auto"/>
        <w:bottom w:val="none" w:sz="0" w:space="0" w:color="auto"/>
        <w:right w:val="none" w:sz="0" w:space="0" w:color="auto"/>
      </w:divBdr>
    </w:div>
    <w:div w:id="1672021257">
      <w:marLeft w:val="0"/>
      <w:marRight w:val="0"/>
      <w:marTop w:val="0"/>
      <w:marBottom w:val="0"/>
      <w:divBdr>
        <w:top w:val="none" w:sz="0" w:space="0" w:color="auto"/>
        <w:left w:val="none" w:sz="0" w:space="0" w:color="auto"/>
        <w:bottom w:val="none" w:sz="0" w:space="0" w:color="auto"/>
        <w:right w:val="none" w:sz="0" w:space="0" w:color="auto"/>
      </w:divBdr>
    </w:div>
    <w:div w:id="1672641506">
      <w:marLeft w:val="0"/>
      <w:marRight w:val="0"/>
      <w:marTop w:val="0"/>
      <w:marBottom w:val="180"/>
      <w:divBdr>
        <w:top w:val="none" w:sz="0" w:space="0" w:color="auto"/>
        <w:left w:val="none" w:sz="0" w:space="0" w:color="auto"/>
        <w:bottom w:val="none" w:sz="0" w:space="0" w:color="auto"/>
        <w:right w:val="none" w:sz="0" w:space="0" w:color="auto"/>
      </w:divBdr>
    </w:div>
    <w:div w:id="1673683553">
      <w:marLeft w:val="0"/>
      <w:marRight w:val="0"/>
      <w:marTop w:val="120"/>
      <w:marBottom w:val="240"/>
      <w:divBdr>
        <w:top w:val="none" w:sz="0" w:space="0" w:color="auto"/>
        <w:left w:val="none" w:sz="0" w:space="0" w:color="auto"/>
        <w:bottom w:val="none" w:sz="0" w:space="0" w:color="auto"/>
        <w:right w:val="none" w:sz="0" w:space="0" w:color="auto"/>
      </w:divBdr>
    </w:div>
    <w:div w:id="1674648289">
      <w:marLeft w:val="0"/>
      <w:marRight w:val="0"/>
      <w:marTop w:val="0"/>
      <w:marBottom w:val="240"/>
      <w:divBdr>
        <w:top w:val="none" w:sz="0" w:space="0" w:color="auto"/>
        <w:left w:val="none" w:sz="0" w:space="0" w:color="auto"/>
        <w:bottom w:val="none" w:sz="0" w:space="0" w:color="auto"/>
        <w:right w:val="none" w:sz="0" w:space="0" w:color="auto"/>
      </w:divBdr>
    </w:div>
    <w:div w:id="1674649681">
      <w:marLeft w:val="0"/>
      <w:marRight w:val="0"/>
      <w:marTop w:val="0"/>
      <w:marBottom w:val="240"/>
      <w:divBdr>
        <w:top w:val="none" w:sz="0" w:space="0" w:color="auto"/>
        <w:left w:val="none" w:sz="0" w:space="0" w:color="auto"/>
        <w:bottom w:val="none" w:sz="0" w:space="0" w:color="auto"/>
        <w:right w:val="none" w:sz="0" w:space="0" w:color="auto"/>
      </w:divBdr>
    </w:div>
    <w:div w:id="1676347693">
      <w:marLeft w:val="0"/>
      <w:marRight w:val="0"/>
      <w:marTop w:val="0"/>
      <w:marBottom w:val="240"/>
      <w:divBdr>
        <w:top w:val="none" w:sz="0" w:space="0" w:color="auto"/>
        <w:left w:val="none" w:sz="0" w:space="0" w:color="auto"/>
        <w:bottom w:val="none" w:sz="0" w:space="0" w:color="auto"/>
        <w:right w:val="none" w:sz="0" w:space="0" w:color="auto"/>
      </w:divBdr>
    </w:div>
    <w:div w:id="1676493254">
      <w:marLeft w:val="0"/>
      <w:marRight w:val="0"/>
      <w:marTop w:val="180"/>
      <w:marBottom w:val="180"/>
      <w:divBdr>
        <w:top w:val="none" w:sz="0" w:space="0" w:color="auto"/>
        <w:left w:val="none" w:sz="0" w:space="0" w:color="auto"/>
        <w:bottom w:val="none" w:sz="0" w:space="0" w:color="auto"/>
        <w:right w:val="none" w:sz="0" w:space="0" w:color="auto"/>
      </w:divBdr>
    </w:div>
    <w:div w:id="1676684076">
      <w:marLeft w:val="0"/>
      <w:marRight w:val="0"/>
      <w:marTop w:val="0"/>
      <w:marBottom w:val="240"/>
      <w:divBdr>
        <w:top w:val="none" w:sz="0" w:space="0" w:color="auto"/>
        <w:left w:val="none" w:sz="0" w:space="0" w:color="auto"/>
        <w:bottom w:val="none" w:sz="0" w:space="0" w:color="auto"/>
        <w:right w:val="none" w:sz="0" w:space="0" w:color="auto"/>
      </w:divBdr>
    </w:div>
    <w:div w:id="1678386926">
      <w:marLeft w:val="0"/>
      <w:marRight w:val="0"/>
      <w:marTop w:val="0"/>
      <w:marBottom w:val="0"/>
      <w:divBdr>
        <w:top w:val="none" w:sz="0" w:space="0" w:color="auto"/>
        <w:left w:val="none" w:sz="0" w:space="0" w:color="auto"/>
        <w:bottom w:val="none" w:sz="0" w:space="0" w:color="auto"/>
        <w:right w:val="none" w:sz="0" w:space="0" w:color="auto"/>
      </w:divBdr>
    </w:div>
    <w:div w:id="1678924275">
      <w:marLeft w:val="0"/>
      <w:marRight w:val="0"/>
      <w:marTop w:val="120"/>
      <w:marBottom w:val="120"/>
      <w:divBdr>
        <w:top w:val="none" w:sz="0" w:space="0" w:color="auto"/>
        <w:left w:val="none" w:sz="0" w:space="0" w:color="auto"/>
        <w:bottom w:val="none" w:sz="0" w:space="0" w:color="auto"/>
        <w:right w:val="none" w:sz="0" w:space="0" w:color="auto"/>
      </w:divBdr>
    </w:div>
    <w:div w:id="1678995679">
      <w:marLeft w:val="0"/>
      <w:marRight w:val="0"/>
      <w:marTop w:val="0"/>
      <w:marBottom w:val="240"/>
      <w:divBdr>
        <w:top w:val="none" w:sz="0" w:space="0" w:color="auto"/>
        <w:left w:val="none" w:sz="0" w:space="0" w:color="auto"/>
        <w:bottom w:val="none" w:sz="0" w:space="0" w:color="auto"/>
        <w:right w:val="none" w:sz="0" w:space="0" w:color="auto"/>
      </w:divBdr>
    </w:div>
    <w:div w:id="1680038833">
      <w:marLeft w:val="0"/>
      <w:marRight w:val="0"/>
      <w:marTop w:val="0"/>
      <w:marBottom w:val="180"/>
      <w:divBdr>
        <w:top w:val="none" w:sz="0" w:space="0" w:color="auto"/>
        <w:left w:val="none" w:sz="0" w:space="0" w:color="auto"/>
        <w:bottom w:val="none" w:sz="0" w:space="0" w:color="auto"/>
        <w:right w:val="none" w:sz="0" w:space="0" w:color="auto"/>
      </w:divBdr>
    </w:div>
    <w:div w:id="1681354495">
      <w:marLeft w:val="0"/>
      <w:marRight w:val="0"/>
      <w:marTop w:val="0"/>
      <w:marBottom w:val="0"/>
      <w:divBdr>
        <w:top w:val="none" w:sz="0" w:space="0" w:color="auto"/>
        <w:left w:val="none" w:sz="0" w:space="0" w:color="auto"/>
        <w:bottom w:val="none" w:sz="0" w:space="0" w:color="auto"/>
        <w:right w:val="none" w:sz="0" w:space="0" w:color="auto"/>
      </w:divBdr>
      <w:divsChild>
        <w:div w:id="379860685">
          <w:marLeft w:val="0"/>
          <w:marRight w:val="0"/>
          <w:marTop w:val="0"/>
          <w:marBottom w:val="0"/>
          <w:divBdr>
            <w:top w:val="none" w:sz="0" w:space="0" w:color="auto"/>
            <w:left w:val="none" w:sz="0" w:space="0" w:color="auto"/>
            <w:bottom w:val="none" w:sz="0" w:space="0" w:color="auto"/>
            <w:right w:val="none" w:sz="0" w:space="0" w:color="auto"/>
          </w:divBdr>
        </w:div>
      </w:divsChild>
    </w:div>
    <w:div w:id="1682587739">
      <w:marLeft w:val="0"/>
      <w:marRight w:val="0"/>
      <w:marTop w:val="180"/>
      <w:marBottom w:val="180"/>
      <w:divBdr>
        <w:top w:val="none" w:sz="0" w:space="0" w:color="auto"/>
        <w:left w:val="none" w:sz="0" w:space="0" w:color="auto"/>
        <w:bottom w:val="none" w:sz="0" w:space="0" w:color="auto"/>
        <w:right w:val="none" w:sz="0" w:space="0" w:color="auto"/>
      </w:divBdr>
    </w:div>
    <w:div w:id="1682734048">
      <w:marLeft w:val="0"/>
      <w:marRight w:val="0"/>
      <w:marTop w:val="0"/>
      <w:marBottom w:val="0"/>
      <w:divBdr>
        <w:top w:val="none" w:sz="0" w:space="0" w:color="auto"/>
        <w:left w:val="none" w:sz="0" w:space="0" w:color="auto"/>
        <w:bottom w:val="none" w:sz="0" w:space="0" w:color="auto"/>
        <w:right w:val="none" w:sz="0" w:space="0" w:color="auto"/>
      </w:divBdr>
      <w:divsChild>
        <w:div w:id="102380157">
          <w:marLeft w:val="0"/>
          <w:marRight w:val="0"/>
          <w:marTop w:val="0"/>
          <w:marBottom w:val="0"/>
          <w:divBdr>
            <w:top w:val="none" w:sz="0" w:space="0" w:color="auto"/>
            <w:left w:val="none" w:sz="0" w:space="0" w:color="auto"/>
            <w:bottom w:val="none" w:sz="0" w:space="0" w:color="auto"/>
            <w:right w:val="none" w:sz="0" w:space="0" w:color="auto"/>
          </w:divBdr>
        </w:div>
        <w:div w:id="154878238">
          <w:marLeft w:val="0"/>
          <w:marRight w:val="0"/>
          <w:marTop w:val="0"/>
          <w:marBottom w:val="0"/>
          <w:divBdr>
            <w:top w:val="none" w:sz="0" w:space="0" w:color="auto"/>
            <w:left w:val="none" w:sz="0" w:space="0" w:color="auto"/>
            <w:bottom w:val="none" w:sz="0" w:space="0" w:color="auto"/>
            <w:right w:val="none" w:sz="0" w:space="0" w:color="auto"/>
          </w:divBdr>
        </w:div>
      </w:divsChild>
    </w:div>
    <w:div w:id="1683047295">
      <w:marLeft w:val="0"/>
      <w:marRight w:val="0"/>
      <w:marTop w:val="180"/>
      <w:marBottom w:val="180"/>
      <w:divBdr>
        <w:top w:val="none" w:sz="0" w:space="0" w:color="auto"/>
        <w:left w:val="none" w:sz="0" w:space="0" w:color="auto"/>
        <w:bottom w:val="none" w:sz="0" w:space="0" w:color="auto"/>
        <w:right w:val="none" w:sz="0" w:space="0" w:color="auto"/>
      </w:divBdr>
    </w:div>
    <w:div w:id="1683123842">
      <w:marLeft w:val="0"/>
      <w:marRight w:val="0"/>
      <w:marTop w:val="220"/>
      <w:marBottom w:val="180"/>
      <w:divBdr>
        <w:top w:val="none" w:sz="0" w:space="0" w:color="auto"/>
        <w:left w:val="none" w:sz="0" w:space="0" w:color="auto"/>
        <w:bottom w:val="none" w:sz="0" w:space="0" w:color="auto"/>
        <w:right w:val="none" w:sz="0" w:space="0" w:color="auto"/>
      </w:divBdr>
    </w:div>
    <w:div w:id="1683162467">
      <w:marLeft w:val="0"/>
      <w:marRight w:val="0"/>
      <w:marTop w:val="0"/>
      <w:marBottom w:val="0"/>
      <w:divBdr>
        <w:top w:val="none" w:sz="0" w:space="0" w:color="auto"/>
        <w:left w:val="none" w:sz="0" w:space="0" w:color="auto"/>
        <w:bottom w:val="none" w:sz="0" w:space="0" w:color="auto"/>
        <w:right w:val="none" w:sz="0" w:space="0" w:color="auto"/>
      </w:divBdr>
      <w:divsChild>
        <w:div w:id="1399940759">
          <w:marLeft w:val="0"/>
          <w:marRight w:val="0"/>
          <w:marTop w:val="0"/>
          <w:marBottom w:val="0"/>
          <w:divBdr>
            <w:top w:val="none" w:sz="0" w:space="0" w:color="auto"/>
            <w:left w:val="none" w:sz="0" w:space="0" w:color="auto"/>
            <w:bottom w:val="none" w:sz="0" w:space="0" w:color="auto"/>
            <w:right w:val="none" w:sz="0" w:space="0" w:color="auto"/>
          </w:divBdr>
        </w:div>
      </w:divsChild>
    </w:div>
    <w:div w:id="1683624549">
      <w:marLeft w:val="0"/>
      <w:marRight w:val="0"/>
      <w:marTop w:val="0"/>
      <w:marBottom w:val="240"/>
      <w:divBdr>
        <w:top w:val="none" w:sz="0" w:space="0" w:color="auto"/>
        <w:left w:val="none" w:sz="0" w:space="0" w:color="auto"/>
        <w:bottom w:val="none" w:sz="0" w:space="0" w:color="auto"/>
        <w:right w:val="none" w:sz="0" w:space="0" w:color="auto"/>
      </w:divBdr>
    </w:div>
    <w:div w:id="1683821462">
      <w:marLeft w:val="0"/>
      <w:marRight w:val="0"/>
      <w:marTop w:val="100"/>
      <w:marBottom w:val="0"/>
      <w:divBdr>
        <w:top w:val="none" w:sz="0" w:space="0" w:color="auto"/>
        <w:left w:val="none" w:sz="0" w:space="0" w:color="auto"/>
        <w:bottom w:val="none" w:sz="0" w:space="0" w:color="auto"/>
        <w:right w:val="none" w:sz="0" w:space="0" w:color="auto"/>
      </w:divBdr>
      <w:divsChild>
        <w:div w:id="885877781">
          <w:marLeft w:val="0"/>
          <w:marRight w:val="0"/>
          <w:marTop w:val="0"/>
          <w:marBottom w:val="0"/>
          <w:divBdr>
            <w:top w:val="none" w:sz="0" w:space="0" w:color="auto"/>
            <w:left w:val="none" w:sz="0" w:space="0" w:color="auto"/>
            <w:bottom w:val="none" w:sz="0" w:space="0" w:color="auto"/>
            <w:right w:val="none" w:sz="0" w:space="0" w:color="auto"/>
          </w:divBdr>
        </w:div>
        <w:div w:id="383023038">
          <w:marLeft w:val="0"/>
          <w:marRight w:val="0"/>
          <w:marTop w:val="0"/>
          <w:marBottom w:val="0"/>
          <w:divBdr>
            <w:top w:val="none" w:sz="0" w:space="0" w:color="auto"/>
            <w:left w:val="none" w:sz="0" w:space="0" w:color="auto"/>
            <w:bottom w:val="none" w:sz="0" w:space="0" w:color="auto"/>
            <w:right w:val="none" w:sz="0" w:space="0" w:color="auto"/>
          </w:divBdr>
        </w:div>
        <w:div w:id="1822501380">
          <w:marLeft w:val="0"/>
          <w:marRight w:val="0"/>
          <w:marTop w:val="0"/>
          <w:marBottom w:val="0"/>
          <w:divBdr>
            <w:top w:val="none" w:sz="0" w:space="0" w:color="auto"/>
            <w:left w:val="none" w:sz="0" w:space="0" w:color="auto"/>
            <w:bottom w:val="none" w:sz="0" w:space="0" w:color="auto"/>
            <w:right w:val="none" w:sz="0" w:space="0" w:color="auto"/>
          </w:divBdr>
        </w:div>
        <w:div w:id="2044017355">
          <w:marLeft w:val="0"/>
          <w:marRight w:val="0"/>
          <w:marTop w:val="0"/>
          <w:marBottom w:val="0"/>
          <w:divBdr>
            <w:top w:val="none" w:sz="0" w:space="0" w:color="auto"/>
            <w:left w:val="none" w:sz="0" w:space="0" w:color="auto"/>
            <w:bottom w:val="none" w:sz="0" w:space="0" w:color="auto"/>
            <w:right w:val="none" w:sz="0" w:space="0" w:color="auto"/>
          </w:divBdr>
        </w:div>
        <w:div w:id="553809899">
          <w:marLeft w:val="0"/>
          <w:marRight w:val="0"/>
          <w:marTop w:val="0"/>
          <w:marBottom w:val="0"/>
          <w:divBdr>
            <w:top w:val="none" w:sz="0" w:space="0" w:color="auto"/>
            <w:left w:val="none" w:sz="0" w:space="0" w:color="auto"/>
            <w:bottom w:val="none" w:sz="0" w:space="0" w:color="auto"/>
            <w:right w:val="none" w:sz="0" w:space="0" w:color="auto"/>
          </w:divBdr>
        </w:div>
        <w:div w:id="360016610">
          <w:marLeft w:val="0"/>
          <w:marRight w:val="0"/>
          <w:marTop w:val="0"/>
          <w:marBottom w:val="0"/>
          <w:divBdr>
            <w:top w:val="none" w:sz="0" w:space="0" w:color="auto"/>
            <w:left w:val="none" w:sz="0" w:space="0" w:color="auto"/>
            <w:bottom w:val="none" w:sz="0" w:space="0" w:color="auto"/>
            <w:right w:val="none" w:sz="0" w:space="0" w:color="auto"/>
          </w:divBdr>
        </w:div>
        <w:div w:id="411853809">
          <w:marLeft w:val="0"/>
          <w:marRight w:val="0"/>
          <w:marTop w:val="0"/>
          <w:marBottom w:val="0"/>
          <w:divBdr>
            <w:top w:val="none" w:sz="0" w:space="0" w:color="auto"/>
            <w:left w:val="none" w:sz="0" w:space="0" w:color="auto"/>
            <w:bottom w:val="none" w:sz="0" w:space="0" w:color="auto"/>
            <w:right w:val="none" w:sz="0" w:space="0" w:color="auto"/>
          </w:divBdr>
        </w:div>
        <w:div w:id="722601872">
          <w:marLeft w:val="0"/>
          <w:marRight w:val="0"/>
          <w:marTop w:val="0"/>
          <w:marBottom w:val="0"/>
          <w:divBdr>
            <w:top w:val="none" w:sz="0" w:space="0" w:color="auto"/>
            <w:left w:val="none" w:sz="0" w:space="0" w:color="auto"/>
            <w:bottom w:val="none" w:sz="0" w:space="0" w:color="auto"/>
            <w:right w:val="none" w:sz="0" w:space="0" w:color="auto"/>
          </w:divBdr>
        </w:div>
        <w:div w:id="772550015">
          <w:marLeft w:val="0"/>
          <w:marRight w:val="0"/>
          <w:marTop w:val="0"/>
          <w:marBottom w:val="0"/>
          <w:divBdr>
            <w:top w:val="none" w:sz="0" w:space="0" w:color="auto"/>
            <w:left w:val="none" w:sz="0" w:space="0" w:color="auto"/>
            <w:bottom w:val="none" w:sz="0" w:space="0" w:color="auto"/>
            <w:right w:val="none" w:sz="0" w:space="0" w:color="auto"/>
          </w:divBdr>
        </w:div>
        <w:div w:id="1972396231">
          <w:marLeft w:val="0"/>
          <w:marRight w:val="0"/>
          <w:marTop w:val="0"/>
          <w:marBottom w:val="0"/>
          <w:divBdr>
            <w:top w:val="none" w:sz="0" w:space="0" w:color="auto"/>
            <w:left w:val="none" w:sz="0" w:space="0" w:color="auto"/>
            <w:bottom w:val="none" w:sz="0" w:space="0" w:color="auto"/>
            <w:right w:val="none" w:sz="0" w:space="0" w:color="auto"/>
          </w:divBdr>
        </w:div>
        <w:div w:id="1521384978">
          <w:marLeft w:val="0"/>
          <w:marRight w:val="0"/>
          <w:marTop w:val="0"/>
          <w:marBottom w:val="0"/>
          <w:divBdr>
            <w:top w:val="none" w:sz="0" w:space="0" w:color="auto"/>
            <w:left w:val="none" w:sz="0" w:space="0" w:color="auto"/>
            <w:bottom w:val="none" w:sz="0" w:space="0" w:color="auto"/>
            <w:right w:val="none" w:sz="0" w:space="0" w:color="auto"/>
          </w:divBdr>
        </w:div>
        <w:div w:id="955254406">
          <w:marLeft w:val="0"/>
          <w:marRight w:val="0"/>
          <w:marTop w:val="0"/>
          <w:marBottom w:val="0"/>
          <w:divBdr>
            <w:top w:val="none" w:sz="0" w:space="0" w:color="auto"/>
            <w:left w:val="none" w:sz="0" w:space="0" w:color="auto"/>
            <w:bottom w:val="none" w:sz="0" w:space="0" w:color="auto"/>
            <w:right w:val="none" w:sz="0" w:space="0" w:color="auto"/>
          </w:divBdr>
        </w:div>
        <w:div w:id="992948562">
          <w:marLeft w:val="0"/>
          <w:marRight w:val="0"/>
          <w:marTop w:val="0"/>
          <w:marBottom w:val="0"/>
          <w:divBdr>
            <w:top w:val="none" w:sz="0" w:space="0" w:color="auto"/>
            <w:left w:val="none" w:sz="0" w:space="0" w:color="auto"/>
            <w:bottom w:val="none" w:sz="0" w:space="0" w:color="auto"/>
            <w:right w:val="none" w:sz="0" w:space="0" w:color="auto"/>
          </w:divBdr>
        </w:div>
      </w:divsChild>
    </w:div>
    <w:div w:id="1684013659">
      <w:marLeft w:val="0"/>
      <w:marRight w:val="0"/>
      <w:marTop w:val="0"/>
      <w:marBottom w:val="0"/>
      <w:divBdr>
        <w:top w:val="none" w:sz="0" w:space="0" w:color="auto"/>
        <w:left w:val="none" w:sz="0" w:space="0" w:color="auto"/>
        <w:bottom w:val="none" w:sz="0" w:space="0" w:color="auto"/>
        <w:right w:val="none" w:sz="0" w:space="0" w:color="auto"/>
      </w:divBdr>
      <w:divsChild>
        <w:div w:id="123937430">
          <w:marLeft w:val="0"/>
          <w:marRight w:val="0"/>
          <w:marTop w:val="0"/>
          <w:marBottom w:val="0"/>
          <w:divBdr>
            <w:top w:val="none" w:sz="0" w:space="0" w:color="auto"/>
            <w:left w:val="none" w:sz="0" w:space="0" w:color="auto"/>
            <w:bottom w:val="none" w:sz="0" w:space="0" w:color="auto"/>
            <w:right w:val="none" w:sz="0" w:space="0" w:color="auto"/>
          </w:divBdr>
        </w:div>
      </w:divsChild>
    </w:div>
    <w:div w:id="1685285645">
      <w:marLeft w:val="0"/>
      <w:marRight w:val="0"/>
      <w:marTop w:val="0"/>
      <w:marBottom w:val="180"/>
      <w:divBdr>
        <w:top w:val="none" w:sz="0" w:space="0" w:color="auto"/>
        <w:left w:val="none" w:sz="0" w:space="0" w:color="auto"/>
        <w:bottom w:val="none" w:sz="0" w:space="0" w:color="auto"/>
        <w:right w:val="none" w:sz="0" w:space="0" w:color="auto"/>
      </w:divBdr>
    </w:div>
    <w:div w:id="1685670745">
      <w:marLeft w:val="0"/>
      <w:marRight w:val="0"/>
      <w:marTop w:val="0"/>
      <w:marBottom w:val="240"/>
      <w:divBdr>
        <w:top w:val="none" w:sz="0" w:space="0" w:color="auto"/>
        <w:left w:val="none" w:sz="0" w:space="0" w:color="auto"/>
        <w:bottom w:val="none" w:sz="0" w:space="0" w:color="auto"/>
        <w:right w:val="none" w:sz="0" w:space="0" w:color="auto"/>
      </w:divBdr>
    </w:div>
    <w:div w:id="1686714202">
      <w:marLeft w:val="0"/>
      <w:marRight w:val="0"/>
      <w:marTop w:val="180"/>
      <w:marBottom w:val="180"/>
      <w:divBdr>
        <w:top w:val="none" w:sz="0" w:space="0" w:color="auto"/>
        <w:left w:val="none" w:sz="0" w:space="0" w:color="auto"/>
        <w:bottom w:val="none" w:sz="0" w:space="0" w:color="auto"/>
        <w:right w:val="none" w:sz="0" w:space="0" w:color="auto"/>
      </w:divBdr>
    </w:div>
    <w:div w:id="1687707660">
      <w:marLeft w:val="0"/>
      <w:marRight w:val="0"/>
      <w:marTop w:val="0"/>
      <w:marBottom w:val="0"/>
      <w:divBdr>
        <w:top w:val="none" w:sz="0" w:space="0" w:color="auto"/>
        <w:left w:val="none" w:sz="0" w:space="0" w:color="auto"/>
        <w:bottom w:val="none" w:sz="0" w:space="0" w:color="auto"/>
        <w:right w:val="none" w:sz="0" w:space="0" w:color="auto"/>
      </w:divBdr>
      <w:divsChild>
        <w:div w:id="1301686988">
          <w:marLeft w:val="0"/>
          <w:marRight w:val="0"/>
          <w:marTop w:val="0"/>
          <w:marBottom w:val="0"/>
          <w:divBdr>
            <w:top w:val="none" w:sz="0" w:space="0" w:color="auto"/>
            <w:left w:val="none" w:sz="0" w:space="0" w:color="auto"/>
            <w:bottom w:val="none" w:sz="0" w:space="0" w:color="auto"/>
            <w:right w:val="none" w:sz="0" w:space="0" w:color="auto"/>
          </w:divBdr>
        </w:div>
      </w:divsChild>
    </w:div>
    <w:div w:id="1687756043">
      <w:marLeft w:val="0"/>
      <w:marRight w:val="0"/>
      <w:marTop w:val="100"/>
      <w:marBottom w:val="180"/>
      <w:divBdr>
        <w:top w:val="none" w:sz="0" w:space="0" w:color="auto"/>
        <w:left w:val="none" w:sz="0" w:space="0" w:color="auto"/>
        <w:bottom w:val="none" w:sz="0" w:space="0" w:color="auto"/>
        <w:right w:val="none" w:sz="0" w:space="0" w:color="auto"/>
      </w:divBdr>
    </w:div>
    <w:div w:id="1688942287">
      <w:marLeft w:val="0"/>
      <w:marRight w:val="0"/>
      <w:marTop w:val="0"/>
      <w:marBottom w:val="180"/>
      <w:divBdr>
        <w:top w:val="none" w:sz="0" w:space="0" w:color="auto"/>
        <w:left w:val="none" w:sz="0" w:space="0" w:color="auto"/>
        <w:bottom w:val="none" w:sz="0" w:space="0" w:color="auto"/>
        <w:right w:val="none" w:sz="0" w:space="0" w:color="auto"/>
      </w:divBdr>
    </w:div>
    <w:div w:id="1689521475">
      <w:marLeft w:val="0"/>
      <w:marRight w:val="0"/>
      <w:marTop w:val="0"/>
      <w:marBottom w:val="180"/>
      <w:divBdr>
        <w:top w:val="none" w:sz="0" w:space="0" w:color="auto"/>
        <w:left w:val="none" w:sz="0" w:space="0" w:color="auto"/>
        <w:bottom w:val="none" w:sz="0" w:space="0" w:color="auto"/>
        <w:right w:val="none" w:sz="0" w:space="0" w:color="auto"/>
      </w:divBdr>
    </w:div>
    <w:div w:id="1689599230">
      <w:marLeft w:val="0"/>
      <w:marRight w:val="0"/>
      <w:marTop w:val="0"/>
      <w:marBottom w:val="180"/>
      <w:divBdr>
        <w:top w:val="none" w:sz="0" w:space="0" w:color="auto"/>
        <w:left w:val="none" w:sz="0" w:space="0" w:color="auto"/>
        <w:bottom w:val="none" w:sz="0" w:space="0" w:color="auto"/>
        <w:right w:val="none" w:sz="0" w:space="0" w:color="auto"/>
      </w:divBdr>
    </w:div>
    <w:div w:id="1689982423">
      <w:marLeft w:val="0"/>
      <w:marRight w:val="0"/>
      <w:marTop w:val="100"/>
      <w:marBottom w:val="240"/>
      <w:divBdr>
        <w:top w:val="none" w:sz="0" w:space="0" w:color="auto"/>
        <w:left w:val="none" w:sz="0" w:space="0" w:color="auto"/>
        <w:bottom w:val="none" w:sz="0" w:space="0" w:color="auto"/>
        <w:right w:val="none" w:sz="0" w:space="0" w:color="auto"/>
      </w:divBdr>
    </w:div>
    <w:div w:id="1690327729">
      <w:marLeft w:val="0"/>
      <w:marRight w:val="0"/>
      <w:marTop w:val="100"/>
      <w:marBottom w:val="0"/>
      <w:divBdr>
        <w:top w:val="none" w:sz="0" w:space="0" w:color="auto"/>
        <w:left w:val="none" w:sz="0" w:space="0" w:color="auto"/>
        <w:bottom w:val="none" w:sz="0" w:space="0" w:color="auto"/>
        <w:right w:val="none" w:sz="0" w:space="0" w:color="auto"/>
      </w:divBdr>
      <w:divsChild>
        <w:div w:id="1774550555">
          <w:marLeft w:val="0"/>
          <w:marRight w:val="0"/>
          <w:marTop w:val="0"/>
          <w:marBottom w:val="0"/>
          <w:divBdr>
            <w:top w:val="none" w:sz="0" w:space="0" w:color="auto"/>
            <w:left w:val="none" w:sz="0" w:space="0" w:color="auto"/>
            <w:bottom w:val="none" w:sz="0" w:space="0" w:color="auto"/>
            <w:right w:val="none" w:sz="0" w:space="0" w:color="auto"/>
          </w:divBdr>
        </w:div>
        <w:div w:id="1968925126">
          <w:marLeft w:val="0"/>
          <w:marRight w:val="0"/>
          <w:marTop w:val="0"/>
          <w:marBottom w:val="0"/>
          <w:divBdr>
            <w:top w:val="none" w:sz="0" w:space="0" w:color="auto"/>
            <w:left w:val="none" w:sz="0" w:space="0" w:color="auto"/>
            <w:bottom w:val="none" w:sz="0" w:space="0" w:color="auto"/>
            <w:right w:val="none" w:sz="0" w:space="0" w:color="auto"/>
          </w:divBdr>
        </w:div>
        <w:div w:id="165487282">
          <w:marLeft w:val="0"/>
          <w:marRight w:val="0"/>
          <w:marTop w:val="0"/>
          <w:marBottom w:val="0"/>
          <w:divBdr>
            <w:top w:val="none" w:sz="0" w:space="0" w:color="auto"/>
            <w:left w:val="none" w:sz="0" w:space="0" w:color="auto"/>
            <w:bottom w:val="none" w:sz="0" w:space="0" w:color="auto"/>
            <w:right w:val="none" w:sz="0" w:space="0" w:color="auto"/>
          </w:divBdr>
        </w:div>
        <w:div w:id="316498846">
          <w:marLeft w:val="0"/>
          <w:marRight w:val="0"/>
          <w:marTop w:val="0"/>
          <w:marBottom w:val="0"/>
          <w:divBdr>
            <w:top w:val="none" w:sz="0" w:space="0" w:color="auto"/>
            <w:left w:val="none" w:sz="0" w:space="0" w:color="auto"/>
            <w:bottom w:val="none" w:sz="0" w:space="0" w:color="auto"/>
            <w:right w:val="none" w:sz="0" w:space="0" w:color="auto"/>
          </w:divBdr>
        </w:div>
        <w:div w:id="1479372331">
          <w:marLeft w:val="0"/>
          <w:marRight w:val="0"/>
          <w:marTop w:val="0"/>
          <w:marBottom w:val="0"/>
          <w:divBdr>
            <w:top w:val="none" w:sz="0" w:space="0" w:color="auto"/>
            <w:left w:val="none" w:sz="0" w:space="0" w:color="auto"/>
            <w:bottom w:val="none" w:sz="0" w:space="0" w:color="auto"/>
            <w:right w:val="none" w:sz="0" w:space="0" w:color="auto"/>
          </w:divBdr>
        </w:div>
      </w:divsChild>
    </w:div>
    <w:div w:id="1690717413">
      <w:marLeft w:val="0"/>
      <w:marRight w:val="0"/>
      <w:marTop w:val="0"/>
      <w:marBottom w:val="180"/>
      <w:divBdr>
        <w:top w:val="none" w:sz="0" w:space="0" w:color="auto"/>
        <w:left w:val="none" w:sz="0" w:space="0" w:color="auto"/>
        <w:bottom w:val="none" w:sz="0" w:space="0" w:color="auto"/>
        <w:right w:val="none" w:sz="0" w:space="0" w:color="auto"/>
      </w:divBdr>
    </w:div>
    <w:div w:id="1690908525">
      <w:marLeft w:val="0"/>
      <w:marRight w:val="0"/>
      <w:marTop w:val="0"/>
      <w:marBottom w:val="0"/>
      <w:divBdr>
        <w:top w:val="none" w:sz="0" w:space="0" w:color="auto"/>
        <w:left w:val="none" w:sz="0" w:space="0" w:color="auto"/>
        <w:bottom w:val="none" w:sz="0" w:space="0" w:color="auto"/>
        <w:right w:val="none" w:sz="0" w:space="0" w:color="auto"/>
      </w:divBdr>
    </w:div>
    <w:div w:id="1690913544">
      <w:marLeft w:val="0"/>
      <w:marRight w:val="0"/>
      <w:marTop w:val="0"/>
      <w:marBottom w:val="240"/>
      <w:divBdr>
        <w:top w:val="none" w:sz="0" w:space="0" w:color="auto"/>
        <w:left w:val="none" w:sz="0" w:space="0" w:color="auto"/>
        <w:bottom w:val="none" w:sz="0" w:space="0" w:color="auto"/>
        <w:right w:val="none" w:sz="0" w:space="0" w:color="auto"/>
      </w:divBdr>
    </w:div>
    <w:div w:id="1691176055">
      <w:marLeft w:val="0"/>
      <w:marRight w:val="0"/>
      <w:marTop w:val="0"/>
      <w:marBottom w:val="240"/>
      <w:divBdr>
        <w:top w:val="none" w:sz="0" w:space="0" w:color="auto"/>
        <w:left w:val="none" w:sz="0" w:space="0" w:color="auto"/>
        <w:bottom w:val="none" w:sz="0" w:space="0" w:color="auto"/>
        <w:right w:val="none" w:sz="0" w:space="0" w:color="auto"/>
      </w:divBdr>
    </w:div>
    <w:div w:id="1691373930">
      <w:marLeft w:val="0"/>
      <w:marRight w:val="0"/>
      <w:marTop w:val="0"/>
      <w:marBottom w:val="240"/>
      <w:divBdr>
        <w:top w:val="none" w:sz="0" w:space="0" w:color="auto"/>
        <w:left w:val="none" w:sz="0" w:space="0" w:color="auto"/>
        <w:bottom w:val="none" w:sz="0" w:space="0" w:color="auto"/>
        <w:right w:val="none" w:sz="0" w:space="0" w:color="auto"/>
      </w:divBdr>
    </w:div>
    <w:div w:id="1691949185">
      <w:marLeft w:val="0"/>
      <w:marRight w:val="0"/>
      <w:marTop w:val="0"/>
      <w:marBottom w:val="0"/>
      <w:divBdr>
        <w:top w:val="none" w:sz="0" w:space="0" w:color="auto"/>
        <w:left w:val="none" w:sz="0" w:space="0" w:color="auto"/>
        <w:bottom w:val="none" w:sz="0" w:space="0" w:color="auto"/>
        <w:right w:val="none" w:sz="0" w:space="0" w:color="auto"/>
      </w:divBdr>
      <w:divsChild>
        <w:div w:id="1987935233">
          <w:marLeft w:val="0"/>
          <w:marRight w:val="0"/>
          <w:marTop w:val="0"/>
          <w:marBottom w:val="0"/>
          <w:divBdr>
            <w:top w:val="none" w:sz="0" w:space="0" w:color="auto"/>
            <w:left w:val="none" w:sz="0" w:space="0" w:color="auto"/>
            <w:bottom w:val="none" w:sz="0" w:space="0" w:color="auto"/>
            <w:right w:val="none" w:sz="0" w:space="0" w:color="auto"/>
          </w:divBdr>
        </w:div>
      </w:divsChild>
    </w:div>
    <w:div w:id="1692760121">
      <w:marLeft w:val="0"/>
      <w:marRight w:val="0"/>
      <w:marTop w:val="0"/>
      <w:marBottom w:val="0"/>
      <w:divBdr>
        <w:top w:val="none" w:sz="0" w:space="0" w:color="auto"/>
        <w:left w:val="none" w:sz="0" w:space="0" w:color="auto"/>
        <w:bottom w:val="none" w:sz="0" w:space="0" w:color="auto"/>
        <w:right w:val="none" w:sz="0" w:space="0" w:color="auto"/>
      </w:divBdr>
    </w:div>
    <w:div w:id="1693536013">
      <w:marLeft w:val="0"/>
      <w:marRight w:val="0"/>
      <w:marTop w:val="180"/>
      <w:marBottom w:val="180"/>
      <w:divBdr>
        <w:top w:val="none" w:sz="0" w:space="0" w:color="auto"/>
        <w:left w:val="none" w:sz="0" w:space="0" w:color="auto"/>
        <w:bottom w:val="none" w:sz="0" w:space="0" w:color="auto"/>
        <w:right w:val="none" w:sz="0" w:space="0" w:color="auto"/>
      </w:divBdr>
    </w:div>
    <w:div w:id="1694261507">
      <w:marLeft w:val="0"/>
      <w:marRight w:val="0"/>
      <w:marTop w:val="0"/>
      <w:marBottom w:val="180"/>
      <w:divBdr>
        <w:top w:val="none" w:sz="0" w:space="0" w:color="auto"/>
        <w:left w:val="none" w:sz="0" w:space="0" w:color="auto"/>
        <w:bottom w:val="none" w:sz="0" w:space="0" w:color="auto"/>
        <w:right w:val="none" w:sz="0" w:space="0" w:color="auto"/>
      </w:divBdr>
    </w:div>
    <w:div w:id="1694306003">
      <w:marLeft w:val="0"/>
      <w:marRight w:val="0"/>
      <w:marTop w:val="0"/>
      <w:marBottom w:val="0"/>
      <w:divBdr>
        <w:top w:val="none" w:sz="0" w:space="0" w:color="auto"/>
        <w:left w:val="none" w:sz="0" w:space="0" w:color="auto"/>
        <w:bottom w:val="none" w:sz="0" w:space="0" w:color="auto"/>
        <w:right w:val="none" w:sz="0" w:space="0" w:color="auto"/>
      </w:divBdr>
    </w:div>
    <w:div w:id="1694376502">
      <w:marLeft w:val="0"/>
      <w:marRight w:val="0"/>
      <w:marTop w:val="0"/>
      <w:marBottom w:val="0"/>
      <w:divBdr>
        <w:top w:val="none" w:sz="0" w:space="0" w:color="auto"/>
        <w:left w:val="none" w:sz="0" w:space="0" w:color="auto"/>
        <w:bottom w:val="none" w:sz="0" w:space="0" w:color="auto"/>
        <w:right w:val="none" w:sz="0" w:space="0" w:color="auto"/>
      </w:divBdr>
    </w:div>
    <w:div w:id="1695571208">
      <w:marLeft w:val="0"/>
      <w:marRight w:val="0"/>
      <w:marTop w:val="0"/>
      <w:marBottom w:val="180"/>
      <w:divBdr>
        <w:top w:val="none" w:sz="0" w:space="0" w:color="auto"/>
        <w:left w:val="none" w:sz="0" w:space="0" w:color="auto"/>
        <w:bottom w:val="none" w:sz="0" w:space="0" w:color="auto"/>
        <w:right w:val="none" w:sz="0" w:space="0" w:color="auto"/>
      </w:divBdr>
    </w:div>
    <w:div w:id="1696422471">
      <w:marLeft w:val="0"/>
      <w:marRight w:val="0"/>
      <w:marTop w:val="0"/>
      <w:marBottom w:val="180"/>
      <w:divBdr>
        <w:top w:val="none" w:sz="0" w:space="0" w:color="auto"/>
        <w:left w:val="none" w:sz="0" w:space="0" w:color="auto"/>
        <w:bottom w:val="none" w:sz="0" w:space="0" w:color="auto"/>
        <w:right w:val="none" w:sz="0" w:space="0" w:color="auto"/>
      </w:divBdr>
    </w:div>
    <w:div w:id="1696886968">
      <w:marLeft w:val="0"/>
      <w:marRight w:val="0"/>
      <w:marTop w:val="180"/>
      <w:marBottom w:val="180"/>
      <w:divBdr>
        <w:top w:val="none" w:sz="0" w:space="0" w:color="auto"/>
        <w:left w:val="none" w:sz="0" w:space="0" w:color="auto"/>
        <w:bottom w:val="none" w:sz="0" w:space="0" w:color="auto"/>
        <w:right w:val="none" w:sz="0" w:space="0" w:color="auto"/>
      </w:divBdr>
    </w:div>
    <w:div w:id="1697192932">
      <w:marLeft w:val="0"/>
      <w:marRight w:val="0"/>
      <w:marTop w:val="0"/>
      <w:marBottom w:val="0"/>
      <w:divBdr>
        <w:top w:val="none" w:sz="0" w:space="0" w:color="auto"/>
        <w:left w:val="none" w:sz="0" w:space="0" w:color="auto"/>
        <w:bottom w:val="none" w:sz="0" w:space="0" w:color="auto"/>
        <w:right w:val="none" w:sz="0" w:space="0" w:color="auto"/>
      </w:divBdr>
    </w:div>
    <w:div w:id="1697346332">
      <w:marLeft w:val="0"/>
      <w:marRight w:val="0"/>
      <w:marTop w:val="0"/>
      <w:marBottom w:val="180"/>
      <w:divBdr>
        <w:top w:val="none" w:sz="0" w:space="0" w:color="auto"/>
        <w:left w:val="none" w:sz="0" w:space="0" w:color="auto"/>
        <w:bottom w:val="none" w:sz="0" w:space="0" w:color="auto"/>
        <w:right w:val="none" w:sz="0" w:space="0" w:color="auto"/>
      </w:divBdr>
    </w:div>
    <w:div w:id="1698308597">
      <w:marLeft w:val="0"/>
      <w:marRight w:val="0"/>
      <w:marTop w:val="0"/>
      <w:marBottom w:val="0"/>
      <w:divBdr>
        <w:top w:val="none" w:sz="0" w:space="0" w:color="auto"/>
        <w:left w:val="none" w:sz="0" w:space="0" w:color="auto"/>
        <w:bottom w:val="none" w:sz="0" w:space="0" w:color="auto"/>
        <w:right w:val="none" w:sz="0" w:space="0" w:color="auto"/>
      </w:divBdr>
    </w:div>
    <w:div w:id="1698651092">
      <w:marLeft w:val="0"/>
      <w:marRight w:val="0"/>
      <w:marTop w:val="0"/>
      <w:marBottom w:val="0"/>
      <w:divBdr>
        <w:top w:val="none" w:sz="0" w:space="0" w:color="auto"/>
        <w:left w:val="none" w:sz="0" w:space="0" w:color="auto"/>
        <w:bottom w:val="none" w:sz="0" w:space="0" w:color="auto"/>
        <w:right w:val="none" w:sz="0" w:space="0" w:color="auto"/>
      </w:divBdr>
      <w:divsChild>
        <w:div w:id="1779714649">
          <w:marLeft w:val="0"/>
          <w:marRight w:val="0"/>
          <w:marTop w:val="0"/>
          <w:marBottom w:val="0"/>
          <w:divBdr>
            <w:top w:val="none" w:sz="0" w:space="0" w:color="auto"/>
            <w:left w:val="none" w:sz="0" w:space="0" w:color="auto"/>
            <w:bottom w:val="none" w:sz="0" w:space="0" w:color="auto"/>
            <w:right w:val="none" w:sz="0" w:space="0" w:color="auto"/>
          </w:divBdr>
        </w:div>
      </w:divsChild>
    </w:div>
    <w:div w:id="1699163803">
      <w:marLeft w:val="0"/>
      <w:marRight w:val="0"/>
      <w:marTop w:val="180"/>
      <w:marBottom w:val="180"/>
      <w:divBdr>
        <w:top w:val="none" w:sz="0" w:space="0" w:color="auto"/>
        <w:left w:val="none" w:sz="0" w:space="0" w:color="auto"/>
        <w:bottom w:val="none" w:sz="0" w:space="0" w:color="auto"/>
        <w:right w:val="none" w:sz="0" w:space="0" w:color="auto"/>
      </w:divBdr>
    </w:div>
    <w:div w:id="1700817180">
      <w:marLeft w:val="0"/>
      <w:marRight w:val="0"/>
      <w:marTop w:val="0"/>
      <w:marBottom w:val="180"/>
      <w:divBdr>
        <w:top w:val="none" w:sz="0" w:space="0" w:color="auto"/>
        <w:left w:val="none" w:sz="0" w:space="0" w:color="auto"/>
        <w:bottom w:val="none" w:sz="0" w:space="0" w:color="auto"/>
        <w:right w:val="none" w:sz="0" w:space="0" w:color="auto"/>
      </w:divBdr>
    </w:div>
    <w:div w:id="1701777881">
      <w:marLeft w:val="0"/>
      <w:marRight w:val="0"/>
      <w:marTop w:val="0"/>
      <w:marBottom w:val="180"/>
      <w:divBdr>
        <w:top w:val="none" w:sz="0" w:space="0" w:color="auto"/>
        <w:left w:val="none" w:sz="0" w:space="0" w:color="auto"/>
        <w:bottom w:val="none" w:sz="0" w:space="0" w:color="auto"/>
        <w:right w:val="none" w:sz="0" w:space="0" w:color="auto"/>
      </w:divBdr>
    </w:div>
    <w:div w:id="1702314460">
      <w:marLeft w:val="0"/>
      <w:marRight w:val="0"/>
      <w:marTop w:val="0"/>
      <w:marBottom w:val="0"/>
      <w:divBdr>
        <w:top w:val="none" w:sz="0" w:space="0" w:color="auto"/>
        <w:left w:val="none" w:sz="0" w:space="0" w:color="auto"/>
        <w:bottom w:val="none" w:sz="0" w:space="0" w:color="auto"/>
        <w:right w:val="none" w:sz="0" w:space="0" w:color="auto"/>
      </w:divBdr>
    </w:div>
    <w:div w:id="1702586947">
      <w:marLeft w:val="0"/>
      <w:marRight w:val="0"/>
      <w:marTop w:val="0"/>
      <w:marBottom w:val="0"/>
      <w:divBdr>
        <w:top w:val="none" w:sz="0" w:space="0" w:color="auto"/>
        <w:left w:val="none" w:sz="0" w:space="0" w:color="auto"/>
        <w:bottom w:val="none" w:sz="0" w:space="0" w:color="auto"/>
        <w:right w:val="none" w:sz="0" w:space="0" w:color="auto"/>
      </w:divBdr>
    </w:div>
    <w:div w:id="1703090899">
      <w:marLeft w:val="0"/>
      <w:marRight w:val="0"/>
      <w:marTop w:val="100"/>
      <w:marBottom w:val="180"/>
      <w:divBdr>
        <w:top w:val="none" w:sz="0" w:space="0" w:color="auto"/>
        <w:left w:val="none" w:sz="0" w:space="0" w:color="auto"/>
        <w:bottom w:val="none" w:sz="0" w:space="0" w:color="auto"/>
        <w:right w:val="none" w:sz="0" w:space="0" w:color="auto"/>
      </w:divBdr>
    </w:div>
    <w:div w:id="1703288796">
      <w:marLeft w:val="0"/>
      <w:marRight w:val="0"/>
      <w:marTop w:val="0"/>
      <w:marBottom w:val="180"/>
      <w:divBdr>
        <w:top w:val="none" w:sz="0" w:space="0" w:color="auto"/>
        <w:left w:val="none" w:sz="0" w:space="0" w:color="auto"/>
        <w:bottom w:val="none" w:sz="0" w:space="0" w:color="auto"/>
        <w:right w:val="none" w:sz="0" w:space="0" w:color="auto"/>
      </w:divBdr>
    </w:div>
    <w:div w:id="1704356223">
      <w:marLeft w:val="0"/>
      <w:marRight w:val="0"/>
      <w:marTop w:val="0"/>
      <w:marBottom w:val="0"/>
      <w:divBdr>
        <w:top w:val="none" w:sz="0" w:space="0" w:color="auto"/>
        <w:left w:val="none" w:sz="0" w:space="0" w:color="auto"/>
        <w:bottom w:val="none" w:sz="0" w:space="0" w:color="auto"/>
        <w:right w:val="none" w:sz="0" w:space="0" w:color="auto"/>
      </w:divBdr>
    </w:div>
    <w:div w:id="1704398479">
      <w:marLeft w:val="0"/>
      <w:marRight w:val="0"/>
      <w:marTop w:val="0"/>
      <w:marBottom w:val="0"/>
      <w:divBdr>
        <w:top w:val="none" w:sz="0" w:space="0" w:color="auto"/>
        <w:left w:val="none" w:sz="0" w:space="0" w:color="auto"/>
        <w:bottom w:val="none" w:sz="0" w:space="0" w:color="auto"/>
        <w:right w:val="none" w:sz="0" w:space="0" w:color="auto"/>
      </w:divBdr>
    </w:div>
    <w:div w:id="1704595534">
      <w:marLeft w:val="0"/>
      <w:marRight w:val="0"/>
      <w:marTop w:val="0"/>
      <w:marBottom w:val="240"/>
      <w:divBdr>
        <w:top w:val="none" w:sz="0" w:space="0" w:color="auto"/>
        <w:left w:val="none" w:sz="0" w:space="0" w:color="auto"/>
        <w:bottom w:val="none" w:sz="0" w:space="0" w:color="auto"/>
        <w:right w:val="none" w:sz="0" w:space="0" w:color="auto"/>
      </w:divBdr>
    </w:div>
    <w:div w:id="1705640922">
      <w:marLeft w:val="0"/>
      <w:marRight w:val="0"/>
      <w:marTop w:val="0"/>
      <w:marBottom w:val="0"/>
      <w:divBdr>
        <w:top w:val="none" w:sz="0" w:space="0" w:color="auto"/>
        <w:left w:val="none" w:sz="0" w:space="0" w:color="auto"/>
        <w:bottom w:val="none" w:sz="0" w:space="0" w:color="auto"/>
        <w:right w:val="none" w:sz="0" w:space="0" w:color="auto"/>
      </w:divBdr>
    </w:div>
    <w:div w:id="1705711591">
      <w:marLeft w:val="0"/>
      <w:marRight w:val="0"/>
      <w:marTop w:val="0"/>
      <w:marBottom w:val="240"/>
      <w:divBdr>
        <w:top w:val="none" w:sz="0" w:space="0" w:color="auto"/>
        <w:left w:val="none" w:sz="0" w:space="0" w:color="auto"/>
        <w:bottom w:val="none" w:sz="0" w:space="0" w:color="auto"/>
        <w:right w:val="none" w:sz="0" w:space="0" w:color="auto"/>
      </w:divBdr>
    </w:div>
    <w:div w:id="1705903753">
      <w:marLeft w:val="0"/>
      <w:marRight w:val="0"/>
      <w:marTop w:val="120"/>
      <w:marBottom w:val="60"/>
      <w:divBdr>
        <w:top w:val="none" w:sz="0" w:space="0" w:color="auto"/>
        <w:left w:val="none" w:sz="0" w:space="0" w:color="auto"/>
        <w:bottom w:val="none" w:sz="0" w:space="0" w:color="auto"/>
        <w:right w:val="none" w:sz="0" w:space="0" w:color="auto"/>
      </w:divBdr>
    </w:div>
    <w:div w:id="1706061589">
      <w:marLeft w:val="0"/>
      <w:marRight w:val="0"/>
      <w:marTop w:val="120"/>
      <w:marBottom w:val="180"/>
      <w:divBdr>
        <w:top w:val="none" w:sz="0" w:space="0" w:color="auto"/>
        <w:left w:val="none" w:sz="0" w:space="0" w:color="auto"/>
        <w:bottom w:val="none" w:sz="0" w:space="0" w:color="auto"/>
        <w:right w:val="none" w:sz="0" w:space="0" w:color="auto"/>
      </w:divBdr>
    </w:div>
    <w:div w:id="1708990102">
      <w:marLeft w:val="0"/>
      <w:marRight w:val="0"/>
      <w:marTop w:val="120"/>
      <w:marBottom w:val="120"/>
      <w:divBdr>
        <w:top w:val="none" w:sz="0" w:space="0" w:color="auto"/>
        <w:left w:val="none" w:sz="0" w:space="0" w:color="auto"/>
        <w:bottom w:val="none" w:sz="0" w:space="0" w:color="auto"/>
        <w:right w:val="none" w:sz="0" w:space="0" w:color="auto"/>
      </w:divBdr>
    </w:div>
    <w:div w:id="1710183069">
      <w:marLeft w:val="0"/>
      <w:marRight w:val="0"/>
      <w:marTop w:val="120"/>
      <w:marBottom w:val="120"/>
      <w:divBdr>
        <w:top w:val="none" w:sz="0" w:space="0" w:color="auto"/>
        <w:left w:val="none" w:sz="0" w:space="0" w:color="auto"/>
        <w:bottom w:val="none" w:sz="0" w:space="0" w:color="auto"/>
        <w:right w:val="none" w:sz="0" w:space="0" w:color="auto"/>
      </w:divBdr>
    </w:div>
    <w:div w:id="1715082295">
      <w:marLeft w:val="0"/>
      <w:marRight w:val="0"/>
      <w:marTop w:val="0"/>
      <w:marBottom w:val="180"/>
      <w:divBdr>
        <w:top w:val="none" w:sz="0" w:space="0" w:color="auto"/>
        <w:left w:val="none" w:sz="0" w:space="0" w:color="auto"/>
        <w:bottom w:val="none" w:sz="0" w:space="0" w:color="auto"/>
        <w:right w:val="none" w:sz="0" w:space="0" w:color="auto"/>
      </w:divBdr>
    </w:div>
    <w:div w:id="1715226736">
      <w:marLeft w:val="0"/>
      <w:marRight w:val="0"/>
      <w:marTop w:val="0"/>
      <w:marBottom w:val="0"/>
      <w:divBdr>
        <w:top w:val="none" w:sz="0" w:space="0" w:color="auto"/>
        <w:left w:val="none" w:sz="0" w:space="0" w:color="auto"/>
        <w:bottom w:val="none" w:sz="0" w:space="0" w:color="auto"/>
        <w:right w:val="none" w:sz="0" w:space="0" w:color="auto"/>
      </w:divBdr>
      <w:divsChild>
        <w:div w:id="781999440">
          <w:marLeft w:val="0"/>
          <w:marRight w:val="0"/>
          <w:marTop w:val="0"/>
          <w:marBottom w:val="0"/>
          <w:divBdr>
            <w:top w:val="none" w:sz="0" w:space="0" w:color="auto"/>
            <w:left w:val="none" w:sz="0" w:space="0" w:color="auto"/>
            <w:bottom w:val="none" w:sz="0" w:space="0" w:color="auto"/>
            <w:right w:val="none" w:sz="0" w:space="0" w:color="auto"/>
          </w:divBdr>
        </w:div>
      </w:divsChild>
    </w:div>
    <w:div w:id="1715496943">
      <w:marLeft w:val="0"/>
      <w:marRight w:val="0"/>
      <w:marTop w:val="0"/>
      <w:marBottom w:val="180"/>
      <w:divBdr>
        <w:top w:val="none" w:sz="0" w:space="0" w:color="auto"/>
        <w:left w:val="none" w:sz="0" w:space="0" w:color="auto"/>
        <w:bottom w:val="none" w:sz="0" w:space="0" w:color="auto"/>
        <w:right w:val="none" w:sz="0" w:space="0" w:color="auto"/>
      </w:divBdr>
    </w:div>
    <w:div w:id="1716537603">
      <w:marLeft w:val="0"/>
      <w:marRight w:val="0"/>
      <w:marTop w:val="0"/>
      <w:marBottom w:val="0"/>
      <w:divBdr>
        <w:top w:val="none" w:sz="0" w:space="0" w:color="auto"/>
        <w:left w:val="none" w:sz="0" w:space="0" w:color="auto"/>
        <w:bottom w:val="none" w:sz="0" w:space="0" w:color="auto"/>
        <w:right w:val="none" w:sz="0" w:space="0" w:color="auto"/>
      </w:divBdr>
      <w:divsChild>
        <w:div w:id="675234206">
          <w:marLeft w:val="0"/>
          <w:marRight w:val="0"/>
          <w:marTop w:val="0"/>
          <w:marBottom w:val="0"/>
          <w:divBdr>
            <w:top w:val="none" w:sz="0" w:space="0" w:color="auto"/>
            <w:left w:val="none" w:sz="0" w:space="0" w:color="auto"/>
            <w:bottom w:val="none" w:sz="0" w:space="0" w:color="auto"/>
            <w:right w:val="none" w:sz="0" w:space="0" w:color="auto"/>
          </w:divBdr>
        </w:div>
      </w:divsChild>
    </w:div>
    <w:div w:id="1716927154">
      <w:marLeft w:val="0"/>
      <w:marRight w:val="0"/>
      <w:marTop w:val="180"/>
      <w:marBottom w:val="180"/>
      <w:divBdr>
        <w:top w:val="none" w:sz="0" w:space="0" w:color="auto"/>
        <w:left w:val="none" w:sz="0" w:space="0" w:color="auto"/>
        <w:bottom w:val="none" w:sz="0" w:space="0" w:color="auto"/>
        <w:right w:val="none" w:sz="0" w:space="0" w:color="auto"/>
      </w:divBdr>
    </w:div>
    <w:div w:id="1716999786">
      <w:marLeft w:val="0"/>
      <w:marRight w:val="0"/>
      <w:marTop w:val="0"/>
      <w:marBottom w:val="0"/>
      <w:divBdr>
        <w:top w:val="none" w:sz="0" w:space="0" w:color="auto"/>
        <w:left w:val="none" w:sz="0" w:space="0" w:color="auto"/>
        <w:bottom w:val="none" w:sz="0" w:space="0" w:color="auto"/>
        <w:right w:val="none" w:sz="0" w:space="0" w:color="auto"/>
      </w:divBdr>
      <w:divsChild>
        <w:div w:id="1155343121">
          <w:marLeft w:val="0"/>
          <w:marRight w:val="0"/>
          <w:marTop w:val="0"/>
          <w:marBottom w:val="0"/>
          <w:divBdr>
            <w:top w:val="none" w:sz="0" w:space="0" w:color="auto"/>
            <w:left w:val="none" w:sz="0" w:space="0" w:color="auto"/>
            <w:bottom w:val="none" w:sz="0" w:space="0" w:color="auto"/>
            <w:right w:val="none" w:sz="0" w:space="0" w:color="auto"/>
          </w:divBdr>
        </w:div>
      </w:divsChild>
    </w:div>
    <w:div w:id="1717043529">
      <w:marLeft w:val="0"/>
      <w:marRight w:val="0"/>
      <w:marTop w:val="120"/>
      <w:marBottom w:val="120"/>
      <w:divBdr>
        <w:top w:val="none" w:sz="0" w:space="0" w:color="auto"/>
        <w:left w:val="none" w:sz="0" w:space="0" w:color="auto"/>
        <w:bottom w:val="none" w:sz="0" w:space="0" w:color="auto"/>
        <w:right w:val="none" w:sz="0" w:space="0" w:color="auto"/>
      </w:divBdr>
    </w:div>
    <w:div w:id="1717506518">
      <w:marLeft w:val="0"/>
      <w:marRight w:val="0"/>
      <w:marTop w:val="0"/>
      <w:marBottom w:val="180"/>
      <w:divBdr>
        <w:top w:val="none" w:sz="0" w:space="0" w:color="auto"/>
        <w:left w:val="none" w:sz="0" w:space="0" w:color="auto"/>
        <w:bottom w:val="none" w:sz="0" w:space="0" w:color="auto"/>
        <w:right w:val="none" w:sz="0" w:space="0" w:color="auto"/>
      </w:divBdr>
    </w:div>
    <w:div w:id="1718317219">
      <w:marLeft w:val="0"/>
      <w:marRight w:val="0"/>
      <w:marTop w:val="180"/>
      <w:marBottom w:val="180"/>
      <w:divBdr>
        <w:top w:val="none" w:sz="0" w:space="0" w:color="auto"/>
        <w:left w:val="none" w:sz="0" w:space="0" w:color="auto"/>
        <w:bottom w:val="none" w:sz="0" w:space="0" w:color="auto"/>
        <w:right w:val="none" w:sz="0" w:space="0" w:color="auto"/>
      </w:divBdr>
    </w:div>
    <w:div w:id="1718969252">
      <w:marLeft w:val="0"/>
      <w:marRight w:val="0"/>
      <w:marTop w:val="0"/>
      <w:marBottom w:val="240"/>
      <w:divBdr>
        <w:top w:val="none" w:sz="0" w:space="0" w:color="auto"/>
        <w:left w:val="none" w:sz="0" w:space="0" w:color="auto"/>
        <w:bottom w:val="none" w:sz="0" w:space="0" w:color="auto"/>
        <w:right w:val="none" w:sz="0" w:space="0" w:color="auto"/>
      </w:divBdr>
    </w:div>
    <w:div w:id="1719822654">
      <w:marLeft w:val="0"/>
      <w:marRight w:val="0"/>
      <w:marTop w:val="180"/>
      <w:marBottom w:val="180"/>
      <w:divBdr>
        <w:top w:val="none" w:sz="0" w:space="0" w:color="auto"/>
        <w:left w:val="none" w:sz="0" w:space="0" w:color="auto"/>
        <w:bottom w:val="none" w:sz="0" w:space="0" w:color="auto"/>
        <w:right w:val="none" w:sz="0" w:space="0" w:color="auto"/>
      </w:divBdr>
    </w:div>
    <w:div w:id="1720200743">
      <w:marLeft w:val="0"/>
      <w:marRight w:val="0"/>
      <w:marTop w:val="180"/>
      <w:marBottom w:val="180"/>
      <w:divBdr>
        <w:top w:val="none" w:sz="0" w:space="0" w:color="auto"/>
        <w:left w:val="none" w:sz="0" w:space="0" w:color="auto"/>
        <w:bottom w:val="none" w:sz="0" w:space="0" w:color="auto"/>
        <w:right w:val="none" w:sz="0" w:space="0" w:color="auto"/>
      </w:divBdr>
    </w:div>
    <w:div w:id="1720275372">
      <w:marLeft w:val="0"/>
      <w:marRight w:val="0"/>
      <w:marTop w:val="0"/>
      <w:marBottom w:val="240"/>
      <w:divBdr>
        <w:top w:val="none" w:sz="0" w:space="0" w:color="auto"/>
        <w:left w:val="none" w:sz="0" w:space="0" w:color="auto"/>
        <w:bottom w:val="none" w:sz="0" w:space="0" w:color="auto"/>
        <w:right w:val="none" w:sz="0" w:space="0" w:color="auto"/>
      </w:divBdr>
    </w:div>
    <w:div w:id="1720593960">
      <w:marLeft w:val="0"/>
      <w:marRight w:val="0"/>
      <w:marTop w:val="0"/>
      <w:marBottom w:val="0"/>
      <w:divBdr>
        <w:top w:val="none" w:sz="0" w:space="0" w:color="auto"/>
        <w:left w:val="none" w:sz="0" w:space="0" w:color="auto"/>
        <w:bottom w:val="none" w:sz="0" w:space="0" w:color="auto"/>
        <w:right w:val="none" w:sz="0" w:space="0" w:color="auto"/>
      </w:divBdr>
    </w:div>
    <w:div w:id="1721249462">
      <w:marLeft w:val="0"/>
      <w:marRight w:val="0"/>
      <w:marTop w:val="0"/>
      <w:marBottom w:val="240"/>
      <w:divBdr>
        <w:top w:val="none" w:sz="0" w:space="0" w:color="auto"/>
        <w:left w:val="none" w:sz="0" w:space="0" w:color="auto"/>
        <w:bottom w:val="none" w:sz="0" w:space="0" w:color="auto"/>
        <w:right w:val="none" w:sz="0" w:space="0" w:color="auto"/>
      </w:divBdr>
    </w:div>
    <w:div w:id="1722973337">
      <w:marLeft w:val="0"/>
      <w:marRight w:val="0"/>
      <w:marTop w:val="180"/>
      <w:marBottom w:val="180"/>
      <w:divBdr>
        <w:top w:val="none" w:sz="0" w:space="0" w:color="auto"/>
        <w:left w:val="none" w:sz="0" w:space="0" w:color="auto"/>
        <w:bottom w:val="none" w:sz="0" w:space="0" w:color="auto"/>
        <w:right w:val="none" w:sz="0" w:space="0" w:color="auto"/>
      </w:divBdr>
    </w:div>
    <w:div w:id="1724330021">
      <w:marLeft w:val="0"/>
      <w:marRight w:val="0"/>
      <w:marTop w:val="0"/>
      <w:marBottom w:val="0"/>
      <w:divBdr>
        <w:top w:val="none" w:sz="0" w:space="0" w:color="auto"/>
        <w:left w:val="none" w:sz="0" w:space="0" w:color="auto"/>
        <w:bottom w:val="none" w:sz="0" w:space="0" w:color="auto"/>
        <w:right w:val="none" w:sz="0" w:space="0" w:color="auto"/>
      </w:divBdr>
      <w:divsChild>
        <w:div w:id="759256590">
          <w:marLeft w:val="0"/>
          <w:marRight w:val="0"/>
          <w:marTop w:val="0"/>
          <w:marBottom w:val="0"/>
          <w:divBdr>
            <w:top w:val="none" w:sz="0" w:space="0" w:color="auto"/>
            <w:left w:val="none" w:sz="0" w:space="0" w:color="auto"/>
            <w:bottom w:val="none" w:sz="0" w:space="0" w:color="auto"/>
            <w:right w:val="none" w:sz="0" w:space="0" w:color="auto"/>
          </w:divBdr>
          <w:divsChild>
            <w:div w:id="5521575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4794704">
      <w:marLeft w:val="0"/>
      <w:marRight w:val="0"/>
      <w:marTop w:val="0"/>
      <w:marBottom w:val="0"/>
      <w:divBdr>
        <w:top w:val="none" w:sz="0" w:space="0" w:color="auto"/>
        <w:left w:val="none" w:sz="0" w:space="0" w:color="auto"/>
        <w:bottom w:val="none" w:sz="0" w:space="0" w:color="auto"/>
        <w:right w:val="none" w:sz="0" w:space="0" w:color="auto"/>
      </w:divBdr>
    </w:div>
    <w:div w:id="1725716484">
      <w:marLeft w:val="0"/>
      <w:marRight w:val="0"/>
      <w:marTop w:val="120"/>
      <w:marBottom w:val="240"/>
      <w:divBdr>
        <w:top w:val="none" w:sz="0" w:space="0" w:color="auto"/>
        <w:left w:val="none" w:sz="0" w:space="0" w:color="auto"/>
        <w:bottom w:val="none" w:sz="0" w:space="0" w:color="auto"/>
        <w:right w:val="none" w:sz="0" w:space="0" w:color="auto"/>
      </w:divBdr>
    </w:div>
    <w:div w:id="1725791017">
      <w:marLeft w:val="0"/>
      <w:marRight w:val="0"/>
      <w:marTop w:val="0"/>
      <w:marBottom w:val="0"/>
      <w:divBdr>
        <w:top w:val="none" w:sz="0" w:space="0" w:color="auto"/>
        <w:left w:val="none" w:sz="0" w:space="0" w:color="auto"/>
        <w:bottom w:val="none" w:sz="0" w:space="0" w:color="auto"/>
        <w:right w:val="none" w:sz="0" w:space="0" w:color="auto"/>
      </w:divBdr>
      <w:divsChild>
        <w:div w:id="811992400">
          <w:marLeft w:val="0"/>
          <w:marRight w:val="0"/>
          <w:marTop w:val="0"/>
          <w:marBottom w:val="0"/>
          <w:divBdr>
            <w:top w:val="none" w:sz="0" w:space="0" w:color="auto"/>
            <w:left w:val="none" w:sz="0" w:space="0" w:color="auto"/>
            <w:bottom w:val="none" w:sz="0" w:space="0" w:color="auto"/>
            <w:right w:val="none" w:sz="0" w:space="0" w:color="auto"/>
          </w:divBdr>
        </w:div>
      </w:divsChild>
    </w:div>
    <w:div w:id="1726219467">
      <w:marLeft w:val="0"/>
      <w:marRight w:val="0"/>
      <w:marTop w:val="120"/>
      <w:marBottom w:val="120"/>
      <w:divBdr>
        <w:top w:val="none" w:sz="0" w:space="0" w:color="auto"/>
        <w:left w:val="none" w:sz="0" w:space="0" w:color="auto"/>
        <w:bottom w:val="none" w:sz="0" w:space="0" w:color="auto"/>
        <w:right w:val="none" w:sz="0" w:space="0" w:color="auto"/>
      </w:divBdr>
    </w:div>
    <w:div w:id="1726224261">
      <w:marLeft w:val="0"/>
      <w:marRight w:val="0"/>
      <w:marTop w:val="0"/>
      <w:marBottom w:val="240"/>
      <w:divBdr>
        <w:top w:val="none" w:sz="0" w:space="0" w:color="auto"/>
        <w:left w:val="none" w:sz="0" w:space="0" w:color="auto"/>
        <w:bottom w:val="none" w:sz="0" w:space="0" w:color="auto"/>
        <w:right w:val="none" w:sz="0" w:space="0" w:color="auto"/>
      </w:divBdr>
    </w:div>
    <w:div w:id="1727878813">
      <w:marLeft w:val="0"/>
      <w:marRight w:val="0"/>
      <w:marTop w:val="120"/>
      <w:marBottom w:val="120"/>
      <w:divBdr>
        <w:top w:val="none" w:sz="0" w:space="0" w:color="auto"/>
        <w:left w:val="none" w:sz="0" w:space="0" w:color="auto"/>
        <w:bottom w:val="none" w:sz="0" w:space="0" w:color="auto"/>
        <w:right w:val="none" w:sz="0" w:space="0" w:color="auto"/>
      </w:divBdr>
    </w:div>
    <w:div w:id="1728801370">
      <w:marLeft w:val="0"/>
      <w:marRight w:val="0"/>
      <w:marTop w:val="0"/>
      <w:marBottom w:val="240"/>
      <w:divBdr>
        <w:top w:val="none" w:sz="0" w:space="0" w:color="auto"/>
        <w:left w:val="none" w:sz="0" w:space="0" w:color="auto"/>
        <w:bottom w:val="none" w:sz="0" w:space="0" w:color="auto"/>
        <w:right w:val="none" w:sz="0" w:space="0" w:color="auto"/>
      </w:divBdr>
    </w:div>
    <w:div w:id="1728844243">
      <w:marLeft w:val="0"/>
      <w:marRight w:val="0"/>
      <w:marTop w:val="0"/>
      <w:marBottom w:val="240"/>
      <w:divBdr>
        <w:top w:val="none" w:sz="0" w:space="0" w:color="auto"/>
        <w:left w:val="none" w:sz="0" w:space="0" w:color="auto"/>
        <w:bottom w:val="none" w:sz="0" w:space="0" w:color="auto"/>
        <w:right w:val="none" w:sz="0" w:space="0" w:color="auto"/>
      </w:divBdr>
    </w:div>
    <w:div w:id="1729303574">
      <w:marLeft w:val="0"/>
      <w:marRight w:val="0"/>
      <w:marTop w:val="0"/>
      <w:marBottom w:val="0"/>
      <w:divBdr>
        <w:top w:val="none" w:sz="0" w:space="0" w:color="auto"/>
        <w:left w:val="none" w:sz="0" w:space="0" w:color="auto"/>
        <w:bottom w:val="none" w:sz="0" w:space="0" w:color="auto"/>
        <w:right w:val="none" w:sz="0" w:space="0" w:color="auto"/>
      </w:divBdr>
      <w:divsChild>
        <w:div w:id="1608391081">
          <w:marLeft w:val="0"/>
          <w:marRight w:val="0"/>
          <w:marTop w:val="0"/>
          <w:marBottom w:val="0"/>
          <w:divBdr>
            <w:top w:val="none" w:sz="0" w:space="0" w:color="auto"/>
            <w:left w:val="none" w:sz="0" w:space="0" w:color="auto"/>
            <w:bottom w:val="none" w:sz="0" w:space="0" w:color="auto"/>
            <w:right w:val="none" w:sz="0" w:space="0" w:color="auto"/>
          </w:divBdr>
        </w:div>
      </w:divsChild>
    </w:div>
    <w:div w:id="1729451731">
      <w:marLeft w:val="0"/>
      <w:marRight w:val="0"/>
      <w:marTop w:val="0"/>
      <w:marBottom w:val="240"/>
      <w:divBdr>
        <w:top w:val="none" w:sz="0" w:space="0" w:color="auto"/>
        <w:left w:val="none" w:sz="0" w:space="0" w:color="auto"/>
        <w:bottom w:val="none" w:sz="0" w:space="0" w:color="auto"/>
        <w:right w:val="none" w:sz="0" w:space="0" w:color="auto"/>
      </w:divBdr>
    </w:div>
    <w:div w:id="1729456791">
      <w:marLeft w:val="0"/>
      <w:marRight w:val="0"/>
      <w:marTop w:val="0"/>
      <w:marBottom w:val="60"/>
      <w:divBdr>
        <w:top w:val="none" w:sz="0" w:space="0" w:color="auto"/>
        <w:left w:val="none" w:sz="0" w:space="0" w:color="auto"/>
        <w:bottom w:val="none" w:sz="0" w:space="0" w:color="auto"/>
        <w:right w:val="none" w:sz="0" w:space="0" w:color="auto"/>
      </w:divBdr>
    </w:div>
    <w:div w:id="1732077993">
      <w:marLeft w:val="0"/>
      <w:marRight w:val="0"/>
      <w:marTop w:val="0"/>
      <w:marBottom w:val="0"/>
      <w:divBdr>
        <w:top w:val="none" w:sz="0" w:space="0" w:color="auto"/>
        <w:left w:val="none" w:sz="0" w:space="0" w:color="auto"/>
        <w:bottom w:val="none" w:sz="0" w:space="0" w:color="auto"/>
        <w:right w:val="none" w:sz="0" w:space="0" w:color="auto"/>
      </w:divBdr>
    </w:div>
    <w:div w:id="1732577219">
      <w:marLeft w:val="0"/>
      <w:marRight w:val="0"/>
      <w:marTop w:val="0"/>
      <w:marBottom w:val="0"/>
      <w:divBdr>
        <w:top w:val="none" w:sz="0" w:space="0" w:color="auto"/>
        <w:left w:val="none" w:sz="0" w:space="0" w:color="auto"/>
        <w:bottom w:val="none" w:sz="0" w:space="0" w:color="auto"/>
        <w:right w:val="none" w:sz="0" w:space="0" w:color="auto"/>
      </w:divBdr>
      <w:divsChild>
        <w:div w:id="468976543">
          <w:marLeft w:val="0"/>
          <w:marRight w:val="0"/>
          <w:marTop w:val="0"/>
          <w:marBottom w:val="0"/>
          <w:divBdr>
            <w:top w:val="none" w:sz="0" w:space="0" w:color="auto"/>
            <w:left w:val="none" w:sz="0" w:space="0" w:color="auto"/>
            <w:bottom w:val="none" w:sz="0" w:space="0" w:color="auto"/>
            <w:right w:val="none" w:sz="0" w:space="0" w:color="auto"/>
          </w:divBdr>
        </w:div>
      </w:divsChild>
    </w:div>
    <w:div w:id="1734229573">
      <w:marLeft w:val="0"/>
      <w:marRight w:val="0"/>
      <w:marTop w:val="0"/>
      <w:marBottom w:val="240"/>
      <w:divBdr>
        <w:top w:val="none" w:sz="0" w:space="0" w:color="auto"/>
        <w:left w:val="none" w:sz="0" w:space="0" w:color="auto"/>
        <w:bottom w:val="none" w:sz="0" w:space="0" w:color="auto"/>
        <w:right w:val="none" w:sz="0" w:space="0" w:color="auto"/>
      </w:divBdr>
    </w:div>
    <w:div w:id="1737437280">
      <w:marLeft w:val="0"/>
      <w:marRight w:val="0"/>
      <w:marTop w:val="0"/>
      <w:marBottom w:val="0"/>
      <w:divBdr>
        <w:top w:val="none" w:sz="0" w:space="0" w:color="auto"/>
        <w:left w:val="none" w:sz="0" w:space="0" w:color="auto"/>
        <w:bottom w:val="none" w:sz="0" w:space="0" w:color="auto"/>
        <w:right w:val="none" w:sz="0" w:space="0" w:color="auto"/>
      </w:divBdr>
    </w:div>
    <w:div w:id="1737707068">
      <w:marLeft w:val="0"/>
      <w:marRight w:val="0"/>
      <w:marTop w:val="0"/>
      <w:marBottom w:val="180"/>
      <w:divBdr>
        <w:top w:val="none" w:sz="0" w:space="0" w:color="auto"/>
        <w:left w:val="none" w:sz="0" w:space="0" w:color="auto"/>
        <w:bottom w:val="none" w:sz="0" w:space="0" w:color="auto"/>
        <w:right w:val="none" w:sz="0" w:space="0" w:color="auto"/>
      </w:divBdr>
    </w:div>
    <w:div w:id="1739160155">
      <w:marLeft w:val="0"/>
      <w:marRight w:val="0"/>
      <w:marTop w:val="0"/>
      <w:marBottom w:val="0"/>
      <w:divBdr>
        <w:top w:val="none" w:sz="0" w:space="0" w:color="auto"/>
        <w:left w:val="none" w:sz="0" w:space="0" w:color="auto"/>
        <w:bottom w:val="none" w:sz="0" w:space="0" w:color="auto"/>
        <w:right w:val="none" w:sz="0" w:space="0" w:color="auto"/>
      </w:divBdr>
      <w:divsChild>
        <w:div w:id="1493720850">
          <w:marLeft w:val="0"/>
          <w:marRight w:val="0"/>
          <w:marTop w:val="0"/>
          <w:marBottom w:val="0"/>
          <w:divBdr>
            <w:top w:val="none" w:sz="0" w:space="0" w:color="auto"/>
            <w:left w:val="none" w:sz="0" w:space="0" w:color="auto"/>
            <w:bottom w:val="none" w:sz="0" w:space="0" w:color="auto"/>
            <w:right w:val="none" w:sz="0" w:space="0" w:color="auto"/>
          </w:divBdr>
        </w:div>
      </w:divsChild>
    </w:div>
    <w:div w:id="1739551291">
      <w:marLeft w:val="0"/>
      <w:marRight w:val="0"/>
      <w:marTop w:val="0"/>
      <w:marBottom w:val="0"/>
      <w:divBdr>
        <w:top w:val="none" w:sz="0" w:space="0" w:color="auto"/>
        <w:left w:val="none" w:sz="0" w:space="0" w:color="auto"/>
        <w:bottom w:val="none" w:sz="0" w:space="0" w:color="auto"/>
        <w:right w:val="none" w:sz="0" w:space="0" w:color="auto"/>
      </w:divBdr>
    </w:div>
    <w:div w:id="1739785300">
      <w:marLeft w:val="0"/>
      <w:marRight w:val="0"/>
      <w:marTop w:val="0"/>
      <w:marBottom w:val="180"/>
      <w:divBdr>
        <w:top w:val="none" w:sz="0" w:space="0" w:color="auto"/>
        <w:left w:val="none" w:sz="0" w:space="0" w:color="auto"/>
        <w:bottom w:val="none" w:sz="0" w:space="0" w:color="auto"/>
        <w:right w:val="none" w:sz="0" w:space="0" w:color="auto"/>
      </w:divBdr>
    </w:div>
    <w:div w:id="1740208960">
      <w:marLeft w:val="0"/>
      <w:marRight w:val="0"/>
      <w:marTop w:val="0"/>
      <w:marBottom w:val="180"/>
      <w:divBdr>
        <w:top w:val="none" w:sz="0" w:space="0" w:color="auto"/>
        <w:left w:val="none" w:sz="0" w:space="0" w:color="auto"/>
        <w:bottom w:val="none" w:sz="0" w:space="0" w:color="auto"/>
        <w:right w:val="none" w:sz="0" w:space="0" w:color="auto"/>
      </w:divBdr>
    </w:div>
    <w:div w:id="1740247893">
      <w:marLeft w:val="0"/>
      <w:marRight w:val="0"/>
      <w:marTop w:val="0"/>
      <w:marBottom w:val="0"/>
      <w:divBdr>
        <w:top w:val="none" w:sz="0" w:space="0" w:color="auto"/>
        <w:left w:val="none" w:sz="0" w:space="0" w:color="auto"/>
        <w:bottom w:val="none" w:sz="0" w:space="0" w:color="auto"/>
        <w:right w:val="none" w:sz="0" w:space="0" w:color="auto"/>
      </w:divBdr>
    </w:div>
    <w:div w:id="1740783141">
      <w:marLeft w:val="0"/>
      <w:marRight w:val="0"/>
      <w:marTop w:val="0"/>
      <w:marBottom w:val="0"/>
      <w:divBdr>
        <w:top w:val="none" w:sz="0" w:space="0" w:color="auto"/>
        <w:left w:val="none" w:sz="0" w:space="0" w:color="auto"/>
        <w:bottom w:val="none" w:sz="0" w:space="0" w:color="auto"/>
        <w:right w:val="none" w:sz="0" w:space="0" w:color="auto"/>
      </w:divBdr>
      <w:divsChild>
        <w:div w:id="1912540784">
          <w:marLeft w:val="0"/>
          <w:marRight w:val="0"/>
          <w:marTop w:val="0"/>
          <w:marBottom w:val="0"/>
          <w:divBdr>
            <w:top w:val="none" w:sz="0" w:space="0" w:color="auto"/>
            <w:left w:val="none" w:sz="0" w:space="0" w:color="auto"/>
            <w:bottom w:val="none" w:sz="0" w:space="0" w:color="auto"/>
            <w:right w:val="none" w:sz="0" w:space="0" w:color="auto"/>
          </w:divBdr>
        </w:div>
      </w:divsChild>
    </w:div>
    <w:div w:id="1741440633">
      <w:marLeft w:val="0"/>
      <w:marRight w:val="0"/>
      <w:marTop w:val="0"/>
      <w:marBottom w:val="0"/>
      <w:divBdr>
        <w:top w:val="none" w:sz="0" w:space="0" w:color="auto"/>
        <w:left w:val="none" w:sz="0" w:space="0" w:color="auto"/>
        <w:bottom w:val="none" w:sz="0" w:space="0" w:color="auto"/>
        <w:right w:val="none" w:sz="0" w:space="0" w:color="auto"/>
      </w:divBdr>
    </w:div>
    <w:div w:id="1742101068">
      <w:marLeft w:val="0"/>
      <w:marRight w:val="0"/>
      <w:marTop w:val="0"/>
      <w:marBottom w:val="240"/>
      <w:divBdr>
        <w:top w:val="none" w:sz="0" w:space="0" w:color="auto"/>
        <w:left w:val="none" w:sz="0" w:space="0" w:color="auto"/>
        <w:bottom w:val="none" w:sz="0" w:space="0" w:color="auto"/>
        <w:right w:val="none" w:sz="0" w:space="0" w:color="auto"/>
      </w:divBdr>
    </w:div>
    <w:div w:id="1742214066">
      <w:marLeft w:val="0"/>
      <w:marRight w:val="0"/>
      <w:marTop w:val="180"/>
      <w:marBottom w:val="180"/>
      <w:divBdr>
        <w:top w:val="none" w:sz="0" w:space="0" w:color="auto"/>
        <w:left w:val="none" w:sz="0" w:space="0" w:color="auto"/>
        <w:bottom w:val="none" w:sz="0" w:space="0" w:color="auto"/>
        <w:right w:val="none" w:sz="0" w:space="0" w:color="auto"/>
      </w:divBdr>
    </w:div>
    <w:div w:id="1744184149">
      <w:marLeft w:val="0"/>
      <w:marRight w:val="0"/>
      <w:marTop w:val="0"/>
      <w:marBottom w:val="180"/>
      <w:divBdr>
        <w:top w:val="none" w:sz="0" w:space="0" w:color="auto"/>
        <w:left w:val="none" w:sz="0" w:space="0" w:color="auto"/>
        <w:bottom w:val="none" w:sz="0" w:space="0" w:color="auto"/>
        <w:right w:val="none" w:sz="0" w:space="0" w:color="auto"/>
      </w:divBdr>
    </w:div>
    <w:div w:id="1745184831">
      <w:marLeft w:val="0"/>
      <w:marRight w:val="0"/>
      <w:marTop w:val="120"/>
      <w:marBottom w:val="120"/>
      <w:divBdr>
        <w:top w:val="none" w:sz="0" w:space="0" w:color="auto"/>
        <w:left w:val="none" w:sz="0" w:space="0" w:color="auto"/>
        <w:bottom w:val="none" w:sz="0" w:space="0" w:color="auto"/>
        <w:right w:val="none" w:sz="0" w:space="0" w:color="auto"/>
      </w:divBdr>
    </w:div>
    <w:div w:id="1746099657">
      <w:marLeft w:val="0"/>
      <w:marRight w:val="0"/>
      <w:marTop w:val="0"/>
      <w:marBottom w:val="180"/>
      <w:divBdr>
        <w:top w:val="none" w:sz="0" w:space="0" w:color="auto"/>
        <w:left w:val="none" w:sz="0" w:space="0" w:color="auto"/>
        <w:bottom w:val="none" w:sz="0" w:space="0" w:color="auto"/>
        <w:right w:val="none" w:sz="0" w:space="0" w:color="auto"/>
      </w:divBdr>
    </w:div>
    <w:div w:id="1746339526">
      <w:marLeft w:val="0"/>
      <w:marRight w:val="0"/>
      <w:marTop w:val="0"/>
      <w:marBottom w:val="180"/>
      <w:divBdr>
        <w:top w:val="none" w:sz="0" w:space="0" w:color="auto"/>
        <w:left w:val="none" w:sz="0" w:space="0" w:color="auto"/>
        <w:bottom w:val="none" w:sz="0" w:space="0" w:color="auto"/>
        <w:right w:val="none" w:sz="0" w:space="0" w:color="auto"/>
      </w:divBdr>
    </w:div>
    <w:div w:id="1749383415">
      <w:marLeft w:val="0"/>
      <w:marRight w:val="0"/>
      <w:marTop w:val="0"/>
      <w:marBottom w:val="240"/>
      <w:divBdr>
        <w:top w:val="none" w:sz="0" w:space="0" w:color="auto"/>
        <w:left w:val="none" w:sz="0" w:space="0" w:color="auto"/>
        <w:bottom w:val="none" w:sz="0" w:space="0" w:color="auto"/>
        <w:right w:val="none" w:sz="0" w:space="0" w:color="auto"/>
      </w:divBdr>
    </w:div>
    <w:div w:id="1749495743">
      <w:marLeft w:val="0"/>
      <w:marRight w:val="0"/>
      <w:marTop w:val="120"/>
      <w:marBottom w:val="120"/>
      <w:divBdr>
        <w:top w:val="none" w:sz="0" w:space="0" w:color="auto"/>
        <w:left w:val="none" w:sz="0" w:space="0" w:color="auto"/>
        <w:bottom w:val="none" w:sz="0" w:space="0" w:color="auto"/>
        <w:right w:val="none" w:sz="0" w:space="0" w:color="auto"/>
      </w:divBdr>
    </w:div>
    <w:div w:id="1753310862">
      <w:marLeft w:val="0"/>
      <w:marRight w:val="0"/>
      <w:marTop w:val="0"/>
      <w:marBottom w:val="240"/>
      <w:divBdr>
        <w:top w:val="none" w:sz="0" w:space="0" w:color="auto"/>
        <w:left w:val="none" w:sz="0" w:space="0" w:color="auto"/>
        <w:bottom w:val="none" w:sz="0" w:space="0" w:color="auto"/>
        <w:right w:val="none" w:sz="0" w:space="0" w:color="auto"/>
      </w:divBdr>
    </w:div>
    <w:div w:id="1754473742">
      <w:marLeft w:val="0"/>
      <w:marRight w:val="0"/>
      <w:marTop w:val="0"/>
      <w:marBottom w:val="180"/>
      <w:divBdr>
        <w:top w:val="none" w:sz="0" w:space="0" w:color="auto"/>
        <w:left w:val="none" w:sz="0" w:space="0" w:color="auto"/>
        <w:bottom w:val="none" w:sz="0" w:space="0" w:color="auto"/>
        <w:right w:val="none" w:sz="0" w:space="0" w:color="auto"/>
      </w:divBdr>
    </w:div>
    <w:div w:id="1755082395">
      <w:marLeft w:val="0"/>
      <w:marRight w:val="0"/>
      <w:marTop w:val="60"/>
      <w:marBottom w:val="60"/>
      <w:divBdr>
        <w:top w:val="none" w:sz="0" w:space="0" w:color="auto"/>
        <w:left w:val="none" w:sz="0" w:space="0" w:color="auto"/>
        <w:bottom w:val="none" w:sz="0" w:space="0" w:color="auto"/>
        <w:right w:val="none" w:sz="0" w:space="0" w:color="auto"/>
      </w:divBdr>
    </w:div>
    <w:div w:id="1756050710">
      <w:marLeft w:val="0"/>
      <w:marRight w:val="0"/>
      <w:marTop w:val="0"/>
      <w:marBottom w:val="180"/>
      <w:divBdr>
        <w:top w:val="none" w:sz="0" w:space="0" w:color="auto"/>
        <w:left w:val="none" w:sz="0" w:space="0" w:color="auto"/>
        <w:bottom w:val="none" w:sz="0" w:space="0" w:color="auto"/>
        <w:right w:val="none" w:sz="0" w:space="0" w:color="auto"/>
      </w:divBdr>
    </w:div>
    <w:div w:id="1756246768">
      <w:marLeft w:val="0"/>
      <w:marRight w:val="0"/>
      <w:marTop w:val="0"/>
      <w:marBottom w:val="0"/>
      <w:divBdr>
        <w:top w:val="none" w:sz="0" w:space="0" w:color="auto"/>
        <w:left w:val="none" w:sz="0" w:space="0" w:color="auto"/>
        <w:bottom w:val="none" w:sz="0" w:space="0" w:color="auto"/>
        <w:right w:val="none" w:sz="0" w:space="0" w:color="auto"/>
      </w:divBdr>
    </w:div>
    <w:div w:id="1756823695">
      <w:marLeft w:val="0"/>
      <w:marRight w:val="0"/>
      <w:marTop w:val="0"/>
      <w:marBottom w:val="180"/>
      <w:divBdr>
        <w:top w:val="none" w:sz="0" w:space="0" w:color="auto"/>
        <w:left w:val="none" w:sz="0" w:space="0" w:color="auto"/>
        <w:bottom w:val="none" w:sz="0" w:space="0" w:color="auto"/>
        <w:right w:val="none" w:sz="0" w:space="0" w:color="auto"/>
      </w:divBdr>
    </w:div>
    <w:div w:id="1757096926">
      <w:marLeft w:val="0"/>
      <w:marRight w:val="0"/>
      <w:marTop w:val="0"/>
      <w:marBottom w:val="180"/>
      <w:divBdr>
        <w:top w:val="none" w:sz="0" w:space="0" w:color="auto"/>
        <w:left w:val="none" w:sz="0" w:space="0" w:color="auto"/>
        <w:bottom w:val="none" w:sz="0" w:space="0" w:color="auto"/>
        <w:right w:val="none" w:sz="0" w:space="0" w:color="auto"/>
      </w:divBdr>
    </w:div>
    <w:div w:id="1757900106">
      <w:marLeft w:val="0"/>
      <w:marRight w:val="0"/>
      <w:marTop w:val="0"/>
      <w:marBottom w:val="0"/>
      <w:divBdr>
        <w:top w:val="none" w:sz="0" w:space="0" w:color="auto"/>
        <w:left w:val="none" w:sz="0" w:space="0" w:color="auto"/>
        <w:bottom w:val="none" w:sz="0" w:space="0" w:color="auto"/>
        <w:right w:val="none" w:sz="0" w:space="0" w:color="auto"/>
      </w:divBdr>
    </w:div>
    <w:div w:id="1758135094">
      <w:marLeft w:val="0"/>
      <w:marRight w:val="0"/>
      <w:marTop w:val="0"/>
      <w:marBottom w:val="0"/>
      <w:divBdr>
        <w:top w:val="none" w:sz="0" w:space="0" w:color="auto"/>
        <w:left w:val="none" w:sz="0" w:space="0" w:color="auto"/>
        <w:bottom w:val="none" w:sz="0" w:space="0" w:color="auto"/>
        <w:right w:val="none" w:sz="0" w:space="0" w:color="auto"/>
      </w:divBdr>
    </w:div>
    <w:div w:id="1758286098">
      <w:marLeft w:val="0"/>
      <w:marRight w:val="0"/>
      <w:marTop w:val="0"/>
      <w:marBottom w:val="0"/>
      <w:divBdr>
        <w:top w:val="none" w:sz="0" w:space="0" w:color="auto"/>
        <w:left w:val="none" w:sz="0" w:space="0" w:color="auto"/>
        <w:bottom w:val="none" w:sz="0" w:space="0" w:color="auto"/>
        <w:right w:val="none" w:sz="0" w:space="0" w:color="auto"/>
      </w:divBdr>
      <w:divsChild>
        <w:div w:id="1937010628">
          <w:marLeft w:val="0"/>
          <w:marRight w:val="0"/>
          <w:marTop w:val="0"/>
          <w:marBottom w:val="0"/>
          <w:divBdr>
            <w:top w:val="none" w:sz="0" w:space="0" w:color="auto"/>
            <w:left w:val="none" w:sz="0" w:space="0" w:color="auto"/>
            <w:bottom w:val="none" w:sz="0" w:space="0" w:color="auto"/>
            <w:right w:val="none" w:sz="0" w:space="0" w:color="auto"/>
          </w:divBdr>
        </w:div>
      </w:divsChild>
    </w:div>
    <w:div w:id="1758403009">
      <w:marLeft w:val="0"/>
      <w:marRight w:val="0"/>
      <w:marTop w:val="180"/>
      <w:marBottom w:val="180"/>
      <w:divBdr>
        <w:top w:val="none" w:sz="0" w:space="0" w:color="auto"/>
        <w:left w:val="none" w:sz="0" w:space="0" w:color="auto"/>
        <w:bottom w:val="none" w:sz="0" w:space="0" w:color="auto"/>
        <w:right w:val="none" w:sz="0" w:space="0" w:color="auto"/>
      </w:divBdr>
    </w:div>
    <w:div w:id="1758555975">
      <w:marLeft w:val="0"/>
      <w:marRight w:val="0"/>
      <w:marTop w:val="0"/>
      <w:marBottom w:val="180"/>
      <w:divBdr>
        <w:top w:val="none" w:sz="0" w:space="0" w:color="auto"/>
        <w:left w:val="none" w:sz="0" w:space="0" w:color="auto"/>
        <w:bottom w:val="none" w:sz="0" w:space="0" w:color="auto"/>
        <w:right w:val="none" w:sz="0" w:space="0" w:color="auto"/>
      </w:divBdr>
    </w:div>
    <w:div w:id="1758866776">
      <w:marLeft w:val="0"/>
      <w:marRight w:val="0"/>
      <w:marTop w:val="0"/>
      <w:marBottom w:val="240"/>
      <w:divBdr>
        <w:top w:val="none" w:sz="0" w:space="0" w:color="auto"/>
        <w:left w:val="none" w:sz="0" w:space="0" w:color="auto"/>
        <w:bottom w:val="none" w:sz="0" w:space="0" w:color="auto"/>
        <w:right w:val="none" w:sz="0" w:space="0" w:color="auto"/>
      </w:divBdr>
    </w:div>
    <w:div w:id="1758941141">
      <w:marLeft w:val="0"/>
      <w:marRight w:val="0"/>
      <w:marTop w:val="0"/>
      <w:marBottom w:val="0"/>
      <w:divBdr>
        <w:top w:val="none" w:sz="0" w:space="0" w:color="auto"/>
        <w:left w:val="none" w:sz="0" w:space="0" w:color="auto"/>
        <w:bottom w:val="none" w:sz="0" w:space="0" w:color="auto"/>
        <w:right w:val="none" w:sz="0" w:space="0" w:color="auto"/>
      </w:divBdr>
    </w:div>
    <w:div w:id="1759523306">
      <w:marLeft w:val="0"/>
      <w:marRight w:val="0"/>
      <w:marTop w:val="180"/>
      <w:marBottom w:val="180"/>
      <w:divBdr>
        <w:top w:val="none" w:sz="0" w:space="0" w:color="auto"/>
        <w:left w:val="none" w:sz="0" w:space="0" w:color="auto"/>
        <w:bottom w:val="none" w:sz="0" w:space="0" w:color="auto"/>
        <w:right w:val="none" w:sz="0" w:space="0" w:color="auto"/>
      </w:divBdr>
    </w:div>
    <w:div w:id="1759711811">
      <w:marLeft w:val="0"/>
      <w:marRight w:val="0"/>
      <w:marTop w:val="0"/>
      <w:marBottom w:val="0"/>
      <w:divBdr>
        <w:top w:val="none" w:sz="0" w:space="0" w:color="auto"/>
        <w:left w:val="none" w:sz="0" w:space="0" w:color="auto"/>
        <w:bottom w:val="none" w:sz="0" w:space="0" w:color="auto"/>
        <w:right w:val="none" w:sz="0" w:space="0" w:color="auto"/>
      </w:divBdr>
    </w:div>
    <w:div w:id="1759713202">
      <w:marLeft w:val="0"/>
      <w:marRight w:val="0"/>
      <w:marTop w:val="0"/>
      <w:marBottom w:val="0"/>
      <w:divBdr>
        <w:top w:val="none" w:sz="0" w:space="0" w:color="auto"/>
        <w:left w:val="none" w:sz="0" w:space="0" w:color="auto"/>
        <w:bottom w:val="none" w:sz="0" w:space="0" w:color="auto"/>
        <w:right w:val="none" w:sz="0" w:space="0" w:color="auto"/>
      </w:divBdr>
      <w:divsChild>
        <w:div w:id="105200097">
          <w:marLeft w:val="0"/>
          <w:marRight w:val="0"/>
          <w:marTop w:val="0"/>
          <w:marBottom w:val="0"/>
          <w:divBdr>
            <w:top w:val="none" w:sz="0" w:space="0" w:color="auto"/>
            <w:left w:val="none" w:sz="0" w:space="0" w:color="auto"/>
            <w:bottom w:val="none" w:sz="0" w:space="0" w:color="auto"/>
            <w:right w:val="none" w:sz="0" w:space="0" w:color="auto"/>
          </w:divBdr>
        </w:div>
        <w:div w:id="408164049">
          <w:marLeft w:val="0"/>
          <w:marRight w:val="0"/>
          <w:marTop w:val="0"/>
          <w:marBottom w:val="0"/>
          <w:divBdr>
            <w:top w:val="none" w:sz="0" w:space="0" w:color="auto"/>
            <w:left w:val="none" w:sz="0" w:space="0" w:color="auto"/>
            <w:bottom w:val="none" w:sz="0" w:space="0" w:color="auto"/>
            <w:right w:val="none" w:sz="0" w:space="0" w:color="auto"/>
          </w:divBdr>
        </w:div>
        <w:div w:id="1529490125">
          <w:marLeft w:val="0"/>
          <w:marRight w:val="0"/>
          <w:marTop w:val="0"/>
          <w:marBottom w:val="0"/>
          <w:divBdr>
            <w:top w:val="none" w:sz="0" w:space="0" w:color="auto"/>
            <w:left w:val="none" w:sz="0" w:space="0" w:color="auto"/>
            <w:bottom w:val="none" w:sz="0" w:space="0" w:color="auto"/>
            <w:right w:val="none" w:sz="0" w:space="0" w:color="auto"/>
          </w:divBdr>
        </w:div>
      </w:divsChild>
    </w:div>
    <w:div w:id="1759860719">
      <w:marLeft w:val="0"/>
      <w:marRight w:val="0"/>
      <w:marTop w:val="0"/>
      <w:marBottom w:val="180"/>
      <w:divBdr>
        <w:top w:val="none" w:sz="0" w:space="0" w:color="auto"/>
        <w:left w:val="none" w:sz="0" w:space="0" w:color="auto"/>
        <w:bottom w:val="none" w:sz="0" w:space="0" w:color="auto"/>
        <w:right w:val="none" w:sz="0" w:space="0" w:color="auto"/>
      </w:divBdr>
    </w:div>
    <w:div w:id="1762337769">
      <w:marLeft w:val="0"/>
      <w:marRight w:val="0"/>
      <w:marTop w:val="0"/>
      <w:marBottom w:val="180"/>
      <w:divBdr>
        <w:top w:val="none" w:sz="0" w:space="0" w:color="auto"/>
        <w:left w:val="none" w:sz="0" w:space="0" w:color="auto"/>
        <w:bottom w:val="none" w:sz="0" w:space="0" w:color="auto"/>
        <w:right w:val="none" w:sz="0" w:space="0" w:color="auto"/>
      </w:divBdr>
    </w:div>
    <w:div w:id="1763187413">
      <w:marLeft w:val="0"/>
      <w:marRight w:val="0"/>
      <w:marTop w:val="0"/>
      <w:marBottom w:val="180"/>
      <w:divBdr>
        <w:top w:val="none" w:sz="0" w:space="0" w:color="auto"/>
        <w:left w:val="none" w:sz="0" w:space="0" w:color="auto"/>
        <w:bottom w:val="none" w:sz="0" w:space="0" w:color="auto"/>
        <w:right w:val="none" w:sz="0" w:space="0" w:color="auto"/>
      </w:divBdr>
    </w:div>
    <w:div w:id="1763258275">
      <w:marLeft w:val="0"/>
      <w:marRight w:val="0"/>
      <w:marTop w:val="0"/>
      <w:marBottom w:val="0"/>
      <w:divBdr>
        <w:top w:val="none" w:sz="0" w:space="0" w:color="auto"/>
        <w:left w:val="none" w:sz="0" w:space="0" w:color="auto"/>
        <w:bottom w:val="none" w:sz="0" w:space="0" w:color="auto"/>
        <w:right w:val="none" w:sz="0" w:space="0" w:color="auto"/>
      </w:divBdr>
      <w:divsChild>
        <w:div w:id="1313438217">
          <w:marLeft w:val="0"/>
          <w:marRight w:val="0"/>
          <w:marTop w:val="0"/>
          <w:marBottom w:val="0"/>
          <w:divBdr>
            <w:top w:val="none" w:sz="0" w:space="0" w:color="auto"/>
            <w:left w:val="none" w:sz="0" w:space="0" w:color="auto"/>
            <w:bottom w:val="none" w:sz="0" w:space="0" w:color="auto"/>
            <w:right w:val="none" w:sz="0" w:space="0" w:color="auto"/>
          </w:divBdr>
        </w:div>
      </w:divsChild>
    </w:div>
    <w:div w:id="1764834027">
      <w:marLeft w:val="0"/>
      <w:marRight w:val="0"/>
      <w:marTop w:val="0"/>
      <w:marBottom w:val="240"/>
      <w:divBdr>
        <w:top w:val="none" w:sz="0" w:space="0" w:color="auto"/>
        <w:left w:val="none" w:sz="0" w:space="0" w:color="auto"/>
        <w:bottom w:val="none" w:sz="0" w:space="0" w:color="auto"/>
        <w:right w:val="none" w:sz="0" w:space="0" w:color="auto"/>
      </w:divBdr>
    </w:div>
    <w:div w:id="1765763755">
      <w:marLeft w:val="0"/>
      <w:marRight w:val="0"/>
      <w:marTop w:val="0"/>
      <w:marBottom w:val="180"/>
      <w:divBdr>
        <w:top w:val="none" w:sz="0" w:space="0" w:color="auto"/>
        <w:left w:val="none" w:sz="0" w:space="0" w:color="auto"/>
        <w:bottom w:val="none" w:sz="0" w:space="0" w:color="auto"/>
        <w:right w:val="none" w:sz="0" w:space="0" w:color="auto"/>
      </w:divBdr>
    </w:div>
    <w:div w:id="1765766350">
      <w:marLeft w:val="0"/>
      <w:marRight w:val="0"/>
      <w:marTop w:val="0"/>
      <w:marBottom w:val="0"/>
      <w:divBdr>
        <w:top w:val="none" w:sz="0" w:space="0" w:color="auto"/>
        <w:left w:val="none" w:sz="0" w:space="0" w:color="auto"/>
        <w:bottom w:val="none" w:sz="0" w:space="0" w:color="auto"/>
        <w:right w:val="none" w:sz="0" w:space="0" w:color="auto"/>
      </w:divBdr>
    </w:div>
    <w:div w:id="1766027219">
      <w:marLeft w:val="0"/>
      <w:marRight w:val="0"/>
      <w:marTop w:val="180"/>
      <w:marBottom w:val="180"/>
      <w:divBdr>
        <w:top w:val="none" w:sz="0" w:space="0" w:color="auto"/>
        <w:left w:val="none" w:sz="0" w:space="0" w:color="auto"/>
        <w:bottom w:val="none" w:sz="0" w:space="0" w:color="auto"/>
        <w:right w:val="none" w:sz="0" w:space="0" w:color="auto"/>
      </w:divBdr>
    </w:div>
    <w:div w:id="1766993358">
      <w:marLeft w:val="0"/>
      <w:marRight w:val="0"/>
      <w:marTop w:val="0"/>
      <w:marBottom w:val="0"/>
      <w:divBdr>
        <w:top w:val="none" w:sz="0" w:space="0" w:color="auto"/>
        <w:left w:val="none" w:sz="0" w:space="0" w:color="auto"/>
        <w:bottom w:val="none" w:sz="0" w:space="0" w:color="auto"/>
        <w:right w:val="none" w:sz="0" w:space="0" w:color="auto"/>
      </w:divBdr>
    </w:div>
    <w:div w:id="1767071434">
      <w:marLeft w:val="0"/>
      <w:marRight w:val="0"/>
      <w:marTop w:val="0"/>
      <w:marBottom w:val="180"/>
      <w:divBdr>
        <w:top w:val="none" w:sz="0" w:space="0" w:color="auto"/>
        <w:left w:val="none" w:sz="0" w:space="0" w:color="auto"/>
        <w:bottom w:val="none" w:sz="0" w:space="0" w:color="auto"/>
        <w:right w:val="none" w:sz="0" w:space="0" w:color="auto"/>
      </w:divBdr>
    </w:div>
    <w:div w:id="1767336816">
      <w:marLeft w:val="0"/>
      <w:marRight w:val="0"/>
      <w:marTop w:val="0"/>
      <w:marBottom w:val="0"/>
      <w:divBdr>
        <w:top w:val="none" w:sz="0" w:space="0" w:color="auto"/>
        <w:left w:val="none" w:sz="0" w:space="0" w:color="auto"/>
        <w:bottom w:val="none" w:sz="0" w:space="0" w:color="auto"/>
        <w:right w:val="none" w:sz="0" w:space="0" w:color="auto"/>
      </w:divBdr>
      <w:divsChild>
        <w:div w:id="1951666940">
          <w:marLeft w:val="0"/>
          <w:marRight w:val="0"/>
          <w:marTop w:val="0"/>
          <w:marBottom w:val="0"/>
          <w:divBdr>
            <w:top w:val="none" w:sz="0" w:space="0" w:color="auto"/>
            <w:left w:val="none" w:sz="0" w:space="0" w:color="auto"/>
            <w:bottom w:val="none" w:sz="0" w:space="0" w:color="auto"/>
            <w:right w:val="none" w:sz="0" w:space="0" w:color="auto"/>
          </w:divBdr>
        </w:div>
      </w:divsChild>
    </w:div>
    <w:div w:id="1767841043">
      <w:marLeft w:val="0"/>
      <w:marRight w:val="0"/>
      <w:marTop w:val="0"/>
      <w:marBottom w:val="240"/>
      <w:divBdr>
        <w:top w:val="none" w:sz="0" w:space="0" w:color="auto"/>
        <w:left w:val="none" w:sz="0" w:space="0" w:color="auto"/>
        <w:bottom w:val="none" w:sz="0" w:space="0" w:color="auto"/>
        <w:right w:val="none" w:sz="0" w:space="0" w:color="auto"/>
      </w:divBdr>
    </w:div>
    <w:div w:id="1768112874">
      <w:marLeft w:val="0"/>
      <w:marRight w:val="0"/>
      <w:marTop w:val="0"/>
      <w:marBottom w:val="240"/>
      <w:divBdr>
        <w:top w:val="none" w:sz="0" w:space="0" w:color="auto"/>
        <w:left w:val="none" w:sz="0" w:space="0" w:color="auto"/>
        <w:bottom w:val="none" w:sz="0" w:space="0" w:color="auto"/>
        <w:right w:val="none" w:sz="0" w:space="0" w:color="auto"/>
      </w:divBdr>
    </w:div>
    <w:div w:id="1768116765">
      <w:marLeft w:val="0"/>
      <w:marRight w:val="0"/>
      <w:marTop w:val="0"/>
      <w:marBottom w:val="0"/>
      <w:divBdr>
        <w:top w:val="none" w:sz="0" w:space="0" w:color="auto"/>
        <w:left w:val="none" w:sz="0" w:space="0" w:color="auto"/>
        <w:bottom w:val="none" w:sz="0" w:space="0" w:color="auto"/>
        <w:right w:val="none" w:sz="0" w:space="0" w:color="auto"/>
      </w:divBdr>
    </w:div>
    <w:div w:id="1769497093">
      <w:marLeft w:val="0"/>
      <w:marRight w:val="0"/>
      <w:marTop w:val="0"/>
      <w:marBottom w:val="240"/>
      <w:divBdr>
        <w:top w:val="none" w:sz="0" w:space="0" w:color="auto"/>
        <w:left w:val="none" w:sz="0" w:space="0" w:color="auto"/>
        <w:bottom w:val="none" w:sz="0" w:space="0" w:color="auto"/>
        <w:right w:val="none" w:sz="0" w:space="0" w:color="auto"/>
      </w:divBdr>
    </w:div>
    <w:div w:id="1770544011">
      <w:marLeft w:val="0"/>
      <w:marRight w:val="0"/>
      <w:marTop w:val="0"/>
      <w:marBottom w:val="180"/>
      <w:divBdr>
        <w:top w:val="none" w:sz="0" w:space="0" w:color="auto"/>
        <w:left w:val="none" w:sz="0" w:space="0" w:color="auto"/>
        <w:bottom w:val="none" w:sz="0" w:space="0" w:color="auto"/>
        <w:right w:val="none" w:sz="0" w:space="0" w:color="auto"/>
      </w:divBdr>
    </w:div>
    <w:div w:id="1770734132">
      <w:marLeft w:val="0"/>
      <w:marRight w:val="0"/>
      <w:marTop w:val="0"/>
      <w:marBottom w:val="180"/>
      <w:divBdr>
        <w:top w:val="none" w:sz="0" w:space="0" w:color="auto"/>
        <w:left w:val="none" w:sz="0" w:space="0" w:color="auto"/>
        <w:bottom w:val="none" w:sz="0" w:space="0" w:color="auto"/>
        <w:right w:val="none" w:sz="0" w:space="0" w:color="auto"/>
      </w:divBdr>
    </w:div>
    <w:div w:id="1772238920">
      <w:marLeft w:val="0"/>
      <w:marRight w:val="0"/>
      <w:marTop w:val="0"/>
      <w:marBottom w:val="240"/>
      <w:divBdr>
        <w:top w:val="none" w:sz="0" w:space="0" w:color="auto"/>
        <w:left w:val="none" w:sz="0" w:space="0" w:color="auto"/>
        <w:bottom w:val="none" w:sz="0" w:space="0" w:color="auto"/>
        <w:right w:val="none" w:sz="0" w:space="0" w:color="auto"/>
      </w:divBdr>
    </w:div>
    <w:div w:id="1773016858">
      <w:marLeft w:val="0"/>
      <w:marRight w:val="0"/>
      <w:marTop w:val="0"/>
      <w:marBottom w:val="240"/>
      <w:divBdr>
        <w:top w:val="none" w:sz="0" w:space="0" w:color="auto"/>
        <w:left w:val="none" w:sz="0" w:space="0" w:color="auto"/>
        <w:bottom w:val="none" w:sz="0" w:space="0" w:color="auto"/>
        <w:right w:val="none" w:sz="0" w:space="0" w:color="auto"/>
      </w:divBdr>
    </w:div>
    <w:div w:id="1773278140">
      <w:marLeft w:val="0"/>
      <w:marRight w:val="0"/>
      <w:marTop w:val="180"/>
      <w:marBottom w:val="180"/>
      <w:divBdr>
        <w:top w:val="none" w:sz="0" w:space="0" w:color="auto"/>
        <w:left w:val="none" w:sz="0" w:space="0" w:color="auto"/>
        <w:bottom w:val="none" w:sz="0" w:space="0" w:color="auto"/>
        <w:right w:val="none" w:sz="0" w:space="0" w:color="auto"/>
      </w:divBdr>
    </w:div>
    <w:div w:id="1774283633">
      <w:marLeft w:val="0"/>
      <w:marRight w:val="0"/>
      <w:marTop w:val="0"/>
      <w:marBottom w:val="240"/>
      <w:divBdr>
        <w:top w:val="none" w:sz="0" w:space="0" w:color="auto"/>
        <w:left w:val="none" w:sz="0" w:space="0" w:color="auto"/>
        <w:bottom w:val="none" w:sz="0" w:space="0" w:color="auto"/>
        <w:right w:val="none" w:sz="0" w:space="0" w:color="auto"/>
      </w:divBdr>
    </w:div>
    <w:div w:id="1774323787">
      <w:marLeft w:val="0"/>
      <w:marRight w:val="0"/>
      <w:marTop w:val="0"/>
      <w:marBottom w:val="240"/>
      <w:divBdr>
        <w:top w:val="none" w:sz="0" w:space="0" w:color="auto"/>
        <w:left w:val="none" w:sz="0" w:space="0" w:color="auto"/>
        <w:bottom w:val="none" w:sz="0" w:space="0" w:color="auto"/>
        <w:right w:val="none" w:sz="0" w:space="0" w:color="auto"/>
      </w:divBdr>
    </w:div>
    <w:div w:id="1775402103">
      <w:marLeft w:val="0"/>
      <w:marRight w:val="0"/>
      <w:marTop w:val="0"/>
      <w:marBottom w:val="240"/>
      <w:divBdr>
        <w:top w:val="none" w:sz="0" w:space="0" w:color="auto"/>
        <w:left w:val="none" w:sz="0" w:space="0" w:color="auto"/>
        <w:bottom w:val="none" w:sz="0" w:space="0" w:color="auto"/>
        <w:right w:val="none" w:sz="0" w:space="0" w:color="auto"/>
      </w:divBdr>
    </w:div>
    <w:div w:id="1775518499">
      <w:marLeft w:val="0"/>
      <w:marRight w:val="0"/>
      <w:marTop w:val="0"/>
      <w:marBottom w:val="240"/>
      <w:divBdr>
        <w:top w:val="none" w:sz="0" w:space="0" w:color="auto"/>
        <w:left w:val="none" w:sz="0" w:space="0" w:color="auto"/>
        <w:bottom w:val="none" w:sz="0" w:space="0" w:color="auto"/>
        <w:right w:val="none" w:sz="0" w:space="0" w:color="auto"/>
      </w:divBdr>
    </w:div>
    <w:div w:id="1776634036">
      <w:marLeft w:val="0"/>
      <w:marRight w:val="0"/>
      <w:marTop w:val="0"/>
      <w:marBottom w:val="180"/>
      <w:divBdr>
        <w:top w:val="none" w:sz="0" w:space="0" w:color="auto"/>
        <w:left w:val="none" w:sz="0" w:space="0" w:color="auto"/>
        <w:bottom w:val="none" w:sz="0" w:space="0" w:color="auto"/>
        <w:right w:val="none" w:sz="0" w:space="0" w:color="auto"/>
      </w:divBdr>
    </w:div>
    <w:div w:id="1777142040">
      <w:marLeft w:val="0"/>
      <w:marRight w:val="0"/>
      <w:marTop w:val="0"/>
      <w:marBottom w:val="0"/>
      <w:divBdr>
        <w:top w:val="none" w:sz="0" w:space="0" w:color="auto"/>
        <w:left w:val="none" w:sz="0" w:space="0" w:color="auto"/>
        <w:bottom w:val="none" w:sz="0" w:space="0" w:color="auto"/>
        <w:right w:val="none" w:sz="0" w:space="0" w:color="auto"/>
      </w:divBdr>
    </w:div>
    <w:div w:id="1778089977">
      <w:marLeft w:val="0"/>
      <w:marRight w:val="0"/>
      <w:marTop w:val="180"/>
      <w:marBottom w:val="180"/>
      <w:divBdr>
        <w:top w:val="none" w:sz="0" w:space="0" w:color="auto"/>
        <w:left w:val="none" w:sz="0" w:space="0" w:color="auto"/>
        <w:bottom w:val="none" w:sz="0" w:space="0" w:color="auto"/>
        <w:right w:val="none" w:sz="0" w:space="0" w:color="auto"/>
      </w:divBdr>
    </w:div>
    <w:div w:id="1779056892">
      <w:marLeft w:val="0"/>
      <w:marRight w:val="0"/>
      <w:marTop w:val="0"/>
      <w:marBottom w:val="240"/>
      <w:divBdr>
        <w:top w:val="none" w:sz="0" w:space="0" w:color="auto"/>
        <w:left w:val="none" w:sz="0" w:space="0" w:color="auto"/>
        <w:bottom w:val="none" w:sz="0" w:space="0" w:color="auto"/>
        <w:right w:val="none" w:sz="0" w:space="0" w:color="auto"/>
      </w:divBdr>
    </w:div>
    <w:div w:id="1779596645">
      <w:marLeft w:val="0"/>
      <w:marRight w:val="0"/>
      <w:marTop w:val="0"/>
      <w:marBottom w:val="60"/>
      <w:divBdr>
        <w:top w:val="none" w:sz="0" w:space="0" w:color="auto"/>
        <w:left w:val="none" w:sz="0" w:space="0" w:color="auto"/>
        <w:bottom w:val="none" w:sz="0" w:space="0" w:color="auto"/>
        <w:right w:val="none" w:sz="0" w:space="0" w:color="auto"/>
      </w:divBdr>
    </w:div>
    <w:div w:id="1779910289">
      <w:marLeft w:val="0"/>
      <w:marRight w:val="0"/>
      <w:marTop w:val="120"/>
      <w:marBottom w:val="120"/>
      <w:divBdr>
        <w:top w:val="none" w:sz="0" w:space="0" w:color="auto"/>
        <w:left w:val="none" w:sz="0" w:space="0" w:color="auto"/>
        <w:bottom w:val="none" w:sz="0" w:space="0" w:color="auto"/>
        <w:right w:val="none" w:sz="0" w:space="0" w:color="auto"/>
      </w:divBdr>
    </w:div>
    <w:div w:id="1780489401">
      <w:marLeft w:val="0"/>
      <w:marRight w:val="0"/>
      <w:marTop w:val="0"/>
      <w:marBottom w:val="240"/>
      <w:divBdr>
        <w:top w:val="none" w:sz="0" w:space="0" w:color="auto"/>
        <w:left w:val="none" w:sz="0" w:space="0" w:color="auto"/>
        <w:bottom w:val="none" w:sz="0" w:space="0" w:color="auto"/>
        <w:right w:val="none" w:sz="0" w:space="0" w:color="auto"/>
      </w:divBdr>
    </w:div>
    <w:div w:id="1780565021">
      <w:marLeft w:val="0"/>
      <w:marRight w:val="0"/>
      <w:marTop w:val="180"/>
      <w:marBottom w:val="180"/>
      <w:divBdr>
        <w:top w:val="none" w:sz="0" w:space="0" w:color="auto"/>
        <w:left w:val="none" w:sz="0" w:space="0" w:color="auto"/>
        <w:bottom w:val="none" w:sz="0" w:space="0" w:color="auto"/>
        <w:right w:val="none" w:sz="0" w:space="0" w:color="auto"/>
      </w:divBdr>
    </w:div>
    <w:div w:id="1781876502">
      <w:marLeft w:val="0"/>
      <w:marRight w:val="0"/>
      <w:marTop w:val="0"/>
      <w:marBottom w:val="180"/>
      <w:divBdr>
        <w:top w:val="none" w:sz="0" w:space="0" w:color="auto"/>
        <w:left w:val="none" w:sz="0" w:space="0" w:color="auto"/>
        <w:bottom w:val="none" w:sz="0" w:space="0" w:color="auto"/>
        <w:right w:val="none" w:sz="0" w:space="0" w:color="auto"/>
      </w:divBdr>
    </w:div>
    <w:div w:id="1781946959">
      <w:marLeft w:val="0"/>
      <w:marRight w:val="0"/>
      <w:marTop w:val="0"/>
      <w:marBottom w:val="0"/>
      <w:divBdr>
        <w:top w:val="none" w:sz="0" w:space="0" w:color="auto"/>
        <w:left w:val="none" w:sz="0" w:space="0" w:color="auto"/>
        <w:bottom w:val="none" w:sz="0" w:space="0" w:color="auto"/>
        <w:right w:val="none" w:sz="0" w:space="0" w:color="auto"/>
      </w:divBdr>
    </w:div>
    <w:div w:id="1782724913">
      <w:marLeft w:val="0"/>
      <w:marRight w:val="0"/>
      <w:marTop w:val="0"/>
      <w:marBottom w:val="240"/>
      <w:divBdr>
        <w:top w:val="none" w:sz="0" w:space="0" w:color="auto"/>
        <w:left w:val="none" w:sz="0" w:space="0" w:color="auto"/>
        <w:bottom w:val="none" w:sz="0" w:space="0" w:color="auto"/>
        <w:right w:val="none" w:sz="0" w:space="0" w:color="auto"/>
      </w:divBdr>
    </w:div>
    <w:div w:id="1782996772">
      <w:marLeft w:val="0"/>
      <w:marRight w:val="0"/>
      <w:marTop w:val="0"/>
      <w:marBottom w:val="180"/>
      <w:divBdr>
        <w:top w:val="none" w:sz="0" w:space="0" w:color="auto"/>
        <w:left w:val="none" w:sz="0" w:space="0" w:color="auto"/>
        <w:bottom w:val="none" w:sz="0" w:space="0" w:color="auto"/>
        <w:right w:val="none" w:sz="0" w:space="0" w:color="auto"/>
      </w:divBdr>
    </w:div>
    <w:div w:id="1783183887">
      <w:marLeft w:val="0"/>
      <w:marRight w:val="0"/>
      <w:marTop w:val="0"/>
      <w:marBottom w:val="180"/>
      <w:divBdr>
        <w:top w:val="none" w:sz="0" w:space="0" w:color="auto"/>
        <w:left w:val="none" w:sz="0" w:space="0" w:color="auto"/>
        <w:bottom w:val="none" w:sz="0" w:space="0" w:color="auto"/>
        <w:right w:val="none" w:sz="0" w:space="0" w:color="auto"/>
      </w:divBdr>
    </w:div>
    <w:div w:id="1783265104">
      <w:marLeft w:val="0"/>
      <w:marRight w:val="0"/>
      <w:marTop w:val="0"/>
      <w:marBottom w:val="0"/>
      <w:divBdr>
        <w:top w:val="none" w:sz="0" w:space="0" w:color="auto"/>
        <w:left w:val="none" w:sz="0" w:space="0" w:color="auto"/>
        <w:bottom w:val="none" w:sz="0" w:space="0" w:color="auto"/>
        <w:right w:val="none" w:sz="0" w:space="0" w:color="auto"/>
      </w:divBdr>
    </w:div>
    <w:div w:id="1784035380">
      <w:marLeft w:val="0"/>
      <w:marRight w:val="0"/>
      <w:marTop w:val="0"/>
      <w:marBottom w:val="0"/>
      <w:divBdr>
        <w:top w:val="none" w:sz="0" w:space="0" w:color="auto"/>
        <w:left w:val="none" w:sz="0" w:space="0" w:color="auto"/>
        <w:bottom w:val="none" w:sz="0" w:space="0" w:color="auto"/>
        <w:right w:val="none" w:sz="0" w:space="0" w:color="auto"/>
      </w:divBdr>
    </w:div>
    <w:div w:id="1785617696">
      <w:marLeft w:val="0"/>
      <w:marRight w:val="0"/>
      <w:marTop w:val="0"/>
      <w:marBottom w:val="240"/>
      <w:divBdr>
        <w:top w:val="none" w:sz="0" w:space="0" w:color="auto"/>
        <w:left w:val="none" w:sz="0" w:space="0" w:color="auto"/>
        <w:bottom w:val="none" w:sz="0" w:space="0" w:color="auto"/>
        <w:right w:val="none" w:sz="0" w:space="0" w:color="auto"/>
      </w:divBdr>
    </w:div>
    <w:div w:id="1786534237">
      <w:marLeft w:val="0"/>
      <w:marRight w:val="0"/>
      <w:marTop w:val="0"/>
      <w:marBottom w:val="180"/>
      <w:divBdr>
        <w:top w:val="none" w:sz="0" w:space="0" w:color="auto"/>
        <w:left w:val="none" w:sz="0" w:space="0" w:color="auto"/>
        <w:bottom w:val="none" w:sz="0" w:space="0" w:color="auto"/>
        <w:right w:val="none" w:sz="0" w:space="0" w:color="auto"/>
      </w:divBdr>
    </w:div>
    <w:div w:id="1786997367">
      <w:marLeft w:val="0"/>
      <w:marRight w:val="0"/>
      <w:marTop w:val="180"/>
      <w:marBottom w:val="180"/>
      <w:divBdr>
        <w:top w:val="none" w:sz="0" w:space="0" w:color="auto"/>
        <w:left w:val="none" w:sz="0" w:space="0" w:color="auto"/>
        <w:bottom w:val="none" w:sz="0" w:space="0" w:color="auto"/>
        <w:right w:val="none" w:sz="0" w:space="0" w:color="auto"/>
      </w:divBdr>
    </w:div>
    <w:div w:id="1787001805">
      <w:marLeft w:val="0"/>
      <w:marRight w:val="0"/>
      <w:marTop w:val="120"/>
      <w:marBottom w:val="180"/>
      <w:divBdr>
        <w:top w:val="none" w:sz="0" w:space="0" w:color="auto"/>
        <w:left w:val="none" w:sz="0" w:space="0" w:color="auto"/>
        <w:bottom w:val="none" w:sz="0" w:space="0" w:color="auto"/>
        <w:right w:val="none" w:sz="0" w:space="0" w:color="auto"/>
      </w:divBdr>
    </w:div>
    <w:div w:id="1787193379">
      <w:marLeft w:val="0"/>
      <w:marRight w:val="0"/>
      <w:marTop w:val="0"/>
      <w:marBottom w:val="240"/>
      <w:divBdr>
        <w:top w:val="none" w:sz="0" w:space="0" w:color="auto"/>
        <w:left w:val="none" w:sz="0" w:space="0" w:color="auto"/>
        <w:bottom w:val="none" w:sz="0" w:space="0" w:color="auto"/>
        <w:right w:val="none" w:sz="0" w:space="0" w:color="auto"/>
      </w:divBdr>
    </w:div>
    <w:div w:id="1787962031">
      <w:marLeft w:val="0"/>
      <w:marRight w:val="0"/>
      <w:marTop w:val="0"/>
      <w:marBottom w:val="180"/>
      <w:divBdr>
        <w:top w:val="none" w:sz="0" w:space="0" w:color="auto"/>
        <w:left w:val="none" w:sz="0" w:space="0" w:color="auto"/>
        <w:bottom w:val="none" w:sz="0" w:space="0" w:color="auto"/>
        <w:right w:val="none" w:sz="0" w:space="0" w:color="auto"/>
      </w:divBdr>
    </w:div>
    <w:div w:id="1788039991">
      <w:marLeft w:val="0"/>
      <w:marRight w:val="0"/>
      <w:marTop w:val="0"/>
      <w:marBottom w:val="0"/>
      <w:divBdr>
        <w:top w:val="none" w:sz="0" w:space="0" w:color="auto"/>
        <w:left w:val="none" w:sz="0" w:space="0" w:color="auto"/>
        <w:bottom w:val="none" w:sz="0" w:space="0" w:color="auto"/>
        <w:right w:val="none" w:sz="0" w:space="0" w:color="auto"/>
      </w:divBdr>
    </w:div>
    <w:div w:id="1788348711">
      <w:marLeft w:val="0"/>
      <w:marRight w:val="0"/>
      <w:marTop w:val="0"/>
      <w:marBottom w:val="0"/>
      <w:divBdr>
        <w:top w:val="none" w:sz="0" w:space="0" w:color="auto"/>
        <w:left w:val="none" w:sz="0" w:space="0" w:color="auto"/>
        <w:bottom w:val="none" w:sz="0" w:space="0" w:color="auto"/>
        <w:right w:val="none" w:sz="0" w:space="0" w:color="auto"/>
      </w:divBdr>
      <w:divsChild>
        <w:div w:id="1644656401">
          <w:marLeft w:val="0"/>
          <w:marRight w:val="0"/>
          <w:marTop w:val="0"/>
          <w:marBottom w:val="0"/>
          <w:divBdr>
            <w:top w:val="none" w:sz="0" w:space="0" w:color="auto"/>
            <w:left w:val="none" w:sz="0" w:space="0" w:color="auto"/>
            <w:bottom w:val="none" w:sz="0" w:space="0" w:color="auto"/>
            <w:right w:val="none" w:sz="0" w:space="0" w:color="auto"/>
          </w:divBdr>
        </w:div>
      </w:divsChild>
    </w:div>
    <w:div w:id="1788813170">
      <w:marLeft w:val="0"/>
      <w:marRight w:val="0"/>
      <w:marTop w:val="0"/>
      <w:marBottom w:val="180"/>
      <w:divBdr>
        <w:top w:val="none" w:sz="0" w:space="0" w:color="auto"/>
        <w:left w:val="none" w:sz="0" w:space="0" w:color="auto"/>
        <w:bottom w:val="none" w:sz="0" w:space="0" w:color="auto"/>
        <w:right w:val="none" w:sz="0" w:space="0" w:color="auto"/>
      </w:divBdr>
    </w:div>
    <w:div w:id="1788962650">
      <w:marLeft w:val="0"/>
      <w:marRight w:val="0"/>
      <w:marTop w:val="0"/>
      <w:marBottom w:val="180"/>
      <w:divBdr>
        <w:top w:val="none" w:sz="0" w:space="0" w:color="auto"/>
        <w:left w:val="none" w:sz="0" w:space="0" w:color="auto"/>
        <w:bottom w:val="none" w:sz="0" w:space="0" w:color="auto"/>
        <w:right w:val="none" w:sz="0" w:space="0" w:color="auto"/>
      </w:divBdr>
    </w:div>
    <w:div w:id="1789084377">
      <w:marLeft w:val="0"/>
      <w:marRight w:val="0"/>
      <w:marTop w:val="0"/>
      <w:marBottom w:val="0"/>
      <w:divBdr>
        <w:top w:val="none" w:sz="0" w:space="0" w:color="auto"/>
        <w:left w:val="none" w:sz="0" w:space="0" w:color="auto"/>
        <w:bottom w:val="none" w:sz="0" w:space="0" w:color="auto"/>
        <w:right w:val="none" w:sz="0" w:space="0" w:color="auto"/>
      </w:divBdr>
    </w:div>
    <w:div w:id="1789156907">
      <w:marLeft w:val="0"/>
      <w:marRight w:val="0"/>
      <w:marTop w:val="0"/>
      <w:marBottom w:val="180"/>
      <w:divBdr>
        <w:top w:val="none" w:sz="0" w:space="0" w:color="auto"/>
        <w:left w:val="none" w:sz="0" w:space="0" w:color="auto"/>
        <w:bottom w:val="none" w:sz="0" w:space="0" w:color="auto"/>
        <w:right w:val="none" w:sz="0" w:space="0" w:color="auto"/>
      </w:divBdr>
    </w:div>
    <w:div w:id="1789397942">
      <w:marLeft w:val="0"/>
      <w:marRight w:val="0"/>
      <w:marTop w:val="180"/>
      <w:marBottom w:val="180"/>
      <w:divBdr>
        <w:top w:val="none" w:sz="0" w:space="0" w:color="auto"/>
        <w:left w:val="none" w:sz="0" w:space="0" w:color="auto"/>
        <w:bottom w:val="none" w:sz="0" w:space="0" w:color="auto"/>
        <w:right w:val="none" w:sz="0" w:space="0" w:color="auto"/>
      </w:divBdr>
    </w:div>
    <w:div w:id="1790008404">
      <w:marLeft w:val="0"/>
      <w:marRight w:val="0"/>
      <w:marTop w:val="0"/>
      <w:marBottom w:val="240"/>
      <w:divBdr>
        <w:top w:val="none" w:sz="0" w:space="0" w:color="auto"/>
        <w:left w:val="none" w:sz="0" w:space="0" w:color="auto"/>
        <w:bottom w:val="none" w:sz="0" w:space="0" w:color="auto"/>
        <w:right w:val="none" w:sz="0" w:space="0" w:color="auto"/>
      </w:divBdr>
    </w:div>
    <w:div w:id="1790973932">
      <w:marLeft w:val="0"/>
      <w:marRight w:val="0"/>
      <w:marTop w:val="0"/>
      <w:marBottom w:val="240"/>
      <w:divBdr>
        <w:top w:val="none" w:sz="0" w:space="0" w:color="auto"/>
        <w:left w:val="none" w:sz="0" w:space="0" w:color="auto"/>
        <w:bottom w:val="none" w:sz="0" w:space="0" w:color="auto"/>
        <w:right w:val="none" w:sz="0" w:space="0" w:color="auto"/>
      </w:divBdr>
    </w:div>
    <w:div w:id="1791625849">
      <w:marLeft w:val="0"/>
      <w:marRight w:val="0"/>
      <w:marTop w:val="120"/>
      <w:marBottom w:val="120"/>
      <w:divBdr>
        <w:top w:val="none" w:sz="0" w:space="0" w:color="auto"/>
        <w:left w:val="none" w:sz="0" w:space="0" w:color="auto"/>
        <w:bottom w:val="none" w:sz="0" w:space="0" w:color="auto"/>
        <w:right w:val="none" w:sz="0" w:space="0" w:color="auto"/>
      </w:divBdr>
    </w:div>
    <w:div w:id="1791822390">
      <w:marLeft w:val="0"/>
      <w:marRight w:val="0"/>
      <w:marTop w:val="0"/>
      <w:marBottom w:val="0"/>
      <w:divBdr>
        <w:top w:val="none" w:sz="0" w:space="0" w:color="auto"/>
        <w:left w:val="none" w:sz="0" w:space="0" w:color="auto"/>
        <w:bottom w:val="none" w:sz="0" w:space="0" w:color="auto"/>
        <w:right w:val="none" w:sz="0" w:space="0" w:color="auto"/>
      </w:divBdr>
    </w:div>
    <w:div w:id="1792505625">
      <w:marLeft w:val="0"/>
      <w:marRight w:val="0"/>
      <w:marTop w:val="0"/>
      <w:marBottom w:val="60"/>
      <w:divBdr>
        <w:top w:val="none" w:sz="0" w:space="0" w:color="auto"/>
        <w:left w:val="none" w:sz="0" w:space="0" w:color="auto"/>
        <w:bottom w:val="none" w:sz="0" w:space="0" w:color="auto"/>
        <w:right w:val="none" w:sz="0" w:space="0" w:color="auto"/>
      </w:divBdr>
    </w:div>
    <w:div w:id="1794135159">
      <w:marLeft w:val="0"/>
      <w:marRight w:val="0"/>
      <w:marTop w:val="0"/>
      <w:marBottom w:val="0"/>
      <w:divBdr>
        <w:top w:val="none" w:sz="0" w:space="0" w:color="auto"/>
        <w:left w:val="none" w:sz="0" w:space="0" w:color="auto"/>
        <w:bottom w:val="none" w:sz="0" w:space="0" w:color="auto"/>
        <w:right w:val="none" w:sz="0" w:space="0" w:color="auto"/>
      </w:divBdr>
    </w:div>
    <w:div w:id="1794785274">
      <w:marLeft w:val="0"/>
      <w:marRight w:val="0"/>
      <w:marTop w:val="120"/>
      <w:marBottom w:val="120"/>
      <w:divBdr>
        <w:top w:val="none" w:sz="0" w:space="0" w:color="auto"/>
        <w:left w:val="none" w:sz="0" w:space="0" w:color="auto"/>
        <w:bottom w:val="none" w:sz="0" w:space="0" w:color="auto"/>
        <w:right w:val="none" w:sz="0" w:space="0" w:color="auto"/>
      </w:divBdr>
    </w:div>
    <w:div w:id="1795175817">
      <w:marLeft w:val="0"/>
      <w:marRight w:val="0"/>
      <w:marTop w:val="0"/>
      <w:marBottom w:val="0"/>
      <w:divBdr>
        <w:top w:val="none" w:sz="0" w:space="0" w:color="auto"/>
        <w:left w:val="none" w:sz="0" w:space="0" w:color="auto"/>
        <w:bottom w:val="none" w:sz="0" w:space="0" w:color="auto"/>
        <w:right w:val="none" w:sz="0" w:space="0" w:color="auto"/>
      </w:divBdr>
    </w:div>
    <w:div w:id="1795325458">
      <w:marLeft w:val="0"/>
      <w:marRight w:val="0"/>
      <w:marTop w:val="0"/>
      <w:marBottom w:val="180"/>
      <w:divBdr>
        <w:top w:val="none" w:sz="0" w:space="0" w:color="auto"/>
        <w:left w:val="none" w:sz="0" w:space="0" w:color="auto"/>
        <w:bottom w:val="none" w:sz="0" w:space="0" w:color="auto"/>
        <w:right w:val="none" w:sz="0" w:space="0" w:color="auto"/>
      </w:divBdr>
    </w:div>
    <w:div w:id="1796749121">
      <w:marLeft w:val="0"/>
      <w:marRight w:val="0"/>
      <w:marTop w:val="0"/>
      <w:marBottom w:val="240"/>
      <w:divBdr>
        <w:top w:val="none" w:sz="0" w:space="0" w:color="auto"/>
        <w:left w:val="none" w:sz="0" w:space="0" w:color="auto"/>
        <w:bottom w:val="none" w:sz="0" w:space="0" w:color="auto"/>
        <w:right w:val="none" w:sz="0" w:space="0" w:color="auto"/>
      </w:divBdr>
    </w:div>
    <w:div w:id="1797093448">
      <w:marLeft w:val="0"/>
      <w:marRight w:val="0"/>
      <w:marTop w:val="0"/>
      <w:marBottom w:val="0"/>
      <w:divBdr>
        <w:top w:val="none" w:sz="0" w:space="0" w:color="auto"/>
        <w:left w:val="none" w:sz="0" w:space="0" w:color="auto"/>
        <w:bottom w:val="none" w:sz="0" w:space="0" w:color="auto"/>
        <w:right w:val="none" w:sz="0" w:space="0" w:color="auto"/>
      </w:divBdr>
    </w:div>
    <w:div w:id="1797141431">
      <w:marLeft w:val="0"/>
      <w:marRight w:val="0"/>
      <w:marTop w:val="180"/>
      <w:marBottom w:val="180"/>
      <w:divBdr>
        <w:top w:val="none" w:sz="0" w:space="0" w:color="auto"/>
        <w:left w:val="none" w:sz="0" w:space="0" w:color="auto"/>
        <w:bottom w:val="none" w:sz="0" w:space="0" w:color="auto"/>
        <w:right w:val="none" w:sz="0" w:space="0" w:color="auto"/>
      </w:divBdr>
    </w:div>
    <w:div w:id="1799563784">
      <w:marLeft w:val="0"/>
      <w:marRight w:val="0"/>
      <w:marTop w:val="0"/>
      <w:marBottom w:val="180"/>
      <w:divBdr>
        <w:top w:val="none" w:sz="0" w:space="0" w:color="auto"/>
        <w:left w:val="none" w:sz="0" w:space="0" w:color="auto"/>
        <w:bottom w:val="none" w:sz="0" w:space="0" w:color="auto"/>
        <w:right w:val="none" w:sz="0" w:space="0" w:color="auto"/>
      </w:divBdr>
    </w:div>
    <w:div w:id="1800957095">
      <w:marLeft w:val="0"/>
      <w:marRight w:val="0"/>
      <w:marTop w:val="0"/>
      <w:marBottom w:val="0"/>
      <w:divBdr>
        <w:top w:val="none" w:sz="0" w:space="0" w:color="auto"/>
        <w:left w:val="none" w:sz="0" w:space="0" w:color="auto"/>
        <w:bottom w:val="none" w:sz="0" w:space="0" w:color="auto"/>
        <w:right w:val="none" w:sz="0" w:space="0" w:color="auto"/>
      </w:divBdr>
      <w:divsChild>
        <w:div w:id="500237939">
          <w:marLeft w:val="0"/>
          <w:marRight w:val="0"/>
          <w:marTop w:val="0"/>
          <w:marBottom w:val="0"/>
          <w:divBdr>
            <w:top w:val="none" w:sz="0" w:space="0" w:color="auto"/>
            <w:left w:val="none" w:sz="0" w:space="0" w:color="auto"/>
            <w:bottom w:val="none" w:sz="0" w:space="0" w:color="auto"/>
            <w:right w:val="none" w:sz="0" w:space="0" w:color="auto"/>
          </w:divBdr>
        </w:div>
      </w:divsChild>
    </w:div>
    <w:div w:id="1803113254">
      <w:marLeft w:val="0"/>
      <w:marRight w:val="0"/>
      <w:marTop w:val="0"/>
      <w:marBottom w:val="180"/>
      <w:divBdr>
        <w:top w:val="none" w:sz="0" w:space="0" w:color="auto"/>
        <w:left w:val="none" w:sz="0" w:space="0" w:color="auto"/>
        <w:bottom w:val="none" w:sz="0" w:space="0" w:color="auto"/>
        <w:right w:val="none" w:sz="0" w:space="0" w:color="auto"/>
      </w:divBdr>
    </w:div>
    <w:div w:id="1803497348">
      <w:marLeft w:val="0"/>
      <w:marRight w:val="0"/>
      <w:marTop w:val="0"/>
      <w:marBottom w:val="0"/>
      <w:divBdr>
        <w:top w:val="none" w:sz="0" w:space="0" w:color="auto"/>
        <w:left w:val="none" w:sz="0" w:space="0" w:color="auto"/>
        <w:bottom w:val="none" w:sz="0" w:space="0" w:color="auto"/>
        <w:right w:val="none" w:sz="0" w:space="0" w:color="auto"/>
      </w:divBdr>
      <w:divsChild>
        <w:div w:id="640502358">
          <w:marLeft w:val="0"/>
          <w:marRight w:val="0"/>
          <w:marTop w:val="0"/>
          <w:marBottom w:val="0"/>
          <w:divBdr>
            <w:top w:val="none" w:sz="0" w:space="0" w:color="auto"/>
            <w:left w:val="none" w:sz="0" w:space="0" w:color="auto"/>
            <w:bottom w:val="none" w:sz="0" w:space="0" w:color="auto"/>
            <w:right w:val="none" w:sz="0" w:space="0" w:color="auto"/>
          </w:divBdr>
        </w:div>
      </w:divsChild>
    </w:div>
    <w:div w:id="1803574578">
      <w:marLeft w:val="0"/>
      <w:marRight w:val="0"/>
      <w:marTop w:val="0"/>
      <w:marBottom w:val="180"/>
      <w:divBdr>
        <w:top w:val="none" w:sz="0" w:space="0" w:color="auto"/>
        <w:left w:val="none" w:sz="0" w:space="0" w:color="auto"/>
        <w:bottom w:val="none" w:sz="0" w:space="0" w:color="auto"/>
        <w:right w:val="none" w:sz="0" w:space="0" w:color="auto"/>
      </w:divBdr>
    </w:div>
    <w:div w:id="1805149938">
      <w:marLeft w:val="0"/>
      <w:marRight w:val="0"/>
      <w:marTop w:val="0"/>
      <w:marBottom w:val="180"/>
      <w:divBdr>
        <w:top w:val="none" w:sz="0" w:space="0" w:color="auto"/>
        <w:left w:val="none" w:sz="0" w:space="0" w:color="auto"/>
        <w:bottom w:val="none" w:sz="0" w:space="0" w:color="auto"/>
        <w:right w:val="none" w:sz="0" w:space="0" w:color="auto"/>
      </w:divBdr>
    </w:div>
    <w:div w:id="1805153608">
      <w:marLeft w:val="0"/>
      <w:marRight w:val="0"/>
      <w:marTop w:val="0"/>
      <w:marBottom w:val="240"/>
      <w:divBdr>
        <w:top w:val="none" w:sz="0" w:space="0" w:color="auto"/>
        <w:left w:val="none" w:sz="0" w:space="0" w:color="auto"/>
        <w:bottom w:val="none" w:sz="0" w:space="0" w:color="auto"/>
        <w:right w:val="none" w:sz="0" w:space="0" w:color="auto"/>
      </w:divBdr>
    </w:div>
    <w:div w:id="1806505284">
      <w:marLeft w:val="0"/>
      <w:marRight w:val="0"/>
      <w:marTop w:val="0"/>
      <w:marBottom w:val="180"/>
      <w:divBdr>
        <w:top w:val="none" w:sz="0" w:space="0" w:color="auto"/>
        <w:left w:val="none" w:sz="0" w:space="0" w:color="auto"/>
        <w:bottom w:val="none" w:sz="0" w:space="0" w:color="auto"/>
        <w:right w:val="none" w:sz="0" w:space="0" w:color="auto"/>
      </w:divBdr>
    </w:div>
    <w:div w:id="1806509217">
      <w:marLeft w:val="0"/>
      <w:marRight w:val="0"/>
      <w:marTop w:val="0"/>
      <w:marBottom w:val="0"/>
      <w:divBdr>
        <w:top w:val="none" w:sz="0" w:space="0" w:color="auto"/>
        <w:left w:val="none" w:sz="0" w:space="0" w:color="auto"/>
        <w:bottom w:val="none" w:sz="0" w:space="0" w:color="auto"/>
        <w:right w:val="none" w:sz="0" w:space="0" w:color="auto"/>
      </w:divBdr>
    </w:div>
    <w:div w:id="1807818361">
      <w:marLeft w:val="0"/>
      <w:marRight w:val="0"/>
      <w:marTop w:val="0"/>
      <w:marBottom w:val="0"/>
      <w:divBdr>
        <w:top w:val="none" w:sz="0" w:space="0" w:color="auto"/>
        <w:left w:val="none" w:sz="0" w:space="0" w:color="auto"/>
        <w:bottom w:val="none" w:sz="0" w:space="0" w:color="auto"/>
        <w:right w:val="none" w:sz="0" w:space="0" w:color="auto"/>
      </w:divBdr>
    </w:div>
    <w:div w:id="1808549392">
      <w:marLeft w:val="0"/>
      <w:marRight w:val="0"/>
      <w:marTop w:val="180"/>
      <w:marBottom w:val="180"/>
      <w:divBdr>
        <w:top w:val="none" w:sz="0" w:space="0" w:color="auto"/>
        <w:left w:val="none" w:sz="0" w:space="0" w:color="auto"/>
        <w:bottom w:val="none" w:sz="0" w:space="0" w:color="auto"/>
        <w:right w:val="none" w:sz="0" w:space="0" w:color="auto"/>
      </w:divBdr>
    </w:div>
    <w:div w:id="1808621668">
      <w:marLeft w:val="0"/>
      <w:marRight w:val="0"/>
      <w:marTop w:val="0"/>
      <w:marBottom w:val="180"/>
      <w:divBdr>
        <w:top w:val="none" w:sz="0" w:space="0" w:color="auto"/>
        <w:left w:val="none" w:sz="0" w:space="0" w:color="auto"/>
        <w:bottom w:val="none" w:sz="0" w:space="0" w:color="auto"/>
        <w:right w:val="none" w:sz="0" w:space="0" w:color="auto"/>
      </w:divBdr>
    </w:div>
    <w:div w:id="1808668912">
      <w:marLeft w:val="0"/>
      <w:marRight w:val="0"/>
      <w:marTop w:val="120"/>
      <w:marBottom w:val="120"/>
      <w:divBdr>
        <w:top w:val="none" w:sz="0" w:space="0" w:color="auto"/>
        <w:left w:val="none" w:sz="0" w:space="0" w:color="auto"/>
        <w:bottom w:val="none" w:sz="0" w:space="0" w:color="auto"/>
        <w:right w:val="none" w:sz="0" w:space="0" w:color="auto"/>
      </w:divBdr>
    </w:div>
    <w:div w:id="1810785334">
      <w:marLeft w:val="0"/>
      <w:marRight w:val="0"/>
      <w:marTop w:val="100"/>
      <w:marBottom w:val="0"/>
      <w:divBdr>
        <w:top w:val="none" w:sz="0" w:space="0" w:color="auto"/>
        <w:left w:val="none" w:sz="0" w:space="0" w:color="auto"/>
        <w:bottom w:val="none" w:sz="0" w:space="0" w:color="auto"/>
        <w:right w:val="none" w:sz="0" w:space="0" w:color="auto"/>
      </w:divBdr>
    </w:div>
    <w:div w:id="1812600643">
      <w:marLeft w:val="0"/>
      <w:marRight w:val="0"/>
      <w:marTop w:val="180"/>
      <w:marBottom w:val="180"/>
      <w:divBdr>
        <w:top w:val="none" w:sz="0" w:space="0" w:color="auto"/>
        <w:left w:val="none" w:sz="0" w:space="0" w:color="auto"/>
        <w:bottom w:val="none" w:sz="0" w:space="0" w:color="auto"/>
        <w:right w:val="none" w:sz="0" w:space="0" w:color="auto"/>
      </w:divBdr>
    </w:div>
    <w:div w:id="1812670745">
      <w:marLeft w:val="0"/>
      <w:marRight w:val="0"/>
      <w:marTop w:val="0"/>
      <w:marBottom w:val="180"/>
      <w:divBdr>
        <w:top w:val="none" w:sz="0" w:space="0" w:color="auto"/>
        <w:left w:val="none" w:sz="0" w:space="0" w:color="auto"/>
        <w:bottom w:val="none" w:sz="0" w:space="0" w:color="auto"/>
        <w:right w:val="none" w:sz="0" w:space="0" w:color="auto"/>
      </w:divBdr>
    </w:div>
    <w:div w:id="1813061436">
      <w:marLeft w:val="0"/>
      <w:marRight w:val="0"/>
      <w:marTop w:val="120"/>
      <w:marBottom w:val="120"/>
      <w:divBdr>
        <w:top w:val="none" w:sz="0" w:space="0" w:color="auto"/>
        <w:left w:val="none" w:sz="0" w:space="0" w:color="auto"/>
        <w:bottom w:val="none" w:sz="0" w:space="0" w:color="auto"/>
        <w:right w:val="none" w:sz="0" w:space="0" w:color="auto"/>
      </w:divBdr>
    </w:div>
    <w:div w:id="1814374554">
      <w:marLeft w:val="0"/>
      <w:marRight w:val="0"/>
      <w:marTop w:val="180"/>
      <w:marBottom w:val="180"/>
      <w:divBdr>
        <w:top w:val="none" w:sz="0" w:space="0" w:color="auto"/>
        <w:left w:val="none" w:sz="0" w:space="0" w:color="auto"/>
        <w:bottom w:val="none" w:sz="0" w:space="0" w:color="auto"/>
        <w:right w:val="none" w:sz="0" w:space="0" w:color="auto"/>
      </w:divBdr>
    </w:div>
    <w:div w:id="1815293662">
      <w:marLeft w:val="0"/>
      <w:marRight w:val="0"/>
      <w:marTop w:val="0"/>
      <w:marBottom w:val="180"/>
      <w:divBdr>
        <w:top w:val="none" w:sz="0" w:space="0" w:color="auto"/>
        <w:left w:val="none" w:sz="0" w:space="0" w:color="auto"/>
        <w:bottom w:val="none" w:sz="0" w:space="0" w:color="auto"/>
        <w:right w:val="none" w:sz="0" w:space="0" w:color="auto"/>
      </w:divBdr>
    </w:div>
    <w:div w:id="1816603752">
      <w:marLeft w:val="0"/>
      <w:marRight w:val="0"/>
      <w:marTop w:val="0"/>
      <w:marBottom w:val="180"/>
      <w:divBdr>
        <w:top w:val="none" w:sz="0" w:space="0" w:color="auto"/>
        <w:left w:val="none" w:sz="0" w:space="0" w:color="auto"/>
        <w:bottom w:val="none" w:sz="0" w:space="0" w:color="auto"/>
        <w:right w:val="none" w:sz="0" w:space="0" w:color="auto"/>
      </w:divBdr>
    </w:div>
    <w:div w:id="1816608617">
      <w:marLeft w:val="0"/>
      <w:marRight w:val="0"/>
      <w:marTop w:val="180"/>
      <w:marBottom w:val="180"/>
      <w:divBdr>
        <w:top w:val="none" w:sz="0" w:space="0" w:color="auto"/>
        <w:left w:val="none" w:sz="0" w:space="0" w:color="auto"/>
        <w:bottom w:val="none" w:sz="0" w:space="0" w:color="auto"/>
        <w:right w:val="none" w:sz="0" w:space="0" w:color="auto"/>
      </w:divBdr>
    </w:div>
    <w:div w:id="1816679942">
      <w:marLeft w:val="0"/>
      <w:marRight w:val="0"/>
      <w:marTop w:val="0"/>
      <w:marBottom w:val="240"/>
      <w:divBdr>
        <w:top w:val="none" w:sz="0" w:space="0" w:color="auto"/>
        <w:left w:val="none" w:sz="0" w:space="0" w:color="auto"/>
        <w:bottom w:val="none" w:sz="0" w:space="0" w:color="auto"/>
        <w:right w:val="none" w:sz="0" w:space="0" w:color="auto"/>
      </w:divBdr>
    </w:div>
    <w:div w:id="1817146206">
      <w:marLeft w:val="0"/>
      <w:marRight w:val="0"/>
      <w:marTop w:val="0"/>
      <w:marBottom w:val="180"/>
      <w:divBdr>
        <w:top w:val="none" w:sz="0" w:space="0" w:color="auto"/>
        <w:left w:val="none" w:sz="0" w:space="0" w:color="auto"/>
        <w:bottom w:val="none" w:sz="0" w:space="0" w:color="auto"/>
        <w:right w:val="none" w:sz="0" w:space="0" w:color="auto"/>
      </w:divBdr>
    </w:div>
    <w:div w:id="1818452874">
      <w:marLeft w:val="0"/>
      <w:marRight w:val="0"/>
      <w:marTop w:val="0"/>
      <w:marBottom w:val="0"/>
      <w:divBdr>
        <w:top w:val="none" w:sz="0" w:space="0" w:color="auto"/>
        <w:left w:val="none" w:sz="0" w:space="0" w:color="auto"/>
        <w:bottom w:val="none" w:sz="0" w:space="0" w:color="auto"/>
        <w:right w:val="none" w:sz="0" w:space="0" w:color="auto"/>
      </w:divBdr>
    </w:div>
    <w:div w:id="1818910952">
      <w:marLeft w:val="0"/>
      <w:marRight w:val="0"/>
      <w:marTop w:val="180"/>
      <w:marBottom w:val="180"/>
      <w:divBdr>
        <w:top w:val="none" w:sz="0" w:space="0" w:color="auto"/>
        <w:left w:val="none" w:sz="0" w:space="0" w:color="auto"/>
        <w:bottom w:val="none" w:sz="0" w:space="0" w:color="auto"/>
        <w:right w:val="none" w:sz="0" w:space="0" w:color="auto"/>
      </w:divBdr>
    </w:div>
    <w:div w:id="1819414775">
      <w:marLeft w:val="0"/>
      <w:marRight w:val="0"/>
      <w:marTop w:val="0"/>
      <w:marBottom w:val="240"/>
      <w:divBdr>
        <w:top w:val="none" w:sz="0" w:space="0" w:color="auto"/>
        <w:left w:val="none" w:sz="0" w:space="0" w:color="auto"/>
        <w:bottom w:val="none" w:sz="0" w:space="0" w:color="auto"/>
        <w:right w:val="none" w:sz="0" w:space="0" w:color="auto"/>
      </w:divBdr>
    </w:div>
    <w:div w:id="1820462915">
      <w:marLeft w:val="0"/>
      <w:marRight w:val="0"/>
      <w:marTop w:val="180"/>
      <w:marBottom w:val="180"/>
      <w:divBdr>
        <w:top w:val="none" w:sz="0" w:space="0" w:color="auto"/>
        <w:left w:val="none" w:sz="0" w:space="0" w:color="auto"/>
        <w:bottom w:val="none" w:sz="0" w:space="0" w:color="auto"/>
        <w:right w:val="none" w:sz="0" w:space="0" w:color="auto"/>
      </w:divBdr>
    </w:div>
    <w:div w:id="1820684089">
      <w:marLeft w:val="0"/>
      <w:marRight w:val="0"/>
      <w:marTop w:val="0"/>
      <w:marBottom w:val="180"/>
      <w:divBdr>
        <w:top w:val="none" w:sz="0" w:space="0" w:color="auto"/>
        <w:left w:val="none" w:sz="0" w:space="0" w:color="auto"/>
        <w:bottom w:val="none" w:sz="0" w:space="0" w:color="auto"/>
        <w:right w:val="none" w:sz="0" w:space="0" w:color="auto"/>
      </w:divBdr>
    </w:div>
    <w:div w:id="1821069735">
      <w:marLeft w:val="0"/>
      <w:marRight w:val="0"/>
      <w:marTop w:val="0"/>
      <w:marBottom w:val="180"/>
      <w:divBdr>
        <w:top w:val="none" w:sz="0" w:space="0" w:color="auto"/>
        <w:left w:val="none" w:sz="0" w:space="0" w:color="auto"/>
        <w:bottom w:val="none" w:sz="0" w:space="0" w:color="auto"/>
        <w:right w:val="none" w:sz="0" w:space="0" w:color="auto"/>
      </w:divBdr>
    </w:div>
    <w:div w:id="1822036729">
      <w:marLeft w:val="0"/>
      <w:marRight w:val="0"/>
      <w:marTop w:val="0"/>
      <w:marBottom w:val="180"/>
      <w:divBdr>
        <w:top w:val="none" w:sz="0" w:space="0" w:color="auto"/>
        <w:left w:val="none" w:sz="0" w:space="0" w:color="auto"/>
        <w:bottom w:val="none" w:sz="0" w:space="0" w:color="auto"/>
        <w:right w:val="none" w:sz="0" w:space="0" w:color="auto"/>
      </w:divBdr>
    </w:div>
    <w:div w:id="1822236112">
      <w:marLeft w:val="0"/>
      <w:marRight w:val="0"/>
      <w:marTop w:val="120"/>
      <w:marBottom w:val="120"/>
      <w:divBdr>
        <w:top w:val="none" w:sz="0" w:space="0" w:color="auto"/>
        <w:left w:val="none" w:sz="0" w:space="0" w:color="auto"/>
        <w:bottom w:val="none" w:sz="0" w:space="0" w:color="auto"/>
        <w:right w:val="none" w:sz="0" w:space="0" w:color="auto"/>
      </w:divBdr>
    </w:div>
    <w:div w:id="1824199598">
      <w:marLeft w:val="0"/>
      <w:marRight w:val="0"/>
      <w:marTop w:val="0"/>
      <w:marBottom w:val="0"/>
      <w:divBdr>
        <w:top w:val="none" w:sz="0" w:space="0" w:color="auto"/>
        <w:left w:val="none" w:sz="0" w:space="0" w:color="auto"/>
        <w:bottom w:val="none" w:sz="0" w:space="0" w:color="auto"/>
        <w:right w:val="none" w:sz="0" w:space="0" w:color="auto"/>
      </w:divBdr>
    </w:div>
    <w:div w:id="1824858212">
      <w:marLeft w:val="0"/>
      <w:marRight w:val="0"/>
      <w:marTop w:val="0"/>
      <w:marBottom w:val="0"/>
      <w:divBdr>
        <w:top w:val="none" w:sz="0" w:space="0" w:color="auto"/>
        <w:left w:val="none" w:sz="0" w:space="0" w:color="auto"/>
        <w:bottom w:val="none" w:sz="0" w:space="0" w:color="auto"/>
        <w:right w:val="none" w:sz="0" w:space="0" w:color="auto"/>
      </w:divBdr>
    </w:div>
    <w:div w:id="1825395814">
      <w:marLeft w:val="0"/>
      <w:marRight w:val="0"/>
      <w:marTop w:val="0"/>
      <w:marBottom w:val="0"/>
      <w:divBdr>
        <w:top w:val="none" w:sz="0" w:space="0" w:color="auto"/>
        <w:left w:val="none" w:sz="0" w:space="0" w:color="auto"/>
        <w:bottom w:val="none" w:sz="0" w:space="0" w:color="auto"/>
        <w:right w:val="none" w:sz="0" w:space="0" w:color="auto"/>
      </w:divBdr>
    </w:div>
    <w:div w:id="1826238389">
      <w:marLeft w:val="0"/>
      <w:marRight w:val="0"/>
      <w:marTop w:val="0"/>
      <w:marBottom w:val="0"/>
      <w:divBdr>
        <w:top w:val="none" w:sz="0" w:space="0" w:color="auto"/>
        <w:left w:val="none" w:sz="0" w:space="0" w:color="auto"/>
        <w:bottom w:val="none" w:sz="0" w:space="0" w:color="auto"/>
        <w:right w:val="none" w:sz="0" w:space="0" w:color="auto"/>
      </w:divBdr>
      <w:divsChild>
        <w:div w:id="848061366">
          <w:marLeft w:val="0"/>
          <w:marRight w:val="0"/>
          <w:marTop w:val="0"/>
          <w:marBottom w:val="0"/>
          <w:divBdr>
            <w:top w:val="none" w:sz="0" w:space="0" w:color="auto"/>
            <w:left w:val="none" w:sz="0" w:space="0" w:color="auto"/>
            <w:bottom w:val="none" w:sz="0" w:space="0" w:color="auto"/>
            <w:right w:val="none" w:sz="0" w:space="0" w:color="auto"/>
          </w:divBdr>
        </w:div>
      </w:divsChild>
    </w:div>
    <w:div w:id="1826628517">
      <w:marLeft w:val="0"/>
      <w:marRight w:val="0"/>
      <w:marTop w:val="0"/>
      <w:marBottom w:val="180"/>
      <w:divBdr>
        <w:top w:val="none" w:sz="0" w:space="0" w:color="auto"/>
        <w:left w:val="none" w:sz="0" w:space="0" w:color="auto"/>
        <w:bottom w:val="none" w:sz="0" w:space="0" w:color="auto"/>
        <w:right w:val="none" w:sz="0" w:space="0" w:color="auto"/>
      </w:divBdr>
    </w:div>
    <w:div w:id="1828284698">
      <w:marLeft w:val="0"/>
      <w:marRight w:val="0"/>
      <w:marTop w:val="180"/>
      <w:marBottom w:val="180"/>
      <w:divBdr>
        <w:top w:val="none" w:sz="0" w:space="0" w:color="auto"/>
        <w:left w:val="none" w:sz="0" w:space="0" w:color="auto"/>
        <w:bottom w:val="none" w:sz="0" w:space="0" w:color="auto"/>
        <w:right w:val="none" w:sz="0" w:space="0" w:color="auto"/>
      </w:divBdr>
    </w:div>
    <w:div w:id="1828547752">
      <w:marLeft w:val="0"/>
      <w:marRight w:val="0"/>
      <w:marTop w:val="0"/>
      <w:marBottom w:val="240"/>
      <w:divBdr>
        <w:top w:val="none" w:sz="0" w:space="0" w:color="auto"/>
        <w:left w:val="none" w:sz="0" w:space="0" w:color="auto"/>
        <w:bottom w:val="none" w:sz="0" w:space="0" w:color="auto"/>
        <w:right w:val="none" w:sz="0" w:space="0" w:color="auto"/>
      </w:divBdr>
    </w:div>
    <w:div w:id="1828790577">
      <w:marLeft w:val="0"/>
      <w:marRight w:val="0"/>
      <w:marTop w:val="0"/>
      <w:marBottom w:val="240"/>
      <w:divBdr>
        <w:top w:val="none" w:sz="0" w:space="0" w:color="auto"/>
        <w:left w:val="none" w:sz="0" w:space="0" w:color="auto"/>
        <w:bottom w:val="none" w:sz="0" w:space="0" w:color="auto"/>
        <w:right w:val="none" w:sz="0" w:space="0" w:color="auto"/>
      </w:divBdr>
    </w:div>
    <w:div w:id="1830124632">
      <w:marLeft w:val="0"/>
      <w:marRight w:val="0"/>
      <w:marTop w:val="0"/>
      <w:marBottom w:val="0"/>
      <w:divBdr>
        <w:top w:val="none" w:sz="0" w:space="0" w:color="auto"/>
        <w:left w:val="none" w:sz="0" w:space="0" w:color="auto"/>
        <w:bottom w:val="none" w:sz="0" w:space="0" w:color="auto"/>
        <w:right w:val="none" w:sz="0" w:space="0" w:color="auto"/>
      </w:divBdr>
      <w:divsChild>
        <w:div w:id="320503186">
          <w:marLeft w:val="0"/>
          <w:marRight w:val="0"/>
          <w:marTop w:val="0"/>
          <w:marBottom w:val="0"/>
          <w:divBdr>
            <w:top w:val="none" w:sz="0" w:space="0" w:color="auto"/>
            <w:left w:val="none" w:sz="0" w:space="0" w:color="auto"/>
            <w:bottom w:val="none" w:sz="0" w:space="0" w:color="auto"/>
            <w:right w:val="none" w:sz="0" w:space="0" w:color="auto"/>
          </w:divBdr>
        </w:div>
      </w:divsChild>
    </w:div>
    <w:div w:id="1830438832">
      <w:marLeft w:val="0"/>
      <w:marRight w:val="0"/>
      <w:marTop w:val="0"/>
      <w:marBottom w:val="0"/>
      <w:divBdr>
        <w:top w:val="none" w:sz="0" w:space="0" w:color="auto"/>
        <w:left w:val="none" w:sz="0" w:space="0" w:color="auto"/>
        <w:bottom w:val="none" w:sz="0" w:space="0" w:color="auto"/>
        <w:right w:val="none" w:sz="0" w:space="0" w:color="auto"/>
      </w:divBdr>
      <w:divsChild>
        <w:div w:id="1625427681">
          <w:marLeft w:val="0"/>
          <w:marRight w:val="0"/>
          <w:marTop w:val="0"/>
          <w:marBottom w:val="0"/>
          <w:divBdr>
            <w:top w:val="none" w:sz="0" w:space="0" w:color="auto"/>
            <w:left w:val="none" w:sz="0" w:space="0" w:color="auto"/>
            <w:bottom w:val="none" w:sz="0" w:space="0" w:color="auto"/>
            <w:right w:val="none" w:sz="0" w:space="0" w:color="auto"/>
          </w:divBdr>
        </w:div>
      </w:divsChild>
    </w:div>
    <w:div w:id="1830898425">
      <w:marLeft w:val="0"/>
      <w:marRight w:val="0"/>
      <w:marTop w:val="0"/>
      <w:marBottom w:val="240"/>
      <w:divBdr>
        <w:top w:val="none" w:sz="0" w:space="0" w:color="auto"/>
        <w:left w:val="none" w:sz="0" w:space="0" w:color="auto"/>
        <w:bottom w:val="none" w:sz="0" w:space="0" w:color="auto"/>
        <w:right w:val="none" w:sz="0" w:space="0" w:color="auto"/>
      </w:divBdr>
    </w:div>
    <w:div w:id="1832015508">
      <w:marLeft w:val="0"/>
      <w:marRight w:val="0"/>
      <w:marTop w:val="0"/>
      <w:marBottom w:val="180"/>
      <w:divBdr>
        <w:top w:val="none" w:sz="0" w:space="0" w:color="auto"/>
        <w:left w:val="none" w:sz="0" w:space="0" w:color="auto"/>
        <w:bottom w:val="none" w:sz="0" w:space="0" w:color="auto"/>
        <w:right w:val="none" w:sz="0" w:space="0" w:color="auto"/>
      </w:divBdr>
    </w:div>
    <w:div w:id="1832326984">
      <w:marLeft w:val="0"/>
      <w:marRight w:val="0"/>
      <w:marTop w:val="0"/>
      <w:marBottom w:val="180"/>
      <w:divBdr>
        <w:top w:val="none" w:sz="0" w:space="0" w:color="auto"/>
        <w:left w:val="none" w:sz="0" w:space="0" w:color="auto"/>
        <w:bottom w:val="none" w:sz="0" w:space="0" w:color="auto"/>
        <w:right w:val="none" w:sz="0" w:space="0" w:color="auto"/>
      </w:divBdr>
    </w:div>
    <w:div w:id="1833373525">
      <w:marLeft w:val="0"/>
      <w:marRight w:val="0"/>
      <w:marTop w:val="0"/>
      <w:marBottom w:val="240"/>
      <w:divBdr>
        <w:top w:val="none" w:sz="0" w:space="0" w:color="auto"/>
        <w:left w:val="none" w:sz="0" w:space="0" w:color="auto"/>
        <w:bottom w:val="none" w:sz="0" w:space="0" w:color="auto"/>
        <w:right w:val="none" w:sz="0" w:space="0" w:color="auto"/>
      </w:divBdr>
    </w:div>
    <w:div w:id="1834762841">
      <w:marLeft w:val="0"/>
      <w:marRight w:val="0"/>
      <w:marTop w:val="0"/>
      <w:marBottom w:val="0"/>
      <w:divBdr>
        <w:top w:val="none" w:sz="0" w:space="0" w:color="auto"/>
        <w:left w:val="none" w:sz="0" w:space="0" w:color="auto"/>
        <w:bottom w:val="none" w:sz="0" w:space="0" w:color="auto"/>
        <w:right w:val="none" w:sz="0" w:space="0" w:color="auto"/>
      </w:divBdr>
    </w:div>
    <w:div w:id="1835099954">
      <w:marLeft w:val="0"/>
      <w:marRight w:val="0"/>
      <w:marTop w:val="0"/>
      <w:marBottom w:val="0"/>
      <w:divBdr>
        <w:top w:val="none" w:sz="0" w:space="0" w:color="auto"/>
        <w:left w:val="none" w:sz="0" w:space="0" w:color="auto"/>
        <w:bottom w:val="none" w:sz="0" w:space="0" w:color="auto"/>
        <w:right w:val="none" w:sz="0" w:space="0" w:color="auto"/>
      </w:divBdr>
    </w:div>
    <w:div w:id="1835991739">
      <w:marLeft w:val="0"/>
      <w:marRight w:val="0"/>
      <w:marTop w:val="180"/>
      <w:marBottom w:val="180"/>
      <w:divBdr>
        <w:top w:val="none" w:sz="0" w:space="0" w:color="auto"/>
        <w:left w:val="none" w:sz="0" w:space="0" w:color="auto"/>
        <w:bottom w:val="none" w:sz="0" w:space="0" w:color="auto"/>
        <w:right w:val="none" w:sz="0" w:space="0" w:color="auto"/>
      </w:divBdr>
    </w:div>
    <w:div w:id="1837186028">
      <w:marLeft w:val="0"/>
      <w:marRight w:val="0"/>
      <w:marTop w:val="0"/>
      <w:marBottom w:val="0"/>
      <w:divBdr>
        <w:top w:val="none" w:sz="0" w:space="0" w:color="auto"/>
        <w:left w:val="none" w:sz="0" w:space="0" w:color="auto"/>
        <w:bottom w:val="none" w:sz="0" w:space="0" w:color="auto"/>
        <w:right w:val="none" w:sz="0" w:space="0" w:color="auto"/>
      </w:divBdr>
    </w:div>
    <w:div w:id="1837959518">
      <w:marLeft w:val="0"/>
      <w:marRight w:val="0"/>
      <w:marTop w:val="100"/>
      <w:marBottom w:val="180"/>
      <w:divBdr>
        <w:top w:val="none" w:sz="0" w:space="0" w:color="auto"/>
        <w:left w:val="none" w:sz="0" w:space="0" w:color="auto"/>
        <w:bottom w:val="none" w:sz="0" w:space="0" w:color="auto"/>
        <w:right w:val="none" w:sz="0" w:space="0" w:color="auto"/>
      </w:divBdr>
    </w:div>
    <w:div w:id="1838038866">
      <w:marLeft w:val="0"/>
      <w:marRight w:val="0"/>
      <w:marTop w:val="0"/>
      <w:marBottom w:val="0"/>
      <w:divBdr>
        <w:top w:val="none" w:sz="0" w:space="0" w:color="auto"/>
        <w:left w:val="none" w:sz="0" w:space="0" w:color="auto"/>
        <w:bottom w:val="none" w:sz="0" w:space="0" w:color="auto"/>
        <w:right w:val="none" w:sz="0" w:space="0" w:color="auto"/>
      </w:divBdr>
    </w:div>
    <w:div w:id="1838107087">
      <w:marLeft w:val="0"/>
      <w:marRight w:val="0"/>
      <w:marTop w:val="0"/>
      <w:marBottom w:val="180"/>
      <w:divBdr>
        <w:top w:val="none" w:sz="0" w:space="0" w:color="auto"/>
        <w:left w:val="none" w:sz="0" w:space="0" w:color="auto"/>
        <w:bottom w:val="none" w:sz="0" w:space="0" w:color="auto"/>
        <w:right w:val="none" w:sz="0" w:space="0" w:color="auto"/>
      </w:divBdr>
    </w:div>
    <w:div w:id="1838114713">
      <w:marLeft w:val="0"/>
      <w:marRight w:val="0"/>
      <w:marTop w:val="100"/>
      <w:marBottom w:val="180"/>
      <w:divBdr>
        <w:top w:val="none" w:sz="0" w:space="0" w:color="auto"/>
        <w:left w:val="none" w:sz="0" w:space="0" w:color="auto"/>
        <w:bottom w:val="none" w:sz="0" w:space="0" w:color="auto"/>
        <w:right w:val="none" w:sz="0" w:space="0" w:color="auto"/>
      </w:divBdr>
    </w:div>
    <w:div w:id="1838301793">
      <w:marLeft w:val="0"/>
      <w:marRight w:val="0"/>
      <w:marTop w:val="0"/>
      <w:marBottom w:val="0"/>
      <w:divBdr>
        <w:top w:val="none" w:sz="0" w:space="0" w:color="auto"/>
        <w:left w:val="none" w:sz="0" w:space="0" w:color="auto"/>
        <w:bottom w:val="none" w:sz="0" w:space="0" w:color="auto"/>
        <w:right w:val="none" w:sz="0" w:space="0" w:color="auto"/>
      </w:divBdr>
    </w:div>
    <w:div w:id="1839273636">
      <w:marLeft w:val="0"/>
      <w:marRight w:val="0"/>
      <w:marTop w:val="0"/>
      <w:marBottom w:val="0"/>
      <w:divBdr>
        <w:top w:val="none" w:sz="0" w:space="0" w:color="auto"/>
        <w:left w:val="none" w:sz="0" w:space="0" w:color="auto"/>
        <w:bottom w:val="none" w:sz="0" w:space="0" w:color="auto"/>
        <w:right w:val="none" w:sz="0" w:space="0" w:color="auto"/>
      </w:divBdr>
    </w:div>
    <w:div w:id="1841385420">
      <w:marLeft w:val="0"/>
      <w:marRight w:val="0"/>
      <w:marTop w:val="180"/>
      <w:marBottom w:val="180"/>
      <w:divBdr>
        <w:top w:val="none" w:sz="0" w:space="0" w:color="auto"/>
        <w:left w:val="none" w:sz="0" w:space="0" w:color="auto"/>
        <w:bottom w:val="none" w:sz="0" w:space="0" w:color="auto"/>
        <w:right w:val="none" w:sz="0" w:space="0" w:color="auto"/>
      </w:divBdr>
    </w:div>
    <w:div w:id="1842233987">
      <w:marLeft w:val="0"/>
      <w:marRight w:val="0"/>
      <w:marTop w:val="0"/>
      <w:marBottom w:val="0"/>
      <w:divBdr>
        <w:top w:val="none" w:sz="0" w:space="0" w:color="auto"/>
        <w:left w:val="none" w:sz="0" w:space="0" w:color="auto"/>
        <w:bottom w:val="none" w:sz="0" w:space="0" w:color="auto"/>
        <w:right w:val="none" w:sz="0" w:space="0" w:color="auto"/>
      </w:divBdr>
      <w:divsChild>
        <w:div w:id="1033263854">
          <w:marLeft w:val="0"/>
          <w:marRight w:val="0"/>
          <w:marTop w:val="0"/>
          <w:marBottom w:val="0"/>
          <w:divBdr>
            <w:top w:val="none" w:sz="0" w:space="0" w:color="auto"/>
            <w:left w:val="none" w:sz="0" w:space="0" w:color="auto"/>
            <w:bottom w:val="none" w:sz="0" w:space="0" w:color="auto"/>
            <w:right w:val="none" w:sz="0" w:space="0" w:color="auto"/>
          </w:divBdr>
        </w:div>
      </w:divsChild>
    </w:div>
    <w:div w:id="1842506465">
      <w:marLeft w:val="0"/>
      <w:marRight w:val="0"/>
      <w:marTop w:val="180"/>
      <w:marBottom w:val="180"/>
      <w:divBdr>
        <w:top w:val="none" w:sz="0" w:space="0" w:color="auto"/>
        <w:left w:val="none" w:sz="0" w:space="0" w:color="auto"/>
        <w:bottom w:val="none" w:sz="0" w:space="0" w:color="auto"/>
        <w:right w:val="none" w:sz="0" w:space="0" w:color="auto"/>
      </w:divBdr>
    </w:div>
    <w:div w:id="1844276948">
      <w:marLeft w:val="0"/>
      <w:marRight w:val="0"/>
      <w:marTop w:val="0"/>
      <w:marBottom w:val="180"/>
      <w:divBdr>
        <w:top w:val="none" w:sz="0" w:space="0" w:color="auto"/>
        <w:left w:val="none" w:sz="0" w:space="0" w:color="auto"/>
        <w:bottom w:val="none" w:sz="0" w:space="0" w:color="auto"/>
        <w:right w:val="none" w:sz="0" w:space="0" w:color="auto"/>
      </w:divBdr>
    </w:div>
    <w:div w:id="1844781250">
      <w:marLeft w:val="0"/>
      <w:marRight w:val="0"/>
      <w:marTop w:val="180"/>
      <w:marBottom w:val="180"/>
      <w:divBdr>
        <w:top w:val="none" w:sz="0" w:space="0" w:color="auto"/>
        <w:left w:val="none" w:sz="0" w:space="0" w:color="auto"/>
        <w:bottom w:val="none" w:sz="0" w:space="0" w:color="auto"/>
        <w:right w:val="none" w:sz="0" w:space="0" w:color="auto"/>
      </w:divBdr>
    </w:div>
    <w:div w:id="1844928125">
      <w:marLeft w:val="0"/>
      <w:marRight w:val="0"/>
      <w:marTop w:val="100"/>
      <w:marBottom w:val="180"/>
      <w:divBdr>
        <w:top w:val="none" w:sz="0" w:space="0" w:color="auto"/>
        <w:left w:val="none" w:sz="0" w:space="0" w:color="auto"/>
        <w:bottom w:val="none" w:sz="0" w:space="0" w:color="auto"/>
        <w:right w:val="none" w:sz="0" w:space="0" w:color="auto"/>
      </w:divBdr>
      <w:divsChild>
        <w:div w:id="12728887">
          <w:marLeft w:val="0"/>
          <w:marRight w:val="0"/>
          <w:marTop w:val="0"/>
          <w:marBottom w:val="0"/>
          <w:divBdr>
            <w:top w:val="none" w:sz="0" w:space="0" w:color="auto"/>
            <w:left w:val="none" w:sz="0" w:space="0" w:color="auto"/>
            <w:bottom w:val="none" w:sz="0" w:space="0" w:color="auto"/>
            <w:right w:val="none" w:sz="0" w:space="0" w:color="auto"/>
          </w:divBdr>
        </w:div>
      </w:divsChild>
    </w:div>
    <w:div w:id="1844929899">
      <w:marLeft w:val="0"/>
      <w:marRight w:val="0"/>
      <w:marTop w:val="0"/>
      <w:marBottom w:val="240"/>
      <w:divBdr>
        <w:top w:val="none" w:sz="0" w:space="0" w:color="auto"/>
        <w:left w:val="none" w:sz="0" w:space="0" w:color="auto"/>
        <w:bottom w:val="none" w:sz="0" w:space="0" w:color="auto"/>
        <w:right w:val="none" w:sz="0" w:space="0" w:color="auto"/>
      </w:divBdr>
    </w:div>
    <w:div w:id="1848248004">
      <w:marLeft w:val="0"/>
      <w:marRight w:val="0"/>
      <w:marTop w:val="0"/>
      <w:marBottom w:val="180"/>
      <w:divBdr>
        <w:top w:val="none" w:sz="0" w:space="0" w:color="auto"/>
        <w:left w:val="none" w:sz="0" w:space="0" w:color="auto"/>
        <w:bottom w:val="none" w:sz="0" w:space="0" w:color="auto"/>
        <w:right w:val="none" w:sz="0" w:space="0" w:color="auto"/>
      </w:divBdr>
    </w:div>
    <w:div w:id="1850824428">
      <w:marLeft w:val="0"/>
      <w:marRight w:val="0"/>
      <w:marTop w:val="0"/>
      <w:marBottom w:val="0"/>
      <w:divBdr>
        <w:top w:val="none" w:sz="0" w:space="0" w:color="auto"/>
        <w:left w:val="none" w:sz="0" w:space="0" w:color="auto"/>
        <w:bottom w:val="none" w:sz="0" w:space="0" w:color="auto"/>
        <w:right w:val="none" w:sz="0" w:space="0" w:color="auto"/>
      </w:divBdr>
    </w:div>
    <w:div w:id="1851602224">
      <w:marLeft w:val="0"/>
      <w:marRight w:val="0"/>
      <w:marTop w:val="0"/>
      <w:marBottom w:val="240"/>
      <w:divBdr>
        <w:top w:val="none" w:sz="0" w:space="0" w:color="auto"/>
        <w:left w:val="none" w:sz="0" w:space="0" w:color="auto"/>
        <w:bottom w:val="none" w:sz="0" w:space="0" w:color="auto"/>
        <w:right w:val="none" w:sz="0" w:space="0" w:color="auto"/>
      </w:divBdr>
    </w:div>
    <w:div w:id="1852524335">
      <w:marLeft w:val="0"/>
      <w:marRight w:val="0"/>
      <w:marTop w:val="0"/>
      <w:marBottom w:val="0"/>
      <w:divBdr>
        <w:top w:val="none" w:sz="0" w:space="0" w:color="auto"/>
        <w:left w:val="none" w:sz="0" w:space="0" w:color="auto"/>
        <w:bottom w:val="none" w:sz="0" w:space="0" w:color="auto"/>
        <w:right w:val="none" w:sz="0" w:space="0" w:color="auto"/>
      </w:divBdr>
      <w:divsChild>
        <w:div w:id="1654531558">
          <w:marLeft w:val="0"/>
          <w:marRight w:val="0"/>
          <w:marTop w:val="0"/>
          <w:marBottom w:val="0"/>
          <w:divBdr>
            <w:top w:val="none" w:sz="0" w:space="0" w:color="auto"/>
            <w:left w:val="none" w:sz="0" w:space="0" w:color="auto"/>
            <w:bottom w:val="none" w:sz="0" w:space="0" w:color="auto"/>
            <w:right w:val="none" w:sz="0" w:space="0" w:color="auto"/>
          </w:divBdr>
        </w:div>
      </w:divsChild>
    </w:div>
    <w:div w:id="1852791991">
      <w:marLeft w:val="0"/>
      <w:marRight w:val="0"/>
      <w:marTop w:val="0"/>
      <w:marBottom w:val="240"/>
      <w:divBdr>
        <w:top w:val="none" w:sz="0" w:space="0" w:color="auto"/>
        <w:left w:val="none" w:sz="0" w:space="0" w:color="auto"/>
        <w:bottom w:val="none" w:sz="0" w:space="0" w:color="auto"/>
        <w:right w:val="none" w:sz="0" w:space="0" w:color="auto"/>
      </w:divBdr>
    </w:div>
    <w:div w:id="1853372356">
      <w:marLeft w:val="0"/>
      <w:marRight w:val="0"/>
      <w:marTop w:val="180"/>
      <w:marBottom w:val="180"/>
      <w:divBdr>
        <w:top w:val="none" w:sz="0" w:space="0" w:color="auto"/>
        <w:left w:val="none" w:sz="0" w:space="0" w:color="auto"/>
        <w:bottom w:val="none" w:sz="0" w:space="0" w:color="auto"/>
        <w:right w:val="none" w:sz="0" w:space="0" w:color="auto"/>
      </w:divBdr>
    </w:div>
    <w:div w:id="1855804001">
      <w:marLeft w:val="0"/>
      <w:marRight w:val="0"/>
      <w:marTop w:val="0"/>
      <w:marBottom w:val="180"/>
      <w:divBdr>
        <w:top w:val="none" w:sz="0" w:space="0" w:color="auto"/>
        <w:left w:val="none" w:sz="0" w:space="0" w:color="auto"/>
        <w:bottom w:val="none" w:sz="0" w:space="0" w:color="auto"/>
        <w:right w:val="none" w:sz="0" w:space="0" w:color="auto"/>
      </w:divBdr>
    </w:div>
    <w:div w:id="1856309423">
      <w:marLeft w:val="0"/>
      <w:marRight w:val="0"/>
      <w:marTop w:val="0"/>
      <w:marBottom w:val="240"/>
      <w:divBdr>
        <w:top w:val="none" w:sz="0" w:space="0" w:color="auto"/>
        <w:left w:val="none" w:sz="0" w:space="0" w:color="auto"/>
        <w:bottom w:val="none" w:sz="0" w:space="0" w:color="auto"/>
        <w:right w:val="none" w:sz="0" w:space="0" w:color="auto"/>
      </w:divBdr>
    </w:div>
    <w:div w:id="1856384025">
      <w:marLeft w:val="0"/>
      <w:marRight w:val="0"/>
      <w:marTop w:val="0"/>
      <w:marBottom w:val="240"/>
      <w:divBdr>
        <w:top w:val="none" w:sz="0" w:space="0" w:color="auto"/>
        <w:left w:val="none" w:sz="0" w:space="0" w:color="auto"/>
        <w:bottom w:val="none" w:sz="0" w:space="0" w:color="auto"/>
        <w:right w:val="none" w:sz="0" w:space="0" w:color="auto"/>
      </w:divBdr>
    </w:div>
    <w:div w:id="1856458619">
      <w:marLeft w:val="0"/>
      <w:marRight w:val="0"/>
      <w:marTop w:val="0"/>
      <w:marBottom w:val="0"/>
      <w:divBdr>
        <w:top w:val="none" w:sz="0" w:space="0" w:color="auto"/>
        <w:left w:val="none" w:sz="0" w:space="0" w:color="auto"/>
        <w:bottom w:val="none" w:sz="0" w:space="0" w:color="auto"/>
        <w:right w:val="none" w:sz="0" w:space="0" w:color="auto"/>
      </w:divBdr>
      <w:divsChild>
        <w:div w:id="2147119498">
          <w:marLeft w:val="0"/>
          <w:marRight w:val="0"/>
          <w:marTop w:val="0"/>
          <w:marBottom w:val="0"/>
          <w:divBdr>
            <w:top w:val="none" w:sz="0" w:space="0" w:color="auto"/>
            <w:left w:val="none" w:sz="0" w:space="0" w:color="auto"/>
            <w:bottom w:val="none" w:sz="0" w:space="0" w:color="auto"/>
            <w:right w:val="none" w:sz="0" w:space="0" w:color="auto"/>
          </w:divBdr>
        </w:div>
      </w:divsChild>
    </w:div>
    <w:div w:id="1856571287">
      <w:marLeft w:val="0"/>
      <w:marRight w:val="0"/>
      <w:marTop w:val="0"/>
      <w:marBottom w:val="240"/>
      <w:divBdr>
        <w:top w:val="none" w:sz="0" w:space="0" w:color="auto"/>
        <w:left w:val="none" w:sz="0" w:space="0" w:color="auto"/>
        <w:bottom w:val="none" w:sz="0" w:space="0" w:color="auto"/>
        <w:right w:val="none" w:sz="0" w:space="0" w:color="auto"/>
      </w:divBdr>
    </w:div>
    <w:div w:id="1856727655">
      <w:marLeft w:val="0"/>
      <w:marRight w:val="0"/>
      <w:marTop w:val="60"/>
      <w:marBottom w:val="60"/>
      <w:divBdr>
        <w:top w:val="none" w:sz="0" w:space="0" w:color="auto"/>
        <w:left w:val="none" w:sz="0" w:space="0" w:color="auto"/>
        <w:bottom w:val="none" w:sz="0" w:space="0" w:color="auto"/>
        <w:right w:val="none" w:sz="0" w:space="0" w:color="auto"/>
      </w:divBdr>
    </w:div>
    <w:div w:id="1857186787">
      <w:marLeft w:val="0"/>
      <w:marRight w:val="0"/>
      <w:marTop w:val="0"/>
      <w:marBottom w:val="0"/>
      <w:divBdr>
        <w:top w:val="none" w:sz="0" w:space="0" w:color="auto"/>
        <w:left w:val="none" w:sz="0" w:space="0" w:color="auto"/>
        <w:bottom w:val="none" w:sz="0" w:space="0" w:color="auto"/>
        <w:right w:val="none" w:sz="0" w:space="0" w:color="auto"/>
      </w:divBdr>
    </w:div>
    <w:div w:id="1858038611">
      <w:marLeft w:val="0"/>
      <w:marRight w:val="0"/>
      <w:marTop w:val="0"/>
      <w:marBottom w:val="0"/>
      <w:divBdr>
        <w:top w:val="none" w:sz="0" w:space="0" w:color="auto"/>
        <w:left w:val="none" w:sz="0" w:space="0" w:color="auto"/>
        <w:bottom w:val="none" w:sz="0" w:space="0" w:color="auto"/>
        <w:right w:val="none" w:sz="0" w:space="0" w:color="auto"/>
      </w:divBdr>
    </w:div>
    <w:div w:id="1858352224">
      <w:marLeft w:val="0"/>
      <w:marRight w:val="0"/>
      <w:marTop w:val="120"/>
      <w:marBottom w:val="120"/>
      <w:divBdr>
        <w:top w:val="none" w:sz="0" w:space="0" w:color="auto"/>
        <w:left w:val="none" w:sz="0" w:space="0" w:color="auto"/>
        <w:bottom w:val="none" w:sz="0" w:space="0" w:color="auto"/>
        <w:right w:val="none" w:sz="0" w:space="0" w:color="auto"/>
      </w:divBdr>
    </w:div>
    <w:div w:id="1858733219">
      <w:marLeft w:val="0"/>
      <w:marRight w:val="0"/>
      <w:marTop w:val="0"/>
      <w:marBottom w:val="240"/>
      <w:divBdr>
        <w:top w:val="none" w:sz="0" w:space="0" w:color="auto"/>
        <w:left w:val="none" w:sz="0" w:space="0" w:color="auto"/>
        <w:bottom w:val="none" w:sz="0" w:space="0" w:color="auto"/>
        <w:right w:val="none" w:sz="0" w:space="0" w:color="auto"/>
      </w:divBdr>
    </w:div>
    <w:div w:id="1860318444">
      <w:marLeft w:val="0"/>
      <w:marRight w:val="0"/>
      <w:marTop w:val="0"/>
      <w:marBottom w:val="0"/>
      <w:divBdr>
        <w:top w:val="none" w:sz="0" w:space="0" w:color="auto"/>
        <w:left w:val="none" w:sz="0" w:space="0" w:color="auto"/>
        <w:bottom w:val="none" w:sz="0" w:space="0" w:color="auto"/>
        <w:right w:val="none" w:sz="0" w:space="0" w:color="auto"/>
      </w:divBdr>
      <w:divsChild>
        <w:div w:id="1879202295">
          <w:marLeft w:val="0"/>
          <w:marRight w:val="0"/>
          <w:marTop w:val="0"/>
          <w:marBottom w:val="0"/>
          <w:divBdr>
            <w:top w:val="none" w:sz="0" w:space="0" w:color="auto"/>
            <w:left w:val="none" w:sz="0" w:space="0" w:color="auto"/>
            <w:bottom w:val="none" w:sz="0" w:space="0" w:color="auto"/>
            <w:right w:val="none" w:sz="0" w:space="0" w:color="auto"/>
          </w:divBdr>
        </w:div>
      </w:divsChild>
    </w:div>
    <w:div w:id="1860584514">
      <w:marLeft w:val="0"/>
      <w:marRight w:val="0"/>
      <w:marTop w:val="0"/>
      <w:marBottom w:val="180"/>
      <w:divBdr>
        <w:top w:val="none" w:sz="0" w:space="0" w:color="auto"/>
        <w:left w:val="none" w:sz="0" w:space="0" w:color="auto"/>
        <w:bottom w:val="none" w:sz="0" w:space="0" w:color="auto"/>
        <w:right w:val="none" w:sz="0" w:space="0" w:color="auto"/>
      </w:divBdr>
    </w:div>
    <w:div w:id="1862889811">
      <w:marLeft w:val="0"/>
      <w:marRight w:val="0"/>
      <w:marTop w:val="120"/>
      <w:marBottom w:val="120"/>
      <w:divBdr>
        <w:top w:val="none" w:sz="0" w:space="0" w:color="auto"/>
        <w:left w:val="none" w:sz="0" w:space="0" w:color="auto"/>
        <w:bottom w:val="none" w:sz="0" w:space="0" w:color="auto"/>
        <w:right w:val="none" w:sz="0" w:space="0" w:color="auto"/>
      </w:divBdr>
    </w:div>
    <w:div w:id="1863009922">
      <w:marLeft w:val="0"/>
      <w:marRight w:val="0"/>
      <w:marTop w:val="0"/>
      <w:marBottom w:val="180"/>
      <w:divBdr>
        <w:top w:val="none" w:sz="0" w:space="0" w:color="auto"/>
        <w:left w:val="none" w:sz="0" w:space="0" w:color="auto"/>
        <w:bottom w:val="none" w:sz="0" w:space="0" w:color="auto"/>
        <w:right w:val="none" w:sz="0" w:space="0" w:color="auto"/>
      </w:divBdr>
    </w:div>
    <w:div w:id="1863661147">
      <w:marLeft w:val="0"/>
      <w:marRight w:val="0"/>
      <w:marTop w:val="0"/>
      <w:marBottom w:val="180"/>
      <w:divBdr>
        <w:top w:val="none" w:sz="0" w:space="0" w:color="auto"/>
        <w:left w:val="none" w:sz="0" w:space="0" w:color="auto"/>
        <w:bottom w:val="none" w:sz="0" w:space="0" w:color="auto"/>
        <w:right w:val="none" w:sz="0" w:space="0" w:color="auto"/>
      </w:divBdr>
    </w:div>
    <w:div w:id="1864048650">
      <w:marLeft w:val="0"/>
      <w:marRight w:val="0"/>
      <w:marTop w:val="0"/>
      <w:marBottom w:val="240"/>
      <w:divBdr>
        <w:top w:val="none" w:sz="0" w:space="0" w:color="auto"/>
        <w:left w:val="none" w:sz="0" w:space="0" w:color="auto"/>
        <w:bottom w:val="none" w:sz="0" w:space="0" w:color="auto"/>
        <w:right w:val="none" w:sz="0" w:space="0" w:color="auto"/>
      </w:divBdr>
    </w:div>
    <w:div w:id="1864435808">
      <w:marLeft w:val="0"/>
      <w:marRight w:val="0"/>
      <w:marTop w:val="100"/>
      <w:marBottom w:val="0"/>
      <w:divBdr>
        <w:top w:val="none" w:sz="0" w:space="0" w:color="auto"/>
        <w:left w:val="none" w:sz="0" w:space="0" w:color="auto"/>
        <w:bottom w:val="none" w:sz="0" w:space="0" w:color="auto"/>
        <w:right w:val="none" w:sz="0" w:space="0" w:color="auto"/>
      </w:divBdr>
    </w:div>
    <w:div w:id="1864517204">
      <w:marLeft w:val="0"/>
      <w:marRight w:val="0"/>
      <w:marTop w:val="0"/>
      <w:marBottom w:val="0"/>
      <w:divBdr>
        <w:top w:val="none" w:sz="0" w:space="0" w:color="auto"/>
        <w:left w:val="none" w:sz="0" w:space="0" w:color="auto"/>
        <w:bottom w:val="none" w:sz="0" w:space="0" w:color="auto"/>
        <w:right w:val="none" w:sz="0" w:space="0" w:color="auto"/>
      </w:divBdr>
      <w:divsChild>
        <w:div w:id="337391459">
          <w:marLeft w:val="0"/>
          <w:marRight w:val="0"/>
          <w:marTop w:val="0"/>
          <w:marBottom w:val="0"/>
          <w:divBdr>
            <w:top w:val="none" w:sz="0" w:space="0" w:color="auto"/>
            <w:left w:val="none" w:sz="0" w:space="0" w:color="auto"/>
            <w:bottom w:val="none" w:sz="0" w:space="0" w:color="auto"/>
            <w:right w:val="none" w:sz="0" w:space="0" w:color="auto"/>
          </w:divBdr>
        </w:div>
      </w:divsChild>
    </w:div>
    <w:div w:id="1864636478">
      <w:marLeft w:val="0"/>
      <w:marRight w:val="0"/>
      <w:marTop w:val="0"/>
      <w:marBottom w:val="180"/>
      <w:divBdr>
        <w:top w:val="none" w:sz="0" w:space="0" w:color="auto"/>
        <w:left w:val="none" w:sz="0" w:space="0" w:color="auto"/>
        <w:bottom w:val="none" w:sz="0" w:space="0" w:color="auto"/>
        <w:right w:val="none" w:sz="0" w:space="0" w:color="auto"/>
      </w:divBdr>
    </w:div>
    <w:div w:id="1864827689">
      <w:marLeft w:val="0"/>
      <w:marRight w:val="0"/>
      <w:marTop w:val="0"/>
      <w:marBottom w:val="240"/>
      <w:divBdr>
        <w:top w:val="none" w:sz="0" w:space="0" w:color="auto"/>
        <w:left w:val="none" w:sz="0" w:space="0" w:color="auto"/>
        <w:bottom w:val="none" w:sz="0" w:space="0" w:color="auto"/>
        <w:right w:val="none" w:sz="0" w:space="0" w:color="auto"/>
      </w:divBdr>
    </w:div>
    <w:div w:id="1864974622">
      <w:marLeft w:val="0"/>
      <w:marRight w:val="0"/>
      <w:marTop w:val="180"/>
      <w:marBottom w:val="180"/>
      <w:divBdr>
        <w:top w:val="none" w:sz="0" w:space="0" w:color="auto"/>
        <w:left w:val="none" w:sz="0" w:space="0" w:color="auto"/>
        <w:bottom w:val="none" w:sz="0" w:space="0" w:color="auto"/>
        <w:right w:val="none" w:sz="0" w:space="0" w:color="auto"/>
      </w:divBdr>
    </w:div>
    <w:div w:id="1864979794">
      <w:marLeft w:val="0"/>
      <w:marRight w:val="0"/>
      <w:marTop w:val="0"/>
      <w:marBottom w:val="0"/>
      <w:divBdr>
        <w:top w:val="none" w:sz="0" w:space="0" w:color="auto"/>
        <w:left w:val="none" w:sz="0" w:space="0" w:color="auto"/>
        <w:bottom w:val="none" w:sz="0" w:space="0" w:color="auto"/>
        <w:right w:val="none" w:sz="0" w:space="0" w:color="auto"/>
      </w:divBdr>
    </w:div>
    <w:div w:id="1865096431">
      <w:marLeft w:val="0"/>
      <w:marRight w:val="0"/>
      <w:marTop w:val="0"/>
      <w:marBottom w:val="0"/>
      <w:divBdr>
        <w:top w:val="none" w:sz="0" w:space="0" w:color="auto"/>
        <w:left w:val="none" w:sz="0" w:space="0" w:color="auto"/>
        <w:bottom w:val="none" w:sz="0" w:space="0" w:color="auto"/>
        <w:right w:val="none" w:sz="0" w:space="0" w:color="auto"/>
      </w:divBdr>
    </w:div>
    <w:div w:id="1865240021">
      <w:marLeft w:val="0"/>
      <w:marRight w:val="0"/>
      <w:marTop w:val="0"/>
      <w:marBottom w:val="180"/>
      <w:divBdr>
        <w:top w:val="none" w:sz="0" w:space="0" w:color="auto"/>
        <w:left w:val="none" w:sz="0" w:space="0" w:color="auto"/>
        <w:bottom w:val="none" w:sz="0" w:space="0" w:color="auto"/>
        <w:right w:val="none" w:sz="0" w:space="0" w:color="auto"/>
      </w:divBdr>
    </w:div>
    <w:div w:id="1866089762">
      <w:marLeft w:val="0"/>
      <w:marRight w:val="0"/>
      <w:marTop w:val="0"/>
      <w:marBottom w:val="180"/>
      <w:divBdr>
        <w:top w:val="none" w:sz="0" w:space="0" w:color="auto"/>
        <w:left w:val="none" w:sz="0" w:space="0" w:color="auto"/>
        <w:bottom w:val="none" w:sz="0" w:space="0" w:color="auto"/>
        <w:right w:val="none" w:sz="0" w:space="0" w:color="auto"/>
      </w:divBdr>
    </w:div>
    <w:div w:id="1866943796">
      <w:marLeft w:val="0"/>
      <w:marRight w:val="0"/>
      <w:marTop w:val="120"/>
      <w:marBottom w:val="180"/>
      <w:divBdr>
        <w:top w:val="none" w:sz="0" w:space="0" w:color="auto"/>
        <w:left w:val="none" w:sz="0" w:space="0" w:color="auto"/>
        <w:bottom w:val="none" w:sz="0" w:space="0" w:color="auto"/>
        <w:right w:val="none" w:sz="0" w:space="0" w:color="auto"/>
      </w:divBdr>
    </w:div>
    <w:div w:id="1869873726">
      <w:marLeft w:val="0"/>
      <w:marRight w:val="0"/>
      <w:marTop w:val="0"/>
      <w:marBottom w:val="0"/>
      <w:divBdr>
        <w:top w:val="none" w:sz="0" w:space="0" w:color="auto"/>
        <w:left w:val="none" w:sz="0" w:space="0" w:color="auto"/>
        <w:bottom w:val="none" w:sz="0" w:space="0" w:color="auto"/>
        <w:right w:val="none" w:sz="0" w:space="0" w:color="auto"/>
      </w:divBdr>
      <w:divsChild>
        <w:div w:id="807668046">
          <w:marLeft w:val="0"/>
          <w:marRight w:val="0"/>
          <w:marTop w:val="0"/>
          <w:marBottom w:val="0"/>
          <w:divBdr>
            <w:top w:val="none" w:sz="0" w:space="0" w:color="auto"/>
            <w:left w:val="none" w:sz="0" w:space="0" w:color="auto"/>
            <w:bottom w:val="none" w:sz="0" w:space="0" w:color="auto"/>
            <w:right w:val="none" w:sz="0" w:space="0" w:color="auto"/>
          </w:divBdr>
        </w:div>
      </w:divsChild>
    </w:div>
    <w:div w:id="1872768419">
      <w:marLeft w:val="0"/>
      <w:marRight w:val="0"/>
      <w:marTop w:val="0"/>
      <w:marBottom w:val="0"/>
      <w:divBdr>
        <w:top w:val="none" w:sz="0" w:space="0" w:color="auto"/>
        <w:left w:val="none" w:sz="0" w:space="0" w:color="auto"/>
        <w:bottom w:val="none" w:sz="0" w:space="0" w:color="auto"/>
        <w:right w:val="none" w:sz="0" w:space="0" w:color="auto"/>
      </w:divBdr>
    </w:div>
    <w:div w:id="1873036682">
      <w:marLeft w:val="0"/>
      <w:marRight w:val="0"/>
      <w:marTop w:val="180"/>
      <w:marBottom w:val="180"/>
      <w:divBdr>
        <w:top w:val="none" w:sz="0" w:space="0" w:color="auto"/>
        <w:left w:val="none" w:sz="0" w:space="0" w:color="auto"/>
        <w:bottom w:val="none" w:sz="0" w:space="0" w:color="auto"/>
        <w:right w:val="none" w:sz="0" w:space="0" w:color="auto"/>
      </w:divBdr>
    </w:div>
    <w:div w:id="1873686430">
      <w:marLeft w:val="0"/>
      <w:marRight w:val="0"/>
      <w:marTop w:val="100"/>
      <w:marBottom w:val="240"/>
      <w:divBdr>
        <w:top w:val="none" w:sz="0" w:space="0" w:color="auto"/>
        <w:left w:val="none" w:sz="0" w:space="0" w:color="auto"/>
        <w:bottom w:val="none" w:sz="0" w:space="0" w:color="auto"/>
        <w:right w:val="none" w:sz="0" w:space="0" w:color="auto"/>
      </w:divBdr>
      <w:divsChild>
        <w:div w:id="1310016684">
          <w:marLeft w:val="0"/>
          <w:marRight w:val="0"/>
          <w:marTop w:val="0"/>
          <w:marBottom w:val="0"/>
          <w:divBdr>
            <w:top w:val="none" w:sz="0" w:space="0" w:color="auto"/>
            <w:left w:val="none" w:sz="0" w:space="0" w:color="auto"/>
            <w:bottom w:val="none" w:sz="0" w:space="0" w:color="auto"/>
            <w:right w:val="none" w:sz="0" w:space="0" w:color="auto"/>
          </w:divBdr>
        </w:div>
        <w:div w:id="138428258">
          <w:marLeft w:val="0"/>
          <w:marRight w:val="0"/>
          <w:marTop w:val="0"/>
          <w:marBottom w:val="0"/>
          <w:divBdr>
            <w:top w:val="none" w:sz="0" w:space="0" w:color="auto"/>
            <w:left w:val="none" w:sz="0" w:space="0" w:color="auto"/>
            <w:bottom w:val="none" w:sz="0" w:space="0" w:color="auto"/>
            <w:right w:val="none" w:sz="0" w:space="0" w:color="auto"/>
          </w:divBdr>
        </w:div>
      </w:divsChild>
    </w:div>
    <w:div w:id="1875845990">
      <w:marLeft w:val="0"/>
      <w:marRight w:val="0"/>
      <w:marTop w:val="180"/>
      <w:marBottom w:val="180"/>
      <w:divBdr>
        <w:top w:val="none" w:sz="0" w:space="0" w:color="auto"/>
        <w:left w:val="none" w:sz="0" w:space="0" w:color="auto"/>
        <w:bottom w:val="none" w:sz="0" w:space="0" w:color="auto"/>
        <w:right w:val="none" w:sz="0" w:space="0" w:color="auto"/>
      </w:divBdr>
    </w:div>
    <w:div w:id="1879774049">
      <w:marLeft w:val="0"/>
      <w:marRight w:val="0"/>
      <w:marTop w:val="120"/>
      <w:marBottom w:val="120"/>
      <w:divBdr>
        <w:top w:val="none" w:sz="0" w:space="0" w:color="auto"/>
        <w:left w:val="none" w:sz="0" w:space="0" w:color="auto"/>
        <w:bottom w:val="none" w:sz="0" w:space="0" w:color="auto"/>
        <w:right w:val="none" w:sz="0" w:space="0" w:color="auto"/>
      </w:divBdr>
    </w:div>
    <w:div w:id="1880237834">
      <w:marLeft w:val="0"/>
      <w:marRight w:val="0"/>
      <w:marTop w:val="0"/>
      <w:marBottom w:val="240"/>
      <w:divBdr>
        <w:top w:val="none" w:sz="0" w:space="0" w:color="auto"/>
        <w:left w:val="none" w:sz="0" w:space="0" w:color="auto"/>
        <w:bottom w:val="none" w:sz="0" w:space="0" w:color="auto"/>
        <w:right w:val="none" w:sz="0" w:space="0" w:color="auto"/>
      </w:divBdr>
    </w:div>
    <w:div w:id="1880582836">
      <w:marLeft w:val="0"/>
      <w:marRight w:val="0"/>
      <w:marTop w:val="0"/>
      <w:marBottom w:val="0"/>
      <w:divBdr>
        <w:top w:val="none" w:sz="0" w:space="0" w:color="auto"/>
        <w:left w:val="none" w:sz="0" w:space="0" w:color="auto"/>
        <w:bottom w:val="none" w:sz="0" w:space="0" w:color="auto"/>
        <w:right w:val="none" w:sz="0" w:space="0" w:color="auto"/>
      </w:divBdr>
    </w:div>
    <w:div w:id="1882401503">
      <w:marLeft w:val="0"/>
      <w:marRight w:val="0"/>
      <w:marTop w:val="240"/>
      <w:marBottom w:val="240"/>
      <w:divBdr>
        <w:top w:val="none" w:sz="0" w:space="0" w:color="auto"/>
        <w:left w:val="none" w:sz="0" w:space="0" w:color="auto"/>
        <w:bottom w:val="none" w:sz="0" w:space="0" w:color="auto"/>
        <w:right w:val="none" w:sz="0" w:space="0" w:color="auto"/>
      </w:divBdr>
    </w:div>
    <w:div w:id="1882589683">
      <w:marLeft w:val="0"/>
      <w:marRight w:val="0"/>
      <w:marTop w:val="0"/>
      <w:marBottom w:val="240"/>
      <w:divBdr>
        <w:top w:val="none" w:sz="0" w:space="0" w:color="auto"/>
        <w:left w:val="none" w:sz="0" w:space="0" w:color="auto"/>
        <w:bottom w:val="none" w:sz="0" w:space="0" w:color="auto"/>
        <w:right w:val="none" w:sz="0" w:space="0" w:color="auto"/>
      </w:divBdr>
    </w:div>
    <w:div w:id="1884516290">
      <w:marLeft w:val="0"/>
      <w:marRight w:val="0"/>
      <w:marTop w:val="0"/>
      <w:marBottom w:val="180"/>
      <w:divBdr>
        <w:top w:val="none" w:sz="0" w:space="0" w:color="auto"/>
        <w:left w:val="none" w:sz="0" w:space="0" w:color="auto"/>
        <w:bottom w:val="none" w:sz="0" w:space="0" w:color="auto"/>
        <w:right w:val="none" w:sz="0" w:space="0" w:color="auto"/>
      </w:divBdr>
    </w:div>
    <w:div w:id="1884706755">
      <w:marLeft w:val="0"/>
      <w:marRight w:val="0"/>
      <w:marTop w:val="0"/>
      <w:marBottom w:val="180"/>
      <w:divBdr>
        <w:top w:val="none" w:sz="0" w:space="0" w:color="auto"/>
        <w:left w:val="none" w:sz="0" w:space="0" w:color="auto"/>
        <w:bottom w:val="none" w:sz="0" w:space="0" w:color="auto"/>
        <w:right w:val="none" w:sz="0" w:space="0" w:color="auto"/>
      </w:divBdr>
    </w:div>
    <w:div w:id="1885407866">
      <w:marLeft w:val="0"/>
      <w:marRight w:val="0"/>
      <w:marTop w:val="0"/>
      <w:marBottom w:val="0"/>
      <w:divBdr>
        <w:top w:val="none" w:sz="0" w:space="0" w:color="auto"/>
        <w:left w:val="none" w:sz="0" w:space="0" w:color="auto"/>
        <w:bottom w:val="none" w:sz="0" w:space="0" w:color="auto"/>
        <w:right w:val="none" w:sz="0" w:space="0" w:color="auto"/>
      </w:divBdr>
    </w:div>
    <w:div w:id="1885949612">
      <w:marLeft w:val="0"/>
      <w:marRight w:val="0"/>
      <w:marTop w:val="0"/>
      <w:marBottom w:val="0"/>
      <w:divBdr>
        <w:top w:val="none" w:sz="0" w:space="0" w:color="auto"/>
        <w:left w:val="none" w:sz="0" w:space="0" w:color="auto"/>
        <w:bottom w:val="none" w:sz="0" w:space="0" w:color="auto"/>
        <w:right w:val="none" w:sz="0" w:space="0" w:color="auto"/>
      </w:divBdr>
      <w:divsChild>
        <w:div w:id="1659841922">
          <w:marLeft w:val="0"/>
          <w:marRight w:val="0"/>
          <w:marTop w:val="0"/>
          <w:marBottom w:val="0"/>
          <w:divBdr>
            <w:top w:val="none" w:sz="0" w:space="0" w:color="auto"/>
            <w:left w:val="none" w:sz="0" w:space="0" w:color="auto"/>
            <w:bottom w:val="none" w:sz="0" w:space="0" w:color="auto"/>
            <w:right w:val="none" w:sz="0" w:space="0" w:color="auto"/>
          </w:divBdr>
        </w:div>
      </w:divsChild>
    </w:div>
    <w:div w:id="1886328366">
      <w:marLeft w:val="0"/>
      <w:marRight w:val="0"/>
      <w:marTop w:val="0"/>
      <w:marBottom w:val="0"/>
      <w:divBdr>
        <w:top w:val="none" w:sz="0" w:space="0" w:color="auto"/>
        <w:left w:val="none" w:sz="0" w:space="0" w:color="auto"/>
        <w:bottom w:val="none" w:sz="0" w:space="0" w:color="auto"/>
        <w:right w:val="none" w:sz="0" w:space="0" w:color="auto"/>
      </w:divBdr>
      <w:divsChild>
        <w:div w:id="2102220452">
          <w:marLeft w:val="0"/>
          <w:marRight w:val="0"/>
          <w:marTop w:val="0"/>
          <w:marBottom w:val="0"/>
          <w:divBdr>
            <w:top w:val="none" w:sz="0" w:space="0" w:color="auto"/>
            <w:left w:val="none" w:sz="0" w:space="0" w:color="auto"/>
            <w:bottom w:val="none" w:sz="0" w:space="0" w:color="auto"/>
            <w:right w:val="none" w:sz="0" w:space="0" w:color="auto"/>
          </w:divBdr>
        </w:div>
      </w:divsChild>
    </w:div>
    <w:div w:id="1886481075">
      <w:marLeft w:val="0"/>
      <w:marRight w:val="0"/>
      <w:marTop w:val="0"/>
      <w:marBottom w:val="0"/>
      <w:divBdr>
        <w:top w:val="none" w:sz="0" w:space="0" w:color="auto"/>
        <w:left w:val="none" w:sz="0" w:space="0" w:color="auto"/>
        <w:bottom w:val="none" w:sz="0" w:space="0" w:color="auto"/>
        <w:right w:val="none" w:sz="0" w:space="0" w:color="auto"/>
      </w:divBdr>
    </w:div>
    <w:div w:id="1886599694">
      <w:marLeft w:val="0"/>
      <w:marRight w:val="0"/>
      <w:marTop w:val="120"/>
      <w:marBottom w:val="120"/>
      <w:divBdr>
        <w:top w:val="none" w:sz="0" w:space="0" w:color="auto"/>
        <w:left w:val="none" w:sz="0" w:space="0" w:color="auto"/>
        <w:bottom w:val="none" w:sz="0" w:space="0" w:color="auto"/>
        <w:right w:val="none" w:sz="0" w:space="0" w:color="auto"/>
      </w:divBdr>
    </w:div>
    <w:div w:id="1886722003">
      <w:marLeft w:val="0"/>
      <w:marRight w:val="0"/>
      <w:marTop w:val="0"/>
      <w:marBottom w:val="180"/>
      <w:divBdr>
        <w:top w:val="none" w:sz="0" w:space="0" w:color="auto"/>
        <w:left w:val="none" w:sz="0" w:space="0" w:color="auto"/>
        <w:bottom w:val="none" w:sz="0" w:space="0" w:color="auto"/>
        <w:right w:val="none" w:sz="0" w:space="0" w:color="auto"/>
      </w:divBdr>
    </w:div>
    <w:div w:id="1886870660">
      <w:marLeft w:val="0"/>
      <w:marRight w:val="0"/>
      <w:marTop w:val="0"/>
      <w:marBottom w:val="240"/>
      <w:divBdr>
        <w:top w:val="none" w:sz="0" w:space="0" w:color="auto"/>
        <w:left w:val="none" w:sz="0" w:space="0" w:color="auto"/>
        <w:bottom w:val="none" w:sz="0" w:space="0" w:color="auto"/>
        <w:right w:val="none" w:sz="0" w:space="0" w:color="auto"/>
      </w:divBdr>
    </w:div>
    <w:div w:id="1887255775">
      <w:marLeft w:val="0"/>
      <w:marRight w:val="0"/>
      <w:marTop w:val="0"/>
      <w:marBottom w:val="240"/>
      <w:divBdr>
        <w:top w:val="none" w:sz="0" w:space="0" w:color="auto"/>
        <w:left w:val="none" w:sz="0" w:space="0" w:color="auto"/>
        <w:bottom w:val="none" w:sz="0" w:space="0" w:color="auto"/>
        <w:right w:val="none" w:sz="0" w:space="0" w:color="auto"/>
      </w:divBdr>
    </w:div>
    <w:div w:id="1888376402">
      <w:marLeft w:val="0"/>
      <w:marRight w:val="0"/>
      <w:marTop w:val="0"/>
      <w:marBottom w:val="180"/>
      <w:divBdr>
        <w:top w:val="none" w:sz="0" w:space="0" w:color="auto"/>
        <w:left w:val="none" w:sz="0" w:space="0" w:color="auto"/>
        <w:bottom w:val="none" w:sz="0" w:space="0" w:color="auto"/>
        <w:right w:val="none" w:sz="0" w:space="0" w:color="auto"/>
      </w:divBdr>
    </w:div>
    <w:div w:id="1889105645">
      <w:marLeft w:val="0"/>
      <w:marRight w:val="0"/>
      <w:marTop w:val="0"/>
      <w:marBottom w:val="180"/>
      <w:divBdr>
        <w:top w:val="none" w:sz="0" w:space="0" w:color="auto"/>
        <w:left w:val="none" w:sz="0" w:space="0" w:color="auto"/>
        <w:bottom w:val="none" w:sz="0" w:space="0" w:color="auto"/>
        <w:right w:val="none" w:sz="0" w:space="0" w:color="auto"/>
      </w:divBdr>
    </w:div>
    <w:div w:id="1889297095">
      <w:marLeft w:val="0"/>
      <w:marRight w:val="0"/>
      <w:marTop w:val="0"/>
      <w:marBottom w:val="0"/>
      <w:divBdr>
        <w:top w:val="none" w:sz="0" w:space="0" w:color="auto"/>
        <w:left w:val="none" w:sz="0" w:space="0" w:color="auto"/>
        <w:bottom w:val="none" w:sz="0" w:space="0" w:color="auto"/>
        <w:right w:val="none" w:sz="0" w:space="0" w:color="auto"/>
      </w:divBdr>
    </w:div>
    <w:div w:id="1889562289">
      <w:marLeft w:val="0"/>
      <w:marRight w:val="0"/>
      <w:marTop w:val="0"/>
      <w:marBottom w:val="240"/>
      <w:divBdr>
        <w:top w:val="none" w:sz="0" w:space="0" w:color="auto"/>
        <w:left w:val="none" w:sz="0" w:space="0" w:color="auto"/>
        <w:bottom w:val="none" w:sz="0" w:space="0" w:color="auto"/>
        <w:right w:val="none" w:sz="0" w:space="0" w:color="auto"/>
      </w:divBdr>
    </w:div>
    <w:div w:id="1891500892">
      <w:marLeft w:val="0"/>
      <w:marRight w:val="0"/>
      <w:marTop w:val="0"/>
      <w:marBottom w:val="240"/>
      <w:divBdr>
        <w:top w:val="none" w:sz="0" w:space="0" w:color="auto"/>
        <w:left w:val="none" w:sz="0" w:space="0" w:color="auto"/>
        <w:bottom w:val="none" w:sz="0" w:space="0" w:color="auto"/>
        <w:right w:val="none" w:sz="0" w:space="0" w:color="auto"/>
      </w:divBdr>
    </w:div>
    <w:div w:id="1891650281">
      <w:marLeft w:val="0"/>
      <w:marRight w:val="0"/>
      <w:marTop w:val="0"/>
      <w:marBottom w:val="240"/>
      <w:divBdr>
        <w:top w:val="none" w:sz="0" w:space="0" w:color="auto"/>
        <w:left w:val="none" w:sz="0" w:space="0" w:color="auto"/>
        <w:bottom w:val="none" w:sz="0" w:space="0" w:color="auto"/>
        <w:right w:val="none" w:sz="0" w:space="0" w:color="auto"/>
      </w:divBdr>
    </w:div>
    <w:div w:id="1892035725">
      <w:marLeft w:val="0"/>
      <w:marRight w:val="0"/>
      <w:marTop w:val="0"/>
      <w:marBottom w:val="180"/>
      <w:divBdr>
        <w:top w:val="none" w:sz="0" w:space="0" w:color="auto"/>
        <w:left w:val="none" w:sz="0" w:space="0" w:color="auto"/>
        <w:bottom w:val="none" w:sz="0" w:space="0" w:color="auto"/>
        <w:right w:val="none" w:sz="0" w:space="0" w:color="auto"/>
      </w:divBdr>
    </w:div>
    <w:div w:id="1892036411">
      <w:marLeft w:val="0"/>
      <w:marRight w:val="0"/>
      <w:marTop w:val="180"/>
      <w:marBottom w:val="180"/>
      <w:divBdr>
        <w:top w:val="none" w:sz="0" w:space="0" w:color="auto"/>
        <w:left w:val="none" w:sz="0" w:space="0" w:color="auto"/>
        <w:bottom w:val="none" w:sz="0" w:space="0" w:color="auto"/>
        <w:right w:val="none" w:sz="0" w:space="0" w:color="auto"/>
      </w:divBdr>
    </w:div>
    <w:div w:id="1892231424">
      <w:marLeft w:val="0"/>
      <w:marRight w:val="0"/>
      <w:marTop w:val="0"/>
      <w:marBottom w:val="180"/>
      <w:divBdr>
        <w:top w:val="none" w:sz="0" w:space="0" w:color="auto"/>
        <w:left w:val="none" w:sz="0" w:space="0" w:color="auto"/>
        <w:bottom w:val="none" w:sz="0" w:space="0" w:color="auto"/>
        <w:right w:val="none" w:sz="0" w:space="0" w:color="auto"/>
      </w:divBdr>
    </w:div>
    <w:div w:id="1892645279">
      <w:marLeft w:val="0"/>
      <w:marRight w:val="0"/>
      <w:marTop w:val="0"/>
      <w:marBottom w:val="240"/>
      <w:divBdr>
        <w:top w:val="none" w:sz="0" w:space="0" w:color="auto"/>
        <w:left w:val="none" w:sz="0" w:space="0" w:color="auto"/>
        <w:bottom w:val="none" w:sz="0" w:space="0" w:color="auto"/>
        <w:right w:val="none" w:sz="0" w:space="0" w:color="auto"/>
      </w:divBdr>
    </w:div>
    <w:div w:id="1892964158">
      <w:marLeft w:val="0"/>
      <w:marRight w:val="0"/>
      <w:marTop w:val="0"/>
      <w:marBottom w:val="240"/>
      <w:divBdr>
        <w:top w:val="none" w:sz="0" w:space="0" w:color="auto"/>
        <w:left w:val="none" w:sz="0" w:space="0" w:color="auto"/>
        <w:bottom w:val="none" w:sz="0" w:space="0" w:color="auto"/>
        <w:right w:val="none" w:sz="0" w:space="0" w:color="auto"/>
      </w:divBdr>
    </w:div>
    <w:div w:id="1893615956">
      <w:marLeft w:val="0"/>
      <w:marRight w:val="0"/>
      <w:marTop w:val="0"/>
      <w:marBottom w:val="240"/>
      <w:divBdr>
        <w:top w:val="none" w:sz="0" w:space="0" w:color="auto"/>
        <w:left w:val="none" w:sz="0" w:space="0" w:color="auto"/>
        <w:bottom w:val="none" w:sz="0" w:space="0" w:color="auto"/>
        <w:right w:val="none" w:sz="0" w:space="0" w:color="auto"/>
      </w:divBdr>
    </w:div>
    <w:div w:id="1893733583">
      <w:marLeft w:val="0"/>
      <w:marRight w:val="0"/>
      <w:marTop w:val="0"/>
      <w:marBottom w:val="0"/>
      <w:divBdr>
        <w:top w:val="none" w:sz="0" w:space="0" w:color="auto"/>
        <w:left w:val="none" w:sz="0" w:space="0" w:color="auto"/>
        <w:bottom w:val="none" w:sz="0" w:space="0" w:color="auto"/>
        <w:right w:val="none" w:sz="0" w:space="0" w:color="auto"/>
      </w:divBdr>
      <w:divsChild>
        <w:div w:id="1548178150">
          <w:marLeft w:val="0"/>
          <w:marRight w:val="0"/>
          <w:marTop w:val="0"/>
          <w:marBottom w:val="0"/>
          <w:divBdr>
            <w:top w:val="none" w:sz="0" w:space="0" w:color="auto"/>
            <w:left w:val="none" w:sz="0" w:space="0" w:color="auto"/>
            <w:bottom w:val="none" w:sz="0" w:space="0" w:color="auto"/>
            <w:right w:val="none" w:sz="0" w:space="0" w:color="auto"/>
          </w:divBdr>
        </w:div>
      </w:divsChild>
    </w:div>
    <w:div w:id="1894344407">
      <w:marLeft w:val="0"/>
      <w:marRight w:val="0"/>
      <w:marTop w:val="0"/>
      <w:marBottom w:val="180"/>
      <w:divBdr>
        <w:top w:val="none" w:sz="0" w:space="0" w:color="auto"/>
        <w:left w:val="none" w:sz="0" w:space="0" w:color="auto"/>
        <w:bottom w:val="none" w:sz="0" w:space="0" w:color="auto"/>
        <w:right w:val="none" w:sz="0" w:space="0" w:color="auto"/>
      </w:divBdr>
    </w:div>
    <w:div w:id="1895920160">
      <w:marLeft w:val="0"/>
      <w:marRight w:val="0"/>
      <w:marTop w:val="0"/>
      <w:marBottom w:val="180"/>
      <w:divBdr>
        <w:top w:val="none" w:sz="0" w:space="0" w:color="auto"/>
        <w:left w:val="none" w:sz="0" w:space="0" w:color="auto"/>
        <w:bottom w:val="none" w:sz="0" w:space="0" w:color="auto"/>
        <w:right w:val="none" w:sz="0" w:space="0" w:color="auto"/>
      </w:divBdr>
    </w:div>
    <w:div w:id="1895971015">
      <w:marLeft w:val="0"/>
      <w:marRight w:val="0"/>
      <w:marTop w:val="0"/>
      <w:marBottom w:val="180"/>
      <w:divBdr>
        <w:top w:val="none" w:sz="0" w:space="0" w:color="auto"/>
        <w:left w:val="none" w:sz="0" w:space="0" w:color="auto"/>
        <w:bottom w:val="none" w:sz="0" w:space="0" w:color="auto"/>
        <w:right w:val="none" w:sz="0" w:space="0" w:color="auto"/>
      </w:divBdr>
    </w:div>
    <w:div w:id="1896619956">
      <w:marLeft w:val="0"/>
      <w:marRight w:val="0"/>
      <w:marTop w:val="180"/>
      <w:marBottom w:val="180"/>
      <w:divBdr>
        <w:top w:val="none" w:sz="0" w:space="0" w:color="auto"/>
        <w:left w:val="none" w:sz="0" w:space="0" w:color="auto"/>
        <w:bottom w:val="none" w:sz="0" w:space="0" w:color="auto"/>
        <w:right w:val="none" w:sz="0" w:space="0" w:color="auto"/>
      </w:divBdr>
    </w:div>
    <w:div w:id="1896813484">
      <w:marLeft w:val="0"/>
      <w:marRight w:val="0"/>
      <w:marTop w:val="180"/>
      <w:marBottom w:val="180"/>
      <w:divBdr>
        <w:top w:val="none" w:sz="0" w:space="0" w:color="auto"/>
        <w:left w:val="none" w:sz="0" w:space="0" w:color="auto"/>
        <w:bottom w:val="none" w:sz="0" w:space="0" w:color="auto"/>
        <w:right w:val="none" w:sz="0" w:space="0" w:color="auto"/>
      </w:divBdr>
    </w:div>
    <w:div w:id="1898467971">
      <w:marLeft w:val="0"/>
      <w:marRight w:val="0"/>
      <w:marTop w:val="0"/>
      <w:marBottom w:val="180"/>
      <w:divBdr>
        <w:top w:val="none" w:sz="0" w:space="0" w:color="auto"/>
        <w:left w:val="none" w:sz="0" w:space="0" w:color="auto"/>
        <w:bottom w:val="none" w:sz="0" w:space="0" w:color="auto"/>
        <w:right w:val="none" w:sz="0" w:space="0" w:color="auto"/>
      </w:divBdr>
    </w:div>
    <w:div w:id="1898662245">
      <w:marLeft w:val="0"/>
      <w:marRight w:val="0"/>
      <w:marTop w:val="0"/>
      <w:marBottom w:val="240"/>
      <w:divBdr>
        <w:top w:val="none" w:sz="0" w:space="0" w:color="auto"/>
        <w:left w:val="none" w:sz="0" w:space="0" w:color="auto"/>
        <w:bottom w:val="none" w:sz="0" w:space="0" w:color="auto"/>
        <w:right w:val="none" w:sz="0" w:space="0" w:color="auto"/>
      </w:divBdr>
    </w:div>
    <w:div w:id="1899050302">
      <w:marLeft w:val="0"/>
      <w:marRight w:val="0"/>
      <w:marTop w:val="0"/>
      <w:marBottom w:val="180"/>
      <w:divBdr>
        <w:top w:val="none" w:sz="0" w:space="0" w:color="auto"/>
        <w:left w:val="none" w:sz="0" w:space="0" w:color="auto"/>
        <w:bottom w:val="none" w:sz="0" w:space="0" w:color="auto"/>
        <w:right w:val="none" w:sz="0" w:space="0" w:color="auto"/>
      </w:divBdr>
    </w:div>
    <w:div w:id="1899245894">
      <w:marLeft w:val="0"/>
      <w:marRight w:val="0"/>
      <w:marTop w:val="120"/>
      <w:marBottom w:val="120"/>
      <w:divBdr>
        <w:top w:val="none" w:sz="0" w:space="0" w:color="auto"/>
        <w:left w:val="none" w:sz="0" w:space="0" w:color="auto"/>
        <w:bottom w:val="none" w:sz="0" w:space="0" w:color="auto"/>
        <w:right w:val="none" w:sz="0" w:space="0" w:color="auto"/>
      </w:divBdr>
    </w:div>
    <w:div w:id="1900357899">
      <w:marLeft w:val="0"/>
      <w:marRight w:val="0"/>
      <w:marTop w:val="0"/>
      <w:marBottom w:val="0"/>
      <w:divBdr>
        <w:top w:val="none" w:sz="0" w:space="0" w:color="auto"/>
        <w:left w:val="none" w:sz="0" w:space="0" w:color="auto"/>
        <w:bottom w:val="none" w:sz="0" w:space="0" w:color="auto"/>
        <w:right w:val="none" w:sz="0" w:space="0" w:color="auto"/>
      </w:divBdr>
      <w:divsChild>
        <w:div w:id="361632298">
          <w:marLeft w:val="0"/>
          <w:marRight w:val="0"/>
          <w:marTop w:val="0"/>
          <w:marBottom w:val="0"/>
          <w:divBdr>
            <w:top w:val="none" w:sz="0" w:space="0" w:color="auto"/>
            <w:left w:val="none" w:sz="0" w:space="0" w:color="auto"/>
            <w:bottom w:val="none" w:sz="0" w:space="0" w:color="auto"/>
            <w:right w:val="none" w:sz="0" w:space="0" w:color="auto"/>
          </w:divBdr>
        </w:div>
      </w:divsChild>
    </w:div>
    <w:div w:id="1900703378">
      <w:marLeft w:val="0"/>
      <w:marRight w:val="0"/>
      <w:marTop w:val="0"/>
      <w:marBottom w:val="0"/>
      <w:divBdr>
        <w:top w:val="none" w:sz="0" w:space="0" w:color="auto"/>
        <w:left w:val="none" w:sz="0" w:space="0" w:color="auto"/>
        <w:bottom w:val="none" w:sz="0" w:space="0" w:color="auto"/>
        <w:right w:val="none" w:sz="0" w:space="0" w:color="auto"/>
      </w:divBdr>
      <w:divsChild>
        <w:div w:id="1042052441">
          <w:marLeft w:val="0"/>
          <w:marRight w:val="0"/>
          <w:marTop w:val="0"/>
          <w:marBottom w:val="0"/>
          <w:divBdr>
            <w:top w:val="none" w:sz="0" w:space="0" w:color="auto"/>
            <w:left w:val="none" w:sz="0" w:space="0" w:color="auto"/>
            <w:bottom w:val="none" w:sz="0" w:space="0" w:color="auto"/>
            <w:right w:val="none" w:sz="0" w:space="0" w:color="auto"/>
          </w:divBdr>
        </w:div>
      </w:divsChild>
    </w:div>
    <w:div w:id="1901207444">
      <w:marLeft w:val="0"/>
      <w:marRight w:val="0"/>
      <w:marTop w:val="0"/>
      <w:marBottom w:val="180"/>
      <w:divBdr>
        <w:top w:val="none" w:sz="0" w:space="0" w:color="auto"/>
        <w:left w:val="none" w:sz="0" w:space="0" w:color="auto"/>
        <w:bottom w:val="none" w:sz="0" w:space="0" w:color="auto"/>
        <w:right w:val="none" w:sz="0" w:space="0" w:color="auto"/>
      </w:divBdr>
    </w:div>
    <w:div w:id="1901405215">
      <w:marLeft w:val="0"/>
      <w:marRight w:val="0"/>
      <w:marTop w:val="180"/>
      <w:marBottom w:val="180"/>
      <w:divBdr>
        <w:top w:val="none" w:sz="0" w:space="0" w:color="auto"/>
        <w:left w:val="none" w:sz="0" w:space="0" w:color="auto"/>
        <w:bottom w:val="none" w:sz="0" w:space="0" w:color="auto"/>
        <w:right w:val="none" w:sz="0" w:space="0" w:color="auto"/>
      </w:divBdr>
    </w:div>
    <w:div w:id="1901673286">
      <w:marLeft w:val="0"/>
      <w:marRight w:val="0"/>
      <w:marTop w:val="0"/>
      <w:marBottom w:val="0"/>
      <w:divBdr>
        <w:top w:val="none" w:sz="0" w:space="0" w:color="auto"/>
        <w:left w:val="none" w:sz="0" w:space="0" w:color="auto"/>
        <w:bottom w:val="none" w:sz="0" w:space="0" w:color="auto"/>
        <w:right w:val="none" w:sz="0" w:space="0" w:color="auto"/>
      </w:divBdr>
      <w:divsChild>
        <w:div w:id="379747036">
          <w:marLeft w:val="0"/>
          <w:marRight w:val="0"/>
          <w:marTop w:val="0"/>
          <w:marBottom w:val="0"/>
          <w:divBdr>
            <w:top w:val="none" w:sz="0" w:space="0" w:color="auto"/>
            <w:left w:val="none" w:sz="0" w:space="0" w:color="auto"/>
            <w:bottom w:val="none" w:sz="0" w:space="0" w:color="auto"/>
            <w:right w:val="none" w:sz="0" w:space="0" w:color="auto"/>
          </w:divBdr>
        </w:div>
      </w:divsChild>
    </w:div>
    <w:div w:id="1902018468">
      <w:marLeft w:val="0"/>
      <w:marRight w:val="0"/>
      <w:marTop w:val="0"/>
      <w:marBottom w:val="0"/>
      <w:divBdr>
        <w:top w:val="none" w:sz="0" w:space="0" w:color="auto"/>
        <w:left w:val="none" w:sz="0" w:space="0" w:color="auto"/>
        <w:bottom w:val="none" w:sz="0" w:space="0" w:color="auto"/>
        <w:right w:val="none" w:sz="0" w:space="0" w:color="auto"/>
      </w:divBdr>
    </w:div>
    <w:div w:id="1902667441">
      <w:marLeft w:val="0"/>
      <w:marRight w:val="0"/>
      <w:marTop w:val="0"/>
      <w:marBottom w:val="0"/>
      <w:divBdr>
        <w:top w:val="none" w:sz="0" w:space="0" w:color="auto"/>
        <w:left w:val="none" w:sz="0" w:space="0" w:color="auto"/>
        <w:bottom w:val="none" w:sz="0" w:space="0" w:color="auto"/>
        <w:right w:val="none" w:sz="0" w:space="0" w:color="auto"/>
      </w:divBdr>
    </w:div>
    <w:div w:id="1903175767">
      <w:marLeft w:val="0"/>
      <w:marRight w:val="0"/>
      <w:marTop w:val="0"/>
      <w:marBottom w:val="0"/>
      <w:divBdr>
        <w:top w:val="none" w:sz="0" w:space="0" w:color="auto"/>
        <w:left w:val="none" w:sz="0" w:space="0" w:color="auto"/>
        <w:bottom w:val="none" w:sz="0" w:space="0" w:color="auto"/>
        <w:right w:val="none" w:sz="0" w:space="0" w:color="auto"/>
      </w:divBdr>
    </w:div>
    <w:div w:id="1905794606">
      <w:marLeft w:val="0"/>
      <w:marRight w:val="0"/>
      <w:marTop w:val="180"/>
      <w:marBottom w:val="240"/>
      <w:divBdr>
        <w:top w:val="none" w:sz="0" w:space="0" w:color="auto"/>
        <w:left w:val="none" w:sz="0" w:space="0" w:color="auto"/>
        <w:bottom w:val="none" w:sz="0" w:space="0" w:color="auto"/>
        <w:right w:val="none" w:sz="0" w:space="0" w:color="auto"/>
      </w:divBdr>
    </w:div>
    <w:div w:id="1906183487">
      <w:marLeft w:val="0"/>
      <w:marRight w:val="0"/>
      <w:marTop w:val="0"/>
      <w:marBottom w:val="0"/>
      <w:divBdr>
        <w:top w:val="none" w:sz="0" w:space="0" w:color="auto"/>
        <w:left w:val="none" w:sz="0" w:space="0" w:color="auto"/>
        <w:bottom w:val="none" w:sz="0" w:space="0" w:color="auto"/>
        <w:right w:val="none" w:sz="0" w:space="0" w:color="auto"/>
      </w:divBdr>
      <w:divsChild>
        <w:div w:id="265583607">
          <w:marLeft w:val="0"/>
          <w:marRight w:val="0"/>
          <w:marTop w:val="0"/>
          <w:marBottom w:val="0"/>
          <w:divBdr>
            <w:top w:val="none" w:sz="0" w:space="0" w:color="auto"/>
            <w:left w:val="none" w:sz="0" w:space="0" w:color="auto"/>
            <w:bottom w:val="none" w:sz="0" w:space="0" w:color="auto"/>
            <w:right w:val="none" w:sz="0" w:space="0" w:color="auto"/>
          </w:divBdr>
        </w:div>
      </w:divsChild>
    </w:div>
    <w:div w:id="1907258304">
      <w:marLeft w:val="0"/>
      <w:marRight w:val="0"/>
      <w:marTop w:val="0"/>
      <w:marBottom w:val="180"/>
      <w:divBdr>
        <w:top w:val="none" w:sz="0" w:space="0" w:color="auto"/>
        <w:left w:val="none" w:sz="0" w:space="0" w:color="auto"/>
        <w:bottom w:val="none" w:sz="0" w:space="0" w:color="auto"/>
        <w:right w:val="none" w:sz="0" w:space="0" w:color="auto"/>
      </w:divBdr>
    </w:div>
    <w:div w:id="1907762364">
      <w:marLeft w:val="0"/>
      <w:marRight w:val="0"/>
      <w:marTop w:val="180"/>
      <w:marBottom w:val="180"/>
      <w:divBdr>
        <w:top w:val="none" w:sz="0" w:space="0" w:color="auto"/>
        <w:left w:val="none" w:sz="0" w:space="0" w:color="auto"/>
        <w:bottom w:val="none" w:sz="0" w:space="0" w:color="auto"/>
        <w:right w:val="none" w:sz="0" w:space="0" w:color="auto"/>
      </w:divBdr>
    </w:div>
    <w:div w:id="1908415980">
      <w:marLeft w:val="0"/>
      <w:marRight w:val="0"/>
      <w:marTop w:val="0"/>
      <w:marBottom w:val="240"/>
      <w:divBdr>
        <w:top w:val="none" w:sz="0" w:space="0" w:color="auto"/>
        <w:left w:val="none" w:sz="0" w:space="0" w:color="auto"/>
        <w:bottom w:val="none" w:sz="0" w:space="0" w:color="auto"/>
        <w:right w:val="none" w:sz="0" w:space="0" w:color="auto"/>
      </w:divBdr>
    </w:div>
    <w:div w:id="1908803834">
      <w:marLeft w:val="0"/>
      <w:marRight w:val="0"/>
      <w:marTop w:val="0"/>
      <w:marBottom w:val="0"/>
      <w:divBdr>
        <w:top w:val="none" w:sz="0" w:space="0" w:color="auto"/>
        <w:left w:val="none" w:sz="0" w:space="0" w:color="auto"/>
        <w:bottom w:val="none" w:sz="0" w:space="0" w:color="auto"/>
        <w:right w:val="none" w:sz="0" w:space="0" w:color="auto"/>
      </w:divBdr>
    </w:div>
    <w:div w:id="1909148852">
      <w:marLeft w:val="0"/>
      <w:marRight w:val="0"/>
      <w:marTop w:val="0"/>
      <w:marBottom w:val="180"/>
      <w:divBdr>
        <w:top w:val="none" w:sz="0" w:space="0" w:color="auto"/>
        <w:left w:val="none" w:sz="0" w:space="0" w:color="auto"/>
        <w:bottom w:val="none" w:sz="0" w:space="0" w:color="auto"/>
        <w:right w:val="none" w:sz="0" w:space="0" w:color="auto"/>
      </w:divBdr>
    </w:div>
    <w:div w:id="1910072475">
      <w:marLeft w:val="0"/>
      <w:marRight w:val="0"/>
      <w:marTop w:val="0"/>
      <w:marBottom w:val="240"/>
      <w:divBdr>
        <w:top w:val="none" w:sz="0" w:space="0" w:color="auto"/>
        <w:left w:val="none" w:sz="0" w:space="0" w:color="auto"/>
        <w:bottom w:val="none" w:sz="0" w:space="0" w:color="auto"/>
        <w:right w:val="none" w:sz="0" w:space="0" w:color="auto"/>
      </w:divBdr>
    </w:div>
    <w:div w:id="1911228701">
      <w:marLeft w:val="0"/>
      <w:marRight w:val="0"/>
      <w:marTop w:val="180"/>
      <w:marBottom w:val="180"/>
      <w:divBdr>
        <w:top w:val="none" w:sz="0" w:space="0" w:color="auto"/>
        <w:left w:val="none" w:sz="0" w:space="0" w:color="auto"/>
        <w:bottom w:val="none" w:sz="0" w:space="0" w:color="auto"/>
        <w:right w:val="none" w:sz="0" w:space="0" w:color="auto"/>
      </w:divBdr>
    </w:div>
    <w:div w:id="1911503238">
      <w:marLeft w:val="0"/>
      <w:marRight w:val="0"/>
      <w:marTop w:val="0"/>
      <w:marBottom w:val="0"/>
      <w:divBdr>
        <w:top w:val="none" w:sz="0" w:space="0" w:color="auto"/>
        <w:left w:val="none" w:sz="0" w:space="0" w:color="auto"/>
        <w:bottom w:val="none" w:sz="0" w:space="0" w:color="auto"/>
        <w:right w:val="none" w:sz="0" w:space="0" w:color="auto"/>
      </w:divBdr>
      <w:divsChild>
        <w:div w:id="1174228767">
          <w:marLeft w:val="0"/>
          <w:marRight w:val="0"/>
          <w:marTop w:val="0"/>
          <w:marBottom w:val="0"/>
          <w:divBdr>
            <w:top w:val="none" w:sz="0" w:space="0" w:color="auto"/>
            <w:left w:val="none" w:sz="0" w:space="0" w:color="auto"/>
            <w:bottom w:val="none" w:sz="0" w:space="0" w:color="auto"/>
            <w:right w:val="none" w:sz="0" w:space="0" w:color="auto"/>
          </w:divBdr>
        </w:div>
      </w:divsChild>
    </w:div>
    <w:div w:id="1912035702">
      <w:marLeft w:val="0"/>
      <w:marRight w:val="0"/>
      <w:marTop w:val="0"/>
      <w:marBottom w:val="0"/>
      <w:divBdr>
        <w:top w:val="none" w:sz="0" w:space="0" w:color="auto"/>
        <w:left w:val="none" w:sz="0" w:space="0" w:color="auto"/>
        <w:bottom w:val="none" w:sz="0" w:space="0" w:color="auto"/>
        <w:right w:val="none" w:sz="0" w:space="0" w:color="auto"/>
      </w:divBdr>
    </w:div>
    <w:div w:id="1912500169">
      <w:marLeft w:val="0"/>
      <w:marRight w:val="0"/>
      <w:marTop w:val="0"/>
      <w:marBottom w:val="240"/>
      <w:divBdr>
        <w:top w:val="none" w:sz="0" w:space="0" w:color="auto"/>
        <w:left w:val="none" w:sz="0" w:space="0" w:color="auto"/>
        <w:bottom w:val="none" w:sz="0" w:space="0" w:color="auto"/>
        <w:right w:val="none" w:sz="0" w:space="0" w:color="auto"/>
      </w:divBdr>
    </w:div>
    <w:div w:id="1913809475">
      <w:marLeft w:val="0"/>
      <w:marRight w:val="0"/>
      <w:marTop w:val="0"/>
      <w:marBottom w:val="0"/>
      <w:divBdr>
        <w:top w:val="none" w:sz="0" w:space="0" w:color="auto"/>
        <w:left w:val="none" w:sz="0" w:space="0" w:color="auto"/>
        <w:bottom w:val="none" w:sz="0" w:space="0" w:color="auto"/>
        <w:right w:val="none" w:sz="0" w:space="0" w:color="auto"/>
      </w:divBdr>
    </w:div>
    <w:div w:id="1915622857">
      <w:marLeft w:val="0"/>
      <w:marRight w:val="0"/>
      <w:marTop w:val="0"/>
      <w:marBottom w:val="180"/>
      <w:divBdr>
        <w:top w:val="none" w:sz="0" w:space="0" w:color="auto"/>
        <w:left w:val="none" w:sz="0" w:space="0" w:color="auto"/>
        <w:bottom w:val="none" w:sz="0" w:space="0" w:color="auto"/>
        <w:right w:val="none" w:sz="0" w:space="0" w:color="auto"/>
      </w:divBdr>
    </w:div>
    <w:div w:id="1915889676">
      <w:marLeft w:val="0"/>
      <w:marRight w:val="0"/>
      <w:marTop w:val="0"/>
      <w:marBottom w:val="0"/>
      <w:divBdr>
        <w:top w:val="none" w:sz="0" w:space="0" w:color="auto"/>
        <w:left w:val="none" w:sz="0" w:space="0" w:color="auto"/>
        <w:bottom w:val="none" w:sz="0" w:space="0" w:color="auto"/>
        <w:right w:val="none" w:sz="0" w:space="0" w:color="auto"/>
      </w:divBdr>
      <w:divsChild>
        <w:div w:id="1560243354">
          <w:marLeft w:val="0"/>
          <w:marRight w:val="0"/>
          <w:marTop w:val="0"/>
          <w:marBottom w:val="0"/>
          <w:divBdr>
            <w:top w:val="none" w:sz="0" w:space="0" w:color="auto"/>
            <w:left w:val="none" w:sz="0" w:space="0" w:color="auto"/>
            <w:bottom w:val="none" w:sz="0" w:space="0" w:color="auto"/>
            <w:right w:val="none" w:sz="0" w:space="0" w:color="auto"/>
          </w:divBdr>
        </w:div>
      </w:divsChild>
    </w:div>
    <w:div w:id="1916164283">
      <w:marLeft w:val="0"/>
      <w:marRight w:val="0"/>
      <w:marTop w:val="0"/>
      <w:marBottom w:val="240"/>
      <w:divBdr>
        <w:top w:val="none" w:sz="0" w:space="0" w:color="auto"/>
        <w:left w:val="none" w:sz="0" w:space="0" w:color="auto"/>
        <w:bottom w:val="none" w:sz="0" w:space="0" w:color="auto"/>
        <w:right w:val="none" w:sz="0" w:space="0" w:color="auto"/>
      </w:divBdr>
    </w:div>
    <w:div w:id="1916551211">
      <w:marLeft w:val="0"/>
      <w:marRight w:val="0"/>
      <w:marTop w:val="0"/>
      <w:marBottom w:val="0"/>
      <w:divBdr>
        <w:top w:val="none" w:sz="0" w:space="0" w:color="auto"/>
        <w:left w:val="none" w:sz="0" w:space="0" w:color="auto"/>
        <w:bottom w:val="none" w:sz="0" w:space="0" w:color="auto"/>
        <w:right w:val="none" w:sz="0" w:space="0" w:color="auto"/>
      </w:divBdr>
    </w:div>
    <w:div w:id="1917979377">
      <w:marLeft w:val="0"/>
      <w:marRight w:val="0"/>
      <w:marTop w:val="100"/>
      <w:marBottom w:val="240"/>
      <w:divBdr>
        <w:top w:val="none" w:sz="0" w:space="0" w:color="auto"/>
        <w:left w:val="none" w:sz="0" w:space="0" w:color="auto"/>
        <w:bottom w:val="none" w:sz="0" w:space="0" w:color="auto"/>
        <w:right w:val="none" w:sz="0" w:space="0" w:color="auto"/>
      </w:divBdr>
    </w:div>
    <w:div w:id="1918437872">
      <w:marLeft w:val="0"/>
      <w:marRight w:val="0"/>
      <w:marTop w:val="0"/>
      <w:marBottom w:val="0"/>
      <w:divBdr>
        <w:top w:val="none" w:sz="0" w:space="0" w:color="auto"/>
        <w:left w:val="none" w:sz="0" w:space="0" w:color="auto"/>
        <w:bottom w:val="none" w:sz="0" w:space="0" w:color="auto"/>
        <w:right w:val="none" w:sz="0" w:space="0" w:color="auto"/>
      </w:divBdr>
    </w:div>
    <w:div w:id="1921137104">
      <w:marLeft w:val="0"/>
      <w:marRight w:val="0"/>
      <w:marTop w:val="0"/>
      <w:marBottom w:val="180"/>
      <w:divBdr>
        <w:top w:val="none" w:sz="0" w:space="0" w:color="auto"/>
        <w:left w:val="none" w:sz="0" w:space="0" w:color="auto"/>
        <w:bottom w:val="none" w:sz="0" w:space="0" w:color="auto"/>
        <w:right w:val="none" w:sz="0" w:space="0" w:color="auto"/>
      </w:divBdr>
    </w:div>
    <w:div w:id="1921451694">
      <w:marLeft w:val="0"/>
      <w:marRight w:val="0"/>
      <w:marTop w:val="0"/>
      <w:marBottom w:val="240"/>
      <w:divBdr>
        <w:top w:val="none" w:sz="0" w:space="0" w:color="auto"/>
        <w:left w:val="none" w:sz="0" w:space="0" w:color="auto"/>
        <w:bottom w:val="none" w:sz="0" w:space="0" w:color="auto"/>
        <w:right w:val="none" w:sz="0" w:space="0" w:color="auto"/>
      </w:divBdr>
    </w:div>
    <w:div w:id="1922375179">
      <w:marLeft w:val="0"/>
      <w:marRight w:val="0"/>
      <w:marTop w:val="0"/>
      <w:marBottom w:val="180"/>
      <w:divBdr>
        <w:top w:val="none" w:sz="0" w:space="0" w:color="auto"/>
        <w:left w:val="none" w:sz="0" w:space="0" w:color="auto"/>
        <w:bottom w:val="none" w:sz="0" w:space="0" w:color="auto"/>
        <w:right w:val="none" w:sz="0" w:space="0" w:color="auto"/>
      </w:divBdr>
    </w:div>
    <w:div w:id="1923222236">
      <w:marLeft w:val="0"/>
      <w:marRight w:val="0"/>
      <w:marTop w:val="0"/>
      <w:marBottom w:val="240"/>
      <w:divBdr>
        <w:top w:val="none" w:sz="0" w:space="0" w:color="auto"/>
        <w:left w:val="none" w:sz="0" w:space="0" w:color="auto"/>
        <w:bottom w:val="none" w:sz="0" w:space="0" w:color="auto"/>
        <w:right w:val="none" w:sz="0" w:space="0" w:color="auto"/>
      </w:divBdr>
    </w:div>
    <w:div w:id="1924139762">
      <w:marLeft w:val="0"/>
      <w:marRight w:val="0"/>
      <w:marTop w:val="0"/>
      <w:marBottom w:val="180"/>
      <w:divBdr>
        <w:top w:val="none" w:sz="0" w:space="0" w:color="auto"/>
        <w:left w:val="none" w:sz="0" w:space="0" w:color="auto"/>
        <w:bottom w:val="none" w:sz="0" w:space="0" w:color="auto"/>
        <w:right w:val="none" w:sz="0" w:space="0" w:color="auto"/>
      </w:divBdr>
    </w:div>
    <w:div w:id="1926066414">
      <w:marLeft w:val="0"/>
      <w:marRight w:val="0"/>
      <w:marTop w:val="180"/>
      <w:marBottom w:val="180"/>
      <w:divBdr>
        <w:top w:val="none" w:sz="0" w:space="0" w:color="auto"/>
        <w:left w:val="none" w:sz="0" w:space="0" w:color="auto"/>
        <w:bottom w:val="none" w:sz="0" w:space="0" w:color="auto"/>
        <w:right w:val="none" w:sz="0" w:space="0" w:color="auto"/>
      </w:divBdr>
    </w:div>
    <w:div w:id="1927104375">
      <w:marLeft w:val="0"/>
      <w:marRight w:val="0"/>
      <w:marTop w:val="0"/>
      <w:marBottom w:val="0"/>
      <w:divBdr>
        <w:top w:val="none" w:sz="0" w:space="0" w:color="auto"/>
        <w:left w:val="none" w:sz="0" w:space="0" w:color="auto"/>
        <w:bottom w:val="none" w:sz="0" w:space="0" w:color="auto"/>
        <w:right w:val="none" w:sz="0" w:space="0" w:color="auto"/>
      </w:divBdr>
    </w:div>
    <w:div w:id="1927418969">
      <w:marLeft w:val="0"/>
      <w:marRight w:val="0"/>
      <w:marTop w:val="0"/>
      <w:marBottom w:val="0"/>
      <w:divBdr>
        <w:top w:val="none" w:sz="0" w:space="0" w:color="auto"/>
        <w:left w:val="none" w:sz="0" w:space="0" w:color="auto"/>
        <w:bottom w:val="none" w:sz="0" w:space="0" w:color="auto"/>
        <w:right w:val="none" w:sz="0" w:space="0" w:color="auto"/>
      </w:divBdr>
      <w:divsChild>
        <w:div w:id="268702594">
          <w:marLeft w:val="0"/>
          <w:marRight w:val="0"/>
          <w:marTop w:val="0"/>
          <w:marBottom w:val="0"/>
          <w:divBdr>
            <w:top w:val="none" w:sz="0" w:space="0" w:color="auto"/>
            <w:left w:val="none" w:sz="0" w:space="0" w:color="auto"/>
            <w:bottom w:val="none" w:sz="0" w:space="0" w:color="auto"/>
            <w:right w:val="none" w:sz="0" w:space="0" w:color="auto"/>
          </w:divBdr>
        </w:div>
      </w:divsChild>
    </w:div>
    <w:div w:id="1927571119">
      <w:marLeft w:val="0"/>
      <w:marRight w:val="0"/>
      <w:marTop w:val="0"/>
      <w:marBottom w:val="0"/>
      <w:divBdr>
        <w:top w:val="none" w:sz="0" w:space="0" w:color="auto"/>
        <w:left w:val="none" w:sz="0" w:space="0" w:color="auto"/>
        <w:bottom w:val="none" w:sz="0" w:space="0" w:color="auto"/>
        <w:right w:val="none" w:sz="0" w:space="0" w:color="auto"/>
      </w:divBdr>
    </w:div>
    <w:div w:id="1928805556">
      <w:marLeft w:val="0"/>
      <w:marRight w:val="0"/>
      <w:marTop w:val="0"/>
      <w:marBottom w:val="240"/>
      <w:divBdr>
        <w:top w:val="none" w:sz="0" w:space="0" w:color="auto"/>
        <w:left w:val="none" w:sz="0" w:space="0" w:color="auto"/>
        <w:bottom w:val="none" w:sz="0" w:space="0" w:color="auto"/>
        <w:right w:val="none" w:sz="0" w:space="0" w:color="auto"/>
      </w:divBdr>
    </w:div>
    <w:div w:id="1929267094">
      <w:marLeft w:val="0"/>
      <w:marRight w:val="0"/>
      <w:marTop w:val="60"/>
      <w:marBottom w:val="60"/>
      <w:divBdr>
        <w:top w:val="none" w:sz="0" w:space="0" w:color="auto"/>
        <w:left w:val="none" w:sz="0" w:space="0" w:color="auto"/>
        <w:bottom w:val="none" w:sz="0" w:space="0" w:color="auto"/>
        <w:right w:val="none" w:sz="0" w:space="0" w:color="auto"/>
      </w:divBdr>
    </w:div>
    <w:div w:id="1930312740">
      <w:marLeft w:val="0"/>
      <w:marRight w:val="0"/>
      <w:marTop w:val="0"/>
      <w:marBottom w:val="180"/>
      <w:divBdr>
        <w:top w:val="none" w:sz="0" w:space="0" w:color="auto"/>
        <w:left w:val="none" w:sz="0" w:space="0" w:color="auto"/>
        <w:bottom w:val="none" w:sz="0" w:space="0" w:color="auto"/>
        <w:right w:val="none" w:sz="0" w:space="0" w:color="auto"/>
      </w:divBdr>
    </w:div>
    <w:div w:id="1931035822">
      <w:marLeft w:val="0"/>
      <w:marRight w:val="0"/>
      <w:marTop w:val="0"/>
      <w:marBottom w:val="0"/>
      <w:divBdr>
        <w:top w:val="none" w:sz="0" w:space="0" w:color="auto"/>
        <w:left w:val="none" w:sz="0" w:space="0" w:color="auto"/>
        <w:bottom w:val="none" w:sz="0" w:space="0" w:color="auto"/>
        <w:right w:val="none" w:sz="0" w:space="0" w:color="auto"/>
      </w:divBdr>
      <w:divsChild>
        <w:div w:id="467168430">
          <w:marLeft w:val="0"/>
          <w:marRight w:val="0"/>
          <w:marTop w:val="0"/>
          <w:marBottom w:val="0"/>
          <w:divBdr>
            <w:top w:val="none" w:sz="0" w:space="0" w:color="auto"/>
            <w:left w:val="none" w:sz="0" w:space="0" w:color="auto"/>
            <w:bottom w:val="none" w:sz="0" w:space="0" w:color="auto"/>
            <w:right w:val="none" w:sz="0" w:space="0" w:color="auto"/>
          </w:divBdr>
        </w:div>
      </w:divsChild>
    </w:div>
    <w:div w:id="1932473835">
      <w:marLeft w:val="0"/>
      <w:marRight w:val="0"/>
      <w:marTop w:val="0"/>
      <w:marBottom w:val="0"/>
      <w:divBdr>
        <w:top w:val="none" w:sz="0" w:space="0" w:color="auto"/>
        <w:left w:val="none" w:sz="0" w:space="0" w:color="auto"/>
        <w:bottom w:val="none" w:sz="0" w:space="0" w:color="auto"/>
        <w:right w:val="none" w:sz="0" w:space="0" w:color="auto"/>
      </w:divBdr>
    </w:div>
    <w:div w:id="1933581905">
      <w:marLeft w:val="0"/>
      <w:marRight w:val="0"/>
      <w:marTop w:val="0"/>
      <w:marBottom w:val="0"/>
      <w:divBdr>
        <w:top w:val="none" w:sz="0" w:space="0" w:color="auto"/>
        <w:left w:val="none" w:sz="0" w:space="0" w:color="auto"/>
        <w:bottom w:val="none" w:sz="0" w:space="0" w:color="auto"/>
        <w:right w:val="none" w:sz="0" w:space="0" w:color="auto"/>
      </w:divBdr>
      <w:divsChild>
        <w:div w:id="104927856">
          <w:marLeft w:val="0"/>
          <w:marRight w:val="0"/>
          <w:marTop w:val="0"/>
          <w:marBottom w:val="0"/>
          <w:divBdr>
            <w:top w:val="none" w:sz="0" w:space="0" w:color="auto"/>
            <w:left w:val="none" w:sz="0" w:space="0" w:color="auto"/>
            <w:bottom w:val="none" w:sz="0" w:space="0" w:color="auto"/>
            <w:right w:val="none" w:sz="0" w:space="0" w:color="auto"/>
          </w:divBdr>
        </w:div>
      </w:divsChild>
    </w:div>
    <w:div w:id="1933779752">
      <w:marLeft w:val="0"/>
      <w:marRight w:val="0"/>
      <w:marTop w:val="0"/>
      <w:marBottom w:val="180"/>
      <w:divBdr>
        <w:top w:val="none" w:sz="0" w:space="0" w:color="auto"/>
        <w:left w:val="none" w:sz="0" w:space="0" w:color="auto"/>
        <w:bottom w:val="none" w:sz="0" w:space="0" w:color="auto"/>
        <w:right w:val="none" w:sz="0" w:space="0" w:color="auto"/>
      </w:divBdr>
    </w:div>
    <w:div w:id="1934313958">
      <w:marLeft w:val="0"/>
      <w:marRight w:val="0"/>
      <w:marTop w:val="180"/>
      <w:marBottom w:val="180"/>
      <w:divBdr>
        <w:top w:val="none" w:sz="0" w:space="0" w:color="auto"/>
        <w:left w:val="none" w:sz="0" w:space="0" w:color="auto"/>
        <w:bottom w:val="none" w:sz="0" w:space="0" w:color="auto"/>
        <w:right w:val="none" w:sz="0" w:space="0" w:color="auto"/>
      </w:divBdr>
    </w:div>
    <w:div w:id="1935824497">
      <w:marLeft w:val="0"/>
      <w:marRight w:val="0"/>
      <w:marTop w:val="120"/>
      <w:marBottom w:val="240"/>
      <w:divBdr>
        <w:top w:val="none" w:sz="0" w:space="0" w:color="auto"/>
        <w:left w:val="none" w:sz="0" w:space="0" w:color="auto"/>
        <w:bottom w:val="none" w:sz="0" w:space="0" w:color="auto"/>
        <w:right w:val="none" w:sz="0" w:space="0" w:color="auto"/>
      </w:divBdr>
    </w:div>
    <w:div w:id="1936017732">
      <w:marLeft w:val="0"/>
      <w:marRight w:val="0"/>
      <w:marTop w:val="240"/>
      <w:marBottom w:val="240"/>
      <w:divBdr>
        <w:top w:val="none" w:sz="0" w:space="0" w:color="auto"/>
        <w:left w:val="none" w:sz="0" w:space="0" w:color="auto"/>
        <w:bottom w:val="none" w:sz="0" w:space="0" w:color="auto"/>
        <w:right w:val="none" w:sz="0" w:space="0" w:color="auto"/>
      </w:divBdr>
    </w:div>
    <w:div w:id="1936551828">
      <w:marLeft w:val="0"/>
      <w:marRight w:val="0"/>
      <w:marTop w:val="0"/>
      <w:marBottom w:val="0"/>
      <w:divBdr>
        <w:top w:val="none" w:sz="0" w:space="0" w:color="auto"/>
        <w:left w:val="none" w:sz="0" w:space="0" w:color="auto"/>
        <w:bottom w:val="none" w:sz="0" w:space="0" w:color="auto"/>
        <w:right w:val="none" w:sz="0" w:space="0" w:color="auto"/>
      </w:divBdr>
    </w:div>
    <w:div w:id="1938100074">
      <w:marLeft w:val="0"/>
      <w:marRight w:val="0"/>
      <w:marTop w:val="0"/>
      <w:marBottom w:val="240"/>
      <w:divBdr>
        <w:top w:val="none" w:sz="0" w:space="0" w:color="auto"/>
        <w:left w:val="none" w:sz="0" w:space="0" w:color="auto"/>
        <w:bottom w:val="none" w:sz="0" w:space="0" w:color="auto"/>
        <w:right w:val="none" w:sz="0" w:space="0" w:color="auto"/>
      </w:divBdr>
    </w:div>
    <w:div w:id="1938445026">
      <w:marLeft w:val="0"/>
      <w:marRight w:val="0"/>
      <w:marTop w:val="0"/>
      <w:marBottom w:val="0"/>
      <w:divBdr>
        <w:top w:val="none" w:sz="0" w:space="0" w:color="auto"/>
        <w:left w:val="none" w:sz="0" w:space="0" w:color="auto"/>
        <w:bottom w:val="none" w:sz="0" w:space="0" w:color="auto"/>
        <w:right w:val="none" w:sz="0" w:space="0" w:color="auto"/>
      </w:divBdr>
    </w:div>
    <w:div w:id="1940598344">
      <w:marLeft w:val="0"/>
      <w:marRight w:val="0"/>
      <w:marTop w:val="0"/>
      <w:marBottom w:val="0"/>
      <w:divBdr>
        <w:top w:val="none" w:sz="0" w:space="0" w:color="auto"/>
        <w:left w:val="none" w:sz="0" w:space="0" w:color="auto"/>
        <w:bottom w:val="none" w:sz="0" w:space="0" w:color="auto"/>
        <w:right w:val="none" w:sz="0" w:space="0" w:color="auto"/>
      </w:divBdr>
    </w:div>
    <w:div w:id="1940719936">
      <w:marLeft w:val="0"/>
      <w:marRight w:val="0"/>
      <w:marTop w:val="0"/>
      <w:marBottom w:val="0"/>
      <w:divBdr>
        <w:top w:val="none" w:sz="0" w:space="0" w:color="auto"/>
        <w:left w:val="none" w:sz="0" w:space="0" w:color="auto"/>
        <w:bottom w:val="none" w:sz="0" w:space="0" w:color="auto"/>
        <w:right w:val="none" w:sz="0" w:space="0" w:color="auto"/>
      </w:divBdr>
    </w:div>
    <w:div w:id="1940721587">
      <w:marLeft w:val="0"/>
      <w:marRight w:val="0"/>
      <w:marTop w:val="0"/>
      <w:marBottom w:val="0"/>
      <w:divBdr>
        <w:top w:val="none" w:sz="0" w:space="0" w:color="auto"/>
        <w:left w:val="none" w:sz="0" w:space="0" w:color="auto"/>
        <w:bottom w:val="none" w:sz="0" w:space="0" w:color="auto"/>
        <w:right w:val="none" w:sz="0" w:space="0" w:color="auto"/>
      </w:divBdr>
    </w:div>
    <w:div w:id="1940866189">
      <w:marLeft w:val="0"/>
      <w:marRight w:val="0"/>
      <w:marTop w:val="0"/>
      <w:marBottom w:val="180"/>
      <w:divBdr>
        <w:top w:val="none" w:sz="0" w:space="0" w:color="auto"/>
        <w:left w:val="none" w:sz="0" w:space="0" w:color="auto"/>
        <w:bottom w:val="none" w:sz="0" w:space="0" w:color="auto"/>
        <w:right w:val="none" w:sz="0" w:space="0" w:color="auto"/>
      </w:divBdr>
    </w:div>
    <w:div w:id="1942954894">
      <w:marLeft w:val="0"/>
      <w:marRight w:val="0"/>
      <w:marTop w:val="180"/>
      <w:marBottom w:val="180"/>
      <w:divBdr>
        <w:top w:val="none" w:sz="0" w:space="0" w:color="auto"/>
        <w:left w:val="none" w:sz="0" w:space="0" w:color="auto"/>
        <w:bottom w:val="none" w:sz="0" w:space="0" w:color="auto"/>
        <w:right w:val="none" w:sz="0" w:space="0" w:color="auto"/>
      </w:divBdr>
    </w:div>
    <w:div w:id="1944995503">
      <w:marLeft w:val="0"/>
      <w:marRight w:val="0"/>
      <w:marTop w:val="0"/>
      <w:marBottom w:val="0"/>
      <w:divBdr>
        <w:top w:val="none" w:sz="0" w:space="0" w:color="auto"/>
        <w:left w:val="none" w:sz="0" w:space="0" w:color="auto"/>
        <w:bottom w:val="none" w:sz="0" w:space="0" w:color="auto"/>
        <w:right w:val="none" w:sz="0" w:space="0" w:color="auto"/>
      </w:divBdr>
      <w:divsChild>
        <w:div w:id="1607302689">
          <w:marLeft w:val="0"/>
          <w:marRight w:val="0"/>
          <w:marTop w:val="0"/>
          <w:marBottom w:val="0"/>
          <w:divBdr>
            <w:top w:val="none" w:sz="0" w:space="0" w:color="auto"/>
            <w:left w:val="none" w:sz="0" w:space="0" w:color="auto"/>
            <w:bottom w:val="none" w:sz="0" w:space="0" w:color="auto"/>
            <w:right w:val="none" w:sz="0" w:space="0" w:color="auto"/>
          </w:divBdr>
        </w:div>
      </w:divsChild>
    </w:div>
    <w:div w:id="1945795651">
      <w:marLeft w:val="0"/>
      <w:marRight w:val="0"/>
      <w:marTop w:val="180"/>
      <w:marBottom w:val="180"/>
      <w:divBdr>
        <w:top w:val="none" w:sz="0" w:space="0" w:color="auto"/>
        <w:left w:val="none" w:sz="0" w:space="0" w:color="auto"/>
        <w:bottom w:val="none" w:sz="0" w:space="0" w:color="auto"/>
        <w:right w:val="none" w:sz="0" w:space="0" w:color="auto"/>
      </w:divBdr>
    </w:div>
    <w:div w:id="1947423811">
      <w:marLeft w:val="0"/>
      <w:marRight w:val="0"/>
      <w:marTop w:val="0"/>
      <w:marBottom w:val="0"/>
      <w:divBdr>
        <w:top w:val="none" w:sz="0" w:space="0" w:color="auto"/>
        <w:left w:val="none" w:sz="0" w:space="0" w:color="auto"/>
        <w:bottom w:val="none" w:sz="0" w:space="0" w:color="auto"/>
        <w:right w:val="none" w:sz="0" w:space="0" w:color="auto"/>
      </w:divBdr>
      <w:divsChild>
        <w:div w:id="468401543">
          <w:marLeft w:val="0"/>
          <w:marRight w:val="0"/>
          <w:marTop w:val="0"/>
          <w:marBottom w:val="0"/>
          <w:divBdr>
            <w:top w:val="none" w:sz="0" w:space="0" w:color="auto"/>
            <w:left w:val="none" w:sz="0" w:space="0" w:color="auto"/>
            <w:bottom w:val="none" w:sz="0" w:space="0" w:color="auto"/>
            <w:right w:val="none" w:sz="0" w:space="0" w:color="auto"/>
          </w:divBdr>
        </w:div>
      </w:divsChild>
    </w:div>
    <w:div w:id="1947424731">
      <w:marLeft w:val="0"/>
      <w:marRight w:val="0"/>
      <w:marTop w:val="0"/>
      <w:marBottom w:val="0"/>
      <w:divBdr>
        <w:top w:val="none" w:sz="0" w:space="0" w:color="auto"/>
        <w:left w:val="none" w:sz="0" w:space="0" w:color="auto"/>
        <w:bottom w:val="none" w:sz="0" w:space="0" w:color="auto"/>
        <w:right w:val="none" w:sz="0" w:space="0" w:color="auto"/>
      </w:divBdr>
      <w:divsChild>
        <w:div w:id="529807991">
          <w:marLeft w:val="0"/>
          <w:marRight w:val="0"/>
          <w:marTop w:val="0"/>
          <w:marBottom w:val="0"/>
          <w:divBdr>
            <w:top w:val="none" w:sz="0" w:space="0" w:color="auto"/>
            <w:left w:val="none" w:sz="0" w:space="0" w:color="auto"/>
            <w:bottom w:val="none" w:sz="0" w:space="0" w:color="auto"/>
            <w:right w:val="none" w:sz="0" w:space="0" w:color="auto"/>
          </w:divBdr>
        </w:div>
      </w:divsChild>
    </w:div>
    <w:div w:id="1947736774">
      <w:marLeft w:val="0"/>
      <w:marRight w:val="0"/>
      <w:marTop w:val="180"/>
      <w:marBottom w:val="180"/>
      <w:divBdr>
        <w:top w:val="none" w:sz="0" w:space="0" w:color="auto"/>
        <w:left w:val="none" w:sz="0" w:space="0" w:color="auto"/>
        <w:bottom w:val="none" w:sz="0" w:space="0" w:color="auto"/>
        <w:right w:val="none" w:sz="0" w:space="0" w:color="auto"/>
      </w:divBdr>
    </w:div>
    <w:div w:id="1947807118">
      <w:marLeft w:val="0"/>
      <w:marRight w:val="0"/>
      <w:marTop w:val="0"/>
      <w:marBottom w:val="240"/>
      <w:divBdr>
        <w:top w:val="none" w:sz="0" w:space="0" w:color="auto"/>
        <w:left w:val="none" w:sz="0" w:space="0" w:color="auto"/>
        <w:bottom w:val="none" w:sz="0" w:space="0" w:color="auto"/>
        <w:right w:val="none" w:sz="0" w:space="0" w:color="auto"/>
      </w:divBdr>
    </w:div>
    <w:div w:id="1948192298">
      <w:marLeft w:val="0"/>
      <w:marRight w:val="0"/>
      <w:marTop w:val="0"/>
      <w:marBottom w:val="240"/>
      <w:divBdr>
        <w:top w:val="none" w:sz="0" w:space="0" w:color="auto"/>
        <w:left w:val="none" w:sz="0" w:space="0" w:color="auto"/>
        <w:bottom w:val="none" w:sz="0" w:space="0" w:color="auto"/>
        <w:right w:val="none" w:sz="0" w:space="0" w:color="auto"/>
      </w:divBdr>
    </w:div>
    <w:div w:id="1948921148">
      <w:marLeft w:val="0"/>
      <w:marRight w:val="0"/>
      <w:marTop w:val="0"/>
      <w:marBottom w:val="180"/>
      <w:divBdr>
        <w:top w:val="none" w:sz="0" w:space="0" w:color="auto"/>
        <w:left w:val="none" w:sz="0" w:space="0" w:color="auto"/>
        <w:bottom w:val="none" w:sz="0" w:space="0" w:color="auto"/>
        <w:right w:val="none" w:sz="0" w:space="0" w:color="auto"/>
      </w:divBdr>
    </w:div>
    <w:div w:id="1950160784">
      <w:marLeft w:val="0"/>
      <w:marRight w:val="0"/>
      <w:marTop w:val="0"/>
      <w:marBottom w:val="0"/>
      <w:divBdr>
        <w:top w:val="none" w:sz="0" w:space="0" w:color="auto"/>
        <w:left w:val="none" w:sz="0" w:space="0" w:color="auto"/>
        <w:bottom w:val="none" w:sz="0" w:space="0" w:color="auto"/>
        <w:right w:val="none" w:sz="0" w:space="0" w:color="auto"/>
      </w:divBdr>
      <w:divsChild>
        <w:div w:id="1654335694">
          <w:marLeft w:val="0"/>
          <w:marRight w:val="0"/>
          <w:marTop w:val="0"/>
          <w:marBottom w:val="0"/>
          <w:divBdr>
            <w:top w:val="none" w:sz="0" w:space="0" w:color="auto"/>
            <w:left w:val="none" w:sz="0" w:space="0" w:color="auto"/>
            <w:bottom w:val="none" w:sz="0" w:space="0" w:color="auto"/>
            <w:right w:val="none" w:sz="0" w:space="0" w:color="auto"/>
          </w:divBdr>
        </w:div>
      </w:divsChild>
    </w:div>
    <w:div w:id="1950968903">
      <w:marLeft w:val="0"/>
      <w:marRight w:val="0"/>
      <w:marTop w:val="0"/>
      <w:marBottom w:val="240"/>
      <w:divBdr>
        <w:top w:val="none" w:sz="0" w:space="0" w:color="auto"/>
        <w:left w:val="none" w:sz="0" w:space="0" w:color="auto"/>
        <w:bottom w:val="none" w:sz="0" w:space="0" w:color="auto"/>
        <w:right w:val="none" w:sz="0" w:space="0" w:color="auto"/>
      </w:divBdr>
    </w:div>
    <w:div w:id="1952080614">
      <w:marLeft w:val="0"/>
      <w:marRight w:val="0"/>
      <w:marTop w:val="0"/>
      <w:marBottom w:val="0"/>
      <w:divBdr>
        <w:top w:val="none" w:sz="0" w:space="0" w:color="auto"/>
        <w:left w:val="none" w:sz="0" w:space="0" w:color="auto"/>
        <w:bottom w:val="none" w:sz="0" w:space="0" w:color="auto"/>
        <w:right w:val="none" w:sz="0" w:space="0" w:color="auto"/>
      </w:divBdr>
    </w:div>
    <w:div w:id="1952666577">
      <w:marLeft w:val="0"/>
      <w:marRight w:val="0"/>
      <w:marTop w:val="0"/>
      <w:marBottom w:val="180"/>
      <w:divBdr>
        <w:top w:val="none" w:sz="0" w:space="0" w:color="auto"/>
        <w:left w:val="none" w:sz="0" w:space="0" w:color="auto"/>
        <w:bottom w:val="none" w:sz="0" w:space="0" w:color="auto"/>
        <w:right w:val="none" w:sz="0" w:space="0" w:color="auto"/>
      </w:divBdr>
    </w:div>
    <w:div w:id="1952738483">
      <w:marLeft w:val="0"/>
      <w:marRight w:val="0"/>
      <w:marTop w:val="0"/>
      <w:marBottom w:val="0"/>
      <w:divBdr>
        <w:top w:val="none" w:sz="0" w:space="0" w:color="auto"/>
        <w:left w:val="none" w:sz="0" w:space="0" w:color="auto"/>
        <w:bottom w:val="none" w:sz="0" w:space="0" w:color="auto"/>
        <w:right w:val="none" w:sz="0" w:space="0" w:color="auto"/>
      </w:divBdr>
    </w:div>
    <w:div w:id="1953202032">
      <w:marLeft w:val="0"/>
      <w:marRight w:val="0"/>
      <w:marTop w:val="180"/>
      <w:marBottom w:val="180"/>
      <w:divBdr>
        <w:top w:val="none" w:sz="0" w:space="0" w:color="auto"/>
        <w:left w:val="none" w:sz="0" w:space="0" w:color="auto"/>
        <w:bottom w:val="none" w:sz="0" w:space="0" w:color="auto"/>
        <w:right w:val="none" w:sz="0" w:space="0" w:color="auto"/>
      </w:divBdr>
    </w:div>
    <w:div w:id="1954095107">
      <w:marLeft w:val="0"/>
      <w:marRight w:val="0"/>
      <w:marTop w:val="0"/>
      <w:marBottom w:val="180"/>
      <w:divBdr>
        <w:top w:val="none" w:sz="0" w:space="0" w:color="auto"/>
        <w:left w:val="none" w:sz="0" w:space="0" w:color="auto"/>
        <w:bottom w:val="none" w:sz="0" w:space="0" w:color="auto"/>
        <w:right w:val="none" w:sz="0" w:space="0" w:color="auto"/>
      </w:divBdr>
    </w:div>
    <w:div w:id="1955793748">
      <w:marLeft w:val="0"/>
      <w:marRight w:val="0"/>
      <w:marTop w:val="180"/>
      <w:marBottom w:val="180"/>
      <w:divBdr>
        <w:top w:val="none" w:sz="0" w:space="0" w:color="auto"/>
        <w:left w:val="none" w:sz="0" w:space="0" w:color="auto"/>
        <w:bottom w:val="none" w:sz="0" w:space="0" w:color="auto"/>
        <w:right w:val="none" w:sz="0" w:space="0" w:color="auto"/>
      </w:divBdr>
    </w:div>
    <w:div w:id="1955937038">
      <w:marLeft w:val="0"/>
      <w:marRight w:val="0"/>
      <w:marTop w:val="0"/>
      <w:marBottom w:val="240"/>
      <w:divBdr>
        <w:top w:val="none" w:sz="0" w:space="0" w:color="auto"/>
        <w:left w:val="none" w:sz="0" w:space="0" w:color="auto"/>
        <w:bottom w:val="none" w:sz="0" w:space="0" w:color="auto"/>
        <w:right w:val="none" w:sz="0" w:space="0" w:color="auto"/>
      </w:divBdr>
    </w:div>
    <w:div w:id="1956129266">
      <w:marLeft w:val="0"/>
      <w:marRight w:val="0"/>
      <w:marTop w:val="180"/>
      <w:marBottom w:val="180"/>
      <w:divBdr>
        <w:top w:val="none" w:sz="0" w:space="0" w:color="auto"/>
        <w:left w:val="none" w:sz="0" w:space="0" w:color="auto"/>
        <w:bottom w:val="none" w:sz="0" w:space="0" w:color="auto"/>
        <w:right w:val="none" w:sz="0" w:space="0" w:color="auto"/>
      </w:divBdr>
    </w:div>
    <w:div w:id="1957907112">
      <w:marLeft w:val="0"/>
      <w:marRight w:val="0"/>
      <w:marTop w:val="0"/>
      <w:marBottom w:val="240"/>
      <w:divBdr>
        <w:top w:val="none" w:sz="0" w:space="0" w:color="auto"/>
        <w:left w:val="none" w:sz="0" w:space="0" w:color="auto"/>
        <w:bottom w:val="none" w:sz="0" w:space="0" w:color="auto"/>
        <w:right w:val="none" w:sz="0" w:space="0" w:color="auto"/>
      </w:divBdr>
    </w:div>
    <w:div w:id="1958676547">
      <w:marLeft w:val="0"/>
      <w:marRight w:val="0"/>
      <w:marTop w:val="120"/>
      <w:marBottom w:val="120"/>
      <w:divBdr>
        <w:top w:val="none" w:sz="0" w:space="0" w:color="auto"/>
        <w:left w:val="none" w:sz="0" w:space="0" w:color="auto"/>
        <w:bottom w:val="none" w:sz="0" w:space="0" w:color="auto"/>
        <w:right w:val="none" w:sz="0" w:space="0" w:color="auto"/>
      </w:divBdr>
    </w:div>
    <w:div w:id="1959098829">
      <w:marLeft w:val="0"/>
      <w:marRight w:val="0"/>
      <w:marTop w:val="60"/>
      <w:marBottom w:val="120"/>
      <w:divBdr>
        <w:top w:val="none" w:sz="0" w:space="0" w:color="auto"/>
        <w:left w:val="none" w:sz="0" w:space="0" w:color="auto"/>
        <w:bottom w:val="none" w:sz="0" w:space="0" w:color="auto"/>
        <w:right w:val="none" w:sz="0" w:space="0" w:color="auto"/>
      </w:divBdr>
    </w:div>
    <w:div w:id="1959410630">
      <w:marLeft w:val="0"/>
      <w:marRight w:val="0"/>
      <w:marTop w:val="0"/>
      <w:marBottom w:val="0"/>
      <w:divBdr>
        <w:top w:val="none" w:sz="0" w:space="0" w:color="auto"/>
        <w:left w:val="none" w:sz="0" w:space="0" w:color="auto"/>
        <w:bottom w:val="none" w:sz="0" w:space="0" w:color="auto"/>
        <w:right w:val="none" w:sz="0" w:space="0" w:color="auto"/>
      </w:divBdr>
    </w:div>
    <w:div w:id="1960602193">
      <w:marLeft w:val="0"/>
      <w:marRight w:val="0"/>
      <w:marTop w:val="0"/>
      <w:marBottom w:val="0"/>
      <w:divBdr>
        <w:top w:val="none" w:sz="0" w:space="0" w:color="auto"/>
        <w:left w:val="none" w:sz="0" w:space="0" w:color="auto"/>
        <w:bottom w:val="none" w:sz="0" w:space="0" w:color="auto"/>
        <w:right w:val="none" w:sz="0" w:space="0" w:color="auto"/>
      </w:divBdr>
      <w:divsChild>
        <w:div w:id="1816683083">
          <w:marLeft w:val="0"/>
          <w:marRight w:val="0"/>
          <w:marTop w:val="0"/>
          <w:marBottom w:val="0"/>
          <w:divBdr>
            <w:top w:val="none" w:sz="0" w:space="0" w:color="auto"/>
            <w:left w:val="none" w:sz="0" w:space="0" w:color="auto"/>
            <w:bottom w:val="none" w:sz="0" w:space="0" w:color="auto"/>
            <w:right w:val="none" w:sz="0" w:space="0" w:color="auto"/>
          </w:divBdr>
        </w:div>
      </w:divsChild>
    </w:div>
    <w:div w:id="1961642028">
      <w:marLeft w:val="0"/>
      <w:marRight w:val="0"/>
      <w:marTop w:val="0"/>
      <w:marBottom w:val="180"/>
      <w:divBdr>
        <w:top w:val="none" w:sz="0" w:space="0" w:color="auto"/>
        <w:left w:val="none" w:sz="0" w:space="0" w:color="auto"/>
        <w:bottom w:val="none" w:sz="0" w:space="0" w:color="auto"/>
        <w:right w:val="none" w:sz="0" w:space="0" w:color="auto"/>
      </w:divBdr>
    </w:div>
    <w:div w:id="1961719758">
      <w:marLeft w:val="0"/>
      <w:marRight w:val="0"/>
      <w:marTop w:val="0"/>
      <w:marBottom w:val="0"/>
      <w:divBdr>
        <w:top w:val="none" w:sz="0" w:space="0" w:color="auto"/>
        <w:left w:val="none" w:sz="0" w:space="0" w:color="auto"/>
        <w:bottom w:val="none" w:sz="0" w:space="0" w:color="auto"/>
        <w:right w:val="none" w:sz="0" w:space="0" w:color="auto"/>
      </w:divBdr>
    </w:div>
    <w:div w:id="1963225741">
      <w:marLeft w:val="0"/>
      <w:marRight w:val="0"/>
      <w:marTop w:val="0"/>
      <w:marBottom w:val="240"/>
      <w:divBdr>
        <w:top w:val="none" w:sz="0" w:space="0" w:color="auto"/>
        <w:left w:val="none" w:sz="0" w:space="0" w:color="auto"/>
        <w:bottom w:val="none" w:sz="0" w:space="0" w:color="auto"/>
        <w:right w:val="none" w:sz="0" w:space="0" w:color="auto"/>
      </w:divBdr>
    </w:div>
    <w:div w:id="1963270389">
      <w:marLeft w:val="0"/>
      <w:marRight w:val="0"/>
      <w:marTop w:val="0"/>
      <w:marBottom w:val="240"/>
      <w:divBdr>
        <w:top w:val="none" w:sz="0" w:space="0" w:color="auto"/>
        <w:left w:val="none" w:sz="0" w:space="0" w:color="auto"/>
        <w:bottom w:val="none" w:sz="0" w:space="0" w:color="auto"/>
        <w:right w:val="none" w:sz="0" w:space="0" w:color="auto"/>
      </w:divBdr>
    </w:div>
    <w:div w:id="1963418463">
      <w:marLeft w:val="0"/>
      <w:marRight w:val="0"/>
      <w:marTop w:val="0"/>
      <w:marBottom w:val="180"/>
      <w:divBdr>
        <w:top w:val="none" w:sz="0" w:space="0" w:color="auto"/>
        <w:left w:val="none" w:sz="0" w:space="0" w:color="auto"/>
        <w:bottom w:val="none" w:sz="0" w:space="0" w:color="auto"/>
        <w:right w:val="none" w:sz="0" w:space="0" w:color="auto"/>
      </w:divBdr>
    </w:div>
    <w:div w:id="1964190665">
      <w:marLeft w:val="0"/>
      <w:marRight w:val="0"/>
      <w:marTop w:val="180"/>
      <w:marBottom w:val="180"/>
      <w:divBdr>
        <w:top w:val="none" w:sz="0" w:space="0" w:color="auto"/>
        <w:left w:val="none" w:sz="0" w:space="0" w:color="auto"/>
        <w:bottom w:val="none" w:sz="0" w:space="0" w:color="auto"/>
        <w:right w:val="none" w:sz="0" w:space="0" w:color="auto"/>
      </w:divBdr>
    </w:div>
    <w:div w:id="1964967260">
      <w:marLeft w:val="0"/>
      <w:marRight w:val="0"/>
      <w:marTop w:val="0"/>
      <w:marBottom w:val="240"/>
      <w:divBdr>
        <w:top w:val="none" w:sz="0" w:space="0" w:color="auto"/>
        <w:left w:val="none" w:sz="0" w:space="0" w:color="auto"/>
        <w:bottom w:val="none" w:sz="0" w:space="0" w:color="auto"/>
        <w:right w:val="none" w:sz="0" w:space="0" w:color="auto"/>
      </w:divBdr>
    </w:div>
    <w:div w:id="1965427222">
      <w:marLeft w:val="0"/>
      <w:marRight w:val="0"/>
      <w:marTop w:val="0"/>
      <w:marBottom w:val="180"/>
      <w:divBdr>
        <w:top w:val="none" w:sz="0" w:space="0" w:color="auto"/>
        <w:left w:val="none" w:sz="0" w:space="0" w:color="auto"/>
        <w:bottom w:val="none" w:sz="0" w:space="0" w:color="auto"/>
        <w:right w:val="none" w:sz="0" w:space="0" w:color="auto"/>
      </w:divBdr>
    </w:div>
    <w:div w:id="1968775510">
      <w:marLeft w:val="0"/>
      <w:marRight w:val="0"/>
      <w:marTop w:val="120"/>
      <w:marBottom w:val="120"/>
      <w:divBdr>
        <w:top w:val="none" w:sz="0" w:space="0" w:color="auto"/>
        <w:left w:val="none" w:sz="0" w:space="0" w:color="auto"/>
        <w:bottom w:val="none" w:sz="0" w:space="0" w:color="auto"/>
        <w:right w:val="none" w:sz="0" w:space="0" w:color="auto"/>
      </w:divBdr>
    </w:div>
    <w:div w:id="1970934513">
      <w:marLeft w:val="0"/>
      <w:marRight w:val="0"/>
      <w:marTop w:val="100"/>
      <w:marBottom w:val="0"/>
      <w:divBdr>
        <w:top w:val="none" w:sz="0" w:space="0" w:color="auto"/>
        <w:left w:val="none" w:sz="0" w:space="0" w:color="auto"/>
        <w:bottom w:val="none" w:sz="0" w:space="0" w:color="auto"/>
        <w:right w:val="none" w:sz="0" w:space="0" w:color="auto"/>
      </w:divBdr>
    </w:div>
    <w:div w:id="1972128694">
      <w:marLeft w:val="0"/>
      <w:marRight w:val="0"/>
      <w:marTop w:val="0"/>
      <w:marBottom w:val="0"/>
      <w:divBdr>
        <w:top w:val="none" w:sz="0" w:space="0" w:color="auto"/>
        <w:left w:val="none" w:sz="0" w:space="0" w:color="auto"/>
        <w:bottom w:val="none" w:sz="0" w:space="0" w:color="auto"/>
        <w:right w:val="none" w:sz="0" w:space="0" w:color="auto"/>
      </w:divBdr>
      <w:divsChild>
        <w:div w:id="1556163777">
          <w:marLeft w:val="0"/>
          <w:marRight w:val="0"/>
          <w:marTop w:val="0"/>
          <w:marBottom w:val="0"/>
          <w:divBdr>
            <w:top w:val="none" w:sz="0" w:space="0" w:color="auto"/>
            <w:left w:val="none" w:sz="0" w:space="0" w:color="auto"/>
            <w:bottom w:val="none" w:sz="0" w:space="0" w:color="auto"/>
            <w:right w:val="none" w:sz="0" w:space="0" w:color="auto"/>
          </w:divBdr>
        </w:div>
      </w:divsChild>
    </w:div>
    <w:div w:id="1972513254">
      <w:marLeft w:val="0"/>
      <w:marRight w:val="0"/>
      <w:marTop w:val="0"/>
      <w:marBottom w:val="180"/>
      <w:divBdr>
        <w:top w:val="none" w:sz="0" w:space="0" w:color="auto"/>
        <w:left w:val="none" w:sz="0" w:space="0" w:color="auto"/>
        <w:bottom w:val="none" w:sz="0" w:space="0" w:color="auto"/>
        <w:right w:val="none" w:sz="0" w:space="0" w:color="auto"/>
      </w:divBdr>
    </w:div>
    <w:div w:id="1972515952">
      <w:marLeft w:val="0"/>
      <w:marRight w:val="0"/>
      <w:marTop w:val="0"/>
      <w:marBottom w:val="180"/>
      <w:divBdr>
        <w:top w:val="none" w:sz="0" w:space="0" w:color="auto"/>
        <w:left w:val="none" w:sz="0" w:space="0" w:color="auto"/>
        <w:bottom w:val="none" w:sz="0" w:space="0" w:color="auto"/>
        <w:right w:val="none" w:sz="0" w:space="0" w:color="auto"/>
      </w:divBdr>
    </w:div>
    <w:div w:id="1973243936">
      <w:marLeft w:val="0"/>
      <w:marRight w:val="0"/>
      <w:marTop w:val="0"/>
      <w:marBottom w:val="0"/>
      <w:divBdr>
        <w:top w:val="none" w:sz="0" w:space="0" w:color="auto"/>
        <w:left w:val="none" w:sz="0" w:space="0" w:color="auto"/>
        <w:bottom w:val="none" w:sz="0" w:space="0" w:color="auto"/>
        <w:right w:val="none" w:sz="0" w:space="0" w:color="auto"/>
      </w:divBdr>
      <w:divsChild>
        <w:div w:id="394355779">
          <w:marLeft w:val="0"/>
          <w:marRight w:val="0"/>
          <w:marTop w:val="0"/>
          <w:marBottom w:val="0"/>
          <w:divBdr>
            <w:top w:val="none" w:sz="0" w:space="0" w:color="auto"/>
            <w:left w:val="none" w:sz="0" w:space="0" w:color="auto"/>
            <w:bottom w:val="none" w:sz="0" w:space="0" w:color="auto"/>
            <w:right w:val="none" w:sz="0" w:space="0" w:color="auto"/>
          </w:divBdr>
        </w:div>
      </w:divsChild>
    </w:div>
    <w:div w:id="1973631421">
      <w:marLeft w:val="0"/>
      <w:marRight w:val="0"/>
      <w:marTop w:val="0"/>
      <w:marBottom w:val="180"/>
      <w:divBdr>
        <w:top w:val="none" w:sz="0" w:space="0" w:color="auto"/>
        <w:left w:val="none" w:sz="0" w:space="0" w:color="auto"/>
        <w:bottom w:val="none" w:sz="0" w:space="0" w:color="auto"/>
        <w:right w:val="none" w:sz="0" w:space="0" w:color="auto"/>
      </w:divBdr>
    </w:div>
    <w:div w:id="1974091129">
      <w:marLeft w:val="0"/>
      <w:marRight w:val="0"/>
      <w:marTop w:val="0"/>
      <w:marBottom w:val="240"/>
      <w:divBdr>
        <w:top w:val="none" w:sz="0" w:space="0" w:color="auto"/>
        <w:left w:val="none" w:sz="0" w:space="0" w:color="auto"/>
        <w:bottom w:val="none" w:sz="0" w:space="0" w:color="auto"/>
        <w:right w:val="none" w:sz="0" w:space="0" w:color="auto"/>
      </w:divBdr>
    </w:div>
    <w:div w:id="1974098899">
      <w:marLeft w:val="0"/>
      <w:marRight w:val="0"/>
      <w:marTop w:val="0"/>
      <w:marBottom w:val="0"/>
      <w:divBdr>
        <w:top w:val="none" w:sz="0" w:space="0" w:color="auto"/>
        <w:left w:val="none" w:sz="0" w:space="0" w:color="auto"/>
        <w:bottom w:val="none" w:sz="0" w:space="0" w:color="auto"/>
        <w:right w:val="none" w:sz="0" w:space="0" w:color="auto"/>
      </w:divBdr>
    </w:div>
    <w:div w:id="1976909807">
      <w:marLeft w:val="0"/>
      <w:marRight w:val="0"/>
      <w:marTop w:val="0"/>
      <w:marBottom w:val="240"/>
      <w:divBdr>
        <w:top w:val="none" w:sz="0" w:space="0" w:color="auto"/>
        <w:left w:val="none" w:sz="0" w:space="0" w:color="auto"/>
        <w:bottom w:val="none" w:sz="0" w:space="0" w:color="auto"/>
        <w:right w:val="none" w:sz="0" w:space="0" w:color="auto"/>
      </w:divBdr>
    </w:div>
    <w:div w:id="1977752993">
      <w:marLeft w:val="0"/>
      <w:marRight w:val="0"/>
      <w:marTop w:val="0"/>
      <w:marBottom w:val="0"/>
      <w:divBdr>
        <w:top w:val="none" w:sz="0" w:space="0" w:color="auto"/>
        <w:left w:val="none" w:sz="0" w:space="0" w:color="auto"/>
        <w:bottom w:val="none" w:sz="0" w:space="0" w:color="auto"/>
        <w:right w:val="none" w:sz="0" w:space="0" w:color="auto"/>
      </w:divBdr>
    </w:div>
    <w:div w:id="1978028274">
      <w:marLeft w:val="0"/>
      <w:marRight w:val="0"/>
      <w:marTop w:val="120"/>
      <w:marBottom w:val="120"/>
      <w:divBdr>
        <w:top w:val="none" w:sz="0" w:space="0" w:color="auto"/>
        <w:left w:val="none" w:sz="0" w:space="0" w:color="auto"/>
        <w:bottom w:val="none" w:sz="0" w:space="0" w:color="auto"/>
        <w:right w:val="none" w:sz="0" w:space="0" w:color="auto"/>
      </w:divBdr>
    </w:div>
    <w:div w:id="1978490585">
      <w:marLeft w:val="0"/>
      <w:marRight w:val="0"/>
      <w:marTop w:val="0"/>
      <w:marBottom w:val="0"/>
      <w:divBdr>
        <w:top w:val="none" w:sz="0" w:space="0" w:color="auto"/>
        <w:left w:val="none" w:sz="0" w:space="0" w:color="auto"/>
        <w:bottom w:val="none" w:sz="0" w:space="0" w:color="auto"/>
        <w:right w:val="none" w:sz="0" w:space="0" w:color="auto"/>
      </w:divBdr>
    </w:div>
    <w:div w:id="1979339602">
      <w:marLeft w:val="0"/>
      <w:marRight w:val="0"/>
      <w:marTop w:val="180"/>
      <w:marBottom w:val="180"/>
      <w:divBdr>
        <w:top w:val="none" w:sz="0" w:space="0" w:color="auto"/>
        <w:left w:val="none" w:sz="0" w:space="0" w:color="auto"/>
        <w:bottom w:val="none" w:sz="0" w:space="0" w:color="auto"/>
        <w:right w:val="none" w:sz="0" w:space="0" w:color="auto"/>
      </w:divBdr>
    </w:div>
    <w:div w:id="1979604554">
      <w:marLeft w:val="0"/>
      <w:marRight w:val="0"/>
      <w:marTop w:val="0"/>
      <w:marBottom w:val="180"/>
      <w:divBdr>
        <w:top w:val="none" w:sz="0" w:space="0" w:color="auto"/>
        <w:left w:val="none" w:sz="0" w:space="0" w:color="auto"/>
        <w:bottom w:val="none" w:sz="0" w:space="0" w:color="auto"/>
        <w:right w:val="none" w:sz="0" w:space="0" w:color="auto"/>
      </w:divBdr>
    </w:div>
    <w:div w:id="1980722504">
      <w:marLeft w:val="0"/>
      <w:marRight w:val="0"/>
      <w:marTop w:val="180"/>
      <w:marBottom w:val="180"/>
      <w:divBdr>
        <w:top w:val="none" w:sz="0" w:space="0" w:color="auto"/>
        <w:left w:val="none" w:sz="0" w:space="0" w:color="auto"/>
        <w:bottom w:val="none" w:sz="0" w:space="0" w:color="auto"/>
        <w:right w:val="none" w:sz="0" w:space="0" w:color="auto"/>
      </w:divBdr>
    </w:div>
    <w:div w:id="1982154618">
      <w:marLeft w:val="0"/>
      <w:marRight w:val="0"/>
      <w:marTop w:val="100"/>
      <w:marBottom w:val="0"/>
      <w:divBdr>
        <w:top w:val="none" w:sz="0" w:space="0" w:color="auto"/>
        <w:left w:val="none" w:sz="0" w:space="0" w:color="auto"/>
        <w:bottom w:val="none" w:sz="0" w:space="0" w:color="auto"/>
        <w:right w:val="none" w:sz="0" w:space="0" w:color="auto"/>
      </w:divBdr>
    </w:div>
    <w:div w:id="1982802580">
      <w:marLeft w:val="0"/>
      <w:marRight w:val="0"/>
      <w:marTop w:val="0"/>
      <w:marBottom w:val="180"/>
      <w:divBdr>
        <w:top w:val="none" w:sz="0" w:space="0" w:color="auto"/>
        <w:left w:val="none" w:sz="0" w:space="0" w:color="auto"/>
        <w:bottom w:val="none" w:sz="0" w:space="0" w:color="auto"/>
        <w:right w:val="none" w:sz="0" w:space="0" w:color="auto"/>
      </w:divBdr>
    </w:div>
    <w:div w:id="1982807017">
      <w:marLeft w:val="0"/>
      <w:marRight w:val="0"/>
      <w:marTop w:val="100"/>
      <w:marBottom w:val="0"/>
      <w:divBdr>
        <w:top w:val="none" w:sz="0" w:space="0" w:color="auto"/>
        <w:left w:val="none" w:sz="0" w:space="0" w:color="auto"/>
        <w:bottom w:val="none" w:sz="0" w:space="0" w:color="auto"/>
        <w:right w:val="none" w:sz="0" w:space="0" w:color="auto"/>
      </w:divBdr>
      <w:divsChild>
        <w:div w:id="786511238">
          <w:marLeft w:val="0"/>
          <w:marRight w:val="0"/>
          <w:marTop w:val="0"/>
          <w:marBottom w:val="0"/>
          <w:divBdr>
            <w:top w:val="none" w:sz="0" w:space="0" w:color="auto"/>
            <w:left w:val="none" w:sz="0" w:space="0" w:color="auto"/>
            <w:bottom w:val="none" w:sz="0" w:space="0" w:color="auto"/>
            <w:right w:val="none" w:sz="0" w:space="0" w:color="auto"/>
          </w:divBdr>
        </w:div>
        <w:div w:id="1871530855">
          <w:marLeft w:val="0"/>
          <w:marRight w:val="0"/>
          <w:marTop w:val="0"/>
          <w:marBottom w:val="0"/>
          <w:divBdr>
            <w:top w:val="none" w:sz="0" w:space="0" w:color="auto"/>
            <w:left w:val="none" w:sz="0" w:space="0" w:color="auto"/>
            <w:bottom w:val="none" w:sz="0" w:space="0" w:color="auto"/>
            <w:right w:val="none" w:sz="0" w:space="0" w:color="auto"/>
          </w:divBdr>
        </w:div>
        <w:div w:id="1093018386">
          <w:marLeft w:val="0"/>
          <w:marRight w:val="0"/>
          <w:marTop w:val="0"/>
          <w:marBottom w:val="0"/>
          <w:divBdr>
            <w:top w:val="none" w:sz="0" w:space="0" w:color="auto"/>
            <w:left w:val="none" w:sz="0" w:space="0" w:color="auto"/>
            <w:bottom w:val="none" w:sz="0" w:space="0" w:color="auto"/>
            <w:right w:val="none" w:sz="0" w:space="0" w:color="auto"/>
          </w:divBdr>
        </w:div>
        <w:div w:id="2004817099">
          <w:marLeft w:val="0"/>
          <w:marRight w:val="0"/>
          <w:marTop w:val="0"/>
          <w:marBottom w:val="0"/>
          <w:divBdr>
            <w:top w:val="none" w:sz="0" w:space="0" w:color="auto"/>
            <w:left w:val="none" w:sz="0" w:space="0" w:color="auto"/>
            <w:bottom w:val="none" w:sz="0" w:space="0" w:color="auto"/>
            <w:right w:val="none" w:sz="0" w:space="0" w:color="auto"/>
          </w:divBdr>
        </w:div>
      </w:divsChild>
    </w:div>
    <w:div w:id="1983382507">
      <w:marLeft w:val="0"/>
      <w:marRight w:val="0"/>
      <w:marTop w:val="0"/>
      <w:marBottom w:val="60"/>
      <w:divBdr>
        <w:top w:val="none" w:sz="0" w:space="0" w:color="auto"/>
        <w:left w:val="none" w:sz="0" w:space="0" w:color="auto"/>
        <w:bottom w:val="none" w:sz="0" w:space="0" w:color="auto"/>
        <w:right w:val="none" w:sz="0" w:space="0" w:color="auto"/>
      </w:divBdr>
    </w:div>
    <w:div w:id="1983538893">
      <w:marLeft w:val="0"/>
      <w:marRight w:val="0"/>
      <w:marTop w:val="0"/>
      <w:marBottom w:val="240"/>
      <w:divBdr>
        <w:top w:val="none" w:sz="0" w:space="0" w:color="auto"/>
        <w:left w:val="none" w:sz="0" w:space="0" w:color="auto"/>
        <w:bottom w:val="none" w:sz="0" w:space="0" w:color="auto"/>
        <w:right w:val="none" w:sz="0" w:space="0" w:color="auto"/>
      </w:divBdr>
    </w:div>
    <w:div w:id="1984694193">
      <w:marLeft w:val="0"/>
      <w:marRight w:val="0"/>
      <w:marTop w:val="0"/>
      <w:marBottom w:val="0"/>
      <w:divBdr>
        <w:top w:val="none" w:sz="0" w:space="0" w:color="auto"/>
        <w:left w:val="none" w:sz="0" w:space="0" w:color="auto"/>
        <w:bottom w:val="none" w:sz="0" w:space="0" w:color="auto"/>
        <w:right w:val="none" w:sz="0" w:space="0" w:color="auto"/>
      </w:divBdr>
    </w:div>
    <w:div w:id="1985623925">
      <w:marLeft w:val="0"/>
      <w:marRight w:val="0"/>
      <w:marTop w:val="0"/>
      <w:marBottom w:val="240"/>
      <w:divBdr>
        <w:top w:val="none" w:sz="0" w:space="0" w:color="auto"/>
        <w:left w:val="none" w:sz="0" w:space="0" w:color="auto"/>
        <w:bottom w:val="none" w:sz="0" w:space="0" w:color="auto"/>
        <w:right w:val="none" w:sz="0" w:space="0" w:color="auto"/>
      </w:divBdr>
    </w:div>
    <w:div w:id="1986735112">
      <w:marLeft w:val="0"/>
      <w:marRight w:val="0"/>
      <w:marTop w:val="0"/>
      <w:marBottom w:val="0"/>
      <w:divBdr>
        <w:top w:val="none" w:sz="0" w:space="0" w:color="auto"/>
        <w:left w:val="none" w:sz="0" w:space="0" w:color="auto"/>
        <w:bottom w:val="none" w:sz="0" w:space="0" w:color="auto"/>
        <w:right w:val="none" w:sz="0" w:space="0" w:color="auto"/>
      </w:divBdr>
      <w:divsChild>
        <w:div w:id="792479445">
          <w:marLeft w:val="0"/>
          <w:marRight w:val="0"/>
          <w:marTop w:val="0"/>
          <w:marBottom w:val="0"/>
          <w:divBdr>
            <w:top w:val="none" w:sz="0" w:space="0" w:color="auto"/>
            <w:left w:val="none" w:sz="0" w:space="0" w:color="auto"/>
            <w:bottom w:val="none" w:sz="0" w:space="0" w:color="auto"/>
            <w:right w:val="none" w:sz="0" w:space="0" w:color="auto"/>
          </w:divBdr>
        </w:div>
      </w:divsChild>
    </w:div>
    <w:div w:id="1987009318">
      <w:marLeft w:val="0"/>
      <w:marRight w:val="0"/>
      <w:marTop w:val="0"/>
      <w:marBottom w:val="0"/>
      <w:divBdr>
        <w:top w:val="none" w:sz="0" w:space="0" w:color="auto"/>
        <w:left w:val="none" w:sz="0" w:space="0" w:color="auto"/>
        <w:bottom w:val="none" w:sz="0" w:space="0" w:color="auto"/>
        <w:right w:val="none" w:sz="0" w:space="0" w:color="auto"/>
      </w:divBdr>
    </w:div>
    <w:div w:id="1987278620">
      <w:marLeft w:val="0"/>
      <w:marRight w:val="0"/>
      <w:marTop w:val="0"/>
      <w:marBottom w:val="0"/>
      <w:divBdr>
        <w:top w:val="none" w:sz="0" w:space="0" w:color="auto"/>
        <w:left w:val="none" w:sz="0" w:space="0" w:color="auto"/>
        <w:bottom w:val="none" w:sz="0" w:space="0" w:color="auto"/>
        <w:right w:val="none" w:sz="0" w:space="0" w:color="auto"/>
      </w:divBdr>
    </w:div>
    <w:div w:id="1989167467">
      <w:marLeft w:val="0"/>
      <w:marRight w:val="0"/>
      <w:marTop w:val="0"/>
      <w:marBottom w:val="240"/>
      <w:divBdr>
        <w:top w:val="none" w:sz="0" w:space="0" w:color="auto"/>
        <w:left w:val="none" w:sz="0" w:space="0" w:color="auto"/>
        <w:bottom w:val="none" w:sz="0" w:space="0" w:color="auto"/>
        <w:right w:val="none" w:sz="0" w:space="0" w:color="auto"/>
      </w:divBdr>
    </w:div>
    <w:div w:id="1989744306">
      <w:marLeft w:val="0"/>
      <w:marRight w:val="0"/>
      <w:marTop w:val="180"/>
      <w:marBottom w:val="180"/>
      <w:divBdr>
        <w:top w:val="none" w:sz="0" w:space="0" w:color="auto"/>
        <w:left w:val="none" w:sz="0" w:space="0" w:color="auto"/>
        <w:bottom w:val="none" w:sz="0" w:space="0" w:color="auto"/>
        <w:right w:val="none" w:sz="0" w:space="0" w:color="auto"/>
      </w:divBdr>
    </w:div>
    <w:div w:id="1990281904">
      <w:marLeft w:val="0"/>
      <w:marRight w:val="0"/>
      <w:marTop w:val="0"/>
      <w:marBottom w:val="180"/>
      <w:divBdr>
        <w:top w:val="none" w:sz="0" w:space="0" w:color="auto"/>
        <w:left w:val="none" w:sz="0" w:space="0" w:color="auto"/>
        <w:bottom w:val="none" w:sz="0" w:space="0" w:color="auto"/>
        <w:right w:val="none" w:sz="0" w:space="0" w:color="auto"/>
      </w:divBdr>
    </w:div>
    <w:div w:id="1990405927">
      <w:marLeft w:val="0"/>
      <w:marRight w:val="0"/>
      <w:marTop w:val="0"/>
      <w:marBottom w:val="240"/>
      <w:divBdr>
        <w:top w:val="none" w:sz="0" w:space="0" w:color="auto"/>
        <w:left w:val="none" w:sz="0" w:space="0" w:color="auto"/>
        <w:bottom w:val="none" w:sz="0" w:space="0" w:color="auto"/>
        <w:right w:val="none" w:sz="0" w:space="0" w:color="auto"/>
      </w:divBdr>
    </w:div>
    <w:div w:id="1991247839">
      <w:marLeft w:val="0"/>
      <w:marRight w:val="0"/>
      <w:marTop w:val="0"/>
      <w:marBottom w:val="180"/>
      <w:divBdr>
        <w:top w:val="none" w:sz="0" w:space="0" w:color="auto"/>
        <w:left w:val="none" w:sz="0" w:space="0" w:color="auto"/>
        <w:bottom w:val="none" w:sz="0" w:space="0" w:color="auto"/>
        <w:right w:val="none" w:sz="0" w:space="0" w:color="auto"/>
      </w:divBdr>
    </w:div>
    <w:div w:id="1991251727">
      <w:marLeft w:val="0"/>
      <w:marRight w:val="0"/>
      <w:marTop w:val="0"/>
      <w:marBottom w:val="180"/>
      <w:divBdr>
        <w:top w:val="none" w:sz="0" w:space="0" w:color="auto"/>
        <w:left w:val="none" w:sz="0" w:space="0" w:color="auto"/>
        <w:bottom w:val="none" w:sz="0" w:space="0" w:color="auto"/>
        <w:right w:val="none" w:sz="0" w:space="0" w:color="auto"/>
      </w:divBdr>
    </w:div>
    <w:div w:id="1991447983">
      <w:marLeft w:val="0"/>
      <w:marRight w:val="0"/>
      <w:marTop w:val="0"/>
      <w:marBottom w:val="0"/>
      <w:divBdr>
        <w:top w:val="none" w:sz="0" w:space="0" w:color="auto"/>
        <w:left w:val="none" w:sz="0" w:space="0" w:color="auto"/>
        <w:bottom w:val="none" w:sz="0" w:space="0" w:color="auto"/>
        <w:right w:val="none" w:sz="0" w:space="0" w:color="auto"/>
      </w:divBdr>
      <w:divsChild>
        <w:div w:id="2028868078">
          <w:marLeft w:val="0"/>
          <w:marRight w:val="0"/>
          <w:marTop w:val="0"/>
          <w:marBottom w:val="0"/>
          <w:divBdr>
            <w:top w:val="none" w:sz="0" w:space="0" w:color="auto"/>
            <w:left w:val="none" w:sz="0" w:space="0" w:color="auto"/>
            <w:bottom w:val="none" w:sz="0" w:space="0" w:color="auto"/>
            <w:right w:val="none" w:sz="0" w:space="0" w:color="auto"/>
          </w:divBdr>
        </w:div>
      </w:divsChild>
    </w:div>
    <w:div w:id="1991866054">
      <w:marLeft w:val="0"/>
      <w:marRight w:val="0"/>
      <w:marTop w:val="0"/>
      <w:marBottom w:val="0"/>
      <w:divBdr>
        <w:top w:val="none" w:sz="0" w:space="0" w:color="auto"/>
        <w:left w:val="none" w:sz="0" w:space="0" w:color="auto"/>
        <w:bottom w:val="none" w:sz="0" w:space="0" w:color="auto"/>
        <w:right w:val="none" w:sz="0" w:space="0" w:color="auto"/>
      </w:divBdr>
    </w:div>
    <w:div w:id="1992370508">
      <w:marLeft w:val="0"/>
      <w:marRight w:val="0"/>
      <w:marTop w:val="0"/>
      <w:marBottom w:val="180"/>
      <w:divBdr>
        <w:top w:val="none" w:sz="0" w:space="0" w:color="auto"/>
        <w:left w:val="none" w:sz="0" w:space="0" w:color="auto"/>
        <w:bottom w:val="none" w:sz="0" w:space="0" w:color="auto"/>
        <w:right w:val="none" w:sz="0" w:space="0" w:color="auto"/>
      </w:divBdr>
    </w:div>
    <w:div w:id="1992442346">
      <w:marLeft w:val="0"/>
      <w:marRight w:val="0"/>
      <w:marTop w:val="0"/>
      <w:marBottom w:val="240"/>
      <w:divBdr>
        <w:top w:val="none" w:sz="0" w:space="0" w:color="auto"/>
        <w:left w:val="none" w:sz="0" w:space="0" w:color="auto"/>
        <w:bottom w:val="none" w:sz="0" w:space="0" w:color="auto"/>
        <w:right w:val="none" w:sz="0" w:space="0" w:color="auto"/>
      </w:divBdr>
    </w:div>
    <w:div w:id="1992712412">
      <w:marLeft w:val="0"/>
      <w:marRight w:val="0"/>
      <w:marTop w:val="0"/>
      <w:marBottom w:val="180"/>
      <w:divBdr>
        <w:top w:val="none" w:sz="0" w:space="0" w:color="auto"/>
        <w:left w:val="none" w:sz="0" w:space="0" w:color="auto"/>
        <w:bottom w:val="none" w:sz="0" w:space="0" w:color="auto"/>
        <w:right w:val="none" w:sz="0" w:space="0" w:color="auto"/>
      </w:divBdr>
    </w:div>
    <w:div w:id="1993216909">
      <w:marLeft w:val="0"/>
      <w:marRight w:val="0"/>
      <w:marTop w:val="180"/>
      <w:marBottom w:val="180"/>
      <w:divBdr>
        <w:top w:val="none" w:sz="0" w:space="0" w:color="auto"/>
        <w:left w:val="none" w:sz="0" w:space="0" w:color="auto"/>
        <w:bottom w:val="none" w:sz="0" w:space="0" w:color="auto"/>
        <w:right w:val="none" w:sz="0" w:space="0" w:color="auto"/>
      </w:divBdr>
    </w:div>
    <w:div w:id="1993368041">
      <w:marLeft w:val="0"/>
      <w:marRight w:val="0"/>
      <w:marTop w:val="0"/>
      <w:marBottom w:val="0"/>
      <w:divBdr>
        <w:top w:val="none" w:sz="0" w:space="0" w:color="auto"/>
        <w:left w:val="none" w:sz="0" w:space="0" w:color="auto"/>
        <w:bottom w:val="none" w:sz="0" w:space="0" w:color="auto"/>
        <w:right w:val="none" w:sz="0" w:space="0" w:color="auto"/>
      </w:divBdr>
      <w:divsChild>
        <w:div w:id="1913079913">
          <w:marLeft w:val="0"/>
          <w:marRight w:val="0"/>
          <w:marTop w:val="0"/>
          <w:marBottom w:val="0"/>
          <w:divBdr>
            <w:top w:val="none" w:sz="0" w:space="0" w:color="auto"/>
            <w:left w:val="none" w:sz="0" w:space="0" w:color="auto"/>
            <w:bottom w:val="none" w:sz="0" w:space="0" w:color="auto"/>
            <w:right w:val="none" w:sz="0" w:space="0" w:color="auto"/>
          </w:divBdr>
        </w:div>
      </w:divsChild>
    </w:div>
    <w:div w:id="1994598295">
      <w:marLeft w:val="0"/>
      <w:marRight w:val="0"/>
      <w:marTop w:val="0"/>
      <w:marBottom w:val="240"/>
      <w:divBdr>
        <w:top w:val="none" w:sz="0" w:space="0" w:color="auto"/>
        <w:left w:val="none" w:sz="0" w:space="0" w:color="auto"/>
        <w:bottom w:val="none" w:sz="0" w:space="0" w:color="auto"/>
        <w:right w:val="none" w:sz="0" w:space="0" w:color="auto"/>
      </w:divBdr>
    </w:div>
    <w:div w:id="1994600195">
      <w:marLeft w:val="0"/>
      <w:marRight w:val="0"/>
      <w:marTop w:val="180"/>
      <w:marBottom w:val="180"/>
      <w:divBdr>
        <w:top w:val="none" w:sz="0" w:space="0" w:color="auto"/>
        <w:left w:val="none" w:sz="0" w:space="0" w:color="auto"/>
        <w:bottom w:val="none" w:sz="0" w:space="0" w:color="auto"/>
        <w:right w:val="none" w:sz="0" w:space="0" w:color="auto"/>
      </w:divBdr>
    </w:div>
    <w:div w:id="1994992606">
      <w:marLeft w:val="0"/>
      <w:marRight w:val="0"/>
      <w:marTop w:val="0"/>
      <w:marBottom w:val="0"/>
      <w:divBdr>
        <w:top w:val="none" w:sz="0" w:space="0" w:color="auto"/>
        <w:left w:val="none" w:sz="0" w:space="0" w:color="auto"/>
        <w:bottom w:val="none" w:sz="0" w:space="0" w:color="auto"/>
        <w:right w:val="none" w:sz="0" w:space="0" w:color="auto"/>
      </w:divBdr>
    </w:div>
    <w:div w:id="1995135294">
      <w:marLeft w:val="0"/>
      <w:marRight w:val="0"/>
      <w:marTop w:val="0"/>
      <w:marBottom w:val="180"/>
      <w:divBdr>
        <w:top w:val="none" w:sz="0" w:space="0" w:color="auto"/>
        <w:left w:val="none" w:sz="0" w:space="0" w:color="auto"/>
        <w:bottom w:val="none" w:sz="0" w:space="0" w:color="auto"/>
        <w:right w:val="none" w:sz="0" w:space="0" w:color="auto"/>
      </w:divBdr>
    </w:div>
    <w:div w:id="1995258173">
      <w:marLeft w:val="0"/>
      <w:marRight w:val="0"/>
      <w:marTop w:val="0"/>
      <w:marBottom w:val="240"/>
      <w:divBdr>
        <w:top w:val="none" w:sz="0" w:space="0" w:color="auto"/>
        <w:left w:val="none" w:sz="0" w:space="0" w:color="auto"/>
        <w:bottom w:val="none" w:sz="0" w:space="0" w:color="auto"/>
        <w:right w:val="none" w:sz="0" w:space="0" w:color="auto"/>
      </w:divBdr>
    </w:div>
    <w:div w:id="1995599468">
      <w:marLeft w:val="0"/>
      <w:marRight w:val="0"/>
      <w:marTop w:val="0"/>
      <w:marBottom w:val="0"/>
      <w:divBdr>
        <w:top w:val="none" w:sz="0" w:space="0" w:color="auto"/>
        <w:left w:val="none" w:sz="0" w:space="0" w:color="auto"/>
        <w:bottom w:val="none" w:sz="0" w:space="0" w:color="auto"/>
        <w:right w:val="none" w:sz="0" w:space="0" w:color="auto"/>
      </w:divBdr>
      <w:divsChild>
        <w:div w:id="1265721617">
          <w:marLeft w:val="0"/>
          <w:marRight w:val="0"/>
          <w:marTop w:val="0"/>
          <w:marBottom w:val="0"/>
          <w:divBdr>
            <w:top w:val="none" w:sz="0" w:space="0" w:color="auto"/>
            <w:left w:val="none" w:sz="0" w:space="0" w:color="auto"/>
            <w:bottom w:val="none" w:sz="0" w:space="0" w:color="auto"/>
            <w:right w:val="none" w:sz="0" w:space="0" w:color="auto"/>
          </w:divBdr>
        </w:div>
      </w:divsChild>
    </w:div>
    <w:div w:id="1997342520">
      <w:marLeft w:val="0"/>
      <w:marRight w:val="0"/>
      <w:marTop w:val="100"/>
      <w:marBottom w:val="0"/>
      <w:divBdr>
        <w:top w:val="none" w:sz="0" w:space="0" w:color="auto"/>
        <w:left w:val="none" w:sz="0" w:space="0" w:color="auto"/>
        <w:bottom w:val="none" w:sz="0" w:space="0" w:color="auto"/>
        <w:right w:val="none" w:sz="0" w:space="0" w:color="auto"/>
      </w:divBdr>
    </w:div>
    <w:div w:id="1997605631">
      <w:marLeft w:val="0"/>
      <w:marRight w:val="0"/>
      <w:marTop w:val="180"/>
      <w:marBottom w:val="180"/>
      <w:divBdr>
        <w:top w:val="none" w:sz="0" w:space="0" w:color="auto"/>
        <w:left w:val="none" w:sz="0" w:space="0" w:color="auto"/>
        <w:bottom w:val="none" w:sz="0" w:space="0" w:color="auto"/>
        <w:right w:val="none" w:sz="0" w:space="0" w:color="auto"/>
      </w:divBdr>
    </w:div>
    <w:div w:id="1997760169">
      <w:marLeft w:val="0"/>
      <w:marRight w:val="0"/>
      <w:marTop w:val="0"/>
      <w:marBottom w:val="0"/>
      <w:divBdr>
        <w:top w:val="none" w:sz="0" w:space="0" w:color="auto"/>
        <w:left w:val="none" w:sz="0" w:space="0" w:color="auto"/>
        <w:bottom w:val="none" w:sz="0" w:space="0" w:color="auto"/>
        <w:right w:val="none" w:sz="0" w:space="0" w:color="auto"/>
      </w:divBdr>
    </w:div>
    <w:div w:id="1997762358">
      <w:marLeft w:val="0"/>
      <w:marRight w:val="0"/>
      <w:marTop w:val="0"/>
      <w:marBottom w:val="0"/>
      <w:divBdr>
        <w:top w:val="none" w:sz="0" w:space="0" w:color="auto"/>
        <w:left w:val="none" w:sz="0" w:space="0" w:color="auto"/>
        <w:bottom w:val="none" w:sz="0" w:space="0" w:color="auto"/>
        <w:right w:val="none" w:sz="0" w:space="0" w:color="auto"/>
      </w:divBdr>
    </w:div>
    <w:div w:id="1997880292">
      <w:marLeft w:val="0"/>
      <w:marRight w:val="0"/>
      <w:marTop w:val="0"/>
      <w:marBottom w:val="0"/>
      <w:divBdr>
        <w:top w:val="none" w:sz="0" w:space="0" w:color="auto"/>
        <w:left w:val="none" w:sz="0" w:space="0" w:color="auto"/>
        <w:bottom w:val="none" w:sz="0" w:space="0" w:color="auto"/>
        <w:right w:val="none" w:sz="0" w:space="0" w:color="auto"/>
      </w:divBdr>
    </w:div>
    <w:div w:id="1997881969">
      <w:marLeft w:val="0"/>
      <w:marRight w:val="0"/>
      <w:marTop w:val="0"/>
      <w:marBottom w:val="0"/>
      <w:divBdr>
        <w:top w:val="none" w:sz="0" w:space="0" w:color="auto"/>
        <w:left w:val="none" w:sz="0" w:space="0" w:color="auto"/>
        <w:bottom w:val="none" w:sz="0" w:space="0" w:color="auto"/>
        <w:right w:val="none" w:sz="0" w:space="0" w:color="auto"/>
      </w:divBdr>
      <w:divsChild>
        <w:div w:id="337849317">
          <w:marLeft w:val="0"/>
          <w:marRight w:val="0"/>
          <w:marTop w:val="0"/>
          <w:marBottom w:val="0"/>
          <w:divBdr>
            <w:top w:val="none" w:sz="0" w:space="0" w:color="auto"/>
            <w:left w:val="none" w:sz="0" w:space="0" w:color="auto"/>
            <w:bottom w:val="none" w:sz="0" w:space="0" w:color="auto"/>
            <w:right w:val="none" w:sz="0" w:space="0" w:color="auto"/>
          </w:divBdr>
        </w:div>
      </w:divsChild>
    </w:div>
    <w:div w:id="1998141785">
      <w:marLeft w:val="0"/>
      <w:marRight w:val="0"/>
      <w:marTop w:val="0"/>
      <w:marBottom w:val="180"/>
      <w:divBdr>
        <w:top w:val="none" w:sz="0" w:space="0" w:color="auto"/>
        <w:left w:val="none" w:sz="0" w:space="0" w:color="auto"/>
        <w:bottom w:val="none" w:sz="0" w:space="0" w:color="auto"/>
        <w:right w:val="none" w:sz="0" w:space="0" w:color="auto"/>
      </w:divBdr>
    </w:div>
    <w:div w:id="1998340067">
      <w:marLeft w:val="0"/>
      <w:marRight w:val="0"/>
      <w:marTop w:val="0"/>
      <w:marBottom w:val="180"/>
      <w:divBdr>
        <w:top w:val="none" w:sz="0" w:space="0" w:color="auto"/>
        <w:left w:val="none" w:sz="0" w:space="0" w:color="auto"/>
        <w:bottom w:val="none" w:sz="0" w:space="0" w:color="auto"/>
        <w:right w:val="none" w:sz="0" w:space="0" w:color="auto"/>
      </w:divBdr>
    </w:div>
    <w:div w:id="2000308040">
      <w:marLeft w:val="0"/>
      <w:marRight w:val="0"/>
      <w:marTop w:val="0"/>
      <w:marBottom w:val="180"/>
      <w:divBdr>
        <w:top w:val="none" w:sz="0" w:space="0" w:color="auto"/>
        <w:left w:val="none" w:sz="0" w:space="0" w:color="auto"/>
        <w:bottom w:val="none" w:sz="0" w:space="0" w:color="auto"/>
        <w:right w:val="none" w:sz="0" w:space="0" w:color="auto"/>
      </w:divBdr>
    </w:div>
    <w:div w:id="2000645543">
      <w:marLeft w:val="0"/>
      <w:marRight w:val="0"/>
      <w:marTop w:val="0"/>
      <w:marBottom w:val="180"/>
      <w:divBdr>
        <w:top w:val="none" w:sz="0" w:space="0" w:color="auto"/>
        <w:left w:val="none" w:sz="0" w:space="0" w:color="auto"/>
        <w:bottom w:val="none" w:sz="0" w:space="0" w:color="auto"/>
        <w:right w:val="none" w:sz="0" w:space="0" w:color="auto"/>
      </w:divBdr>
    </w:div>
    <w:div w:id="2000696425">
      <w:marLeft w:val="0"/>
      <w:marRight w:val="0"/>
      <w:marTop w:val="0"/>
      <w:marBottom w:val="0"/>
      <w:divBdr>
        <w:top w:val="none" w:sz="0" w:space="0" w:color="auto"/>
        <w:left w:val="none" w:sz="0" w:space="0" w:color="auto"/>
        <w:bottom w:val="none" w:sz="0" w:space="0" w:color="auto"/>
        <w:right w:val="none" w:sz="0" w:space="0" w:color="auto"/>
      </w:divBdr>
      <w:divsChild>
        <w:div w:id="195392059">
          <w:marLeft w:val="0"/>
          <w:marRight w:val="0"/>
          <w:marTop w:val="0"/>
          <w:marBottom w:val="0"/>
          <w:divBdr>
            <w:top w:val="none" w:sz="0" w:space="0" w:color="auto"/>
            <w:left w:val="none" w:sz="0" w:space="0" w:color="auto"/>
            <w:bottom w:val="none" w:sz="0" w:space="0" w:color="auto"/>
            <w:right w:val="none" w:sz="0" w:space="0" w:color="auto"/>
          </w:divBdr>
        </w:div>
      </w:divsChild>
    </w:div>
    <w:div w:id="2000882797">
      <w:marLeft w:val="0"/>
      <w:marRight w:val="0"/>
      <w:marTop w:val="0"/>
      <w:marBottom w:val="0"/>
      <w:divBdr>
        <w:top w:val="none" w:sz="0" w:space="0" w:color="auto"/>
        <w:left w:val="none" w:sz="0" w:space="0" w:color="auto"/>
        <w:bottom w:val="none" w:sz="0" w:space="0" w:color="auto"/>
        <w:right w:val="none" w:sz="0" w:space="0" w:color="auto"/>
      </w:divBdr>
      <w:divsChild>
        <w:div w:id="1699430110">
          <w:marLeft w:val="0"/>
          <w:marRight w:val="0"/>
          <w:marTop w:val="0"/>
          <w:marBottom w:val="0"/>
          <w:divBdr>
            <w:top w:val="none" w:sz="0" w:space="0" w:color="auto"/>
            <w:left w:val="none" w:sz="0" w:space="0" w:color="auto"/>
            <w:bottom w:val="none" w:sz="0" w:space="0" w:color="auto"/>
            <w:right w:val="none" w:sz="0" w:space="0" w:color="auto"/>
          </w:divBdr>
        </w:div>
      </w:divsChild>
    </w:div>
    <w:div w:id="2002075699">
      <w:marLeft w:val="0"/>
      <w:marRight w:val="0"/>
      <w:marTop w:val="0"/>
      <w:marBottom w:val="180"/>
      <w:divBdr>
        <w:top w:val="none" w:sz="0" w:space="0" w:color="auto"/>
        <w:left w:val="none" w:sz="0" w:space="0" w:color="auto"/>
        <w:bottom w:val="none" w:sz="0" w:space="0" w:color="auto"/>
        <w:right w:val="none" w:sz="0" w:space="0" w:color="auto"/>
      </w:divBdr>
    </w:div>
    <w:div w:id="2002734031">
      <w:marLeft w:val="0"/>
      <w:marRight w:val="0"/>
      <w:marTop w:val="0"/>
      <w:marBottom w:val="180"/>
      <w:divBdr>
        <w:top w:val="none" w:sz="0" w:space="0" w:color="auto"/>
        <w:left w:val="none" w:sz="0" w:space="0" w:color="auto"/>
        <w:bottom w:val="none" w:sz="0" w:space="0" w:color="auto"/>
        <w:right w:val="none" w:sz="0" w:space="0" w:color="auto"/>
      </w:divBdr>
    </w:div>
    <w:div w:id="2003700234">
      <w:marLeft w:val="0"/>
      <w:marRight w:val="0"/>
      <w:marTop w:val="0"/>
      <w:marBottom w:val="180"/>
      <w:divBdr>
        <w:top w:val="none" w:sz="0" w:space="0" w:color="auto"/>
        <w:left w:val="none" w:sz="0" w:space="0" w:color="auto"/>
        <w:bottom w:val="none" w:sz="0" w:space="0" w:color="auto"/>
        <w:right w:val="none" w:sz="0" w:space="0" w:color="auto"/>
      </w:divBdr>
    </w:div>
    <w:div w:id="2003897979">
      <w:marLeft w:val="0"/>
      <w:marRight w:val="0"/>
      <w:marTop w:val="0"/>
      <w:marBottom w:val="0"/>
      <w:divBdr>
        <w:top w:val="none" w:sz="0" w:space="0" w:color="auto"/>
        <w:left w:val="none" w:sz="0" w:space="0" w:color="auto"/>
        <w:bottom w:val="none" w:sz="0" w:space="0" w:color="auto"/>
        <w:right w:val="none" w:sz="0" w:space="0" w:color="auto"/>
      </w:divBdr>
      <w:divsChild>
        <w:div w:id="1903523858">
          <w:marLeft w:val="0"/>
          <w:marRight w:val="0"/>
          <w:marTop w:val="0"/>
          <w:marBottom w:val="0"/>
          <w:divBdr>
            <w:top w:val="none" w:sz="0" w:space="0" w:color="auto"/>
            <w:left w:val="none" w:sz="0" w:space="0" w:color="auto"/>
            <w:bottom w:val="none" w:sz="0" w:space="0" w:color="auto"/>
            <w:right w:val="none" w:sz="0" w:space="0" w:color="auto"/>
          </w:divBdr>
        </w:div>
      </w:divsChild>
    </w:div>
    <w:div w:id="2003970532">
      <w:marLeft w:val="0"/>
      <w:marRight w:val="0"/>
      <w:marTop w:val="0"/>
      <w:marBottom w:val="180"/>
      <w:divBdr>
        <w:top w:val="none" w:sz="0" w:space="0" w:color="auto"/>
        <w:left w:val="none" w:sz="0" w:space="0" w:color="auto"/>
        <w:bottom w:val="none" w:sz="0" w:space="0" w:color="auto"/>
        <w:right w:val="none" w:sz="0" w:space="0" w:color="auto"/>
      </w:divBdr>
    </w:div>
    <w:div w:id="2004702704">
      <w:marLeft w:val="0"/>
      <w:marRight w:val="0"/>
      <w:marTop w:val="0"/>
      <w:marBottom w:val="0"/>
      <w:divBdr>
        <w:top w:val="none" w:sz="0" w:space="0" w:color="auto"/>
        <w:left w:val="none" w:sz="0" w:space="0" w:color="auto"/>
        <w:bottom w:val="none" w:sz="0" w:space="0" w:color="auto"/>
        <w:right w:val="none" w:sz="0" w:space="0" w:color="auto"/>
      </w:divBdr>
    </w:div>
    <w:div w:id="2008097230">
      <w:marLeft w:val="0"/>
      <w:marRight w:val="0"/>
      <w:marTop w:val="0"/>
      <w:marBottom w:val="180"/>
      <w:divBdr>
        <w:top w:val="none" w:sz="0" w:space="0" w:color="auto"/>
        <w:left w:val="none" w:sz="0" w:space="0" w:color="auto"/>
        <w:bottom w:val="none" w:sz="0" w:space="0" w:color="auto"/>
        <w:right w:val="none" w:sz="0" w:space="0" w:color="auto"/>
      </w:divBdr>
    </w:div>
    <w:div w:id="2008164940">
      <w:marLeft w:val="0"/>
      <w:marRight w:val="0"/>
      <w:marTop w:val="0"/>
      <w:marBottom w:val="180"/>
      <w:divBdr>
        <w:top w:val="none" w:sz="0" w:space="0" w:color="auto"/>
        <w:left w:val="none" w:sz="0" w:space="0" w:color="auto"/>
        <w:bottom w:val="none" w:sz="0" w:space="0" w:color="auto"/>
        <w:right w:val="none" w:sz="0" w:space="0" w:color="auto"/>
      </w:divBdr>
    </w:div>
    <w:div w:id="2008439037">
      <w:marLeft w:val="0"/>
      <w:marRight w:val="0"/>
      <w:marTop w:val="0"/>
      <w:marBottom w:val="0"/>
      <w:divBdr>
        <w:top w:val="none" w:sz="0" w:space="0" w:color="auto"/>
        <w:left w:val="none" w:sz="0" w:space="0" w:color="auto"/>
        <w:bottom w:val="none" w:sz="0" w:space="0" w:color="auto"/>
        <w:right w:val="none" w:sz="0" w:space="0" w:color="auto"/>
      </w:divBdr>
    </w:div>
    <w:div w:id="2009945728">
      <w:marLeft w:val="0"/>
      <w:marRight w:val="0"/>
      <w:marTop w:val="0"/>
      <w:marBottom w:val="180"/>
      <w:divBdr>
        <w:top w:val="none" w:sz="0" w:space="0" w:color="auto"/>
        <w:left w:val="none" w:sz="0" w:space="0" w:color="auto"/>
        <w:bottom w:val="none" w:sz="0" w:space="0" w:color="auto"/>
        <w:right w:val="none" w:sz="0" w:space="0" w:color="auto"/>
      </w:divBdr>
    </w:div>
    <w:div w:id="2011520883">
      <w:marLeft w:val="0"/>
      <w:marRight w:val="0"/>
      <w:marTop w:val="0"/>
      <w:marBottom w:val="240"/>
      <w:divBdr>
        <w:top w:val="none" w:sz="0" w:space="0" w:color="auto"/>
        <w:left w:val="none" w:sz="0" w:space="0" w:color="auto"/>
        <w:bottom w:val="none" w:sz="0" w:space="0" w:color="auto"/>
        <w:right w:val="none" w:sz="0" w:space="0" w:color="auto"/>
      </w:divBdr>
    </w:div>
    <w:div w:id="2011785697">
      <w:marLeft w:val="0"/>
      <w:marRight w:val="0"/>
      <w:marTop w:val="0"/>
      <w:marBottom w:val="180"/>
      <w:divBdr>
        <w:top w:val="none" w:sz="0" w:space="0" w:color="auto"/>
        <w:left w:val="none" w:sz="0" w:space="0" w:color="auto"/>
        <w:bottom w:val="none" w:sz="0" w:space="0" w:color="auto"/>
        <w:right w:val="none" w:sz="0" w:space="0" w:color="auto"/>
      </w:divBdr>
    </w:div>
    <w:div w:id="2011836317">
      <w:marLeft w:val="0"/>
      <w:marRight w:val="0"/>
      <w:marTop w:val="0"/>
      <w:marBottom w:val="240"/>
      <w:divBdr>
        <w:top w:val="none" w:sz="0" w:space="0" w:color="auto"/>
        <w:left w:val="none" w:sz="0" w:space="0" w:color="auto"/>
        <w:bottom w:val="none" w:sz="0" w:space="0" w:color="auto"/>
        <w:right w:val="none" w:sz="0" w:space="0" w:color="auto"/>
      </w:divBdr>
    </w:div>
    <w:div w:id="2012297508">
      <w:marLeft w:val="0"/>
      <w:marRight w:val="0"/>
      <w:marTop w:val="180"/>
      <w:marBottom w:val="180"/>
      <w:divBdr>
        <w:top w:val="none" w:sz="0" w:space="0" w:color="auto"/>
        <w:left w:val="none" w:sz="0" w:space="0" w:color="auto"/>
        <w:bottom w:val="none" w:sz="0" w:space="0" w:color="auto"/>
        <w:right w:val="none" w:sz="0" w:space="0" w:color="auto"/>
      </w:divBdr>
    </w:div>
    <w:div w:id="2012759141">
      <w:marLeft w:val="0"/>
      <w:marRight w:val="0"/>
      <w:marTop w:val="180"/>
      <w:marBottom w:val="180"/>
      <w:divBdr>
        <w:top w:val="none" w:sz="0" w:space="0" w:color="auto"/>
        <w:left w:val="none" w:sz="0" w:space="0" w:color="auto"/>
        <w:bottom w:val="none" w:sz="0" w:space="0" w:color="auto"/>
        <w:right w:val="none" w:sz="0" w:space="0" w:color="auto"/>
      </w:divBdr>
    </w:div>
    <w:div w:id="2012834738">
      <w:marLeft w:val="0"/>
      <w:marRight w:val="0"/>
      <w:marTop w:val="0"/>
      <w:marBottom w:val="0"/>
      <w:divBdr>
        <w:top w:val="none" w:sz="0" w:space="0" w:color="auto"/>
        <w:left w:val="none" w:sz="0" w:space="0" w:color="auto"/>
        <w:bottom w:val="none" w:sz="0" w:space="0" w:color="auto"/>
        <w:right w:val="none" w:sz="0" w:space="0" w:color="auto"/>
      </w:divBdr>
    </w:div>
    <w:div w:id="2013295726">
      <w:marLeft w:val="0"/>
      <w:marRight w:val="0"/>
      <w:marTop w:val="120"/>
      <w:marBottom w:val="120"/>
      <w:divBdr>
        <w:top w:val="none" w:sz="0" w:space="0" w:color="auto"/>
        <w:left w:val="none" w:sz="0" w:space="0" w:color="auto"/>
        <w:bottom w:val="none" w:sz="0" w:space="0" w:color="auto"/>
        <w:right w:val="none" w:sz="0" w:space="0" w:color="auto"/>
      </w:divBdr>
    </w:div>
    <w:div w:id="2014605683">
      <w:marLeft w:val="0"/>
      <w:marRight w:val="0"/>
      <w:marTop w:val="100"/>
      <w:marBottom w:val="0"/>
      <w:divBdr>
        <w:top w:val="none" w:sz="0" w:space="0" w:color="auto"/>
        <w:left w:val="none" w:sz="0" w:space="0" w:color="auto"/>
        <w:bottom w:val="none" w:sz="0" w:space="0" w:color="auto"/>
        <w:right w:val="none" w:sz="0" w:space="0" w:color="auto"/>
      </w:divBdr>
    </w:div>
    <w:div w:id="2014800946">
      <w:marLeft w:val="0"/>
      <w:marRight w:val="0"/>
      <w:marTop w:val="0"/>
      <w:marBottom w:val="0"/>
      <w:divBdr>
        <w:top w:val="none" w:sz="0" w:space="0" w:color="auto"/>
        <w:left w:val="none" w:sz="0" w:space="0" w:color="auto"/>
        <w:bottom w:val="none" w:sz="0" w:space="0" w:color="auto"/>
        <w:right w:val="none" w:sz="0" w:space="0" w:color="auto"/>
      </w:divBdr>
    </w:div>
    <w:div w:id="2014870201">
      <w:marLeft w:val="0"/>
      <w:marRight w:val="0"/>
      <w:marTop w:val="0"/>
      <w:marBottom w:val="180"/>
      <w:divBdr>
        <w:top w:val="none" w:sz="0" w:space="0" w:color="auto"/>
        <w:left w:val="none" w:sz="0" w:space="0" w:color="auto"/>
        <w:bottom w:val="none" w:sz="0" w:space="0" w:color="auto"/>
        <w:right w:val="none" w:sz="0" w:space="0" w:color="auto"/>
      </w:divBdr>
    </w:div>
    <w:div w:id="2015525303">
      <w:marLeft w:val="0"/>
      <w:marRight w:val="0"/>
      <w:marTop w:val="0"/>
      <w:marBottom w:val="240"/>
      <w:divBdr>
        <w:top w:val="none" w:sz="0" w:space="0" w:color="auto"/>
        <w:left w:val="none" w:sz="0" w:space="0" w:color="auto"/>
        <w:bottom w:val="none" w:sz="0" w:space="0" w:color="auto"/>
        <w:right w:val="none" w:sz="0" w:space="0" w:color="auto"/>
      </w:divBdr>
    </w:div>
    <w:div w:id="2015759875">
      <w:marLeft w:val="0"/>
      <w:marRight w:val="0"/>
      <w:marTop w:val="180"/>
      <w:marBottom w:val="180"/>
      <w:divBdr>
        <w:top w:val="none" w:sz="0" w:space="0" w:color="auto"/>
        <w:left w:val="none" w:sz="0" w:space="0" w:color="auto"/>
        <w:bottom w:val="none" w:sz="0" w:space="0" w:color="auto"/>
        <w:right w:val="none" w:sz="0" w:space="0" w:color="auto"/>
      </w:divBdr>
    </w:div>
    <w:div w:id="2016298510">
      <w:marLeft w:val="0"/>
      <w:marRight w:val="0"/>
      <w:marTop w:val="0"/>
      <w:marBottom w:val="240"/>
      <w:divBdr>
        <w:top w:val="none" w:sz="0" w:space="0" w:color="auto"/>
        <w:left w:val="none" w:sz="0" w:space="0" w:color="auto"/>
        <w:bottom w:val="none" w:sz="0" w:space="0" w:color="auto"/>
        <w:right w:val="none" w:sz="0" w:space="0" w:color="auto"/>
      </w:divBdr>
    </w:div>
    <w:div w:id="2017460705">
      <w:marLeft w:val="0"/>
      <w:marRight w:val="0"/>
      <w:marTop w:val="0"/>
      <w:marBottom w:val="180"/>
      <w:divBdr>
        <w:top w:val="none" w:sz="0" w:space="0" w:color="auto"/>
        <w:left w:val="none" w:sz="0" w:space="0" w:color="auto"/>
        <w:bottom w:val="none" w:sz="0" w:space="0" w:color="auto"/>
        <w:right w:val="none" w:sz="0" w:space="0" w:color="auto"/>
      </w:divBdr>
    </w:div>
    <w:div w:id="2018846508">
      <w:marLeft w:val="0"/>
      <w:marRight w:val="0"/>
      <w:marTop w:val="120"/>
      <w:marBottom w:val="240"/>
      <w:divBdr>
        <w:top w:val="none" w:sz="0" w:space="0" w:color="auto"/>
        <w:left w:val="none" w:sz="0" w:space="0" w:color="auto"/>
        <w:bottom w:val="none" w:sz="0" w:space="0" w:color="auto"/>
        <w:right w:val="none" w:sz="0" w:space="0" w:color="auto"/>
      </w:divBdr>
    </w:div>
    <w:div w:id="2019236846">
      <w:marLeft w:val="0"/>
      <w:marRight w:val="0"/>
      <w:marTop w:val="0"/>
      <w:marBottom w:val="240"/>
      <w:divBdr>
        <w:top w:val="none" w:sz="0" w:space="0" w:color="auto"/>
        <w:left w:val="none" w:sz="0" w:space="0" w:color="auto"/>
        <w:bottom w:val="none" w:sz="0" w:space="0" w:color="auto"/>
        <w:right w:val="none" w:sz="0" w:space="0" w:color="auto"/>
      </w:divBdr>
    </w:div>
    <w:div w:id="2019498178">
      <w:marLeft w:val="0"/>
      <w:marRight w:val="0"/>
      <w:marTop w:val="0"/>
      <w:marBottom w:val="0"/>
      <w:divBdr>
        <w:top w:val="none" w:sz="0" w:space="0" w:color="auto"/>
        <w:left w:val="none" w:sz="0" w:space="0" w:color="auto"/>
        <w:bottom w:val="none" w:sz="0" w:space="0" w:color="auto"/>
        <w:right w:val="none" w:sz="0" w:space="0" w:color="auto"/>
      </w:divBdr>
    </w:div>
    <w:div w:id="2019573492">
      <w:marLeft w:val="0"/>
      <w:marRight w:val="0"/>
      <w:marTop w:val="0"/>
      <w:marBottom w:val="0"/>
      <w:divBdr>
        <w:top w:val="none" w:sz="0" w:space="0" w:color="auto"/>
        <w:left w:val="none" w:sz="0" w:space="0" w:color="auto"/>
        <w:bottom w:val="none" w:sz="0" w:space="0" w:color="auto"/>
        <w:right w:val="none" w:sz="0" w:space="0" w:color="auto"/>
      </w:divBdr>
      <w:divsChild>
        <w:div w:id="1324621225">
          <w:marLeft w:val="0"/>
          <w:marRight w:val="0"/>
          <w:marTop w:val="0"/>
          <w:marBottom w:val="0"/>
          <w:divBdr>
            <w:top w:val="none" w:sz="0" w:space="0" w:color="auto"/>
            <w:left w:val="none" w:sz="0" w:space="0" w:color="auto"/>
            <w:bottom w:val="none" w:sz="0" w:space="0" w:color="auto"/>
            <w:right w:val="none" w:sz="0" w:space="0" w:color="auto"/>
          </w:divBdr>
        </w:div>
      </w:divsChild>
    </w:div>
    <w:div w:id="2020548226">
      <w:marLeft w:val="0"/>
      <w:marRight w:val="0"/>
      <w:marTop w:val="0"/>
      <w:marBottom w:val="0"/>
      <w:divBdr>
        <w:top w:val="none" w:sz="0" w:space="0" w:color="auto"/>
        <w:left w:val="none" w:sz="0" w:space="0" w:color="auto"/>
        <w:bottom w:val="none" w:sz="0" w:space="0" w:color="auto"/>
        <w:right w:val="none" w:sz="0" w:space="0" w:color="auto"/>
      </w:divBdr>
      <w:divsChild>
        <w:div w:id="93288244">
          <w:marLeft w:val="0"/>
          <w:marRight w:val="0"/>
          <w:marTop w:val="0"/>
          <w:marBottom w:val="0"/>
          <w:divBdr>
            <w:top w:val="none" w:sz="0" w:space="0" w:color="auto"/>
            <w:left w:val="none" w:sz="0" w:space="0" w:color="auto"/>
            <w:bottom w:val="none" w:sz="0" w:space="0" w:color="auto"/>
            <w:right w:val="none" w:sz="0" w:space="0" w:color="auto"/>
          </w:divBdr>
        </w:div>
      </w:divsChild>
    </w:div>
    <w:div w:id="2020890878">
      <w:marLeft w:val="0"/>
      <w:marRight w:val="0"/>
      <w:marTop w:val="120"/>
      <w:marBottom w:val="120"/>
      <w:divBdr>
        <w:top w:val="none" w:sz="0" w:space="0" w:color="auto"/>
        <w:left w:val="none" w:sz="0" w:space="0" w:color="auto"/>
        <w:bottom w:val="none" w:sz="0" w:space="0" w:color="auto"/>
        <w:right w:val="none" w:sz="0" w:space="0" w:color="auto"/>
      </w:divBdr>
    </w:div>
    <w:div w:id="2020958260">
      <w:marLeft w:val="0"/>
      <w:marRight w:val="0"/>
      <w:marTop w:val="0"/>
      <w:marBottom w:val="240"/>
      <w:divBdr>
        <w:top w:val="none" w:sz="0" w:space="0" w:color="auto"/>
        <w:left w:val="none" w:sz="0" w:space="0" w:color="auto"/>
        <w:bottom w:val="none" w:sz="0" w:space="0" w:color="auto"/>
        <w:right w:val="none" w:sz="0" w:space="0" w:color="auto"/>
      </w:divBdr>
    </w:div>
    <w:div w:id="2021469100">
      <w:marLeft w:val="0"/>
      <w:marRight w:val="0"/>
      <w:marTop w:val="180"/>
      <w:marBottom w:val="180"/>
      <w:divBdr>
        <w:top w:val="none" w:sz="0" w:space="0" w:color="auto"/>
        <w:left w:val="none" w:sz="0" w:space="0" w:color="auto"/>
        <w:bottom w:val="none" w:sz="0" w:space="0" w:color="auto"/>
        <w:right w:val="none" w:sz="0" w:space="0" w:color="auto"/>
      </w:divBdr>
    </w:div>
    <w:div w:id="2022201582">
      <w:marLeft w:val="0"/>
      <w:marRight w:val="0"/>
      <w:marTop w:val="120"/>
      <w:marBottom w:val="240"/>
      <w:divBdr>
        <w:top w:val="none" w:sz="0" w:space="0" w:color="auto"/>
        <w:left w:val="none" w:sz="0" w:space="0" w:color="auto"/>
        <w:bottom w:val="none" w:sz="0" w:space="0" w:color="auto"/>
        <w:right w:val="none" w:sz="0" w:space="0" w:color="auto"/>
      </w:divBdr>
    </w:div>
    <w:div w:id="2023165193">
      <w:marLeft w:val="0"/>
      <w:marRight w:val="0"/>
      <w:marTop w:val="180"/>
      <w:marBottom w:val="180"/>
      <w:divBdr>
        <w:top w:val="none" w:sz="0" w:space="0" w:color="auto"/>
        <w:left w:val="none" w:sz="0" w:space="0" w:color="auto"/>
        <w:bottom w:val="none" w:sz="0" w:space="0" w:color="auto"/>
        <w:right w:val="none" w:sz="0" w:space="0" w:color="auto"/>
      </w:divBdr>
    </w:div>
    <w:div w:id="2023242477">
      <w:marLeft w:val="0"/>
      <w:marRight w:val="0"/>
      <w:marTop w:val="0"/>
      <w:marBottom w:val="240"/>
      <w:divBdr>
        <w:top w:val="none" w:sz="0" w:space="0" w:color="auto"/>
        <w:left w:val="none" w:sz="0" w:space="0" w:color="auto"/>
        <w:bottom w:val="none" w:sz="0" w:space="0" w:color="auto"/>
        <w:right w:val="none" w:sz="0" w:space="0" w:color="auto"/>
      </w:divBdr>
    </w:div>
    <w:div w:id="2023627836">
      <w:marLeft w:val="0"/>
      <w:marRight w:val="0"/>
      <w:marTop w:val="0"/>
      <w:marBottom w:val="0"/>
      <w:divBdr>
        <w:top w:val="none" w:sz="0" w:space="0" w:color="auto"/>
        <w:left w:val="none" w:sz="0" w:space="0" w:color="auto"/>
        <w:bottom w:val="none" w:sz="0" w:space="0" w:color="auto"/>
        <w:right w:val="none" w:sz="0" w:space="0" w:color="auto"/>
      </w:divBdr>
    </w:div>
    <w:div w:id="2023777722">
      <w:marLeft w:val="0"/>
      <w:marRight w:val="0"/>
      <w:marTop w:val="0"/>
      <w:marBottom w:val="180"/>
      <w:divBdr>
        <w:top w:val="none" w:sz="0" w:space="0" w:color="auto"/>
        <w:left w:val="none" w:sz="0" w:space="0" w:color="auto"/>
        <w:bottom w:val="none" w:sz="0" w:space="0" w:color="auto"/>
        <w:right w:val="none" w:sz="0" w:space="0" w:color="auto"/>
      </w:divBdr>
    </w:div>
    <w:div w:id="2024240421">
      <w:marLeft w:val="0"/>
      <w:marRight w:val="0"/>
      <w:marTop w:val="0"/>
      <w:marBottom w:val="180"/>
      <w:divBdr>
        <w:top w:val="none" w:sz="0" w:space="0" w:color="auto"/>
        <w:left w:val="none" w:sz="0" w:space="0" w:color="auto"/>
        <w:bottom w:val="none" w:sz="0" w:space="0" w:color="auto"/>
        <w:right w:val="none" w:sz="0" w:space="0" w:color="auto"/>
      </w:divBdr>
    </w:div>
    <w:div w:id="2024352516">
      <w:marLeft w:val="0"/>
      <w:marRight w:val="0"/>
      <w:marTop w:val="0"/>
      <w:marBottom w:val="0"/>
      <w:divBdr>
        <w:top w:val="none" w:sz="0" w:space="0" w:color="auto"/>
        <w:left w:val="none" w:sz="0" w:space="0" w:color="auto"/>
        <w:bottom w:val="none" w:sz="0" w:space="0" w:color="auto"/>
        <w:right w:val="none" w:sz="0" w:space="0" w:color="auto"/>
      </w:divBdr>
      <w:divsChild>
        <w:div w:id="516622306">
          <w:marLeft w:val="0"/>
          <w:marRight w:val="0"/>
          <w:marTop w:val="0"/>
          <w:marBottom w:val="0"/>
          <w:divBdr>
            <w:top w:val="none" w:sz="0" w:space="0" w:color="auto"/>
            <w:left w:val="none" w:sz="0" w:space="0" w:color="auto"/>
            <w:bottom w:val="none" w:sz="0" w:space="0" w:color="auto"/>
            <w:right w:val="none" w:sz="0" w:space="0" w:color="auto"/>
          </w:divBdr>
        </w:div>
      </w:divsChild>
    </w:div>
    <w:div w:id="2024473528">
      <w:marLeft w:val="0"/>
      <w:marRight w:val="0"/>
      <w:marTop w:val="0"/>
      <w:marBottom w:val="240"/>
      <w:divBdr>
        <w:top w:val="none" w:sz="0" w:space="0" w:color="auto"/>
        <w:left w:val="none" w:sz="0" w:space="0" w:color="auto"/>
        <w:bottom w:val="none" w:sz="0" w:space="0" w:color="auto"/>
        <w:right w:val="none" w:sz="0" w:space="0" w:color="auto"/>
      </w:divBdr>
    </w:div>
    <w:div w:id="2026709015">
      <w:marLeft w:val="0"/>
      <w:marRight w:val="0"/>
      <w:marTop w:val="0"/>
      <w:marBottom w:val="180"/>
      <w:divBdr>
        <w:top w:val="none" w:sz="0" w:space="0" w:color="auto"/>
        <w:left w:val="none" w:sz="0" w:space="0" w:color="auto"/>
        <w:bottom w:val="none" w:sz="0" w:space="0" w:color="auto"/>
        <w:right w:val="none" w:sz="0" w:space="0" w:color="auto"/>
      </w:divBdr>
    </w:div>
    <w:div w:id="2029716282">
      <w:marLeft w:val="0"/>
      <w:marRight w:val="0"/>
      <w:marTop w:val="0"/>
      <w:marBottom w:val="180"/>
      <w:divBdr>
        <w:top w:val="none" w:sz="0" w:space="0" w:color="auto"/>
        <w:left w:val="none" w:sz="0" w:space="0" w:color="auto"/>
        <w:bottom w:val="none" w:sz="0" w:space="0" w:color="auto"/>
        <w:right w:val="none" w:sz="0" w:space="0" w:color="auto"/>
      </w:divBdr>
    </w:div>
    <w:div w:id="2030452762">
      <w:marLeft w:val="0"/>
      <w:marRight w:val="0"/>
      <w:marTop w:val="0"/>
      <w:marBottom w:val="0"/>
      <w:divBdr>
        <w:top w:val="none" w:sz="0" w:space="0" w:color="auto"/>
        <w:left w:val="none" w:sz="0" w:space="0" w:color="auto"/>
        <w:bottom w:val="none" w:sz="0" w:space="0" w:color="auto"/>
        <w:right w:val="none" w:sz="0" w:space="0" w:color="auto"/>
      </w:divBdr>
      <w:divsChild>
        <w:div w:id="1266958023">
          <w:marLeft w:val="0"/>
          <w:marRight w:val="0"/>
          <w:marTop w:val="0"/>
          <w:marBottom w:val="0"/>
          <w:divBdr>
            <w:top w:val="none" w:sz="0" w:space="0" w:color="auto"/>
            <w:left w:val="none" w:sz="0" w:space="0" w:color="auto"/>
            <w:bottom w:val="none" w:sz="0" w:space="0" w:color="auto"/>
            <w:right w:val="none" w:sz="0" w:space="0" w:color="auto"/>
          </w:divBdr>
        </w:div>
      </w:divsChild>
    </w:div>
    <w:div w:id="2031296044">
      <w:marLeft w:val="0"/>
      <w:marRight w:val="0"/>
      <w:marTop w:val="0"/>
      <w:marBottom w:val="0"/>
      <w:divBdr>
        <w:top w:val="none" w:sz="0" w:space="0" w:color="auto"/>
        <w:left w:val="none" w:sz="0" w:space="0" w:color="auto"/>
        <w:bottom w:val="none" w:sz="0" w:space="0" w:color="auto"/>
        <w:right w:val="none" w:sz="0" w:space="0" w:color="auto"/>
      </w:divBdr>
    </w:div>
    <w:div w:id="2031567427">
      <w:marLeft w:val="0"/>
      <w:marRight w:val="0"/>
      <w:marTop w:val="120"/>
      <w:marBottom w:val="120"/>
      <w:divBdr>
        <w:top w:val="none" w:sz="0" w:space="0" w:color="auto"/>
        <w:left w:val="none" w:sz="0" w:space="0" w:color="auto"/>
        <w:bottom w:val="none" w:sz="0" w:space="0" w:color="auto"/>
        <w:right w:val="none" w:sz="0" w:space="0" w:color="auto"/>
      </w:divBdr>
    </w:div>
    <w:div w:id="2031762263">
      <w:marLeft w:val="0"/>
      <w:marRight w:val="0"/>
      <w:marTop w:val="0"/>
      <w:marBottom w:val="240"/>
      <w:divBdr>
        <w:top w:val="none" w:sz="0" w:space="0" w:color="auto"/>
        <w:left w:val="none" w:sz="0" w:space="0" w:color="auto"/>
        <w:bottom w:val="none" w:sz="0" w:space="0" w:color="auto"/>
        <w:right w:val="none" w:sz="0" w:space="0" w:color="auto"/>
      </w:divBdr>
    </w:div>
    <w:div w:id="2032219701">
      <w:marLeft w:val="0"/>
      <w:marRight w:val="0"/>
      <w:marTop w:val="180"/>
      <w:marBottom w:val="180"/>
      <w:divBdr>
        <w:top w:val="none" w:sz="0" w:space="0" w:color="auto"/>
        <w:left w:val="none" w:sz="0" w:space="0" w:color="auto"/>
        <w:bottom w:val="none" w:sz="0" w:space="0" w:color="auto"/>
        <w:right w:val="none" w:sz="0" w:space="0" w:color="auto"/>
      </w:divBdr>
    </w:div>
    <w:div w:id="2033990393">
      <w:marLeft w:val="0"/>
      <w:marRight w:val="0"/>
      <w:marTop w:val="0"/>
      <w:marBottom w:val="0"/>
      <w:divBdr>
        <w:top w:val="none" w:sz="0" w:space="0" w:color="auto"/>
        <w:left w:val="none" w:sz="0" w:space="0" w:color="auto"/>
        <w:bottom w:val="none" w:sz="0" w:space="0" w:color="auto"/>
        <w:right w:val="none" w:sz="0" w:space="0" w:color="auto"/>
      </w:divBdr>
      <w:divsChild>
        <w:div w:id="1399130980">
          <w:marLeft w:val="0"/>
          <w:marRight w:val="0"/>
          <w:marTop w:val="0"/>
          <w:marBottom w:val="0"/>
          <w:divBdr>
            <w:top w:val="none" w:sz="0" w:space="0" w:color="auto"/>
            <w:left w:val="none" w:sz="0" w:space="0" w:color="auto"/>
            <w:bottom w:val="none" w:sz="0" w:space="0" w:color="auto"/>
            <w:right w:val="none" w:sz="0" w:space="0" w:color="auto"/>
          </w:divBdr>
        </w:div>
      </w:divsChild>
    </w:div>
    <w:div w:id="2034263073">
      <w:marLeft w:val="0"/>
      <w:marRight w:val="0"/>
      <w:marTop w:val="120"/>
      <w:marBottom w:val="120"/>
      <w:divBdr>
        <w:top w:val="none" w:sz="0" w:space="0" w:color="auto"/>
        <w:left w:val="none" w:sz="0" w:space="0" w:color="auto"/>
        <w:bottom w:val="none" w:sz="0" w:space="0" w:color="auto"/>
        <w:right w:val="none" w:sz="0" w:space="0" w:color="auto"/>
      </w:divBdr>
    </w:div>
    <w:div w:id="2034723403">
      <w:marLeft w:val="0"/>
      <w:marRight w:val="0"/>
      <w:marTop w:val="0"/>
      <w:marBottom w:val="180"/>
      <w:divBdr>
        <w:top w:val="none" w:sz="0" w:space="0" w:color="auto"/>
        <w:left w:val="none" w:sz="0" w:space="0" w:color="auto"/>
        <w:bottom w:val="none" w:sz="0" w:space="0" w:color="auto"/>
        <w:right w:val="none" w:sz="0" w:space="0" w:color="auto"/>
      </w:divBdr>
    </w:div>
    <w:div w:id="2035113599">
      <w:marLeft w:val="0"/>
      <w:marRight w:val="0"/>
      <w:marTop w:val="0"/>
      <w:marBottom w:val="0"/>
      <w:divBdr>
        <w:top w:val="none" w:sz="0" w:space="0" w:color="auto"/>
        <w:left w:val="none" w:sz="0" w:space="0" w:color="auto"/>
        <w:bottom w:val="none" w:sz="0" w:space="0" w:color="auto"/>
        <w:right w:val="none" w:sz="0" w:space="0" w:color="auto"/>
      </w:divBdr>
      <w:divsChild>
        <w:div w:id="384640509">
          <w:marLeft w:val="0"/>
          <w:marRight w:val="0"/>
          <w:marTop w:val="0"/>
          <w:marBottom w:val="0"/>
          <w:divBdr>
            <w:top w:val="none" w:sz="0" w:space="0" w:color="auto"/>
            <w:left w:val="none" w:sz="0" w:space="0" w:color="auto"/>
            <w:bottom w:val="none" w:sz="0" w:space="0" w:color="auto"/>
            <w:right w:val="none" w:sz="0" w:space="0" w:color="auto"/>
          </w:divBdr>
        </w:div>
      </w:divsChild>
    </w:div>
    <w:div w:id="2036805391">
      <w:marLeft w:val="0"/>
      <w:marRight w:val="0"/>
      <w:marTop w:val="180"/>
      <w:marBottom w:val="180"/>
      <w:divBdr>
        <w:top w:val="none" w:sz="0" w:space="0" w:color="auto"/>
        <w:left w:val="none" w:sz="0" w:space="0" w:color="auto"/>
        <w:bottom w:val="none" w:sz="0" w:space="0" w:color="auto"/>
        <w:right w:val="none" w:sz="0" w:space="0" w:color="auto"/>
      </w:divBdr>
    </w:div>
    <w:div w:id="2037198251">
      <w:marLeft w:val="0"/>
      <w:marRight w:val="0"/>
      <w:marTop w:val="180"/>
      <w:marBottom w:val="180"/>
      <w:divBdr>
        <w:top w:val="none" w:sz="0" w:space="0" w:color="auto"/>
        <w:left w:val="none" w:sz="0" w:space="0" w:color="auto"/>
        <w:bottom w:val="none" w:sz="0" w:space="0" w:color="auto"/>
        <w:right w:val="none" w:sz="0" w:space="0" w:color="auto"/>
      </w:divBdr>
    </w:div>
    <w:div w:id="2037659445">
      <w:marLeft w:val="0"/>
      <w:marRight w:val="0"/>
      <w:marTop w:val="0"/>
      <w:marBottom w:val="0"/>
      <w:divBdr>
        <w:top w:val="none" w:sz="0" w:space="0" w:color="auto"/>
        <w:left w:val="none" w:sz="0" w:space="0" w:color="auto"/>
        <w:bottom w:val="none" w:sz="0" w:space="0" w:color="auto"/>
        <w:right w:val="none" w:sz="0" w:space="0" w:color="auto"/>
      </w:divBdr>
      <w:divsChild>
        <w:div w:id="843738714">
          <w:marLeft w:val="0"/>
          <w:marRight w:val="0"/>
          <w:marTop w:val="0"/>
          <w:marBottom w:val="0"/>
          <w:divBdr>
            <w:top w:val="none" w:sz="0" w:space="0" w:color="auto"/>
            <w:left w:val="none" w:sz="0" w:space="0" w:color="auto"/>
            <w:bottom w:val="none" w:sz="0" w:space="0" w:color="auto"/>
            <w:right w:val="none" w:sz="0" w:space="0" w:color="auto"/>
          </w:divBdr>
        </w:div>
        <w:div w:id="480997557">
          <w:marLeft w:val="0"/>
          <w:marRight w:val="0"/>
          <w:marTop w:val="0"/>
          <w:marBottom w:val="0"/>
          <w:divBdr>
            <w:top w:val="none" w:sz="0" w:space="0" w:color="auto"/>
            <w:left w:val="none" w:sz="0" w:space="0" w:color="auto"/>
            <w:bottom w:val="none" w:sz="0" w:space="0" w:color="auto"/>
            <w:right w:val="none" w:sz="0" w:space="0" w:color="auto"/>
          </w:divBdr>
        </w:div>
      </w:divsChild>
    </w:div>
    <w:div w:id="2037776594">
      <w:marLeft w:val="0"/>
      <w:marRight w:val="0"/>
      <w:marTop w:val="0"/>
      <w:marBottom w:val="0"/>
      <w:divBdr>
        <w:top w:val="none" w:sz="0" w:space="0" w:color="auto"/>
        <w:left w:val="none" w:sz="0" w:space="0" w:color="auto"/>
        <w:bottom w:val="none" w:sz="0" w:space="0" w:color="auto"/>
        <w:right w:val="none" w:sz="0" w:space="0" w:color="auto"/>
      </w:divBdr>
    </w:div>
    <w:div w:id="2038651335">
      <w:marLeft w:val="0"/>
      <w:marRight w:val="0"/>
      <w:marTop w:val="0"/>
      <w:marBottom w:val="240"/>
      <w:divBdr>
        <w:top w:val="none" w:sz="0" w:space="0" w:color="auto"/>
        <w:left w:val="none" w:sz="0" w:space="0" w:color="auto"/>
        <w:bottom w:val="none" w:sz="0" w:space="0" w:color="auto"/>
        <w:right w:val="none" w:sz="0" w:space="0" w:color="auto"/>
      </w:divBdr>
    </w:div>
    <w:div w:id="2038774909">
      <w:marLeft w:val="0"/>
      <w:marRight w:val="0"/>
      <w:marTop w:val="0"/>
      <w:marBottom w:val="0"/>
      <w:divBdr>
        <w:top w:val="none" w:sz="0" w:space="0" w:color="auto"/>
        <w:left w:val="none" w:sz="0" w:space="0" w:color="auto"/>
        <w:bottom w:val="none" w:sz="0" w:space="0" w:color="auto"/>
        <w:right w:val="none" w:sz="0" w:space="0" w:color="auto"/>
      </w:divBdr>
    </w:div>
    <w:div w:id="2039162515">
      <w:marLeft w:val="0"/>
      <w:marRight w:val="0"/>
      <w:marTop w:val="0"/>
      <w:marBottom w:val="180"/>
      <w:divBdr>
        <w:top w:val="none" w:sz="0" w:space="0" w:color="auto"/>
        <w:left w:val="none" w:sz="0" w:space="0" w:color="auto"/>
        <w:bottom w:val="none" w:sz="0" w:space="0" w:color="auto"/>
        <w:right w:val="none" w:sz="0" w:space="0" w:color="auto"/>
      </w:divBdr>
    </w:div>
    <w:div w:id="2039695331">
      <w:marLeft w:val="0"/>
      <w:marRight w:val="0"/>
      <w:marTop w:val="0"/>
      <w:marBottom w:val="240"/>
      <w:divBdr>
        <w:top w:val="none" w:sz="0" w:space="0" w:color="auto"/>
        <w:left w:val="none" w:sz="0" w:space="0" w:color="auto"/>
        <w:bottom w:val="none" w:sz="0" w:space="0" w:color="auto"/>
        <w:right w:val="none" w:sz="0" w:space="0" w:color="auto"/>
      </w:divBdr>
    </w:div>
    <w:div w:id="2040203599">
      <w:marLeft w:val="0"/>
      <w:marRight w:val="0"/>
      <w:marTop w:val="0"/>
      <w:marBottom w:val="0"/>
      <w:divBdr>
        <w:top w:val="none" w:sz="0" w:space="0" w:color="auto"/>
        <w:left w:val="none" w:sz="0" w:space="0" w:color="auto"/>
        <w:bottom w:val="none" w:sz="0" w:space="0" w:color="auto"/>
        <w:right w:val="none" w:sz="0" w:space="0" w:color="auto"/>
      </w:divBdr>
      <w:divsChild>
        <w:div w:id="964695121">
          <w:marLeft w:val="0"/>
          <w:marRight w:val="0"/>
          <w:marTop w:val="0"/>
          <w:marBottom w:val="0"/>
          <w:divBdr>
            <w:top w:val="none" w:sz="0" w:space="0" w:color="auto"/>
            <w:left w:val="none" w:sz="0" w:space="0" w:color="auto"/>
            <w:bottom w:val="none" w:sz="0" w:space="0" w:color="auto"/>
            <w:right w:val="none" w:sz="0" w:space="0" w:color="auto"/>
          </w:divBdr>
        </w:div>
      </w:divsChild>
    </w:div>
    <w:div w:id="2041592202">
      <w:marLeft w:val="0"/>
      <w:marRight w:val="0"/>
      <w:marTop w:val="0"/>
      <w:marBottom w:val="0"/>
      <w:divBdr>
        <w:top w:val="none" w:sz="0" w:space="0" w:color="auto"/>
        <w:left w:val="none" w:sz="0" w:space="0" w:color="auto"/>
        <w:bottom w:val="none" w:sz="0" w:space="0" w:color="auto"/>
        <w:right w:val="none" w:sz="0" w:space="0" w:color="auto"/>
      </w:divBdr>
      <w:divsChild>
        <w:div w:id="762382947">
          <w:marLeft w:val="0"/>
          <w:marRight w:val="0"/>
          <w:marTop w:val="0"/>
          <w:marBottom w:val="0"/>
          <w:divBdr>
            <w:top w:val="none" w:sz="0" w:space="0" w:color="auto"/>
            <w:left w:val="none" w:sz="0" w:space="0" w:color="auto"/>
            <w:bottom w:val="none" w:sz="0" w:space="0" w:color="auto"/>
            <w:right w:val="none" w:sz="0" w:space="0" w:color="auto"/>
          </w:divBdr>
        </w:div>
      </w:divsChild>
    </w:div>
    <w:div w:id="2043087311">
      <w:marLeft w:val="0"/>
      <w:marRight w:val="0"/>
      <w:marTop w:val="180"/>
      <w:marBottom w:val="180"/>
      <w:divBdr>
        <w:top w:val="none" w:sz="0" w:space="0" w:color="auto"/>
        <w:left w:val="none" w:sz="0" w:space="0" w:color="auto"/>
        <w:bottom w:val="none" w:sz="0" w:space="0" w:color="auto"/>
        <w:right w:val="none" w:sz="0" w:space="0" w:color="auto"/>
      </w:divBdr>
    </w:div>
    <w:div w:id="2043164872">
      <w:marLeft w:val="0"/>
      <w:marRight w:val="0"/>
      <w:marTop w:val="120"/>
      <w:marBottom w:val="180"/>
      <w:divBdr>
        <w:top w:val="none" w:sz="0" w:space="0" w:color="auto"/>
        <w:left w:val="none" w:sz="0" w:space="0" w:color="auto"/>
        <w:bottom w:val="none" w:sz="0" w:space="0" w:color="auto"/>
        <w:right w:val="none" w:sz="0" w:space="0" w:color="auto"/>
      </w:divBdr>
    </w:div>
    <w:div w:id="2045323102">
      <w:marLeft w:val="0"/>
      <w:marRight w:val="0"/>
      <w:marTop w:val="0"/>
      <w:marBottom w:val="0"/>
      <w:divBdr>
        <w:top w:val="none" w:sz="0" w:space="0" w:color="auto"/>
        <w:left w:val="none" w:sz="0" w:space="0" w:color="auto"/>
        <w:bottom w:val="none" w:sz="0" w:space="0" w:color="auto"/>
        <w:right w:val="none" w:sz="0" w:space="0" w:color="auto"/>
      </w:divBdr>
      <w:divsChild>
        <w:div w:id="909315296">
          <w:marLeft w:val="0"/>
          <w:marRight w:val="0"/>
          <w:marTop w:val="0"/>
          <w:marBottom w:val="0"/>
          <w:divBdr>
            <w:top w:val="none" w:sz="0" w:space="0" w:color="auto"/>
            <w:left w:val="none" w:sz="0" w:space="0" w:color="auto"/>
            <w:bottom w:val="none" w:sz="0" w:space="0" w:color="auto"/>
            <w:right w:val="none" w:sz="0" w:space="0" w:color="auto"/>
          </w:divBdr>
        </w:div>
      </w:divsChild>
    </w:div>
    <w:div w:id="2045324459">
      <w:marLeft w:val="0"/>
      <w:marRight w:val="0"/>
      <w:marTop w:val="180"/>
      <w:marBottom w:val="180"/>
      <w:divBdr>
        <w:top w:val="none" w:sz="0" w:space="0" w:color="auto"/>
        <w:left w:val="none" w:sz="0" w:space="0" w:color="auto"/>
        <w:bottom w:val="none" w:sz="0" w:space="0" w:color="auto"/>
        <w:right w:val="none" w:sz="0" w:space="0" w:color="auto"/>
      </w:divBdr>
    </w:div>
    <w:div w:id="2045981768">
      <w:marLeft w:val="0"/>
      <w:marRight w:val="0"/>
      <w:marTop w:val="0"/>
      <w:marBottom w:val="240"/>
      <w:divBdr>
        <w:top w:val="none" w:sz="0" w:space="0" w:color="auto"/>
        <w:left w:val="none" w:sz="0" w:space="0" w:color="auto"/>
        <w:bottom w:val="none" w:sz="0" w:space="0" w:color="auto"/>
        <w:right w:val="none" w:sz="0" w:space="0" w:color="auto"/>
      </w:divBdr>
    </w:div>
    <w:div w:id="2046976434">
      <w:marLeft w:val="0"/>
      <w:marRight w:val="0"/>
      <w:marTop w:val="0"/>
      <w:marBottom w:val="240"/>
      <w:divBdr>
        <w:top w:val="none" w:sz="0" w:space="0" w:color="auto"/>
        <w:left w:val="none" w:sz="0" w:space="0" w:color="auto"/>
        <w:bottom w:val="none" w:sz="0" w:space="0" w:color="auto"/>
        <w:right w:val="none" w:sz="0" w:space="0" w:color="auto"/>
      </w:divBdr>
    </w:div>
    <w:div w:id="2047176061">
      <w:marLeft w:val="0"/>
      <w:marRight w:val="0"/>
      <w:marTop w:val="120"/>
      <w:marBottom w:val="120"/>
      <w:divBdr>
        <w:top w:val="none" w:sz="0" w:space="0" w:color="auto"/>
        <w:left w:val="none" w:sz="0" w:space="0" w:color="auto"/>
        <w:bottom w:val="none" w:sz="0" w:space="0" w:color="auto"/>
        <w:right w:val="none" w:sz="0" w:space="0" w:color="auto"/>
      </w:divBdr>
    </w:div>
    <w:div w:id="2048140354">
      <w:marLeft w:val="0"/>
      <w:marRight w:val="0"/>
      <w:marTop w:val="0"/>
      <w:marBottom w:val="0"/>
      <w:divBdr>
        <w:top w:val="none" w:sz="0" w:space="0" w:color="auto"/>
        <w:left w:val="none" w:sz="0" w:space="0" w:color="auto"/>
        <w:bottom w:val="none" w:sz="0" w:space="0" w:color="auto"/>
        <w:right w:val="none" w:sz="0" w:space="0" w:color="auto"/>
      </w:divBdr>
    </w:div>
    <w:div w:id="2048212731">
      <w:marLeft w:val="0"/>
      <w:marRight w:val="0"/>
      <w:marTop w:val="180"/>
      <w:marBottom w:val="180"/>
      <w:divBdr>
        <w:top w:val="none" w:sz="0" w:space="0" w:color="auto"/>
        <w:left w:val="none" w:sz="0" w:space="0" w:color="auto"/>
        <w:bottom w:val="none" w:sz="0" w:space="0" w:color="auto"/>
        <w:right w:val="none" w:sz="0" w:space="0" w:color="auto"/>
      </w:divBdr>
    </w:div>
    <w:div w:id="2049573449">
      <w:marLeft w:val="0"/>
      <w:marRight w:val="0"/>
      <w:marTop w:val="120"/>
      <w:marBottom w:val="120"/>
      <w:divBdr>
        <w:top w:val="none" w:sz="0" w:space="0" w:color="auto"/>
        <w:left w:val="none" w:sz="0" w:space="0" w:color="auto"/>
        <w:bottom w:val="none" w:sz="0" w:space="0" w:color="auto"/>
        <w:right w:val="none" w:sz="0" w:space="0" w:color="auto"/>
      </w:divBdr>
    </w:div>
    <w:div w:id="2050568759">
      <w:marLeft w:val="0"/>
      <w:marRight w:val="0"/>
      <w:marTop w:val="120"/>
      <w:marBottom w:val="180"/>
      <w:divBdr>
        <w:top w:val="none" w:sz="0" w:space="0" w:color="auto"/>
        <w:left w:val="none" w:sz="0" w:space="0" w:color="auto"/>
        <w:bottom w:val="none" w:sz="0" w:space="0" w:color="auto"/>
        <w:right w:val="none" w:sz="0" w:space="0" w:color="auto"/>
      </w:divBdr>
    </w:div>
    <w:div w:id="2050907894">
      <w:marLeft w:val="0"/>
      <w:marRight w:val="0"/>
      <w:marTop w:val="0"/>
      <w:marBottom w:val="180"/>
      <w:divBdr>
        <w:top w:val="none" w:sz="0" w:space="0" w:color="auto"/>
        <w:left w:val="none" w:sz="0" w:space="0" w:color="auto"/>
        <w:bottom w:val="none" w:sz="0" w:space="0" w:color="auto"/>
        <w:right w:val="none" w:sz="0" w:space="0" w:color="auto"/>
      </w:divBdr>
    </w:div>
    <w:div w:id="2052075140">
      <w:marLeft w:val="0"/>
      <w:marRight w:val="0"/>
      <w:marTop w:val="0"/>
      <w:marBottom w:val="0"/>
      <w:divBdr>
        <w:top w:val="none" w:sz="0" w:space="0" w:color="auto"/>
        <w:left w:val="none" w:sz="0" w:space="0" w:color="auto"/>
        <w:bottom w:val="none" w:sz="0" w:space="0" w:color="auto"/>
        <w:right w:val="none" w:sz="0" w:space="0" w:color="auto"/>
      </w:divBdr>
    </w:div>
    <w:div w:id="2052341357">
      <w:marLeft w:val="0"/>
      <w:marRight w:val="0"/>
      <w:marTop w:val="0"/>
      <w:marBottom w:val="0"/>
      <w:divBdr>
        <w:top w:val="none" w:sz="0" w:space="0" w:color="auto"/>
        <w:left w:val="none" w:sz="0" w:space="0" w:color="auto"/>
        <w:bottom w:val="none" w:sz="0" w:space="0" w:color="auto"/>
        <w:right w:val="none" w:sz="0" w:space="0" w:color="auto"/>
      </w:divBdr>
    </w:div>
    <w:div w:id="2053772207">
      <w:marLeft w:val="0"/>
      <w:marRight w:val="0"/>
      <w:marTop w:val="0"/>
      <w:marBottom w:val="180"/>
      <w:divBdr>
        <w:top w:val="none" w:sz="0" w:space="0" w:color="auto"/>
        <w:left w:val="none" w:sz="0" w:space="0" w:color="auto"/>
        <w:bottom w:val="none" w:sz="0" w:space="0" w:color="auto"/>
        <w:right w:val="none" w:sz="0" w:space="0" w:color="auto"/>
      </w:divBdr>
    </w:div>
    <w:div w:id="2055621223">
      <w:marLeft w:val="0"/>
      <w:marRight w:val="0"/>
      <w:marTop w:val="0"/>
      <w:marBottom w:val="0"/>
      <w:divBdr>
        <w:top w:val="none" w:sz="0" w:space="0" w:color="auto"/>
        <w:left w:val="none" w:sz="0" w:space="0" w:color="auto"/>
        <w:bottom w:val="none" w:sz="0" w:space="0" w:color="auto"/>
        <w:right w:val="none" w:sz="0" w:space="0" w:color="auto"/>
      </w:divBdr>
      <w:divsChild>
        <w:div w:id="982541946">
          <w:marLeft w:val="0"/>
          <w:marRight w:val="0"/>
          <w:marTop w:val="0"/>
          <w:marBottom w:val="0"/>
          <w:divBdr>
            <w:top w:val="none" w:sz="0" w:space="0" w:color="auto"/>
            <w:left w:val="none" w:sz="0" w:space="0" w:color="auto"/>
            <w:bottom w:val="none" w:sz="0" w:space="0" w:color="auto"/>
            <w:right w:val="none" w:sz="0" w:space="0" w:color="auto"/>
          </w:divBdr>
        </w:div>
      </w:divsChild>
    </w:div>
    <w:div w:id="2055735366">
      <w:marLeft w:val="0"/>
      <w:marRight w:val="0"/>
      <w:marTop w:val="0"/>
      <w:marBottom w:val="240"/>
      <w:divBdr>
        <w:top w:val="none" w:sz="0" w:space="0" w:color="auto"/>
        <w:left w:val="none" w:sz="0" w:space="0" w:color="auto"/>
        <w:bottom w:val="none" w:sz="0" w:space="0" w:color="auto"/>
        <w:right w:val="none" w:sz="0" w:space="0" w:color="auto"/>
      </w:divBdr>
    </w:div>
    <w:div w:id="2055806900">
      <w:marLeft w:val="0"/>
      <w:marRight w:val="0"/>
      <w:marTop w:val="0"/>
      <w:marBottom w:val="180"/>
      <w:divBdr>
        <w:top w:val="none" w:sz="0" w:space="0" w:color="auto"/>
        <w:left w:val="none" w:sz="0" w:space="0" w:color="auto"/>
        <w:bottom w:val="none" w:sz="0" w:space="0" w:color="auto"/>
        <w:right w:val="none" w:sz="0" w:space="0" w:color="auto"/>
      </w:divBdr>
    </w:div>
    <w:div w:id="2055814165">
      <w:marLeft w:val="0"/>
      <w:marRight w:val="0"/>
      <w:marTop w:val="180"/>
      <w:marBottom w:val="180"/>
      <w:divBdr>
        <w:top w:val="none" w:sz="0" w:space="0" w:color="auto"/>
        <w:left w:val="none" w:sz="0" w:space="0" w:color="auto"/>
        <w:bottom w:val="none" w:sz="0" w:space="0" w:color="auto"/>
        <w:right w:val="none" w:sz="0" w:space="0" w:color="auto"/>
      </w:divBdr>
    </w:div>
    <w:div w:id="2055957298">
      <w:marLeft w:val="0"/>
      <w:marRight w:val="0"/>
      <w:marTop w:val="0"/>
      <w:marBottom w:val="0"/>
      <w:divBdr>
        <w:top w:val="none" w:sz="0" w:space="0" w:color="auto"/>
        <w:left w:val="none" w:sz="0" w:space="0" w:color="auto"/>
        <w:bottom w:val="none" w:sz="0" w:space="0" w:color="auto"/>
        <w:right w:val="none" w:sz="0" w:space="0" w:color="auto"/>
      </w:divBdr>
      <w:divsChild>
        <w:div w:id="1322077226">
          <w:marLeft w:val="0"/>
          <w:marRight w:val="0"/>
          <w:marTop w:val="0"/>
          <w:marBottom w:val="0"/>
          <w:divBdr>
            <w:top w:val="none" w:sz="0" w:space="0" w:color="auto"/>
            <w:left w:val="none" w:sz="0" w:space="0" w:color="auto"/>
            <w:bottom w:val="none" w:sz="0" w:space="0" w:color="auto"/>
            <w:right w:val="none" w:sz="0" w:space="0" w:color="auto"/>
          </w:divBdr>
        </w:div>
      </w:divsChild>
    </w:div>
    <w:div w:id="2056541222">
      <w:marLeft w:val="0"/>
      <w:marRight w:val="0"/>
      <w:marTop w:val="0"/>
      <w:marBottom w:val="0"/>
      <w:divBdr>
        <w:top w:val="none" w:sz="0" w:space="0" w:color="auto"/>
        <w:left w:val="none" w:sz="0" w:space="0" w:color="auto"/>
        <w:bottom w:val="none" w:sz="0" w:space="0" w:color="auto"/>
        <w:right w:val="none" w:sz="0" w:space="0" w:color="auto"/>
      </w:divBdr>
      <w:divsChild>
        <w:div w:id="1345207473">
          <w:marLeft w:val="0"/>
          <w:marRight w:val="0"/>
          <w:marTop w:val="0"/>
          <w:marBottom w:val="0"/>
          <w:divBdr>
            <w:top w:val="none" w:sz="0" w:space="0" w:color="auto"/>
            <w:left w:val="none" w:sz="0" w:space="0" w:color="auto"/>
            <w:bottom w:val="none" w:sz="0" w:space="0" w:color="auto"/>
            <w:right w:val="none" w:sz="0" w:space="0" w:color="auto"/>
          </w:divBdr>
        </w:div>
      </w:divsChild>
    </w:div>
    <w:div w:id="2056541927">
      <w:marLeft w:val="0"/>
      <w:marRight w:val="0"/>
      <w:marTop w:val="180"/>
      <w:marBottom w:val="180"/>
      <w:divBdr>
        <w:top w:val="none" w:sz="0" w:space="0" w:color="auto"/>
        <w:left w:val="none" w:sz="0" w:space="0" w:color="auto"/>
        <w:bottom w:val="none" w:sz="0" w:space="0" w:color="auto"/>
        <w:right w:val="none" w:sz="0" w:space="0" w:color="auto"/>
      </w:divBdr>
    </w:div>
    <w:div w:id="2056586647">
      <w:marLeft w:val="0"/>
      <w:marRight w:val="0"/>
      <w:marTop w:val="0"/>
      <w:marBottom w:val="0"/>
      <w:divBdr>
        <w:top w:val="none" w:sz="0" w:space="0" w:color="auto"/>
        <w:left w:val="none" w:sz="0" w:space="0" w:color="auto"/>
        <w:bottom w:val="none" w:sz="0" w:space="0" w:color="auto"/>
        <w:right w:val="none" w:sz="0" w:space="0" w:color="auto"/>
      </w:divBdr>
      <w:divsChild>
        <w:div w:id="532421157">
          <w:marLeft w:val="0"/>
          <w:marRight w:val="0"/>
          <w:marTop w:val="0"/>
          <w:marBottom w:val="0"/>
          <w:divBdr>
            <w:top w:val="none" w:sz="0" w:space="0" w:color="auto"/>
            <w:left w:val="none" w:sz="0" w:space="0" w:color="auto"/>
            <w:bottom w:val="none" w:sz="0" w:space="0" w:color="auto"/>
            <w:right w:val="none" w:sz="0" w:space="0" w:color="auto"/>
          </w:divBdr>
        </w:div>
      </w:divsChild>
    </w:div>
    <w:div w:id="2057121778">
      <w:marLeft w:val="0"/>
      <w:marRight w:val="0"/>
      <w:marTop w:val="180"/>
      <w:marBottom w:val="180"/>
      <w:divBdr>
        <w:top w:val="none" w:sz="0" w:space="0" w:color="auto"/>
        <w:left w:val="none" w:sz="0" w:space="0" w:color="auto"/>
        <w:bottom w:val="none" w:sz="0" w:space="0" w:color="auto"/>
        <w:right w:val="none" w:sz="0" w:space="0" w:color="auto"/>
      </w:divBdr>
    </w:div>
    <w:div w:id="2057847832">
      <w:marLeft w:val="0"/>
      <w:marRight w:val="0"/>
      <w:marTop w:val="0"/>
      <w:marBottom w:val="0"/>
      <w:divBdr>
        <w:top w:val="none" w:sz="0" w:space="0" w:color="auto"/>
        <w:left w:val="none" w:sz="0" w:space="0" w:color="auto"/>
        <w:bottom w:val="none" w:sz="0" w:space="0" w:color="auto"/>
        <w:right w:val="none" w:sz="0" w:space="0" w:color="auto"/>
      </w:divBdr>
      <w:divsChild>
        <w:div w:id="2049181770">
          <w:marLeft w:val="0"/>
          <w:marRight w:val="0"/>
          <w:marTop w:val="0"/>
          <w:marBottom w:val="0"/>
          <w:divBdr>
            <w:top w:val="none" w:sz="0" w:space="0" w:color="auto"/>
            <w:left w:val="none" w:sz="0" w:space="0" w:color="auto"/>
            <w:bottom w:val="none" w:sz="0" w:space="0" w:color="auto"/>
            <w:right w:val="none" w:sz="0" w:space="0" w:color="auto"/>
          </w:divBdr>
        </w:div>
      </w:divsChild>
    </w:div>
    <w:div w:id="2058820457">
      <w:marLeft w:val="0"/>
      <w:marRight w:val="0"/>
      <w:marTop w:val="0"/>
      <w:marBottom w:val="0"/>
      <w:divBdr>
        <w:top w:val="none" w:sz="0" w:space="0" w:color="auto"/>
        <w:left w:val="none" w:sz="0" w:space="0" w:color="auto"/>
        <w:bottom w:val="none" w:sz="0" w:space="0" w:color="auto"/>
        <w:right w:val="none" w:sz="0" w:space="0" w:color="auto"/>
      </w:divBdr>
      <w:divsChild>
        <w:div w:id="1679428018">
          <w:marLeft w:val="0"/>
          <w:marRight w:val="0"/>
          <w:marTop w:val="0"/>
          <w:marBottom w:val="0"/>
          <w:divBdr>
            <w:top w:val="none" w:sz="0" w:space="0" w:color="auto"/>
            <w:left w:val="none" w:sz="0" w:space="0" w:color="auto"/>
            <w:bottom w:val="none" w:sz="0" w:space="0" w:color="auto"/>
            <w:right w:val="none" w:sz="0" w:space="0" w:color="auto"/>
          </w:divBdr>
        </w:div>
      </w:divsChild>
    </w:div>
    <w:div w:id="2059084807">
      <w:marLeft w:val="0"/>
      <w:marRight w:val="0"/>
      <w:marTop w:val="0"/>
      <w:marBottom w:val="240"/>
      <w:divBdr>
        <w:top w:val="none" w:sz="0" w:space="0" w:color="auto"/>
        <w:left w:val="none" w:sz="0" w:space="0" w:color="auto"/>
        <w:bottom w:val="none" w:sz="0" w:space="0" w:color="auto"/>
        <w:right w:val="none" w:sz="0" w:space="0" w:color="auto"/>
      </w:divBdr>
    </w:div>
    <w:div w:id="2061051540">
      <w:marLeft w:val="0"/>
      <w:marRight w:val="0"/>
      <w:marTop w:val="0"/>
      <w:marBottom w:val="240"/>
      <w:divBdr>
        <w:top w:val="none" w:sz="0" w:space="0" w:color="auto"/>
        <w:left w:val="none" w:sz="0" w:space="0" w:color="auto"/>
        <w:bottom w:val="none" w:sz="0" w:space="0" w:color="auto"/>
        <w:right w:val="none" w:sz="0" w:space="0" w:color="auto"/>
      </w:divBdr>
    </w:div>
    <w:div w:id="2061316433">
      <w:marLeft w:val="0"/>
      <w:marRight w:val="0"/>
      <w:marTop w:val="0"/>
      <w:marBottom w:val="0"/>
      <w:divBdr>
        <w:top w:val="none" w:sz="0" w:space="0" w:color="auto"/>
        <w:left w:val="none" w:sz="0" w:space="0" w:color="auto"/>
        <w:bottom w:val="none" w:sz="0" w:space="0" w:color="auto"/>
        <w:right w:val="none" w:sz="0" w:space="0" w:color="auto"/>
      </w:divBdr>
    </w:div>
    <w:div w:id="2061787397">
      <w:marLeft w:val="0"/>
      <w:marRight w:val="0"/>
      <w:marTop w:val="0"/>
      <w:marBottom w:val="180"/>
      <w:divBdr>
        <w:top w:val="none" w:sz="0" w:space="0" w:color="auto"/>
        <w:left w:val="none" w:sz="0" w:space="0" w:color="auto"/>
        <w:bottom w:val="none" w:sz="0" w:space="0" w:color="auto"/>
        <w:right w:val="none" w:sz="0" w:space="0" w:color="auto"/>
      </w:divBdr>
    </w:div>
    <w:div w:id="2061829077">
      <w:marLeft w:val="0"/>
      <w:marRight w:val="0"/>
      <w:marTop w:val="0"/>
      <w:marBottom w:val="180"/>
      <w:divBdr>
        <w:top w:val="none" w:sz="0" w:space="0" w:color="auto"/>
        <w:left w:val="none" w:sz="0" w:space="0" w:color="auto"/>
        <w:bottom w:val="none" w:sz="0" w:space="0" w:color="auto"/>
        <w:right w:val="none" w:sz="0" w:space="0" w:color="auto"/>
      </w:divBdr>
    </w:div>
    <w:div w:id="2062097122">
      <w:marLeft w:val="0"/>
      <w:marRight w:val="0"/>
      <w:marTop w:val="0"/>
      <w:marBottom w:val="180"/>
      <w:divBdr>
        <w:top w:val="none" w:sz="0" w:space="0" w:color="auto"/>
        <w:left w:val="none" w:sz="0" w:space="0" w:color="auto"/>
        <w:bottom w:val="none" w:sz="0" w:space="0" w:color="auto"/>
        <w:right w:val="none" w:sz="0" w:space="0" w:color="auto"/>
      </w:divBdr>
    </w:div>
    <w:div w:id="2062438731">
      <w:marLeft w:val="0"/>
      <w:marRight w:val="0"/>
      <w:marTop w:val="0"/>
      <w:marBottom w:val="180"/>
      <w:divBdr>
        <w:top w:val="none" w:sz="0" w:space="0" w:color="auto"/>
        <w:left w:val="none" w:sz="0" w:space="0" w:color="auto"/>
        <w:bottom w:val="none" w:sz="0" w:space="0" w:color="auto"/>
        <w:right w:val="none" w:sz="0" w:space="0" w:color="auto"/>
      </w:divBdr>
    </w:div>
    <w:div w:id="2062705396">
      <w:marLeft w:val="0"/>
      <w:marRight w:val="0"/>
      <w:marTop w:val="0"/>
      <w:marBottom w:val="0"/>
      <w:divBdr>
        <w:top w:val="none" w:sz="0" w:space="0" w:color="auto"/>
        <w:left w:val="none" w:sz="0" w:space="0" w:color="auto"/>
        <w:bottom w:val="none" w:sz="0" w:space="0" w:color="auto"/>
        <w:right w:val="none" w:sz="0" w:space="0" w:color="auto"/>
      </w:divBdr>
    </w:div>
    <w:div w:id="2062708789">
      <w:marLeft w:val="0"/>
      <w:marRight w:val="0"/>
      <w:marTop w:val="0"/>
      <w:marBottom w:val="240"/>
      <w:divBdr>
        <w:top w:val="none" w:sz="0" w:space="0" w:color="auto"/>
        <w:left w:val="none" w:sz="0" w:space="0" w:color="auto"/>
        <w:bottom w:val="none" w:sz="0" w:space="0" w:color="auto"/>
        <w:right w:val="none" w:sz="0" w:space="0" w:color="auto"/>
      </w:divBdr>
    </w:div>
    <w:div w:id="2063164093">
      <w:marLeft w:val="0"/>
      <w:marRight w:val="0"/>
      <w:marTop w:val="0"/>
      <w:marBottom w:val="0"/>
      <w:divBdr>
        <w:top w:val="none" w:sz="0" w:space="0" w:color="auto"/>
        <w:left w:val="none" w:sz="0" w:space="0" w:color="auto"/>
        <w:bottom w:val="none" w:sz="0" w:space="0" w:color="auto"/>
        <w:right w:val="none" w:sz="0" w:space="0" w:color="auto"/>
      </w:divBdr>
      <w:divsChild>
        <w:div w:id="495148916">
          <w:marLeft w:val="0"/>
          <w:marRight w:val="0"/>
          <w:marTop w:val="0"/>
          <w:marBottom w:val="0"/>
          <w:divBdr>
            <w:top w:val="none" w:sz="0" w:space="0" w:color="auto"/>
            <w:left w:val="none" w:sz="0" w:space="0" w:color="auto"/>
            <w:bottom w:val="none" w:sz="0" w:space="0" w:color="auto"/>
            <w:right w:val="none" w:sz="0" w:space="0" w:color="auto"/>
          </w:divBdr>
        </w:div>
      </w:divsChild>
    </w:div>
    <w:div w:id="2064057944">
      <w:marLeft w:val="0"/>
      <w:marRight w:val="0"/>
      <w:marTop w:val="0"/>
      <w:marBottom w:val="0"/>
      <w:divBdr>
        <w:top w:val="none" w:sz="0" w:space="0" w:color="auto"/>
        <w:left w:val="none" w:sz="0" w:space="0" w:color="auto"/>
        <w:bottom w:val="none" w:sz="0" w:space="0" w:color="auto"/>
        <w:right w:val="none" w:sz="0" w:space="0" w:color="auto"/>
      </w:divBdr>
    </w:div>
    <w:div w:id="2064333262">
      <w:marLeft w:val="0"/>
      <w:marRight w:val="0"/>
      <w:marTop w:val="180"/>
      <w:marBottom w:val="180"/>
      <w:divBdr>
        <w:top w:val="none" w:sz="0" w:space="0" w:color="auto"/>
        <w:left w:val="none" w:sz="0" w:space="0" w:color="auto"/>
        <w:bottom w:val="none" w:sz="0" w:space="0" w:color="auto"/>
        <w:right w:val="none" w:sz="0" w:space="0" w:color="auto"/>
      </w:divBdr>
    </w:div>
    <w:div w:id="2065105211">
      <w:marLeft w:val="0"/>
      <w:marRight w:val="0"/>
      <w:marTop w:val="0"/>
      <w:marBottom w:val="240"/>
      <w:divBdr>
        <w:top w:val="none" w:sz="0" w:space="0" w:color="auto"/>
        <w:left w:val="none" w:sz="0" w:space="0" w:color="auto"/>
        <w:bottom w:val="none" w:sz="0" w:space="0" w:color="auto"/>
        <w:right w:val="none" w:sz="0" w:space="0" w:color="auto"/>
      </w:divBdr>
    </w:div>
    <w:div w:id="2066024786">
      <w:marLeft w:val="0"/>
      <w:marRight w:val="0"/>
      <w:marTop w:val="180"/>
      <w:marBottom w:val="180"/>
      <w:divBdr>
        <w:top w:val="none" w:sz="0" w:space="0" w:color="auto"/>
        <w:left w:val="none" w:sz="0" w:space="0" w:color="auto"/>
        <w:bottom w:val="none" w:sz="0" w:space="0" w:color="auto"/>
        <w:right w:val="none" w:sz="0" w:space="0" w:color="auto"/>
      </w:divBdr>
    </w:div>
    <w:div w:id="2066484206">
      <w:marLeft w:val="0"/>
      <w:marRight w:val="0"/>
      <w:marTop w:val="0"/>
      <w:marBottom w:val="0"/>
      <w:divBdr>
        <w:top w:val="none" w:sz="0" w:space="0" w:color="auto"/>
        <w:left w:val="none" w:sz="0" w:space="0" w:color="auto"/>
        <w:bottom w:val="none" w:sz="0" w:space="0" w:color="auto"/>
        <w:right w:val="none" w:sz="0" w:space="0" w:color="auto"/>
      </w:divBdr>
      <w:divsChild>
        <w:div w:id="2112119084">
          <w:marLeft w:val="0"/>
          <w:marRight w:val="0"/>
          <w:marTop w:val="0"/>
          <w:marBottom w:val="0"/>
          <w:divBdr>
            <w:top w:val="none" w:sz="0" w:space="0" w:color="auto"/>
            <w:left w:val="none" w:sz="0" w:space="0" w:color="auto"/>
            <w:bottom w:val="none" w:sz="0" w:space="0" w:color="auto"/>
            <w:right w:val="none" w:sz="0" w:space="0" w:color="auto"/>
          </w:divBdr>
        </w:div>
      </w:divsChild>
    </w:div>
    <w:div w:id="2066636123">
      <w:marLeft w:val="0"/>
      <w:marRight w:val="0"/>
      <w:marTop w:val="0"/>
      <w:marBottom w:val="180"/>
      <w:divBdr>
        <w:top w:val="none" w:sz="0" w:space="0" w:color="auto"/>
        <w:left w:val="none" w:sz="0" w:space="0" w:color="auto"/>
        <w:bottom w:val="none" w:sz="0" w:space="0" w:color="auto"/>
        <w:right w:val="none" w:sz="0" w:space="0" w:color="auto"/>
      </w:divBdr>
    </w:div>
    <w:div w:id="2068070903">
      <w:marLeft w:val="0"/>
      <w:marRight w:val="0"/>
      <w:marTop w:val="0"/>
      <w:marBottom w:val="240"/>
      <w:divBdr>
        <w:top w:val="none" w:sz="0" w:space="0" w:color="auto"/>
        <w:left w:val="none" w:sz="0" w:space="0" w:color="auto"/>
        <w:bottom w:val="none" w:sz="0" w:space="0" w:color="auto"/>
        <w:right w:val="none" w:sz="0" w:space="0" w:color="auto"/>
      </w:divBdr>
    </w:div>
    <w:div w:id="2068185369">
      <w:marLeft w:val="0"/>
      <w:marRight w:val="0"/>
      <w:marTop w:val="0"/>
      <w:marBottom w:val="180"/>
      <w:divBdr>
        <w:top w:val="none" w:sz="0" w:space="0" w:color="auto"/>
        <w:left w:val="none" w:sz="0" w:space="0" w:color="auto"/>
        <w:bottom w:val="none" w:sz="0" w:space="0" w:color="auto"/>
        <w:right w:val="none" w:sz="0" w:space="0" w:color="auto"/>
      </w:divBdr>
    </w:div>
    <w:div w:id="2068334805">
      <w:marLeft w:val="0"/>
      <w:marRight w:val="0"/>
      <w:marTop w:val="100"/>
      <w:marBottom w:val="0"/>
      <w:divBdr>
        <w:top w:val="none" w:sz="0" w:space="0" w:color="auto"/>
        <w:left w:val="none" w:sz="0" w:space="0" w:color="auto"/>
        <w:bottom w:val="none" w:sz="0" w:space="0" w:color="auto"/>
        <w:right w:val="none" w:sz="0" w:space="0" w:color="auto"/>
      </w:divBdr>
    </w:div>
    <w:div w:id="2068605315">
      <w:marLeft w:val="0"/>
      <w:marRight w:val="0"/>
      <w:marTop w:val="0"/>
      <w:marBottom w:val="0"/>
      <w:divBdr>
        <w:top w:val="none" w:sz="0" w:space="0" w:color="auto"/>
        <w:left w:val="none" w:sz="0" w:space="0" w:color="auto"/>
        <w:bottom w:val="none" w:sz="0" w:space="0" w:color="auto"/>
        <w:right w:val="none" w:sz="0" w:space="0" w:color="auto"/>
      </w:divBdr>
    </w:div>
    <w:div w:id="2069112231">
      <w:marLeft w:val="0"/>
      <w:marRight w:val="0"/>
      <w:marTop w:val="0"/>
      <w:marBottom w:val="180"/>
      <w:divBdr>
        <w:top w:val="none" w:sz="0" w:space="0" w:color="auto"/>
        <w:left w:val="none" w:sz="0" w:space="0" w:color="auto"/>
        <w:bottom w:val="none" w:sz="0" w:space="0" w:color="auto"/>
        <w:right w:val="none" w:sz="0" w:space="0" w:color="auto"/>
      </w:divBdr>
    </w:div>
    <w:div w:id="2069526590">
      <w:marLeft w:val="0"/>
      <w:marRight w:val="0"/>
      <w:marTop w:val="0"/>
      <w:marBottom w:val="0"/>
      <w:divBdr>
        <w:top w:val="none" w:sz="0" w:space="0" w:color="auto"/>
        <w:left w:val="none" w:sz="0" w:space="0" w:color="auto"/>
        <w:bottom w:val="none" w:sz="0" w:space="0" w:color="auto"/>
        <w:right w:val="none" w:sz="0" w:space="0" w:color="auto"/>
      </w:divBdr>
    </w:div>
    <w:div w:id="2069575188">
      <w:marLeft w:val="0"/>
      <w:marRight w:val="0"/>
      <w:marTop w:val="0"/>
      <w:marBottom w:val="180"/>
      <w:divBdr>
        <w:top w:val="none" w:sz="0" w:space="0" w:color="auto"/>
        <w:left w:val="none" w:sz="0" w:space="0" w:color="auto"/>
        <w:bottom w:val="none" w:sz="0" w:space="0" w:color="auto"/>
        <w:right w:val="none" w:sz="0" w:space="0" w:color="auto"/>
      </w:divBdr>
    </w:div>
    <w:div w:id="2070033199">
      <w:marLeft w:val="0"/>
      <w:marRight w:val="0"/>
      <w:marTop w:val="60"/>
      <w:marBottom w:val="60"/>
      <w:divBdr>
        <w:top w:val="none" w:sz="0" w:space="0" w:color="auto"/>
        <w:left w:val="none" w:sz="0" w:space="0" w:color="auto"/>
        <w:bottom w:val="none" w:sz="0" w:space="0" w:color="auto"/>
        <w:right w:val="none" w:sz="0" w:space="0" w:color="auto"/>
      </w:divBdr>
    </w:div>
    <w:div w:id="2070151529">
      <w:marLeft w:val="0"/>
      <w:marRight w:val="0"/>
      <w:marTop w:val="0"/>
      <w:marBottom w:val="0"/>
      <w:divBdr>
        <w:top w:val="none" w:sz="0" w:space="0" w:color="auto"/>
        <w:left w:val="none" w:sz="0" w:space="0" w:color="auto"/>
        <w:bottom w:val="none" w:sz="0" w:space="0" w:color="auto"/>
        <w:right w:val="none" w:sz="0" w:space="0" w:color="auto"/>
      </w:divBdr>
      <w:divsChild>
        <w:div w:id="416364724">
          <w:marLeft w:val="0"/>
          <w:marRight w:val="0"/>
          <w:marTop w:val="0"/>
          <w:marBottom w:val="0"/>
          <w:divBdr>
            <w:top w:val="none" w:sz="0" w:space="0" w:color="auto"/>
            <w:left w:val="none" w:sz="0" w:space="0" w:color="auto"/>
            <w:bottom w:val="none" w:sz="0" w:space="0" w:color="auto"/>
            <w:right w:val="none" w:sz="0" w:space="0" w:color="auto"/>
          </w:divBdr>
        </w:div>
      </w:divsChild>
    </w:div>
    <w:div w:id="2070423307">
      <w:marLeft w:val="0"/>
      <w:marRight w:val="0"/>
      <w:marTop w:val="180"/>
      <w:marBottom w:val="180"/>
      <w:divBdr>
        <w:top w:val="none" w:sz="0" w:space="0" w:color="auto"/>
        <w:left w:val="none" w:sz="0" w:space="0" w:color="auto"/>
        <w:bottom w:val="none" w:sz="0" w:space="0" w:color="auto"/>
        <w:right w:val="none" w:sz="0" w:space="0" w:color="auto"/>
      </w:divBdr>
    </w:div>
    <w:div w:id="2070807251">
      <w:marLeft w:val="0"/>
      <w:marRight w:val="0"/>
      <w:marTop w:val="0"/>
      <w:marBottom w:val="240"/>
      <w:divBdr>
        <w:top w:val="none" w:sz="0" w:space="0" w:color="auto"/>
        <w:left w:val="none" w:sz="0" w:space="0" w:color="auto"/>
        <w:bottom w:val="none" w:sz="0" w:space="0" w:color="auto"/>
        <w:right w:val="none" w:sz="0" w:space="0" w:color="auto"/>
      </w:divBdr>
    </w:div>
    <w:div w:id="2071228408">
      <w:marLeft w:val="0"/>
      <w:marRight w:val="0"/>
      <w:marTop w:val="0"/>
      <w:marBottom w:val="0"/>
      <w:divBdr>
        <w:top w:val="none" w:sz="0" w:space="0" w:color="auto"/>
        <w:left w:val="none" w:sz="0" w:space="0" w:color="auto"/>
        <w:bottom w:val="none" w:sz="0" w:space="0" w:color="auto"/>
        <w:right w:val="none" w:sz="0" w:space="0" w:color="auto"/>
      </w:divBdr>
    </w:div>
    <w:div w:id="2071272603">
      <w:marLeft w:val="0"/>
      <w:marRight w:val="0"/>
      <w:marTop w:val="0"/>
      <w:marBottom w:val="0"/>
      <w:divBdr>
        <w:top w:val="none" w:sz="0" w:space="0" w:color="auto"/>
        <w:left w:val="none" w:sz="0" w:space="0" w:color="auto"/>
        <w:bottom w:val="none" w:sz="0" w:space="0" w:color="auto"/>
        <w:right w:val="none" w:sz="0" w:space="0" w:color="auto"/>
      </w:divBdr>
    </w:div>
    <w:div w:id="2071347667">
      <w:marLeft w:val="0"/>
      <w:marRight w:val="0"/>
      <w:marTop w:val="0"/>
      <w:marBottom w:val="0"/>
      <w:divBdr>
        <w:top w:val="none" w:sz="0" w:space="0" w:color="auto"/>
        <w:left w:val="none" w:sz="0" w:space="0" w:color="auto"/>
        <w:bottom w:val="none" w:sz="0" w:space="0" w:color="auto"/>
        <w:right w:val="none" w:sz="0" w:space="0" w:color="auto"/>
      </w:divBdr>
    </w:div>
    <w:div w:id="2071925712">
      <w:marLeft w:val="0"/>
      <w:marRight w:val="0"/>
      <w:marTop w:val="0"/>
      <w:marBottom w:val="0"/>
      <w:divBdr>
        <w:top w:val="none" w:sz="0" w:space="0" w:color="auto"/>
        <w:left w:val="none" w:sz="0" w:space="0" w:color="auto"/>
        <w:bottom w:val="none" w:sz="0" w:space="0" w:color="auto"/>
        <w:right w:val="none" w:sz="0" w:space="0" w:color="auto"/>
      </w:divBdr>
    </w:div>
    <w:div w:id="2072388522">
      <w:marLeft w:val="0"/>
      <w:marRight w:val="0"/>
      <w:marTop w:val="0"/>
      <w:marBottom w:val="240"/>
      <w:divBdr>
        <w:top w:val="none" w:sz="0" w:space="0" w:color="auto"/>
        <w:left w:val="none" w:sz="0" w:space="0" w:color="auto"/>
        <w:bottom w:val="none" w:sz="0" w:space="0" w:color="auto"/>
        <w:right w:val="none" w:sz="0" w:space="0" w:color="auto"/>
      </w:divBdr>
    </w:div>
    <w:div w:id="2073383463">
      <w:marLeft w:val="0"/>
      <w:marRight w:val="0"/>
      <w:marTop w:val="180"/>
      <w:marBottom w:val="180"/>
      <w:divBdr>
        <w:top w:val="none" w:sz="0" w:space="0" w:color="auto"/>
        <w:left w:val="none" w:sz="0" w:space="0" w:color="auto"/>
        <w:bottom w:val="none" w:sz="0" w:space="0" w:color="auto"/>
        <w:right w:val="none" w:sz="0" w:space="0" w:color="auto"/>
      </w:divBdr>
    </w:div>
    <w:div w:id="2073504237">
      <w:marLeft w:val="0"/>
      <w:marRight w:val="0"/>
      <w:marTop w:val="0"/>
      <w:marBottom w:val="240"/>
      <w:divBdr>
        <w:top w:val="none" w:sz="0" w:space="0" w:color="auto"/>
        <w:left w:val="none" w:sz="0" w:space="0" w:color="auto"/>
        <w:bottom w:val="none" w:sz="0" w:space="0" w:color="auto"/>
        <w:right w:val="none" w:sz="0" w:space="0" w:color="auto"/>
      </w:divBdr>
    </w:div>
    <w:div w:id="2074228483">
      <w:marLeft w:val="0"/>
      <w:marRight w:val="0"/>
      <w:marTop w:val="0"/>
      <w:marBottom w:val="240"/>
      <w:divBdr>
        <w:top w:val="none" w:sz="0" w:space="0" w:color="auto"/>
        <w:left w:val="none" w:sz="0" w:space="0" w:color="auto"/>
        <w:bottom w:val="none" w:sz="0" w:space="0" w:color="auto"/>
        <w:right w:val="none" w:sz="0" w:space="0" w:color="auto"/>
      </w:divBdr>
    </w:div>
    <w:div w:id="2075396490">
      <w:marLeft w:val="0"/>
      <w:marRight w:val="0"/>
      <w:marTop w:val="0"/>
      <w:marBottom w:val="0"/>
      <w:divBdr>
        <w:top w:val="none" w:sz="0" w:space="0" w:color="auto"/>
        <w:left w:val="none" w:sz="0" w:space="0" w:color="auto"/>
        <w:bottom w:val="none" w:sz="0" w:space="0" w:color="auto"/>
        <w:right w:val="none" w:sz="0" w:space="0" w:color="auto"/>
      </w:divBdr>
    </w:div>
    <w:div w:id="2075615615">
      <w:marLeft w:val="0"/>
      <w:marRight w:val="0"/>
      <w:marTop w:val="180"/>
      <w:marBottom w:val="180"/>
      <w:divBdr>
        <w:top w:val="none" w:sz="0" w:space="0" w:color="auto"/>
        <w:left w:val="none" w:sz="0" w:space="0" w:color="auto"/>
        <w:bottom w:val="none" w:sz="0" w:space="0" w:color="auto"/>
        <w:right w:val="none" w:sz="0" w:space="0" w:color="auto"/>
      </w:divBdr>
    </w:div>
    <w:div w:id="2077624116">
      <w:marLeft w:val="0"/>
      <w:marRight w:val="0"/>
      <w:marTop w:val="0"/>
      <w:marBottom w:val="0"/>
      <w:divBdr>
        <w:top w:val="none" w:sz="0" w:space="0" w:color="auto"/>
        <w:left w:val="none" w:sz="0" w:space="0" w:color="auto"/>
        <w:bottom w:val="none" w:sz="0" w:space="0" w:color="auto"/>
        <w:right w:val="none" w:sz="0" w:space="0" w:color="auto"/>
      </w:divBdr>
      <w:divsChild>
        <w:div w:id="1311598099">
          <w:marLeft w:val="0"/>
          <w:marRight w:val="0"/>
          <w:marTop w:val="0"/>
          <w:marBottom w:val="0"/>
          <w:divBdr>
            <w:top w:val="none" w:sz="0" w:space="0" w:color="auto"/>
            <w:left w:val="none" w:sz="0" w:space="0" w:color="auto"/>
            <w:bottom w:val="none" w:sz="0" w:space="0" w:color="auto"/>
            <w:right w:val="none" w:sz="0" w:space="0" w:color="auto"/>
          </w:divBdr>
        </w:div>
      </w:divsChild>
    </w:div>
    <w:div w:id="2077972445">
      <w:marLeft w:val="0"/>
      <w:marRight w:val="0"/>
      <w:marTop w:val="0"/>
      <w:marBottom w:val="0"/>
      <w:divBdr>
        <w:top w:val="none" w:sz="0" w:space="0" w:color="auto"/>
        <w:left w:val="none" w:sz="0" w:space="0" w:color="auto"/>
        <w:bottom w:val="none" w:sz="0" w:space="0" w:color="auto"/>
        <w:right w:val="none" w:sz="0" w:space="0" w:color="auto"/>
      </w:divBdr>
      <w:divsChild>
        <w:div w:id="468132713">
          <w:marLeft w:val="0"/>
          <w:marRight w:val="0"/>
          <w:marTop w:val="0"/>
          <w:marBottom w:val="0"/>
          <w:divBdr>
            <w:top w:val="none" w:sz="0" w:space="0" w:color="auto"/>
            <w:left w:val="none" w:sz="0" w:space="0" w:color="auto"/>
            <w:bottom w:val="none" w:sz="0" w:space="0" w:color="auto"/>
            <w:right w:val="none" w:sz="0" w:space="0" w:color="auto"/>
          </w:divBdr>
        </w:div>
      </w:divsChild>
    </w:div>
    <w:div w:id="2079015468">
      <w:marLeft w:val="0"/>
      <w:marRight w:val="0"/>
      <w:marTop w:val="0"/>
      <w:marBottom w:val="0"/>
      <w:divBdr>
        <w:top w:val="none" w:sz="0" w:space="0" w:color="auto"/>
        <w:left w:val="none" w:sz="0" w:space="0" w:color="auto"/>
        <w:bottom w:val="none" w:sz="0" w:space="0" w:color="auto"/>
        <w:right w:val="none" w:sz="0" w:space="0" w:color="auto"/>
      </w:divBdr>
    </w:div>
    <w:div w:id="2079401938">
      <w:marLeft w:val="0"/>
      <w:marRight w:val="0"/>
      <w:marTop w:val="0"/>
      <w:marBottom w:val="0"/>
      <w:divBdr>
        <w:top w:val="none" w:sz="0" w:space="0" w:color="auto"/>
        <w:left w:val="none" w:sz="0" w:space="0" w:color="auto"/>
        <w:bottom w:val="none" w:sz="0" w:space="0" w:color="auto"/>
        <w:right w:val="none" w:sz="0" w:space="0" w:color="auto"/>
      </w:divBdr>
    </w:div>
    <w:div w:id="2080009819">
      <w:marLeft w:val="0"/>
      <w:marRight w:val="0"/>
      <w:marTop w:val="0"/>
      <w:marBottom w:val="0"/>
      <w:divBdr>
        <w:top w:val="none" w:sz="0" w:space="0" w:color="auto"/>
        <w:left w:val="none" w:sz="0" w:space="0" w:color="auto"/>
        <w:bottom w:val="none" w:sz="0" w:space="0" w:color="auto"/>
        <w:right w:val="none" w:sz="0" w:space="0" w:color="auto"/>
      </w:divBdr>
    </w:div>
    <w:div w:id="2081053869">
      <w:marLeft w:val="0"/>
      <w:marRight w:val="0"/>
      <w:marTop w:val="0"/>
      <w:marBottom w:val="180"/>
      <w:divBdr>
        <w:top w:val="none" w:sz="0" w:space="0" w:color="auto"/>
        <w:left w:val="none" w:sz="0" w:space="0" w:color="auto"/>
        <w:bottom w:val="none" w:sz="0" w:space="0" w:color="auto"/>
        <w:right w:val="none" w:sz="0" w:space="0" w:color="auto"/>
      </w:divBdr>
    </w:div>
    <w:div w:id="2082100541">
      <w:marLeft w:val="0"/>
      <w:marRight w:val="0"/>
      <w:marTop w:val="0"/>
      <w:marBottom w:val="0"/>
      <w:divBdr>
        <w:top w:val="none" w:sz="0" w:space="0" w:color="auto"/>
        <w:left w:val="none" w:sz="0" w:space="0" w:color="auto"/>
        <w:bottom w:val="none" w:sz="0" w:space="0" w:color="auto"/>
        <w:right w:val="none" w:sz="0" w:space="0" w:color="auto"/>
      </w:divBdr>
      <w:divsChild>
        <w:div w:id="162282610">
          <w:marLeft w:val="0"/>
          <w:marRight w:val="0"/>
          <w:marTop w:val="0"/>
          <w:marBottom w:val="0"/>
          <w:divBdr>
            <w:top w:val="none" w:sz="0" w:space="0" w:color="auto"/>
            <w:left w:val="none" w:sz="0" w:space="0" w:color="auto"/>
            <w:bottom w:val="none" w:sz="0" w:space="0" w:color="auto"/>
            <w:right w:val="none" w:sz="0" w:space="0" w:color="auto"/>
          </w:divBdr>
        </w:div>
      </w:divsChild>
    </w:div>
    <w:div w:id="2083143000">
      <w:marLeft w:val="0"/>
      <w:marRight w:val="0"/>
      <w:marTop w:val="0"/>
      <w:marBottom w:val="240"/>
      <w:divBdr>
        <w:top w:val="none" w:sz="0" w:space="0" w:color="auto"/>
        <w:left w:val="none" w:sz="0" w:space="0" w:color="auto"/>
        <w:bottom w:val="none" w:sz="0" w:space="0" w:color="auto"/>
        <w:right w:val="none" w:sz="0" w:space="0" w:color="auto"/>
      </w:divBdr>
    </w:div>
    <w:div w:id="2083790135">
      <w:marLeft w:val="0"/>
      <w:marRight w:val="0"/>
      <w:marTop w:val="0"/>
      <w:marBottom w:val="0"/>
      <w:divBdr>
        <w:top w:val="none" w:sz="0" w:space="0" w:color="auto"/>
        <w:left w:val="none" w:sz="0" w:space="0" w:color="auto"/>
        <w:bottom w:val="none" w:sz="0" w:space="0" w:color="auto"/>
        <w:right w:val="none" w:sz="0" w:space="0" w:color="auto"/>
      </w:divBdr>
      <w:divsChild>
        <w:div w:id="1814253029">
          <w:marLeft w:val="0"/>
          <w:marRight w:val="0"/>
          <w:marTop w:val="0"/>
          <w:marBottom w:val="0"/>
          <w:divBdr>
            <w:top w:val="none" w:sz="0" w:space="0" w:color="auto"/>
            <w:left w:val="none" w:sz="0" w:space="0" w:color="auto"/>
            <w:bottom w:val="none" w:sz="0" w:space="0" w:color="auto"/>
            <w:right w:val="none" w:sz="0" w:space="0" w:color="auto"/>
          </w:divBdr>
        </w:div>
      </w:divsChild>
    </w:div>
    <w:div w:id="2084451450">
      <w:marLeft w:val="0"/>
      <w:marRight w:val="0"/>
      <w:marTop w:val="0"/>
      <w:marBottom w:val="180"/>
      <w:divBdr>
        <w:top w:val="none" w:sz="0" w:space="0" w:color="auto"/>
        <w:left w:val="none" w:sz="0" w:space="0" w:color="auto"/>
        <w:bottom w:val="none" w:sz="0" w:space="0" w:color="auto"/>
        <w:right w:val="none" w:sz="0" w:space="0" w:color="auto"/>
      </w:divBdr>
    </w:div>
    <w:div w:id="2084519617">
      <w:marLeft w:val="0"/>
      <w:marRight w:val="0"/>
      <w:marTop w:val="0"/>
      <w:marBottom w:val="0"/>
      <w:divBdr>
        <w:top w:val="none" w:sz="0" w:space="0" w:color="auto"/>
        <w:left w:val="none" w:sz="0" w:space="0" w:color="auto"/>
        <w:bottom w:val="none" w:sz="0" w:space="0" w:color="auto"/>
        <w:right w:val="none" w:sz="0" w:space="0" w:color="auto"/>
      </w:divBdr>
    </w:div>
    <w:div w:id="2085102368">
      <w:marLeft w:val="0"/>
      <w:marRight w:val="0"/>
      <w:marTop w:val="0"/>
      <w:marBottom w:val="0"/>
      <w:divBdr>
        <w:top w:val="none" w:sz="0" w:space="0" w:color="auto"/>
        <w:left w:val="none" w:sz="0" w:space="0" w:color="auto"/>
        <w:bottom w:val="none" w:sz="0" w:space="0" w:color="auto"/>
        <w:right w:val="none" w:sz="0" w:space="0" w:color="auto"/>
      </w:divBdr>
    </w:div>
    <w:div w:id="2085757093">
      <w:marLeft w:val="0"/>
      <w:marRight w:val="0"/>
      <w:marTop w:val="0"/>
      <w:marBottom w:val="0"/>
      <w:divBdr>
        <w:top w:val="none" w:sz="0" w:space="0" w:color="auto"/>
        <w:left w:val="none" w:sz="0" w:space="0" w:color="auto"/>
        <w:bottom w:val="none" w:sz="0" w:space="0" w:color="auto"/>
        <w:right w:val="none" w:sz="0" w:space="0" w:color="auto"/>
      </w:divBdr>
    </w:div>
    <w:div w:id="2086994896">
      <w:marLeft w:val="0"/>
      <w:marRight w:val="0"/>
      <w:marTop w:val="0"/>
      <w:marBottom w:val="240"/>
      <w:divBdr>
        <w:top w:val="none" w:sz="0" w:space="0" w:color="auto"/>
        <w:left w:val="none" w:sz="0" w:space="0" w:color="auto"/>
        <w:bottom w:val="none" w:sz="0" w:space="0" w:color="auto"/>
        <w:right w:val="none" w:sz="0" w:space="0" w:color="auto"/>
      </w:divBdr>
    </w:div>
    <w:div w:id="2087217825">
      <w:marLeft w:val="0"/>
      <w:marRight w:val="0"/>
      <w:marTop w:val="0"/>
      <w:marBottom w:val="0"/>
      <w:divBdr>
        <w:top w:val="none" w:sz="0" w:space="0" w:color="auto"/>
        <w:left w:val="none" w:sz="0" w:space="0" w:color="auto"/>
        <w:bottom w:val="none" w:sz="0" w:space="0" w:color="auto"/>
        <w:right w:val="none" w:sz="0" w:space="0" w:color="auto"/>
      </w:divBdr>
    </w:div>
    <w:div w:id="2088452371">
      <w:marLeft w:val="0"/>
      <w:marRight w:val="0"/>
      <w:marTop w:val="0"/>
      <w:marBottom w:val="0"/>
      <w:divBdr>
        <w:top w:val="none" w:sz="0" w:space="0" w:color="auto"/>
        <w:left w:val="none" w:sz="0" w:space="0" w:color="auto"/>
        <w:bottom w:val="none" w:sz="0" w:space="0" w:color="auto"/>
        <w:right w:val="none" w:sz="0" w:space="0" w:color="auto"/>
      </w:divBdr>
    </w:div>
    <w:div w:id="2088844909">
      <w:marLeft w:val="0"/>
      <w:marRight w:val="0"/>
      <w:marTop w:val="0"/>
      <w:marBottom w:val="0"/>
      <w:divBdr>
        <w:top w:val="none" w:sz="0" w:space="0" w:color="auto"/>
        <w:left w:val="none" w:sz="0" w:space="0" w:color="auto"/>
        <w:bottom w:val="none" w:sz="0" w:space="0" w:color="auto"/>
        <w:right w:val="none" w:sz="0" w:space="0" w:color="auto"/>
      </w:divBdr>
      <w:divsChild>
        <w:div w:id="1272787171">
          <w:marLeft w:val="0"/>
          <w:marRight w:val="0"/>
          <w:marTop w:val="0"/>
          <w:marBottom w:val="0"/>
          <w:divBdr>
            <w:top w:val="none" w:sz="0" w:space="0" w:color="auto"/>
            <w:left w:val="none" w:sz="0" w:space="0" w:color="auto"/>
            <w:bottom w:val="none" w:sz="0" w:space="0" w:color="auto"/>
            <w:right w:val="none" w:sz="0" w:space="0" w:color="auto"/>
          </w:divBdr>
        </w:div>
      </w:divsChild>
    </w:div>
    <w:div w:id="2090154881">
      <w:marLeft w:val="0"/>
      <w:marRight w:val="0"/>
      <w:marTop w:val="0"/>
      <w:marBottom w:val="0"/>
      <w:divBdr>
        <w:top w:val="none" w:sz="0" w:space="0" w:color="auto"/>
        <w:left w:val="none" w:sz="0" w:space="0" w:color="auto"/>
        <w:bottom w:val="none" w:sz="0" w:space="0" w:color="auto"/>
        <w:right w:val="none" w:sz="0" w:space="0" w:color="auto"/>
      </w:divBdr>
      <w:divsChild>
        <w:div w:id="1940406476">
          <w:marLeft w:val="0"/>
          <w:marRight w:val="0"/>
          <w:marTop w:val="0"/>
          <w:marBottom w:val="0"/>
          <w:divBdr>
            <w:top w:val="none" w:sz="0" w:space="0" w:color="auto"/>
            <w:left w:val="none" w:sz="0" w:space="0" w:color="auto"/>
            <w:bottom w:val="none" w:sz="0" w:space="0" w:color="auto"/>
            <w:right w:val="none" w:sz="0" w:space="0" w:color="auto"/>
          </w:divBdr>
        </w:div>
      </w:divsChild>
    </w:div>
    <w:div w:id="2090299232">
      <w:marLeft w:val="0"/>
      <w:marRight w:val="0"/>
      <w:marTop w:val="0"/>
      <w:marBottom w:val="0"/>
      <w:divBdr>
        <w:top w:val="none" w:sz="0" w:space="0" w:color="auto"/>
        <w:left w:val="none" w:sz="0" w:space="0" w:color="auto"/>
        <w:bottom w:val="none" w:sz="0" w:space="0" w:color="auto"/>
        <w:right w:val="none" w:sz="0" w:space="0" w:color="auto"/>
      </w:divBdr>
      <w:divsChild>
        <w:div w:id="1351683747">
          <w:marLeft w:val="0"/>
          <w:marRight w:val="0"/>
          <w:marTop w:val="0"/>
          <w:marBottom w:val="0"/>
          <w:divBdr>
            <w:top w:val="none" w:sz="0" w:space="0" w:color="auto"/>
            <w:left w:val="none" w:sz="0" w:space="0" w:color="auto"/>
            <w:bottom w:val="none" w:sz="0" w:space="0" w:color="auto"/>
            <w:right w:val="none" w:sz="0" w:space="0" w:color="auto"/>
          </w:divBdr>
        </w:div>
      </w:divsChild>
    </w:div>
    <w:div w:id="2090544346">
      <w:marLeft w:val="0"/>
      <w:marRight w:val="0"/>
      <w:marTop w:val="0"/>
      <w:marBottom w:val="240"/>
      <w:divBdr>
        <w:top w:val="none" w:sz="0" w:space="0" w:color="auto"/>
        <w:left w:val="none" w:sz="0" w:space="0" w:color="auto"/>
        <w:bottom w:val="none" w:sz="0" w:space="0" w:color="auto"/>
        <w:right w:val="none" w:sz="0" w:space="0" w:color="auto"/>
      </w:divBdr>
    </w:div>
    <w:div w:id="2091074089">
      <w:marLeft w:val="0"/>
      <w:marRight w:val="0"/>
      <w:marTop w:val="0"/>
      <w:marBottom w:val="0"/>
      <w:divBdr>
        <w:top w:val="none" w:sz="0" w:space="0" w:color="auto"/>
        <w:left w:val="none" w:sz="0" w:space="0" w:color="auto"/>
        <w:bottom w:val="none" w:sz="0" w:space="0" w:color="auto"/>
        <w:right w:val="none" w:sz="0" w:space="0" w:color="auto"/>
      </w:divBdr>
    </w:div>
    <w:div w:id="2092506383">
      <w:marLeft w:val="0"/>
      <w:marRight w:val="0"/>
      <w:marTop w:val="0"/>
      <w:marBottom w:val="0"/>
      <w:divBdr>
        <w:top w:val="none" w:sz="0" w:space="0" w:color="auto"/>
        <w:left w:val="none" w:sz="0" w:space="0" w:color="auto"/>
        <w:bottom w:val="none" w:sz="0" w:space="0" w:color="auto"/>
        <w:right w:val="none" w:sz="0" w:space="0" w:color="auto"/>
      </w:divBdr>
      <w:divsChild>
        <w:div w:id="2128116204">
          <w:marLeft w:val="0"/>
          <w:marRight w:val="0"/>
          <w:marTop w:val="0"/>
          <w:marBottom w:val="0"/>
          <w:divBdr>
            <w:top w:val="none" w:sz="0" w:space="0" w:color="auto"/>
            <w:left w:val="none" w:sz="0" w:space="0" w:color="auto"/>
            <w:bottom w:val="none" w:sz="0" w:space="0" w:color="auto"/>
            <w:right w:val="none" w:sz="0" w:space="0" w:color="auto"/>
          </w:divBdr>
        </w:div>
      </w:divsChild>
    </w:div>
    <w:div w:id="2093506848">
      <w:marLeft w:val="0"/>
      <w:marRight w:val="0"/>
      <w:marTop w:val="0"/>
      <w:marBottom w:val="0"/>
      <w:divBdr>
        <w:top w:val="none" w:sz="0" w:space="0" w:color="auto"/>
        <w:left w:val="none" w:sz="0" w:space="0" w:color="auto"/>
        <w:bottom w:val="none" w:sz="0" w:space="0" w:color="auto"/>
        <w:right w:val="none" w:sz="0" w:space="0" w:color="auto"/>
      </w:divBdr>
      <w:divsChild>
        <w:div w:id="939143044">
          <w:marLeft w:val="0"/>
          <w:marRight w:val="0"/>
          <w:marTop w:val="0"/>
          <w:marBottom w:val="0"/>
          <w:divBdr>
            <w:top w:val="none" w:sz="0" w:space="0" w:color="auto"/>
            <w:left w:val="none" w:sz="0" w:space="0" w:color="auto"/>
            <w:bottom w:val="none" w:sz="0" w:space="0" w:color="auto"/>
            <w:right w:val="none" w:sz="0" w:space="0" w:color="auto"/>
          </w:divBdr>
        </w:div>
      </w:divsChild>
    </w:div>
    <w:div w:id="2093627083">
      <w:marLeft w:val="0"/>
      <w:marRight w:val="0"/>
      <w:marTop w:val="0"/>
      <w:marBottom w:val="240"/>
      <w:divBdr>
        <w:top w:val="none" w:sz="0" w:space="0" w:color="auto"/>
        <w:left w:val="none" w:sz="0" w:space="0" w:color="auto"/>
        <w:bottom w:val="none" w:sz="0" w:space="0" w:color="auto"/>
        <w:right w:val="none" w:sz="0" w:space="0" w:color="auto"/>
      </w:divBdr>
    </w:div>
    <w:div w:id="2093774796">
      <w:marLeft w:val="0"/>
      <w:marRight w:val="0"/>
      <w:marTop w:val="0"/>
      <w:marBottom w:val="0"/>
      <w:divBdr>
        <w:top w:val="none" w:sz="0" w:space="0" w:color="auto"/>
        <w:left w:val="none" w:sz="0" w:space="0" w:color="auto"/>
        <w:bottom w:val="none" w:sz="0" w:space="0" w:color="auto"/>
        <w:right w:val="none" w:sz="0" w:space="0" w:color="auto"/>
      </w:divBdr>
      <w:divsChild>
        <w:div w:id="1912884339">
          <w:marLeft w:val="0"/>
          <w:marRight w:val="0"/>
          <w:marTop w:val="0"/>
          <w:marBottom w:val="0"/>
          <w:divBdr>
            <w:top w:val="none" w:sz="0" w:space="0" w:color="auto"/>
            <w:left w:val="none" w:sz="0" w:space="0" w:color="auto"/>
            <w:bottom w:val="none" w:sz="0" w:space="0" w:color="auto"/>
            <w:right w:val="none" w:sz="0" w:space="0" w:color="auto"/>
          </w:divBdr>
        </w:div>
      </w:divsChild>
    </w:div>
    <w:div w:id="2093811262">
      <w:marLeft w:val="0"/>
      <w:marRight w:val="0"/>
      <w:marTop w:val="0"/>
      <w:marBottom w:val="0"/>
      <w:divBdr>
        <w:top w:val="none" w:sz="0" w:space="0" w:color="auto"/>
        <w:left w:val="none" w:sz="0" w:space="0" w:color="auto"/>
        <w:bottom w:val="none" w:sz="0" w:space="0" w:color="auto"/>
        <w:right w:val="none" w:sz="0" w:space="0" w:color="auto"/>
      </w:divBdr>
    </w:div>
    <w:div w:id="2094278919">
      <w:marLeft w:val="0"/>
      <w:marRight w:val="0"/>
      <w:marTop w:val="0"/>
      <w:marBottom w:val="0"/>
      <w:divBdr>
        <w:top w:val="none" w:sz="0" w:space="0" w:color="auto"/>
        <w:left w:val="none" w:sz="0" w:space="0" w:color="auto"/>
        <w:bottom w:val="none" w:sz="0" w:space="0" w:color="auto"/>
        <w:right w:val="none" w:sz="0" w:space="0" w:color="auto"/>
      </w:divBdr>
    </w:div>
    <w:div w:id="2094739291">
      <w:marLeft w:val="0"/>
      <w:marRight w:val="0"/>
      <w:marTop w:val="0"/>
      <w:marBottom w:val="240"/>
      <w:divBdr>
        <w:top w:val="none" w:sz="0" w:space="0" w:color="auto"/>
        <w:left w:val="none" w:sz="0" w:space="0" w:color="auto"/>
        <w:bottom w:val="none" w:sz="0" w:space="0" w:color="auto"/>
        <w:right w:val="none" w:sz="0" w:space="0" w:color="auto"/>
      </w:divBdr>
    </w:div>
    <w:div w:id="2094930759">
      <w:marLeft w:val="0"/>
      <w:marRight w:val="0"/>
      <w:marTop w:val="0"/>
      <w:marBottom w:val="240"/>
      <w:divBdr>
        <w:top w:val="none" w:sz="0" w:space="0" w:color="auto"/>
        <w:left w:val="none" w:sz="0" w:space="0" w:color="auto"/>
        <w:bottom w:val="none" w:sz="0" w:space="0" w:color="auto"/>
        <w:right w:val="none" w:sz="0" w:space="0" w:color="auto"/>
      </w:divBdr>
    </w:div>
    <w:div w:id="2095513660">
      <w:marLeft w:val="0"/>
      <w:marRight w:val="0"/>
      <w:marTop w:val="0"/>
      <w:marBottom w:val="180"/>
      <w:divBdr>
        <w:top w:val="none" w:sz="0" w:space="0" w:color="auto"/>
        <w:left w:val="none" w:sz="0" w:space="0" w:color="auto"/>
        <w:bottom w:val="none" w:sz="0" w:space="0" w:color="auto"/>
        <w:right w:val="none" w:sz="0" w:space="0" w:color="auto"/>
      </w:divBdr>
    </w:div>
    <w:div w:id="2095860721">
      <w:marLeft w:val="0"/>
      <w:marRight w:val="0"/>
      <w:marTop w:val="0"/>
      <w:marBottom w:val="240"/>
      <w:divBdr>
        <w:top w:val="none" w:sz="0" w:space="0" w:color="auto"/>
        <w:left w:val="none" w:sz="0" w:space="0" w:color="auto"/>
        <w:bottom w:val="none" w:sz="0" w:space="0" w:color="auto"/>
        <w:right w:val="none" w:sz="0" w:space="0" w:color="auto"/>
      </w:divBdr>
    </w:div>
    <w:div w:id="2096508149">
      <w:marLeft w:val="0"/>
      <w:marRight w:val="0"/>
      <w:marTop w:val="180"/>
      <w:marBottom w:val="180"/>
      <w:divBdr>
        <w:top w:val="none" w:sz="0" w:space="0" w:color="auto"/>
        <w:left w:val="none" w:sz="0" w:space="0" w:color="auto"/>
        <w:bottom w:val="none" w:sz="0" w:space="0" w:color="auto"/>
        <w:right w:val="none" w:sz="0" w:space="0" w:color="auto"/>
      </w:divBdr>
    </w:div>
    <w:div w:id="2096585855">
      <w:marLeft w:val="0"/>
      <w:marRight w:val="0"/>
      <w:marTop w:val="180"/>
      <w:marBottom w:val="180"/>
      <w:divBdr>
        <w:top w:val="none" w:sz="0" w:space="0" w:color="auto"/>
        <w:left w:val="none" w:sz="0" w:space="0" w:color="auto"/>
        <w:bottom w:val="none" w:sz="0" w:space="0" w:color="auto"/>
        <w:right w:val="none" w:sz="0" w:space="0" w:color="auto"/>
      </w:divBdr>
    </w:div>
    <w:div w:id="2097283296">
      <w:marLeft w:val="0"/>
      <w:marRight w:val="0"/>
      <w:marTop w:val="0"/>
      <w:marBottom w:val="0"/>
      <w:divBdr>
        <w:top w:val="none" w:sz="0" w:space="0" w:color="auto"/>
        <w:left w:val="none" w:sz="0" w:space="0" w:color="auto"/>
        <w:bottom w:val="none" w:sz="0" w:space="0" w:color="auto"/>
        <w:right w:val="none" w:sz="0" w:space="0" w:color="auto"/>
      </w:divBdr>
      <w:divsChild>
        <w:div w:id="871460782">
          <w:marLeft w:val="0"/>
          <w:marRight w:val="0"/>
          <w:marTop w:val="0"/>
          <w:marBottom w:val="0"/>
          <w:divBdr>
            <w:top w:val="none" w:sz="0" w:space="0" w:color="auto"/>
            <w:left w:val="none" w:sz="0" w:space="0" w:color="auto"/>
            <w:bottom w:val="none" w:sz="0" w:space="0" w:color="auto"/>
            <w:right w:val="none" w:sz="0" w:space="0" w:color="auto"/>
          </w:divBdr>
        </w:div>
      </w:divsChild>
    </w:div>
    <w:div w:id="2097362320">
      <w:marLeft w:val="0"/>
      <w:marRight w:val="0"/>
      <w:marTop w:val="0"/>
      <w:marBottom w:val="0"/>
      <w:divBdr>
        <w:top w:val="none" w:sz="0" w:space="0" w:color="auto"/>
        <w:left w:val="none" w:sz="0" w:space="0" w:color="auto"/>
        <w:bottom w:val="none" w:sz="0" w:space="0" w:color="auto"/>
        <w:right w:val="none" w:sz="0" w:space="0" w:color="auto"/>
      </w:divBdr>
    </w:div>
    <w:div w:id="2097820569">
      <w:marLeft w:val="0"/>
      <w:marRight w:val="0"/>
      <w:marTop w:val="0"/>
      <w:marBottom w:val="60"/>
      <w:divBdr>
        <w:top w:val="none" w:sz="0" w:space="0" w:color="auto"/>
        <w:left w:val="none" w:sz="0" w:space="0" w:color="auto"/>
        <w:bottom w:val="none" w:sz="0" w:space="0" w:color="auto"/>
        <w:right w:val="none" w:sz="0" w:space="0" w:color="auto"/>
      </w:divBdr>
    </w:div>
    <w:div w:id="2099521462">
      <w:marLeft w:val="0"/>
      <w:marRight w:val="0"/>
      <w:marTop w:val="0"/>
      <w:marBottom w:val="60"/>
      <w:divBdr>
        <w:top w:val="none" w:sz="0" w:space="0" w:color="auto"/>
        <w:left w:val="none" w:sz="0" w:space="0" w:color="auto"/>
        <w:bottom w:val="none" w:sz="0" w:space="0" w:color="auto"/>
        <w:right w:val="none" w:sz="0" w:space="0" w:color="auto"/>
      </w:divBdr>
    </w:div>
    <w:div w:id="2100055076">
      <w:marLeft w:val="0"/>
      <w:marRight w:val="0"/>
      <w:marTop w:val="0"/>
      <w:marBottom w:val="0"/>
      <w:divBdr>
        <w:top w:val="none" w:sz="0" w:space="0" w:color="auto"/>
        <w:left w:val="none" w:sz="0" w:space="0" w:color="auto"/>
        <w:bottom w:val="none" w:sz="0" w:space="0" w:color="auto"/>
        <w:right w:val="none" w:sz="0" w:space="0" w:color="auto"/>
      </w:divBdr>
      <w:divsChild>
        <w:div w:id="593442935">
          <w:marLeft w:val="0"/>
          <w:marRight w:val="0"/>
          <w:marTop w:val="0"/>
          <w:marBottom w:val="0"/>
          <w:divBdr>
            <w:top w:val="none" w:sz="0" w:space="0" w:color="auto"/>
            <w:left w:val="none" w:sz="0" w:space="0" w:color="auto"/>
            <w:bottom w:val="none" w:sz="0" w:space="0" w:color="auto"/>
            <w:right w:val="none" w:sz="0" w:space="0" w:color="auto"/>
          </w:divBdr>
          <w:divsChild>
            <w:div w:id="1756365872">
              <w:marLeft w:val="0"/>
              <w:marRight w:val="0"/>
              <w:marTop w:val="120"/>
              <w:marBottom w:val="120"/>
              <w:divBdr>
                <w:top w:val="none" w:sz="0" w:space="0" w:color="auto"/>
                <w:left w:val="none" w:sz="0" w:space="0" w:color="auto"/>
                <w:bottom w:val="none" w:sz="0" w:space="0" w:color="auto"/>
                <w:right w:val="none" w:sz="0" w:space="0" w:color="auto"/>
              </w:divBdr>
            </w:div>
            <w:div w:id="818961463">
              <w:marLeft w:val="0"/>
              <w:marRight w:val="0"/>
              <w:marTop w:val="120"/>
              <w:marBottom w:val="120"/>
              <w:divBdr>
                <w:top w:val="none" w:sz="0" w:space="0" w:color="auto"/>
                <w:left w:val="none" w:sz="0" w:space="0" w:color="auto"/>
                <w:bottom w:val="none" w:sz="0" w:space="0" w:color="auto"/>
                <w:right w:val="none" w:sz="0" w:space="0" w:color="auto"/>
              </w:divBdr>
            </w:div>
            <w:div w:id="1296714245">
              <w:marLeft w:val="0"/>
              <w:marRight w:val="0"/>
              <w:marTop w:val="120"/>
              <w:marBottom w:val="120"/>
              <w:divBdr>
                <w:top w:val="none" w:sz="0" w:space="0" w:color="auto"/>
                <w:left w:val="none" w:sz="0" w:space="0" w:color="auto"/>
                <w:bottom w:val="none" w:sz="0" w:space="0" w:color="auto"/>
                <w:right w:val="none" w:sz="0" w:space="0" w:color="auto"/>
              </w:divBdr>
            </w:div>
            <w:div w:id="1075974141">
              <w:marLeft w:val="0"/>
              <w:marRight w:val="0"/>
              <w:marTop w:val="120"/>
              <w:marBottom w:val="120"/>
              <w:divBdr>
                <w:top w:val="none" w:sz="0" w:space="0" w:color="auto"/>
                <w:left w:val="none" w:sz="0" w:space="0" w:color="auto"/>
                <w:bottom w:val="none" w:sz="0" w:space="0" w:color="auto"/>
                <w:right w:val="none" w:sz="0" w:space="0" w:color="auto"/>
              </w:divBdr>
            </w:div>
            <w:div w:id="1864324002">
              <w:marLeft w:val="0"/>
              <w:marRight w:val="0"/>
              <w:marTop w:val="120"/>
              <w:marBottom w:val="120"/>
              <w:divBdr>
                <w:top w:val="none" w:sz="0" w:space="0" w:color="auto"/>
                <w:left w:val="none" w:sz="0" w:space="0" w:color="auto"/>
                <w:bottom w:val="none" w:sz="0" w:space="0" w:color="auto"/>
                <w:right w:val="none" w:sz="0" w:space="0" w:color="auto"/>
              </w:divBdr>
            </w:div>
            <w:div w:id="2316923">
              <w:marLeft w:val="0"/>
              <w:marRight w:val="0"/>
              <w:marTop w:val="120"/>
              <w:marBottom w:val="120"/>
              <w:divBdr>
                <w:top w:val="none" w:sz="0" w:space="0" w:color="auto"/>
                <w:left w:val="none" w:sz="0" w:space="0" w:color="auto"/>
                <w:bottom w:val="none" w:sz="0" w:space="0" w:color="auto"/>
                <w:right w:val="none" w:sz="0" w:space="0" w:color="auto"/>
              </w:divBdr>
            </w:div>
            <w:div w:id="1300844244">
              <w:marLeft w:val="0"/>
              <w:marRight w:val="0"/>
              <w:marTop w:val="120"/>
              <w:marBottom w:val="120"/>
              <w:divBdr>
                <w:top w:val="none" w:sz="0" w:space="0" w:color="auto"/>
                <w:left w:val="none" w:sz="0" w:space="0" w:color="auto"/>
                <w:bottom w:val="none" w:sz="0" w:space="0" w:color="auto"/>
                <w:right w:val="none" w:sz="0" w:space="0" w:color="auto"/>
              </w:divBdr>
            </w:div>
            <w:div w:id="1237546948">
              <w:marLeft w:val="0"/>
              <w:marRight w:val="0"/>
              <w:marTop w:val="120"/>
              <w:marBottom w:val="120"/>
              <w:divBdr>
                <w:top w:val="none" w:sz="0" w:space="0" w:color="auto"/>
                <w:left w:val="none" w:sz="0" w:space="0" w:color="auto"/>
                <w:bottom w:val="none" w:sz="0" w:space="0" w:color="auto"/>
                <w:right w:val="none" w:sz="0" w:space="0" w:color="auto"/>
              </w:divBdr>
            </w:div>
            <w:div w:id="896865033">
              <w:marLeft w:val="0"/>
              <w:marRight w:val="0"/>
              <w:marTop w:val="120"/>
              <w:marBottom w:val="120"/>
              <w:divBdr>
                <w:top w:val="none" w:sz="0" w:space="0" w:color="auto"/>
                <w:left w:val="none" w:sz="0" w:space="0" w:color="auto"/>
                <w:bottom w:val="none" w:sz="0" w:space="0" w:color="auto"/>
                <w:right w:val="none" w:sz="0" w:space="0" w:color="auto"/>
              </w:divBdr>
            </w:div>
            <w:div w:id="1384209434">
              <w:marLeft w:val="0"/>
              <w:marRight w:val="0"/>
              <w:marTop w:val="120"/>
              <w:marBottom w:val="120"/>
              <w:divBdr>
                <w:top w:val="none" w:sz="0" w:space="0" w:color="auto"/>
                <w:left w:val="none" w:sz="0" w:space="0" w:color="auto"/>
                <w:bottom w:val="none" w:sz="0" w:space="0" w:color="auto"/>
                <w:right w:val="none" w:sz="0" w:space="0" w:color="auto"/>
              </w:divBdr>
            </w:div>
            <w:div w:id="1672950322">
              <w:marLeft w:val="0"/>
              <w:marRight w:val="0"/>
              <w:marTop w:val="120"/>
              <w:marBottom w:val="120"/>
              <w:divBdr>
                <w:top w:val="none" w:sz="0" w:space="0" w:color="auto"/>
                <w:left w:val="none" w:sz="0" w:space="0" w:color="auto"/>
                <w:bottom w:val="none" w:sz="0" w:space="0" w:color="auto"/>
                <w:right w:val="none" w:sz="0" w:space="0" w:color="auto"/>
              </w:divBdr>
            </w:div>
            <w:div w:id="1256940660">
              <w:marLeft w:val="0"/>
              <w:marRight w:val="0"/>
              <w:marTop w:val="120"/>
              <w:marBottom w:val="120"/>
              <w:divBdr>
                <w:top w:val="none" w:sz="0" w:space="0" w:color="auto"/>
                <w:left w:val="none" w:sz="0" w:space="0" w:color="auto"/>
                <w:bottom w:val="none" w:sz="0" w:space="0" w:color="auto"/>
                <w:right w:val="none" w:sz="0" w:space="0" w:color="auto"/>
              </w:divBdr>
            </w:div>
            <w:div w:id="1628655621">
              <w:marLeft w:val="0"/>
              <w:marRight w:val="0"/>
              <w:marTop w:val="120"/>
              <w:marBottom w:val="120"/>
              <w:divBdr>
                <w:top w:val="none" w:sz="0" w:space="0" w:color="auto"/>
                <w:left w:val="none" w:sz="0" w:space="0" w:color="auto"/>
                <w:bottom w:val="none" w:sz="0" w:space="0" w:color="auto"/>
                <w:right w:val="none" w:sz="0" w:space="0" w:color="auto"/>
              </w:divBdr>
            </w:div>
            <w:div w:id="1595505633">
              <w:marLeft w:val="0"/>
              <w:marRight w:val="0"/>
              <w:marTop w:val="120"/>
              <w:marBottom w:val="120"/>
              <w:divBdr>
                <w:top w:val="none" w:sz="0" w:space="0" w:color="auto"/>
                <w:left w:val="none" w:sz="0" w:space="0" w:color="auto"/>
                <w:bottom w:val="none" w:sz="0" w:space="0" w:color="auto"/>
                <w:right w:val="none" w:sz="0" w:space="0" w:color="auto"/>
              </w:divBdr>
            </w:div>
            <w:div w:id="530925165">
              <w:marLeft w:val="0"/>
              <w:marRight w:val="0"/>
              <w:marTop w:val="120"/>
              <w:marBottom w:val="120"/>
              <w:divBdr>
                <w:top w:val="none" w:sz="0" w:space="0" w:color="auto"/>
                <w:left w:val="none" w:sz="0" w:space="0" w:color="auto"/>
                <w:bottom w:val="none" w:sz="0" w:space="0" w:color="auto"/>
                <w:right w:val="none" w:sz="0" w:space="0" w:color="auto"/>
              </w:divBdr>
            </w:div>
            <w:div w:id="1341159866">
              <w:marLeft w:val="0"/>
              <w:marRight w:val="0"/>
              <w:marTop w:val="120"/>
              <w:marBottom w:val="120"/>
              <w:divBdr>
                <w:top w:val="none" w:sz="0" w:space="0" w:color="auto"/>
                <w:left w:val="none" w:sz="0" w:space="0" w:color="auto"/>
                <w:bottom w:val="none" w:sz="0" w:space="0" w:color="auto"/>
                <w:right w:val="none" w:sz="0" w:space="0" w:color="auto"/>
              </w:divBdr>
            </w:div>
            <w:div w:id="1856380845">
              <w:marLeft w:val="0"/>
              <w:marRight w:val="0"/>
              <w:marTop w:val="120"/>
              <w:marBottom w:val="120"/>
              <w:divBdr>
                <w:top w:val="none" w:sz="0" w:space="0" w:color="auto"/>
                <w:left w:val="none" w:sz="0" w:space="0" w:color="auto"/>
                <w:bottom w:val="none" w:sz="0" w:space="0" w:color="auto"/>
                <w:right w:val="none" w:sz="0" w:space="0" w:color="auto"/>
              </w:divBdr>
            </w:div>
            <w:div w:id="1048529047">
              <w:marLeft w:val="0"/>
              <w:marRight w:val="0"/>
              <w:marTop w:val="120"/>
              <w:marBottom w:val="120"/>
              <w:divBdr>
                <w:top w:val="none" w:sz="0" w:space="0" w:color="auto"/>
                <w:left w:val="none" w:sz="0" w:space="0" w:color="auto"/>
                <w:bottom w:val="none" w:sz="0" w:space="0" w:color="auto"/>
                <w:right w:val="none" w:sz="0" w:space="0" w:color="auto"/>
              </w:divBdr>
            </w:div>
            <w:div w:id="1827434615">
              <w:marLeft w:val="0"/>
              <w:marRight w:val="0"/>
              <w:marTop w:val="120"/>
              <w:marBottom w:val="120"/>
              <w:divBdr>
                <w:top w:val="none" w:sz="0" w:space="0" w:color="auto"/>
                <w:left w:val="none" w:sz="0" w:space="0" w:color="auto"/>
                <w:bottom w:val="none" w:sz="0" w:space="0" w:color="auto"/>
                <w:right w:val="none" w:sz="0" w:space="0" w:color="auto"/>
              </w:divBdr>
            </w:div>
          </w:divsChild>
        </w:div>
        <w:div w:id="1549413712">
          <w:marLeft w:val="0"/>
          <w:marRight w:val="0"/>
          <w:marTop w:val="0"/>
          <w:marBottom w:val="0"/>
          <w:divBdr>
            <w:top w:val="none" w:sz="0" w:space="0" w:color="auto"/>
            <w:left w:val="none" w:sz="0" w:space="0" w:color="auto"/>
            <w:bottom w:val="none" w:sz="0" w:space="0" w:color="auto"/>
            <w:right w:val="none" w:sz="0" w:space="0" w:color="auto"/>
          </w:divBdr>
          <w:divsChild>
            <w:div w:id="1190529466">
              <w:marLeft w:val="0"/>
              <w:marRight w:val="0"/>
              <w:marTop w:val="120"/>
              <w:marBottom w:val="120"/>
              <w:divBdr>
                <w:top w:val="none" w:sz="0" w:space="0" w:color="auto"/>
                <w:left w:val="none" w:sz="0" w:space="0" w:color="auto"/>
                <w:bottom w:val="none" w:sz="0" w:space="0" w:color="auto"/>
                <w:right w:val="none" w:sz="0" w:space="0" w:color="auto"/>
              </w:divBdr>
            </w:div>
            <w:div w:id="1090350197">
              <w:marLeft w:val="0"/>
              <w:marRight w:val="0"/>
              <w:marTop w:val="120"/>
              <w:marBottom w:val="120"/>
              <w:divBdr>
                <w:top w:val="none" w:sz="0" w:space="0" w:color="auto"/>
                <w:left w:val="none" w:sz="0" w:space="0" w:color="auto"/>
                <w:bottom w:val="none" w:sz="0" w:space="0" w:color="auto"/>
                <w:right w:val="none" w:sz="0" w:space="0" w:color="auto"/>
              </w:divBdr>
            </w:div>
            <w:div w:id="1675496356">
              <w:marLeft w:val="0"/>
              <w:marRight w:val="0"/>
              <w:marTop w:val="120"/>
              <w:marBottom w:val="120"/>
              <w:divBdr>
                <w:top w:val="none" w:sz="0" w:space="0" w:color="auto"/>
                <w:left w:val="none" w:sz="0" w:space="0" w:color="auto"/>
                <w:bottom w:val="none" w:sz="0" w:space="0" w:color="auto"/>
                <w:right w:val="none" w:sz="0" w:space="0" w:color="auto"/>
              </w:divBdr>
            </w:div>
            <w:div w:id="673991696">
              <w:marLeft w:val="0"/>
              <w:marRight w:val="0"/>
              <w:marTop w:val="120"/>
              <w:marBottom w:val="120"/>
              <w:divBdr>
                <w:top w:val="none" w:sz="0" w:space="0" w:color="auto"/>
                <w:left w:val="none" w:sz="0" w:space="0" w:color="auto"/>
                <w:bottom w:val="none" w:sz="0" w:space="0" w:color="auto"/>
                <w:right w:val="none" w:sz="0" w:space="0" w:color="auto"/>
              </w:divBdr>
            </w:div>
            <w:div w:id="282999497">
              <w:marLeft w:val="0"/>
              <w:marRight w:val="0"/>
              <w:marTop w:val="120"/>
              <w:marBottom w:val="120"/>
              <w:divBdr>
                <w:top w:val="none" w:sz="0" w:space="0" w:color="auto"/>
                <w:left w:val="none" w:sz="0" w:space="0" w:color="auto"/>
                <w:bottom w:val="none" w:sz="0" w:space="0" w:color="auto"/>
                <w:right w:val="none" w:sz="0" w:space="0" w:color="auto"/>
              </w:divBdr>
            </w:div>
            <w:div w:id="1289580616">
              <w:marLeft w:val="0"/>
              <w:marRight w:val="0"/>
              <w:marTop w:val="120"/>
              <w:marBottom w:val="120"/>
              <w:divBdr>
                <w:top w:val="none" w:sz="0" w:space="0" w:color="auto"/>
                <w:left w:val="none" w:sz="0" w:space="0" w:color="auto"/>
                <w:bottom w:val="none" w:sz="0" w:space="0" w:color="auto"/>
                <w:right w:val="none" w:sz="0" w:space="0" w:color="auto"/>
              </w:divBdr>
            </w:div>
            <w:div w:id="451364217">
              <w:marLeft w:val="0"/>
              <w:marRight w:val="0"/>
              <w:marTop w:val="120"/>
              <w:marBottom w:val="120"/>
              <w:divBdr>
                <w:top w:val="none" w:sz="0" w:space="0" w:color="auto"/>
                <w:left w:val="none" w:sz="0" w:space="0" w:color="auto"/>
                <w:bottom w:val="none" w:sz="0" w:space="0" w:color="auto"/>
                <w:right w:val="none" w:sz="0" w:space="0" w:color="auto"/>
              </w:divBdr>
            </w:div>
            <w:div w:id="1176308580">
              <w:marLeft w:val="0"/>
              <w:marRight w:val="0"/>
              <w:marTop w:val="120"/>
              <w:marBottom w:val="120"/>
              <w:divBdr>
                <w:top w:val="none" w:sz="0" w:space="0" w:color="auto"/>
                <w:left w:val="none" w:sz="0" w:space="0" w:color="auto"/>
                <w:bottom w:val="none" w:sz="0" w:space="0" w:color="auto"/>
                <w:right w:val="none" w:sz="0" w:space="0" w:color="auto"/>
              </w:divBdr>
            </w:div>
            <w:div w:id="113909804">
              <w:marLeft w:val="0"/>
              <w:marRight w:val="0"/>
              <w:marTop w:val="120"/>
              <w:marBottom w:val="120"/>
              <w:divBdr>
                <w:top w:val="none" w:sz="0" w:space="0" w:color="auto"/>
                <w:left w:val="none" w:sz="0" w:space="0" w:color="auto"/>
                <w:bottom w:val="none" w:sz="0" w:space="0" w:color="auto"/>
                <w:right w:val="none" w:sz="0" w:space="0" w:color="auto"/>
              </w:divBdr>
            </w:div>
            <w:div w:id="1159539388">
              <w:marLeft w:val="0"/>
              <w:marRight w:val="0"/>
              <w:marTop w:val="120"/>
              <w:marBottom w:val="120"/>
              <w:divBdr>
                <w:top w:val="none" w:sz="0" w:space="0" w:color="auto"/>
                <w:left w:val="none" w:sz="0" w:space="0" w:color="auto"/>
                <w:bottom w:val="none" w:sz="0" w:space="0" w:color="auto"/>
                <w:right w:val="none" w:sz="0" w:space="0" w:color="auto"/>
              </w:divBdr>
            </w:div>
            <w:div w:id="1962420919">
              <w:marLeft w:val="0"/>
              <w:marRight w:val="0"/>
              <w:marTop w:val="120"/>
              <w:marBottom w:val="120"/>
              <w:divBdr>
                <w:top w:val="none" w:sz="0" w:space="0" w:color="auto"/>
                <w:left w:val="none" w:sz="0" w:space="0" w:color="auto"/>
                <w:bottom w:val="none" w:sz="0" w:space="0" w:color="auto"/>
                <w:right w:val="none" w:sz="0" w:space="0" w:color="auto"/>
              </w:divBdr>
            </w:div>
            <w:div w:id="1269237135">
              <w:marLeft w:val="0"/>
              <w:marRight w:val="0"/>
              <w:marTop w:val="120"/>
              <w:marBottom w:val="120"/>
              <w:divBdr>
                <w:top w:val="none" w:sz="0" w:space="0" w:color="auto"/>
                <w:left w:val="none" w:sz="0" w:space="0" w:color="auto"/>
                <w:bottom w:val="none" w:sz="0" w:space="0" w:color="auto"/>
                <w:right w:val="none" w:sz="0" w:space="0" w:color="auto"/>
              </w:divBdr>
            </w:div>
            <w:div w:id="1020818196">
              <w:marLeft w:val="0"/>
              <w:marRight w:val="0"/>
              <w:marTop w:val="120"/>
              <w:marBottom w:val="120"/>
              <w:divBdr>
                <w:top w:val="none" w:sz="0" w:space="0" w:color="auto"/>
                <w:left w:val="none" w:sz="0" w:space="0" w:color="auto"/>
                <w:bottom w:val="none" w:sz="0" w:space="0" w:color="auto"/>
                <w:right w:val="none" w:sz="0" w:space="0" w:color="auto"/>
              </w:divBdr>
            </w:div>
            <w:div w:id="2045935109">
              <w:marLeft w:val="0"/>
              <w:marRight w:val="0"/>
              <w:marTop w:val="120"/>
              <w:marBottom w:val="120"/>
              <w:divBdr>
                <w:top w:val="none" w:sz="0" w:space="0" w:color="auto"/>
                <w:left w:val="none" w:sz="0" w:space="0" w:color="auto"/>
                <w:bottom w:val="none" w:sz="0" w:space="0" w:color="auto"/>
                <w:right w:val="none" w:sz="0" w:space="0" w:color="auto"/>
              </w:divBdr>
            </w:div>
            <w:div w:id="757748293">
              <w:marLeft w:val="0"/>
              <w:marRight w:val="0"/>
              <w:marTop w:val="120"/>
              <w:marBottom w:val="120"/>
              <w:divBdr>
                <w:top w:val="none" w:sz="0" w:space="0" w:color="auto"/>
                <w:left w:val="none" w:sz="0" w:space="0" w:color="auto"/>
                <w:bottom w:val="none" w:sz="0" w:space="0" w:color="auto"/>
                <w:right w:val="none" w:sz="0" w:space="0" w:color="auto"/>
              </w:divBdr>
            </w:div>
            <w:div w:id="1218862974">
              <w:marLeft w:val="0"/>
              <w:marRight w:val="0"/>
              <w:marTop w:val="120"/>
              <w:marBottom w:val="120"/>
              <w:divBdr>
                <w:top w:val="none" w:sz="0" w:space="0" w:color="auto"/>
                <w:left w:val="none" w:sz="0" w:space="0" w:color="auto"/>
                <w:bottom w:val="none" w:sz="0" w:space="0" w:color="auto"/>
                <w:right w:val="none" w:sz="0" w:space="0" w:color="auto"/>
              </w:divBdr>
            </w:div>
            <w:div w:id="22362280">
              <w:marLeft w:val="0"/>
              <w:marRight w:val="0"/>
              <w:marTop w:val="120"/>
              <w:marBottom w:val="120"/>
              <w:divBdr>
                <w:top w:val="none" w:sz="0" w:space="0" w:color="auto"/>
                <w:left w:val="none" w:sz="0" w:space="0" w:color="auto"/>
                <w:bottom w:val="none" w:sz="0" w:space="0" w:color="auto"/>
                <w:right w:val="none" w:sz="0" w:space="0" w:color="auto"/>
              </w:divBdr>
            </w:div>
            <w:div w:id="593591416">
              <w:marLeft w:val="0"/>
              <w:marRight w:val="0"/>
              <w:marTop w:val="120"/>
              <w:marBottom w:val="120"/>
              <w:divBdr>
                <w:top w:val="none" w:sz="0" w:space="0" w:color="auto"/>
                <w:left w:val="none" w:sz="0" w:space="0" w:color="auto"/>
                <w:bottom w:val="none" w:sz="0" w:space="0" w:color="auto"/>
                <w:right w:val="none" w:sz="0" w:space="0" w:color="auto"/>
              </w:divBdr>
            </w:div>
            <w:div w:id="613288870">
              <w:marLeft w:val="0"/>
              <w:marRight w:val="0"/>
              <w:marTop w:val="120"/>
              <w:marBottom w:val="120"/>
              <w:divBdr>
                <w:top w:val="none" w:sz="0" w:space="0" w:color="auto"/>
                <w:left w:val="none" w:sz="0" w:space="0" w:color="auto"/>
                <w:bottom w:val="none" w:sz="0" w:space="0" w:color="auto"/>
                <w:right w:val="none" w:sz="0" w:space="0" w:color="auto"/>
              </w:divBdr>
            </w:div>
            <w:div w:id="1670526609">
              <w:marLeft w:val="0"/>
              <w:marRight w:val="0"/>
              <w:marTop w:val="120"/>
              <w:marBottom w:val="120"/>
              <w:divBdr>
                <w:top w:val="none" w:sz="0" w:space="0" w:color="auto"/>
                <w:left w:val="none" w:sz="0" w:space="0" w:color="auto"/>
                <w:bottom w:val="none" w:sz="0" w:space="0" w:color="auto"/>
                <w:right w:val="none" w:sz="0" w:space="0" w:color="auto"/>
              </w:divBdr>
            </w:div>
            <w:div w:id="2059086536">
              <w:marLeft w:val="0"/>
              <w:marRight w:val="0"/>
              <w:marTop w:val="120"/>
              <w:marBottom w:val="120"/>
              <w:divBdr>
                <w:top w:val="none" w:sz="0" w:space="0" w:color="auto"/>
                <w:left w:val="none" w:sz="0" w:space="0" w:color="auto"/>
                <w:bottom w:val="none" w:sz="0" w:space="0" w:color="auto"/>
                <w:right w:val="none" w:sz="0" w:space="0" w:color="auto"/>
              </w:divBdr>
            </w:div>
            <w:div w:id="1449395199">
              <w:marLeft w:val="0"/>
              <w:marRight w:val="0"/>
              <w:marTop w:val="120"/>
              <w:marBottom w:val="120"/>
              <w:divBdr>
                <w:top w:val="none" w:sz="0" w:space="0" w:color="auto"/>
                <w:left w:val="none" w:sz="0" w:space="0" w:color="auto"/>
                <w:bottom w:val="none" w:sz="0" w:space="0" w:color="auto"/>
                <w:right w:val="none" w:sz="0" w:space="0" w:color="auto"/>
              </w:divBdr>
            </w:div>
            <w:div w:id="1573807949">
              <w:marLeft w:val="0"/>
              <w:marRight w:val="0"/>
              <w:marTop w:val="120"/>
              <w:marBottom w:val="120"/>
              <w:divBdr>
                <w:top w:val="none" w:sz="0" w:space="0" w:color="auto"/>
                <w:left w:val="none" w:sz="0" w:space="0" w:color="auto"/>
                <w:bottom w:val="none" w:sz="0" w:space="0" w:color="auto"/>
                <w:right w:val="none" w:sz="0" w:space="0" w:color="auto"/>
              </w:divBdr>
            </w:div>
            <w:div w:id="653334772">
              <w:marLeft w:val="0"/>
              <w:marRight w:val="0"/>
              <w:marTop w:val="120"/>
              <w:marBottom w:val="120"/>
              <w:divBdr>
                <w:top w:val="none" w:sz="0" w:space="0" w:color="auto"/>
                <w:left w:val="none" w:sz="0" w:space="0" w:color="auto"/>
                <w:bottom w:val="none" w:sz="0" w:space="0" w:color="auto"/>
                <w:right w:val="none" w:sz="0" w:space="0" w:color="auto"/>
              </w:divBdr>
            </w:div>
            <w:div w:id="1751461383">
              <w:marLeft w:val="0"/>
              <w:marRight w:val="0"/>
              <w:marTop w:val="120"/>
              <w:marBottom w:val="120"/>
              <w:divBdr>
                <w:top w:val="none" w:sz="0" w:space="0" w:color="auto"/>
                <w:left w:val="none" w:sz="0" w:space="0" w:color="auto"/>
                <w:bottom w:val="none" w:sz="0" w:space="0" w:color="auto"/>
                <w:right w:val="none" w:sz="0" w:space="0" w:color="auto"/>
              </w:divBdr>
            </w:div>
            <w:div w:id="1700201389">
              <w:marLeft w:val="0"/>
              <w:marRight w:val="0"/>
              <w:marTop w:val="120"/>
              <w:marBottom w:val="120"/>
              <w:divBdr>
                <w:top w:val="none" w:sz="0" w:space="0" w:color="auto"/>
                <w:left w:val="none" w:sz="0" w:space="0" w:color="auto"/>
                <w:bottom w:val="none" w:sz="0" w:space="0" w:color="auto"/>
                <w:right w:val="none" w:sz="0" w:space="0" w:color="auto"/>
              </w:divBdr>
            </w:div>
            <w:div w:id="2114812595">
              <w:marLeft w:val="0"/>
              <w:marRight w:val="0"/>
              <w:marTop w:val="120"/>
              <w:marBottom w:val="120"/>
              <w:divBdr>
                <w:top w:val="none" w:sz="0" w:space="0" w:color="auto"/>
                <w:left w:val="none" w:sz="0" w:space="0" w:color="auto"/>
                <w:bottom w:val="none" w:sz="0" w:space="0" w:color="auto"/>
                <w:right w:val="none" w:sz="0" w:space="0" w:color="auto"/>
              </w:divBdr>
            </w:div>
            <w:div w:id="1561598118">
              <w:marLeft w:val="0"/>
              <w:marRight w:val="0"/>
              <w:marTop w:val="120"/>
              <w:marBottom w:val="120"/>
              <w:divBdr>
                <w:top w:val="none" w:sz="0" w:space="0" w:color="auto"/>
                <w:left w:val="none" w:sz="0" w:space="0" w:color="auto"/>
                <w:bottom w:val="none" w:sz="0" w:space="0" w:color="auto"/>
                <w:right w:val="none" w:sz="0" w:space="0" w:color="auto"/>
              </w:divBdr>
            </w:div>
            <w:div w:id="8129862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0179401">
      <w:marLeft w:val="0"/>
      <w:marRight w:val="0"/>
      <w:marTop w:val="0"/>
      <w:marBottom w:val="0"/>
      <w:divBdr>
        <w:top w:val="none" w:sz="0" w:space="0" w:color="auto"/>
        <w:left w:val="none" w:sz="0" w:space="0" w:color="auto"/>
        <w:bottom w:val="none" w:sz="0" w:space="0" w:color="auto"/>
        <w:right w:val="none" w:sz="0" w:space="0" w:color="auto"/>
      </w:divBdr>
    </w:div>
    <w:div w:id="2100247625">
      <w:marLeft w:val="0"/>
      <w:marRight w:val="0"/>
      <w:marTop w:val="0"/>
      <w:marBottom w:val="0"/>
      <w:divBdr>
        <w:top w:val="none" w:sz="0" w:space="0" w:color="auto"/>
        <w:left w:val="none" w:sz="0" w:space="0" w:color="auto"/>
        <w:bottom w:val="none" w:sz="0" w:space="0" w:color="auto"/>
        <w:right w:val="none" w:sz="0" w:space="0" w:color="auto"/>
      </w:divBdr>
    </w:div>
    <w:div w:id="2101025747">
      <w:marLeft w:val="0"/>
      <w:marRight w:val="0"/>
      <w:marTop w:val="0"/>
      <w:marBottom w:val="240"/>
      <w:divBdr>
        <w:top w:val="none" w:sz="0" w:space="0" w:color="auto"/>
        <w:left w:val="none" w:sz="0" w:space="0" w:color="auto"/>
        <w:bottom w:val="none" w:sz="0" w:space="0" w:color="auto"/>
        <w:right w:val="none" w:sz="0" w:space="0" w:color="auto"/>
      </w:divBdr>
    </w:div>
    <w:div w:id="2101287603">
      <w:marLeft w:val="0"/>
      <w:marRight w:val="0"/>
      <w:marTop w:val="0"/>
      <w:marBottom w:val="180"/>
      <w:divBdr>
        <w:top w:val="none" w:sz="0" w:space="0" w:color="auto"/>
        <w:left w:val="none" w:sz="0" w:space="0" w:color="auto"/>
        <w:bottom w:val="none" w:sz="0" w:space="0" w:color="auto"/>
        <w:right w:val="none" w:sz="0" w:space="0" w:color="auto"/>
      </w:divBdr>
    </w:div>
    <w:div w:id="2103597903">
      <w:marLeft w:val="0"/>
      <w:marRight w:val="0"/>
      <w:marTop w:val="0"/>
      <w:marBottom w:val="180"/>
      <w:divBdr>
        <w:top w:val="none" w:sz="0" w:space="0" w:color="auto"/>
        <w:left w:val="none" w:sz="0" w:space="0" w:color="auto"/>
        <w:bottom w:val="none" w:sz="0" w:space="0" w:color="auto"/>
        <w:right w:val="none" w:sz="0" w:space="0" w:color="auto"/>
      </w:divBdr>
    </w:div>
    <w:div w:id="2104450523">
      <w:marLeft w:val="0"/>
      <w:marRight w:val="0"/>
      <w:marTop w:val="0"/>
      <w:marBottom w:val="240"/>
      <w:divBdr>
        <w:top w:val="none" w:sz="0" w:space="0" w:color="auto"/>
        <w:left w:val="none" w:sz="0" w:space="0" w:color="auto"/>
        <w:bottom w:val="none" w:sz="0" w:space="0" w:color="auto"/>
        <w:right w:val="none" w:sz="0" w:space="0" w:color="auto"/>
      </w:divBdr>
    </w:div>
    <w:div w:id="2105875449">
      <w:marLeft w:val="0"/>
      <w:marRight w:val="0"/>
      <w:marTop w:val="0"/>
      <w:marBottom w:val="240"/>
      <w:divBdr>
        <w:top w:val="none" w:sz="0" w:space="0" w:color="auto"/>
        <w:left w:val="none" w:sz="0" w:space="0" w:color="auto"/>
        <w:bottom w:val="none" w:sz="0" w:space="0" w:color="auto"/>
        <w:right w:val="none" w:sz="0" w:space="0" w:color="auto"/>
      </w:divBdr>
    </w:div>
    <w:div w:id="2105952179">
      <w:marLeft w:val="0"/>
      <w:marRight w:val="0"/>
      <w:marTop w:val="100"/>
      <w:marBottom w:val="240"/>
      <w:divBdr>
        <w:top w:val="none" w:sz="0" w:space="0" w:color="auto"/>
        <w:left w:val="none" w:sz="0" w:space="0" w:color="auto"/>
        <w:bottom w:val="none" w:sz="0" w:space="0" w:color="auto"/>
        <w:right w:val="none" w:sz="0" w:space="0" w:color="auto"/>
      </w:divBdr>
    </w:div>
    <w:div w:id="2106227381">
      <w:marLeft w:val="0"/>
      <w:marRight w:val="0"/>
      <w:marTop w:val="0"/>
      <w:marBottom w:val="240"/>
      <w:divBdr>
        <w:top w:val="none" w:sz="0" w:space="0" w:color="auto"/>
        <w:left w:val="none" w:sz="0" w:space="0" w:color="auto"/>
        <w:bottom w:val="none" w:sz="0" w:space="0" w:color="auto"/>
        <w:right w:val="none" w:sz="0" w:space="0" w:color="auto"/>
      </w:divBdr>
    </w:div>
    <w:div w:id="2107194017">
      <w:marLeft w:val="0"/>
      <w:marRight w:val="0"/>
      <w:marTop w:val="0"/>
      <w:marBottom w:val="180"/>
      <w:divBdr>
        <w:top w:val="none" w:sz="0" w:space="0" w:color="auto"/>
        <w:left w:val="none" w:sz="0" w:space="0" w:color="auto"/>
        <w:bottom w:val="none" w:sz="0" w:space="0" w:color="auto"/>
        <w:right w:val="none" w:sz="0" w:space="0" w:color="auto"/>
      </w:divBdr>
    </w:div>
    <w:div w:id="2107535655">
      <w:marLeft w:val="0"/>
      <w:marRight w:val="0"/>
      <w:marTop w:val="0"/>
      <w:marBottom w:val="240"/>
      <w:divBdr>
        <w:top w:val="none" w:sz="0" w:space="0" w:color="auto"/>
        <w:left w:val="none" w:sz="0" w:space="0" w:color="auto"/>
        <w:bottom w:val="none" w:sz="0" w:space="0" w:color="auto"/>
        <w:right w:val="none" w:sz="0" w:space="0" w:color="auto"/>
      </w:divBdr>
    </w:div>
    <w:div w:id="2107848686">
      <w:marLeft w:val="0"/>
      <w:marRight w:val="0"/>
      <w:marTop w:val="0"/>
      <w:marBottom w:val="240"/>
      <w:divBdr>
        <w:top w:val="none" w:sz="0" w:space="0" w:color="auto"/>
        <w:left w:val="none" w:sz="0" w:space="0" w:color="auto"/>
        <w:bottom w:val="none" w:sz="0" w:space="0" w:color="auto"/>
        <w:right w:val="none" w:sz="0" w:space="0" w:color="auto"/>
      </w:divBdr>
    </w:div>
    <w:div w:id="2109497567">
      <w:marLeft w:val="0"/>
      <w:marRight w:val="0"/>
      <w:marTop w:val="0"/>
      <w:marBottom w:val="0"/>
      <w:divBdr>
        <w:top w:val="none" w:sz="0" w:space="0" w:color="auto"/>
        <w:left w:val="none" w:sz="0" w:space="0" w:color="auto"/>
        <w:bottom w:val="none" w:sz="0" w:space="0" w:color="auto"/>
        <w:right w:val="none" w:sz="0" w:space="0" w:color="auto"/>
      </w:divBdr>
    </w:div>
    <w:div w:id="2109809108">
      <w:marLeft w:val="0"/>
      <w:marRight w:val="0"/>
      <w:marTop w:val="0"/>
      <w:marBottom w:val="240"/>
      <w:divBdr>
        <w:top w:val="none" w:sz="0" w:space="0" w:color="auto"/>
        <w:left w:val="none" w:sz="0" w:space="0" w:color="auto"/>
        <w:bottom w:val="none" w:sz="0" w:space="0" w:color="auto"/>
        <w:right w:val="none" w:sz="0" w:space="0" w:color="auto"/>
      </w:divBdr>
    </w:div>
    <w:div w:id="2110658022">
      <w:marLeft w:val="0"/>
      <w:marRight w:val="0"/>
      <w:marTop w:val="0"/>
      <w:marBottom w:val="0"/>
      <w:divBdr>
        <w:top w:val="none" w:sz="0" w:space="0" w:color="auto"/>
        <w:left w:val="none" w:sz="0" w:space="0" w:color="auto"/>
        <w:bottom w:val="none" w:sz="0" w:space="0" w:color="auto"/>
        <w:right w:val="none" w:sz="0" w:space="0" w:color="auto"/>
      </w:divBdr>
    </w:div>
    <w:div w:id="2110734257">
      <w:marLeft w:val="0"/>
      <w:marRight w:val="0"/>
      <w:marTop w:val="0"/>
      <w:marBottom w:val="240"/>
      <w:divBdr>
        <w:top w:val="none" w:sz="0" w:space="0" w:color="auto"/>
        <w:left w:val="none" w:sz="0" w:space="0" w:color="auto"/>
        <w:bottom w:val="none" w:sz="0" w:space="0" w:color="auto"/>
        <w:right w:val="none" w:sz="0" w:space="0" w:color="auto"/>
      </w:divBdr>
    </w:div>
    <w:div w:id="2110850680">
      <w:marLeft w:val="0"/>
      <w:marRight w:val="0"/>
      <w:marTop w:val="0"/>
      <w:marBottom w:val="180"/>
      <w:divBdr>
        <w:top w:val="none" w:sz="0" w:space="0" w:color="auto"/>
        <w:left w:val="none" w:sz="0" w:space="0" w:color="auto"/>
        <w:bottom w:val="none" w:sz="0" w:space="0" w:color="auto"/>
        <w:right w:val="none" w:sz="0" w:space="0" w:color="auto"/>
      </w:divBdr>
    </w:div>
    <w:div w:id="2110853281">
      <w:marLeft w:val="0"/>
      <w:marRight w:val="0"/>
      <w:marTop w:val="180"/>
      <w:marBottom w:val="180"/>
      <w:divBdr>
        <w:top w:val="none" w:sz="0" w:space="0" w:color="auto"/>
        <w:left w:val="none" w:sz="0" w:space="0" w:color="auto"/>
        <w:bottom w:val="none" w:sz="0" w:space="0" w:color="auto"/>
        <w:right w:val="none" w:sz="0" w:space="0" w:color="auto"/>
      </w:divBdr>
    </w:div>
    <w:div w:id="2111005125">
      <w:marLeft w:val="0"/>
      <w:marRight w:val="0"/>
      <w:marTop w:val="0"/>
      <w:marBottom w:val="0"/>
      <w:divBdr>
        <w:top w:val="none" w:sz="0" w:space="0" w:color="auto"/>
        <w:left w:val="none" w:sz="0" w:space="0" w:color="auto"/>
        <w:bottom w:val="none" w:sz="0" w:space="0" w:color="auto"/>
        <w:right w:val="none" w:sz="0" w:space="0" w:color="auto"/>
      </w:divBdr>
    </w:div>
    <w:div w:id="2111851442">
      <w:marLeft w:val="0"/>
      <w:marRight w:val="0"/>
      <w:marTop w:val="0"/>
      <w:marBottom w:val="0"/>
      <w:divBdr>
        <w:top w:val="none" w:sz="0" w:space="0" w:color="auto"/>
        <w:left w:val="none" w:sz="0" w:space="0" w:color="auto"/>
        <w:bottom w:val="none" w:sz="0" w:space="0" w:color="auto"/>
        <w:right w:val="none" w:sz="0" w:space="0" w:color="auto"/>
      </w:divBdr>
    </w:div>
    <w:div w:id="2112192034">
      <w:marLeft w:val="0"/>
      <w:marRight w:val="0"/>
      <w:marTop w:val="0"/>
      <w:marBottom w:val="180"/>
      <w:divBdr>
        <w:top w:val="none" w:sz="0" w:space="0" w:color="auto"/>
        <w:left w:val="none" w:sz="0" w:space="0" w:color="auto"/>
        <w:bottom w:val="none" w:sz="0" w:space="0" w:color="auto"/>
        <w:right w:val="none" w:sz="0" w:space="0" w:color="auto"/>
      </w:divBdr>
    </w:div>
    <w:div w:id="2112509309">
      <w:marLeft w:val="0"/>
      <w:marRight w:val="0"/>
      <w:marTop w:val="180"/>
      <w:marBottom w:val="180"/>
      <w:divBdr>
        <w:top w:val="none" w:sz="0" w:space="0" w:color="auto"/>
        <w:left w:val="none" w:sz="0" w:space="0" w:color="auto"/>
        <w:bottom w:val="none" w:sz="0" w:space="0" w:color="auto"/>
        <w:right w:val="none" w:sz="0" w:space="0" w:color="auto"/>
      </w:divBdr>
    </w:div>
    <w:div w:id="2113157910">
      <w:marLeft w:val="0"/>
      <w:marRight w:val="0"/>
      <w:marTop w:val="0"/>
      <w:marBottom w:val="180"/>
      <w:divBdr>
        <w:top w:val="none" w:sz="0" w:space="0" w:color="auto"/>
        <w:left w:val="none" w:sz="0" w:space="0" w:color="auto"/>
        <w:bottom w:val="none" w:sz="0" w:space="0" w:color="auto"/>
        <w:right w:val="none" w:sz="0" w:space="0" w:color="auto"/>
      </w:divBdr>
    </w:div>
    <w:div w:id="2113240636">
      <w:marLeft w:val="0"/>
      <w:marRight w:val="0"/>
      <w:marTop w:val="0"/>
      <w:marBottom w:val="0"/>
      <w:divBdr>
        <w:top w:val="none" w:sz="0" w:space="0" w:color="auto"/>
        <w:left w:val="none" w:sz="0" w:space="0" w:color="auto"/>
        <w:bottom w:val="none" w:sz="0" w:space="0" w:color="auto"/>
        <w:right w:val="none" w:sz="0" w:space="0" w:color="auto"/>
      </w:divBdr>
      <w:divsChild>
        <w:div w:id="575360095">
          <w:marLeft w:val="0"/>
          <w:marRight w:val="0"/>
          <w:marTop w:val="0"/>
          <w:marBottom w:val="0"/>
          <w:divBdr>
            <w:top w:val="none" w:sz="0" w:space="0" w:color="auto"/>
            <w:left w:val="none" w:sz="0" w:space="0" w:color="auto"/>
            <w:bottom w:val="none" w:sz="0" w:space="0" w:color="auto"/>
            <w:right w:val="none" w:sz="0" w:space="0" w:color="auto"/>
          </w:divBdr>
        </w:div>
      </w:divsChild>
    </w:div>
    <w:div w:id="2113358260">
      <w:marLeft w:val="0"/>
      <w:marRight w:val="0"/>
      <w:marTop w:val="180"/>
      <w:marBottom w:val="180"/>
      <w:divBdr>
        <w:top w:val="none" w:sz="0" w:space="0" w:color="auto"/>
        <w:left w:val="none" w:sz="0" w:space="0" w:color="auto"/>
        <w:bottom w:val="none" w:sz="0" w:space="0" w:color="auto"/>
        <w:right w:val="none" w:sz="0" w:space="0" w:color="auto"/>
      </w:divBdr>
    </w:div>
    <w:div w:id="2114085004">
      <w:marLeft w:val="0"/>
      <w:marRight w:val="0"/>
      <w:marTop w:val="100"/>
      <w:marBottom w:val="100"/>
      <w:divBdr>
        <w:top w:val="none" w:sz="0" w:space="0" w:color="auto"/>
        <w:left w:val="none" w:sz="0" w:space="0" w:color="auto"/>
        <w:bottom w:val="none" w:sz="0" w:space="0" w:color="auto"/>
        <w:right w:val="none" w:sz="0" w:space="0" w:color="auto"/>
      </w:divBdr>
      <w:divsChild>
        <w:div w:id="1148207338">
          <w:marLeft w:val="0"/>
          <w:marRight w:val="0"/>
          <w:marTop w:val="0"/>
          <w:marBottom w:val="0"/>
          <w:divBdr>
            <w:top w:val="none" w:sz="0" w:space="0" w:color="auto"/>
            <w:left w:val="none" w:sz="0" w:space="0" w:color="auto"/>
            <w:bottom w:val="none" w:sz="0" w:space="0" w:color="auto"/>
            <w:right w:val="none" w:sz="0" w:space="0" w:color="auto"/>
          </w:divBdr>
        </w:div>
        <w:div w:id="1816874558">
          <w:marLeft w:val="0"/>
          <w:marRight w:val="0"/>
          <w:marTop w:val="0"/>
          <w:marBottom w:val="0"/>
          <w:divBdr>
            <w:top w:val="none" w:sz="0" w:space="0" w:color="auto"/>
            <w:left w:val="none" w:sz="0" w:space="0" w:color="auto"/>
            <w:bottom w:val="none" w:sz="0" w:space="0" w:color="auto"/>
            <w:right w:val="none" w:sz="0" w:space="0" w:color="auto"/>
          </w:divBdr>
        </w:div>
        <w:div w:id="1125661220">
          <w:marLeft w:val="0"/>
          <w:marRight w:val="0"/>
          <w:marTop w:val="0"/>
          <w:marBottom w:val="0"/>
          <w:divBdr>
            <w:top w:val="none" w:sz="0" w:space="0" w:color="auto"/>
            <w:left w:val="none" w:sz="0" w:space="0" w:color="auto"/>
            <w:bottom w:val="none" w:sz="0" w:space="0" w:color="auto"/>
            <w:right w:val="none" w:sz="0" w:space="0" w:color="auto"/>
          </w:divBdr>
        </w:div>
        <w:div w:id="587693701">
          <w:marLeft w:val="0"/>
          <w:marRight w:val="0"/>
          <w:marTop w:val="0"/>
          <w:marBottom w:val="0"/>
          <w:divBdr>
            <w:top w:val="none" w:sz="0" w:space="0" w:color="auto"/>
            <w:left w:val="none" w:sz="0" w:space="0" w:color="auto"/>
            <w:bottom w:val="none" w:sz="0" w:space="0" w:color="auto"/>
            <w:right w:val="none" w:sz="0" w:space="0" w:color="auto"/>
          </w:divBdr>
        </w:div>
        <w:div w:id="1827477621">
          <w:marLeft w:val="0"/>
          <w:marRight w:val="0"/>
          <w:marTop w:val="0"/>
          <w:marBottom w:val="0"/>
          <w:divBdr>
            <w:top w:val="none" w:sz="0" w:space="0" w:color="auto"/>
            <w:left w:val="none" w:sz="0" w:space="0" w:color="auto"/>
            <w:bottom w:val="none" w:sz="0" w:space="0" w:color="auto"/>
            <w:right w:val="none" w:sz="0" w:space="0" w:color="auto"/>
          </w:divBdr>
        </w:div>
      </w:divsChild>
    </w:div>
    <w:div w:id="2114474263">
      <w:marLeft w:val="0"/>
      <w:marRight w:val="0"/>
      <w:marTop w:val="0"/>
      <w:marBottom w:val="0"/>
      <w:divBdr>
        <w:top w:val="none" w:sz="0" w:space="0" w:color="auto"/>
        <w:left w:val="none" w:sz="0" w:space="0" w:color="auto"/>
        <w:bottom w:val="none" w:sz="0" w:space="0" w:color="auto"/>
        <w:right w:val="none" w:sz="0" w:space="0" w:color="auto"/>
      </w:divBdr>
      <w:divsChild>
        <w:div w:id="1332677573">
          <w:marLeft w:val="0"/>
          <w:marRight w:val="0"/>
          <w:marTop w:val="0"/>
          <w:marBottom w:val="0"/>
          <w:divBdr>
            <w:top w:val="none" w:sz="0" w:space="0" w:color="auto"/>
            <w:left w:val="none" w:sz="0" w:space="0" w:color="auto"/>
            <w:bottom w:val="none" w:sz="0" w:space="0" w:color="auto"/>
            <w:right w:val="none" w:sz="0" w:space="0" w:color="auto"/>
          </w:divBdr>
        </w:div>
      </w:divsChild>
    </w:div>
    <w:div w:id="2115323751">
      <w:marLeft w:val="0"/>
      <w:marRight w:val="0"/>
      <w:marTop w:val="0"/>
      <w:marBottom w:val="240"/>
      <w:divBdr>
        <w:top w:val="none" w:sz="0" w:space="0" w:color="auto"/>
        <w:left w:val="none" w:sz="0" w:space="0" w:color="auto"/>
        <w:bottom w:val="none" w:sz="0" w:space="0" w:color="auto"/>
        <w:right w:val="none" w:sz="0" w:space="0" w:color="auto"/>
      </w:divBdr>
    </w:div>
    <w:div w:id="2115395646">
      <w:marLeft w:val="0"/>
      <w:marRight w:val="0"/>
      <w:marTop w:val="180"/>
      <w:marBottom w:val="180"/>
      <w:divBdr>
        <w:top w:val="none" w:sz="0" w:space="0" w:color="auto"/>
        <w:left w:val="none" w:sz="0" w:space="0" w:color="auto"/>
        <w:bottom w:val="none" w:sz="0" w:space="0" w:color="auto"/>
        <w:right w:val="none" w:sz="0" w:space="0" w:color="auto"/>
      </w:divBdr>
    </w:div>
    <w:div w:id="2117020492">
      <w:marLeft w:val="0"/>
      <w:marRight w:val="0"/>
      <w:marTop w:val="0"/>
      <w:marBottom w:val="240"/>
      <w:divBdr>
        <w:top w:val="none" w:sz="0" w:space="0" w:color="auto"/>
        <w:left w:val="none" w:sz="0" w:space="0" w:color="auto"/>
        <w:bottom w:val="none" w:sz="0" w:space="0" w:color="auto"/>
        <w:right w:val="none" w:sz="0" w:space="0" w:color="auto"/>
      </w:divBdr>
    </w:div>
    <w:div w:id="2119061249">
      <w:marLeft w:val="0"/>
      <w:marRight w:val="0"/>
      <w:marTop w:val="0"/>
      <w:marBottom w:val="0"/>
      <w:divBdr>
        <w:top w:val="none" w:sz="0" w:space="0" w:color="auto"/>
        <w:left w:val="none" w:sz="0" w:space="0" w:color="auto"/>
        <w:bottom w:val="none" w:sz="0" w:space="0" w:color="auto"/>
        <w:right w:val="none" w:sz="0" w:space="0" w:color="auto"/>
      </w:divBdr>
      <w:divsChild>
        <w:div w:id="615913090">
          <w:marLeft w:val="0"/>
          <w:marRight w:val="0"/>
          <w:marTop w:val="0"/>
          <w:marBottom w:val="0"/>
          <w:divBdr>
            <w:top w:val="none" w:sz="0" w:space="0" w:color="auto"/>
            <w:left w:val="none" w:sz="0" w:space="0" w:color="auto"/>
            <w:bottom w:val="none" w:sz="0" w:space="0" w:color="auto"/>
            <w:right w:val="none" w:sz="0" w:space="0" w:color="auto"/>
          </w:divBdr>
        </w:div>
      </w:divsChild>
    </w:div>
    <w:div w:id="2119131959">
      <w:marLeft w:val="0"/>
      <w:marRight w:val="0"/>
      <w:marTop w:val="0"/>
      <w:marBottom w:val="240"/>
      <w:divBdr>
        <w:top w:val="none" w:sz="0" w:space="0" w:color="auto"/>
        <w:left w:val="none" w:sz="0" w:space="0" w:color="auto"/>
        <w:bottom w:val="none" w:sz="0" w:space="0" w:color="auto"/>
        <w:right w:val="none" w:sz="0" w:space="0" w:color="auto"/>
      </w:divBdr>
    </w:div>
    <w:div w:id="2119713651">
      <w:marLeft w:val="0"/>
      <w:marRight w:val="0"/>
      <w:marTop w:val="0"/>
      <w:marBottom w:val="180"/>
      <w:divBdr>
        <w:top w:val="none" w:sz="0" w:space="0" w:color="auto"/>
        <w:left w:val="none" w:sz="0" w:space="0" w:color="auto"/>
        <w:bottom w:val="none" w:sz="0" w:space="0" w:color="auto"/>
        <w:right w:val="none" w:sz="0" w:space="0" w:color="auto"/>
      </w:divBdr>
    </w:div>
    <w:div w:id="2120953056">
      <w:marLeft w:val="0"/>
      <w:marRight w:val="0"/>
      <w:marTop w:val="0"/>
      <w:marBottom w:val="0"/>
      <w:divBdr>
        <w:top w:val="none" w:sz="0" w:space="0" w:color="auto"/>
        <w:left w:val="none" w:sz="0" w:space="0" w:color="auto"/>
        <w:bottom w:val="none" w:sz="0" w:space="0" w:color="auto"/>
        <w:right w:val="none" w:sz="0" w:space="0" w:color="auto"/>
      </w:divBdr>
    </w:div>
    <w:div w:id="2121759603">
      <w:marLeft w:val="0"/>
      <w:marRight w:val="0"/>
      <w:marTop w:val="0"/>
      <w:marBottom w:val="180"/>
      <w:divBdr>
        <w:top w:val="none" w:sz="0" w:space="0" w:color="auto"/>
        <w:left w:val="none" w:sz="0" w:space="0" w:color="auto"/>
        <w:bottom w:val="none" w:sz="0" w:space="0" w:color="auto"/>
        <w:right w:val="none" w:sz="0" w:space="0" w:color="auto"/>
      </w:divBdr>
    </w:div>
    <w:div w:id="2122257066">
      <w:marLeft w:val="0"/>
      <w:marRight w:val="0"/>
      <w:marTop w:val="0"/>
      <w:marBottom w:val="240"/>
      <w:divBdr>
        <w:top w:val="none" w:sz="0" w:space="0" w:color="auto"/>
        <w:left w:val="none" w:sz="0" w:space="0" w:color="auto"/>
        <w:bottom w:val="none" w:sz="0" w:space="0" w:color="auto"/>
        <w:right w:val="none" w:sz="0" w:space="0" w:color="auto"/>
      </w:divBdr>
    </w:div>
    <w:div w:id="2122414038">
      <w:marLeft w:val="0"/>
      <w:marRight w:val="0"/>
      <w:marTop w:val="0"/>
      <w:marBottom w:val="0"/>
      <w:divBdr>
        <w:top w:val="none" w:sz="0" w:space="0" w:color="auto"/>
        <w:left w:val="none" w:sz="0" w:space="0" w:color="auto"/>
        <w:bottom w:val="none" w:sz="0" w:space="0" w:color="auto"/>
        <w:right w:val="none" w:sz="0" w:space="0" w:color="auto"/>
      </w:divBdr>
      <w:divsChild>
        <w:div w:id="1658150398">
          <w:marLeft w:val="0"/>
          <w:marRight w:val="0"/>
          <w:marTop w:val="0"/>
          <w:marBottom w:val="0"/>
          <w:divBdr>
            <w:top w:val="none" w:sz="0" w:space="0" w:color="auto"/>
            <w:left w:val="none" w:sz="0" w:space="0" w:color="auto"/>
            <w:bottom w:val="none" w:sz="0" w:space="0" w:color="auto"/>
            <w:right w:val="none" w:sz="0" w:space="0" w:color="auto"/>
          </w:divBdr>
        </w:div>
      </w:divsChild>
    </w:div>
    <w:div w:id="2122603395">
      <w:marLeft w:val="0"/>
      <w:marRight w:val="0"/>
      <w:marTop w:val="0"/>
      <w:marBottom w:val="180"/>
      <w:divBdr>
        <w:top w:val="none" w:sz="0" w:space="0" w:color="auto"/>
        <w:left w:val="none" w:sz="0" w:space="0" w:color="auto"/>
        <w:bottom w:val="none" w:sz="0" w:space="0" w:color="auto"/>
        <w:right w:val="none" w:sz="0" w:space="0" w:color="auto"/>
      </w:divBdr>
    </w:div>
    <w:div w:id="2123256243">
      <w:marLeft w:val="0"/>
      <w:marRight w:val="0"/>
      <w:marTop w:val="0"/>
      <w:marBottom w:val="240"/>
      <w:divBdr>
        <w:top w:val="none" w:sz="0" w:space="0" w:color="auto"/>
        <w:left w:val="none" w:sz="0" w:space="0" w:color="auto"/>
        <w:bottom w:val="none" w:sz="0" w:space="0" w:color="auto"/>
        <w:right w:val="none" w:sz="0" w:space="0" w:color="auto"/>
      </w:divBdr>
    </w:div>
    <w:div w:id="2123527100">
      <w:marLeft w:val="0"/>
      <w:marRight w:val="0"/>
      <w:marTop w:val="180"/>
      <w:marBottom w:val="180"/>
      <w:divBdr>
        <w:top w:val="none" w:sz="0" w:space="0" w:color="auto"/>
        <w:left w:val="none" w:sz="0" w:space="0" w:color="auto"/>
        <w:bottom w:val="none" w:sz="0" w:space="0" w:color="auto"/>
        <w:right w:val="none" w:sz="0" w:space="0" w:color="auto"/>
      </w:divBdr>
    </w:div>
    <w:div w:id="2123570336">
      <w:marLeft w:val="0"/>
      <w:marRight w:val="0"/>
      <w:marTop w:val="0"/>
      <w:marBottom w:val="180"/>
      <w:divBdr>
        <w:top w:val="none" w:sz="0" w:space="0" w:color="auto"/>
        <w:left w:val="none" w:sz="0" w:space="0" w:color="auto"/>
        <w:bottom w:val="none" w:sz="0" w:space="0" w:color="auto"/>
        <w:right w:val="none" w:sz="0" w:space="0" w:color="auto"/>
      </w:divBdr>
    </w:div>
    <w:div w:id="2123722546">
      <w:marLeft w:val="0"/>
      <w:marRight w:val="0"/>
      <w:marTop w:val="0"/>
      <w:marBottom w:val="180"/>
      <w:divBdr>
        <w:top w:val="none" w:sz="0" w:space="0" w:color="auto"/>
        <w:left w:val="none" w:sz="0" w:space="0" w:color="auto"/>
        <w:bottom w:val="none" w:sz="0" w:space="0" w:color="auto"/>
        <w:right w:val="none" w:sz="0" w:space="0" w:color="auto"/>
      </w:divBdr>
    </w:div>
    <w:div w:id="2124349545">
      <w:marLeft w:val="0"/>
      <w:marRight w:val="0"/>
      <w:marTop w:val="100"/>
      <w:marBottom w:val="0"/>
      <w:divBdr>
        <w:top w:val="none" w:sz="0" w:space="0" w:color="auto"/>
        <w:left w:val="none" w:sz="0" w:space="0" w:color="auto"/>
        <w:bottom w:val="none" w:sz="0" w:space="0" w:color="auto"/>
        <w:right w:val="none" w:sz="0" w:space="0" w:color="auto"/>
      </w:divBdr>
    </w:div>
    <w:div w:id="2126000983">
      <w:marLeft w:val="0"/>
      <w:marRight w:val="0"/>
      <w:marTop w:val="0"/>
      <w:marBottom w:val="180"/>
      <w:divBdr>
        <w:top w:val="none" w:sz="0" w:space="0" w:color="auto"/>
        <w:left w:val="none" w:sz="0" w:space="0" w:color="auto"/>
        <w:bottom w:val="none" w:sz="0" w:space="0" w:color="auto"/>
        <w:right w:val="none" w:sz="0" w:space="0" w:color="auto"/>
      </w:divBdr>
    </w:div>
    <w:div w:id="2126386247">
      <w:marLeft w:val="0"/>
      <w:marRight w:val="0"/>
      <w:marTop w:val="0"/>
      <w:marBottom w:val="0"/>
      <w:divBdr>
        <w:top w:val="none" w:sz="0" w:space="0" w:color="auto"/>
        <w:left w:val="none" w:sz="0" w:space="0" w:color="auto"/>
        <w:bottom w:val="none" w:sz="0" w:space="0" w:color="auto"/>
        <w:right w:val="none" w:sz="0" w:space="0" w:color="auto"/>
      </w:divBdr>
      <w:divsChild>
        <w:div w:id="110520561">
          <w:marLeft w:val="0"/>
          <w:marRight w:val="0"/>
          <w:marTop w:val="0"/>
          <w:marBottom w:val="0"/>
          <w:divBdr>
            <w:top w:val="none" w:sz="0" w:space="0" w:color="auto"/>
            <w:left w:val="none" w:sz="0" w:space="0" w:color="auto"/>
            <w:bottom w:val="none" w:sz="0" w:space="0" w:color="auto"/>
            <w:right w:val="none" w:sz="0" w:space="0" w:color="auto"/>
          </w:divBdr>
        </w:div>
      </w:divsChild>
    </w:div>
    <w:div w:id="2128037542">
      <w:marLeft w:val="0"/>
      <w:marRight w:val="0"/>
      <w:marTop w:val="180"/>
      <w:marBottom w:val="180"/>
      <w:divBdr>
        <w:top w:val="none" w:sz="0" w:space="0" w:color="auto"/>
        <w:left w:val="none" w:sz="0" w:space="0" w:color="auto"/>
        <w:bottom w:val="none" w:sz="0" w:space="0" w:color="auto"/>
        <w:right w:val="none" w:sz="0" w:space="0" w:color="auto"/>
      </w:divBdr>
    </w:div>
    <w:div w:id="2128230556">
      <w:marLeft w:val="0"/>
      <w:marRight w:val="0"/>
      <w:marTop w:val="0"/>
      <w:marBottom w:val="0"/>
      <w:divBdr>
        <w:top w:val="none" w:sz="0" w:space="0" w:color="auto"/>
        <w:left w:val="none" w:sz="0" w:space="0" w:color="auto"/>
        <w:bottom w:val="none" w:sz="0" w:space="0" w:color="auto"/>
        <w:right w:val="none" w:sz="0" w:space="0" w:color="auto"/>
      </w:divBdr>
    </w:div>
    <w:div w:id="2128506179">
      <w:marLeft w:val="0"/>
      <w:marRight w:val="0"/>
      <w:marTop w:val="0"/>
      <w:marBottom w:val="240"/>
      <w:divBdr>
        <w:top w:val="none" w:sz="0" w:space="0" w:color="auto"/>
        <w:left w:val="none" w:sz="0" w:space="0" w:color="auto"/>
        <w:bottom w:val="none" w:sz="0" w:space="0" w:color="auto"/>
        <w:right w:val="none" w:sz="0" w:space="0" w:color="auto"/>
      </w:divBdr>
    </w:div>
    <w:div w:id="2129200797">
      <w:marLeft w:val="0"/>
      <w:marRight w:val="0"/>
      <w:marTop w:val="0"/>
      <w:marBottom w:val="240"/>
      <w:divBdr>
        <w:top w:val="none" w:sz="0" w:space="0" w:color="auto"/>
        <w:left w:val="none" w:sz="0" w:space="0" w:color="auto"/>
        <w:bottom w:val="none" w:sz="0" w:space="0" w:color="auto"/>
        <w:right w:val="none" w:sz="0" w:space="0" w:color="auto"/>
      </w:divBdr>
    </w:div>
    <w:div w:id="2129546039">
      <w:marLeft w:val="0"/>
      <w:marRight w:val="0"/>
      <w:marTop w:val="0"/>
      <w:marBottom w:val="0"/>
      <w:divBdr>
        <w:top w:val="none" w:sz="0" w:space="0" w:color="auto"/>
        <w:left w:val="none" w:sz="0" w:space="0" w:color="auto"/>
        <w:bottom w:val="none" w:sz="0" w:space="0" w:color="auto"/>
        <w:right w:val="none" w:sz="0" w:space="0" w:color="auto"/>
      </w:divBdr>
      <w:divsChild>
        <w:div w:id="1278833222">
          <w:marLeft w:val="0"/>
          <w:marRight w:val="0"/>
          <w:marTop w:val="0"/>
          <w:marBottom w:val="0"/>
          <w:divBdr>
            <w:top w:val="none" w:sz="0" w:space="0" w:color="auto"/>
            <w:left w:val="none" w:sz="0" w:space="0" w:color="auto"/>
            <w:bottom w:val="none" w:sz="0" w:space="0" w:color="auto"/>
            <w:right w:val="none" w:sz="0" w:space="0" w:color="auto"/>
          </w:divBdr>
        </w:div>
      </w:divsChild>
    </w:div>
    <w:div w:id="2129738849">
      <w:marLeft w:val="0"/>
      <w:marRight w:val="0"/>
      <w:marTop w:val="120"/>
      <w:marBottom w:val="120"/>
      <w:divBdr>
        <w:top w:val="none" w:sz="0" w:space="0" w:color="auto"/>
        <w:left w:val="none" w:sz="0" w:space="0" w:color="auto"/>
        <w:bottom w:val="none" w:sz="0" w:space="0" w:color="auto"/>
        <w:right w:val="none" w:sz="0" w:space="0" w:color="auto"/>
      </w:divBdr>
    </w:div>
    <w:div w:id="2130128197">
      <w:marLeft w:val="0"/>
      <w:marRight w:val="0"/>
      <w:marTop w:val="0"/>
      <w:marBottom w:val="180"/>
      <w:divBdr>
        <w:top w:val="none" w:sz="0" w:space="0" w:color="auto"/>
        <w:left w:val="none" w:sz="0" w:space="0" w:color="auto"/>
        <w:bottom w:val="none" w:sz="0" w:space="0" w:color="auto"/>
        <w:right w:val="none" w:sz="0" w:space="0" w:color="auto"/>
      </w:divBdr>
    </w:div>
    <w:div w:id="2130395235">
      <w:marLeft w:val="0"/>
      <w:marRight w:val="0"/>
      <w:marTop w:val="0"/>
      <w:marBottom w:val="180"/>
      <w:divBdr>
        <w:top w:val="none" w:sz="0" w:space="0" w:color="auto"/>
        <w:left w:val="none" w:sz="0" w:space="0" w:color="auto"/>
        <w:bottom w:val="none" w:sz="0" w:space="0" w:color="auto"/>
        <w:right w:val="none" w:sz="0" w:space="0" w:color="auto"/>
      </w:divBdr>
    </w:div>
    <w:div w:id="2130779063">
      <w:marLeft w:val="0"/>
      <w:marRight w:val="0"/>
      <w:marTop w:val="0"/>
      <w:marBottom w:val="0"/>
      <w:divBdr>
        <w:top w:val="none" w:sz="0" w:space="0" w:color="auto"/>
        <w:left w:val="none" w:sz="0" w:space="0" w:color="auto"/>
        <w:bottom w:val="none" w:sz="0" w:space="0" w:color="auto"/>
        <w:right w:val="none" w:sz="0" w:space="0" w:color="auto"/>
      </w:divBdr>
      <w:divsChild>
        <w:div w:id="1554078262">
          <w:marLeft w:val="0"/>
          <w:marRight w:val="0"/>
          <w:marTop w:val="0"/>
          <w:marBottom w:val="0"/>
          <w:divBdr>
            <w:top w:val="none" w:sz="0" w:space="0" w:color="auto"/>
            <w:left w:val="none" w:sz="0" w:space="0" w:color="auto"/>
            <w:bottom w:val="none" w:sz="0" w:space="0" w:color="auto"/>
            <w:right w:val="none" w:sz="0" w:space="0" w:color="auto"/>
          </w:divBdr>
        </w:div>
      </w:divsChild>
    </w:div>
    <w:div w:id="2131195671">
      <w:marLeft w:val="0"/>
      <w:marRight w:val="0"/>
      <w:marTop w:val="0"/>
      <w:marBottom w:val="240"/>
      <w:divBdr>
        <w:top w:val="none" w:sz="0" w:space="0" w:color="auto"/>
        <w:left w:val="none" w:sz="0" w:space="0" w:color="auto"/>
        <w:bottom w:val="none" w:sz="0" w:space="0" w:color="auto"/>
        <w:right w:val="none" w:sz="0" w:space="0" w:color="auto"/>
      </w:divBdr>
    </w:div>
    <w:div w:id="2131237755">
      <w:marLeft w:val="0"/>
      <w:marRight w:val="0"/>
      <w:marTop w:val="0"/>
      <w:marBottom w:val="0"/>
      <w:divBdr>
        <w:top w:val="none" w:sz="0" w:space="0" w:color="auto"/>
        <w:left w:val="none" w:sz="0" w:space="0" w:color="auto"/>
        <w:bottom w:val="none" w:sz="0" w:space="0" w:color="auto"/>
        <w:right w:val="none" w:sz="0" w:space="0" w:color="auto"/>
      </w:divBdr>
    </w:div>
    <w:div w:id="2133015056">
      <w:marLeft w:val="0"/>
      <w:marRight w:val="0"/>
      <w:marTop w:val="0"/>
      <w:marBottom w:val="180"/>
      <w:divBdr>
        <w:top w:val="none" w:sz="0" w:space="0" w:color="auto"/>
        <w:left w:val="none" w:sz="0" w:space="0" w:color="auto"/>
        <w:bottom w:val="none" w:sz="0" w:space="0" w:color="auto"/>
        <w:right w:val="none" w:sz="0" w:space="0" w:color="auto"/>
      </w:divBdr>
    </w:div>
    <w:div w:id="2133282965">
      <w:marLeft w:val="0"/>
      <w:marRight w:val="0"/>
      <w:marTop w:val="0"/>
      <w:marBottom w:val="180"/>
      <w:divBdr>
        <w:top w:val="none" w:sz="0" w:space="0" w:color="auto"/>
        <w:left w:val="none" w:sz="0" w:space="0" w:color="auto"/>
        <w:bottom w:val="none" w:sz="0" w:space="0" w:color="auto"/>
        <w:right w:val="none" w:sz="0" w:space="0" w:color="auto"/>
      </w:divBdr>
    </w:div>
    <w:div w:id="2133740120">
      <w:marLeft w:val="0"/>
      <w:marRight w:val="0"/>
      <w:marTop w:val="0"/>
      <w:marBottom w:val="0"/>
      <w:divBdr>
        <w:top w:val="none" w:sz="0" w:space="0" w:color="auto"/>
        <w:left w:val="none" w:sz="0" w:space="0" w:color="auto"/>
        <w:bottom w:val="none" w:sz="0" w:space="0" w:color="auto"/>
        <w:right w:val="none" w:sz="0" w:space="0" w:color="auto"/>
      </w:divBdr>
      <w:divsChild>
        <w:div w:id="1628781225">
          <w:marLeft w:val="0"/>
          <w:marRight w:val="0"/>
          <w:marTop w:val="0"/>
          <w:marBottom w:val="0"/>
          <w:divBdr>
            <w:top w:val="none" w:sz="0" w:space="0" w:color="auto"/>
            <w:left w:val="none" w:sz="0" w:space="0" w:color="auto"/>
            <w:bottom w:val="none" w:sz="0" w:space="0" w:color="auto"/>
            <w:right w:val="none" w:sz="0" w:space="0" w:color="auto"/>
          </w:divBdr>
        </w:div>
      </w:divsChild>
    </w:div>
    <w:div w:id="2136479232">
      <w:marLeft w:val="0"/>
      <w:marRight w:val="0"/>
      <w:marTop w:val="0"/>
      <w:marBottom w:val="180"/>
      <w:divBdr>
        <w:top w:val="none" w:sz="0" w:space="0" w:color="auto"/>
        <w:left w:val="none" w:sz="0" w:space="0" w:color="auto"/>
        <w:bottom w:val="none" w:sz="0" w:space="0" w:color="auto"/>
        <w:right w:val="none" w:sz="0" w:space="0" w:color="auto"/>
      </w:divBdr>
    </w:div>
    <w:div w:id="2136677396">
      <w:marLeft w:val="0"/>
      <w:marRight w:val="0"/>
      <w:marTop w:val="0"/>
      <w:marBottom w:val="0"/>
      <w:divBdr>
        <w:top w:val="none" w:sz="0" w:space="0" w:color="auto"/>
        <w:left w:val="none" w:sz="0" w:space="0" w:color="auto"/>
        <w:bottom w:val="none" w:sz="0" w:space="0" w:color="auto"/>
        <w:right w:val="none" w:sz="0" w:space="0" w:color="auto"/>
      </w:divBdr>
    </w:div>
    <w:div w:id="2137066101">
      <w:marLeft w:val="0"/>
      <w:marRight w:val="0"/>
      <w:marTop w:val="0"/>
      <w:marBottom w:val="0"/>
      <w:divBdr>
        <w:top w:val="none" w:sz="0" w:space="0" w:color="auto"/>
        <w:left w:val="none" w:sz="0" w:space="0" w:color="auto"/>
        <w:bottom w:val="none" w:sz="0" w:space="0" w:color="auto"/>
        <w:right w:val="none" w:sz="0" w:space="0" w:color="auto"/>
      </w:divBdr>
    </w:div>
    <w:div w:id="2137604839">
      <w:marLeft w:val="0"/>
      <w:marRight w:val="0"/>
      <w:marTop w:val="0"/>
      <w:marBottom w:val="0"/>
      <w:divBdr>
        <w:top w:val="none" w:sz="0" w:space="0" w:color="auto"/>
        <w:left w:val="none" w:sz="0" w:space="0" w:color="auto"/>
        <w:bottom w:val="none" w:sz="0" w:space="0" w:color="auto"/>
        <w:right w:val="none" w:sz="0" w:space="0" w:color="auto"/>
      </w:divBdr>
      <w:divsChild>
        <w:div w:id="1709529344">
          <w:marLeft w:val="0"/>
          <w:marRight w:val="0"/>
          <w:marTop w:val="0"/>
          <w:marBottom w:val="0"/>
          <w:divBdr>
            <w:top w:val="none" w:sz="0" w:space="0" w:color="auto"/>
            <w:left w:val="none" w:sz="0" w:space="0" w:color="auto"/>
            <w:bottom w:val="none" w:sz="0" w:space="0" w:color="auto"/>
            <w:right w:val="none" w:sz="0" w:space="0" w:color="auto"/>
          </w:divBdr>
        </w:div>
      </w:divsChild>
    </w:div>
    <w:div w:id="2137789910">
      <w:marLeft w:val="0"/>
      <w:marRight w:val="0"/>
      <w:marTop w:val="0"/>
      <w:marBottom w:val="180"/>
      <w:divBdr>
        <w:top w:val="none" w:sz="0" w:space="0" w:color="auto"/>
        <w:left w:val="none" w:sz="0" w:space="0" w:color="auto"/>
        <w:bottom w:val="none" w:sz="0" w:space="0" w:color="auto"/>
        <w:right w:val="none" w:sz="0" w:space="0" w:color="auto"/>
      </w:divBdr>
    </w:div>
    <w:div w:id="2138208696">
      <w:marLeft w:val="0"/>
      <w:marRight w:val="0"/>
      <w:marTop w:val="0"/>
      <w:marBottom w:val="240"/>
      <w:divBdr>
        <w:top w:val="none" w:sz="0" w:space="0" w:color="auto"/>
        <w:left w:val="none" w:sz="0" w:space="0" w:color="auto"/>
        <w:bottom w:val="none" w:sz="0" w:space="0" w:color="auto"/>
        <w:right w:val="none" w:sz="0" w:space="0" w:color="auto"/>
      </w:divBdr>
    </w:div>
    <w:div w:id="2138406497">
      <w:marLeft w:val="0"/>
      <w:marRight w:val="0"/>
      <w:marTop w:val="0"/>
      <w:marBottom w:val="0"/>
      <w:divBdr>
        <w:top w:val="none" w:sz="0" w:space="0" w:color="auto"/>
        <w:left w:val="none" w:sz="0" w:space="0" w:color="auto"/>
        <w:bottom w:val="none" w:sz="0" w:space="0" w:color="auto"/>
        <w:right w:val="none" w:sz="0" w:space="0" w:color="auto"/>
      </w:divBdr>
      <w:divsChild>
        <w:div w:id="1256017635">
          <w:marLeft w:val="0"/>
          <w:marRight w:val="0"/>
          <w:marTop w:val="0"/>
          <w:marBottom w:val="0"/>
          <w:divBdr>
            <w:top w:val="none" w:sz="0" w:space="0" w:color="auto"/>
            <w:left w:val="none" w:sz="0" w:space="0" w:color="auto"/>
            <w:bottom w:val="none" w:sz="0" w:space="0" w:color="auto"/>
            <w:right w:val="none" w:sz="0" w:space="0" w:color="auto"/>
          </w:divBdr>
        </w:div>
      </w:divsChild>
    </w:div>
    <w:div w:id="2139030927">
      <w:marLeft w:val="0"/>
      <w:marRight w:val="0"/>
      <w:marTop w:val="0"/>
      <w:marBottom w:val="180"/>
      <w:divBdr>
        <w:top w:val="none" w:sz="0" w:space="0" w:color="auto"/>
        <w:left w:val="none" w:sz="0" w:space="0" w:color="auto"/>
        <w:bottom w:val="none" w:sz="0" w:space="0" w:color="auto"/>
        <w:right w:val="none" w:sz="0" w:space="0" w:color="auto"/>
      </w:divBdr>
    </w:div>
    <w:div w:id="2139294462">
      <w:marLeft w:val="0"/>
      <w:marRight w:val="0"/>
      <w:marTop w:val="180"/>
      <w:marBottom w:val="180"/>
      <w:divBdr>
        <w:top w:val="none" w:sz="0" w:space="0" w:color="auto"/>
        <w:left w:val="none" w:sz="0" w:space="0" w:color="auto"/>
        <w:bottom w:val="none" w:sz="0" w:space="0" w:color="auto"/>
        <w:right w:val="none" w:sz="0" w:space="0" w:color="auto"/>
      </w:divBdr>
    </w:div>
    <w:div w:id="2140026532">
      <w:marLeft w:val="0"/>
      <w:marRight w:val="0"/>
      <w:marTop w:val="0"/>
      <w:marBottom w:val="180"/>
      <w:divBdr>
        <w:top w:val="none" w:sz="0" w:space="0" w:color="auto"/>
        <w:left w:val="none" w:sz="0" w:space="0" w:color="auto"/>
        <w:bottom w:val="none" w:sz="0" w:space="0" w:color="auto"/>
        <w:right w:val="none" w:sz="0" w:space="0" w:color="auto"/>
      </w:divBdr>
    </w:div>
    <w:div w:id="2141411039">
      <w:marLeft w:val="0"/>
      <w:marRight w:val="0"/>
      <w:marTop w:val="0"/>
      <w:marBottom w:val="180"/>
      <w:divBdr>
        <w:top w:val="none" w:sz="0" w:space="0" w:color="auto"/>
        <w:left w:val="none" w:sz="0" w:space="0" w:color="auto"/>
        <w:bottom w:val="none" w:sz="0" w:space="0" w:color="auto"/>
        <w:right w:val="none" w:sz="0" w:space="0" w:color="auto"/>
      </w:divBdr>
    </w:div>
    <w:div w:id="2141993022">
      <w:marLeft w:val="0"/>
      <w:marRight w:val="0"/>
      <w:marTop w:val="0"/>
      <w:marBottom w:val="0"/>
      <w:divBdr>
        <w:top w:val="none" w:sz="0" w:space="0" w:color="auto"/>
        <w:left w:val="none" w:sz="0" w:space="0" w:color="auto"/>
        <w:bottom w:val="none" w:sz="0" w:space="0" w:color="auto"/>
        <w:right w:val="none" w:sz="0" w:space="0" w:color="auto"/>
      </w:divBdr>
      <w:divsChild>
        <w:div w:id="673071118">
          <w:marLeft w:val="0"/>
          <w:marRight w:val="0"/>
          <w:marTop w:val="0"/>
          <w:marBottom w:val="0"/>
          <w:divBdr>
            <w:top w:val="none" w:sz="0" w:space="0" w:color="auto"/>
            <w:left w:val="none" w:sz="0" w:space="0" w:color="auto"/>
            <w:bottom w:val="none" w:sz="0" w:space="0" w:color="auto"/>
            <w:right w:val="none" w:sz="0" w:space="0" w:color="auto"/>
          </w:divBdr>
        </w:div>
      </w:divsChild>
    </w:div>
    <w:div w:id="2142846579">
      <w:marLeft w:val="0"/>
      <w:marRight w:val="0"/>
      <w:marTop w:val="100"/>
      <w:marBottom w:val="0"/>
      <w:divBdr>
        <w:top w:val="none" w:sz="0" w:space="0" w:color="auto"/>
        <w:left w:val="none" w:sz="0" w:space="0" w:color="auto"/>
        <w:bottom w:val="none" w:sz="0" w:space="0" w:color="auto"/>
        <w:right w:val="none" w:sz="0" w:space="0" w:color="auto"/>
      </w:divBdr>
    </w:div>
    <w:div w:id="2144080569">
      <w:marLeft w:val="0"/>
      <w:marRight w:val="0"/>
      <w:marTop w:val="0"/>
      <w:marBottom w:val="240"/>
      <w:divBdr>
        <w:top w:val="none" w:sz="0" w:space="0" w:color="auto"/>
        <w:left w:val="none" w:sz="0" w:space="0" w:color="auto"/>
        <w:bottom w:val="none" w:sz="0" w:space="0" w:color="auto"/>
        <w:right w:val="none" w:sz="0" w:space="0" w:color="auto"/>
      </w:divBdr>
    </w:div>
    <w:div w:id="2144157491">
      <w:marLeft w:val="0"/>
      <w:marRight w:val="0"/>
      <w:marTop w:val="100"/>
      <w:marBottom w:val="180"/>
      <w:divBdr>
        <w:top w:val="none" w:sz="0" w:space="0" w:color="auto"/>
        <w:left w:val="none" w:sz="0" w:space="0" w:color="auto"/>
        <w:bottom w:val="none" w:sz="0" w:space="0" w:color="auto"/>
        <w:right w:val="none" w:sz="0" w:space="0" w:color="auto"/>
      </w:divBdr>
    </w:div>
    <w:div w:id="2144691803">
      <w:marLeft w:val="0"/>
      <w:marRight w:val="0"/>
      <w:marTop w:val="0"/>
      <w:marBottom w:val="0"/>
      <w:divBdr>
        <w:top w:val="none" w:sz="0" w:space="0" w:color="auto"/>
        <w:left w:val="none" w:sz="0" w:space="0" w:color="auto"/>
        <w:bottom w:val="none" w:sz="0" w:space="0" w:color="auto"/>
        <w:right w:val="none" w:sz="0" w:space="0" w:color="auto"/>
      </w:divBdr>
    </w:div>
    <w:div w:id="2145586844">
      <w:marLeft w:val="0"/>
      <w:marRight w:val="0"/>
      <w:marTop w:val="0"/>
      <w:marBottom w:val="0"/>
      <w:divBdr>
        <w:top w:val="none" w:sz="0" w:space="0" w:color="auto"/>
        <w:left w:val="none" w:sz="0" w:space="0" w:color="auto"/>
        <w:bottom w:val="none" w:sz="0" w:space="0" w:color="auto"/>
        <w:right w:val="none" w:sz="0" w:space="0" w:color="auto"/>
      </w:divBdr>
      <w:divsChild>
        <w:div w:id="1293291955">
          <w:marLeft w:val="0"/>
          <w:marRight w:val="0"/>
          <w:marTop w:val="0"/>
          <w:marBottom w:val="0"/>
          <w:divBdr>
            <w:top w:val="none" w:sz="0" w:space="0" w:color="auto"/>
            <w:left w:val="none" w:sz="0" w:space="0" w:color="auto"/>
            <w:bottom w:val="none" w:sz="0" w:space="0" w:color="auto"/>
            <w:right w:val="none" w:sz="0" w:space="0" w:color="auto"/>
          </w:divBdr>
        </w:div>
      </w:divsChild>
    </w:div>
    <w:div w:id="2146042282">
      <w:marLeft w:val="0"/>
      <w:marRight w:val="0"/>
      <w:marTop w:val="180"/>
      <w:marBottom w:val="180"/>
      <w:divBdr>
        <w:top w:val="none" w:sz="0" w:space="0" w:color="auto"/>
        <w:left w:val="none" w:sz="0" w:space="0" w:color="auto"/>
        <w:bottom w:val="none" w:sz="0" w:space="0" w:color="auto"/>
        <w:right w:val="none" w:sz="0" w:space="0" w:color="auto"/>
      </w:divBdr>
    </w:div>
    <w:div w:id="2147158374">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333986/000156459018023772/eqh-ex4_19.htm" TargetMode="External"/><Relationship Id="rId117" Type="http://schemas.openxmlformats.org/officeDocument/2006/relationships/hyperlink" Target="eqh-12312022exhibit312.htm" TargetMode="External"/><Relationship Id="rId21" Type="http://schemas.openxmlformats.org/officeDocument/2006/relationships/hyperlink" Target="https://www.sec.gov/Archives/edgar/data/1333986/000119312520216340/d64111dex31.htm" TargetMode="External"/><Relationship Id="rId42" Type="http://schemas.openxmlformats.org/officeDocument/2006/relationships/hyperlink" Target="http://www.sec.gov/Archives/edgar/data/1333986/000133398618000006/aeh-03312018xexhibit106.htm" TargetMode="External"/><Relationship Id="rId47" Type="http://schemas.openxmlformats.org/officeDocument/2006/relationships/hyperlink" Target="https://www.sec.gov/Archives/edgar/data/825313/000082531316000046/ab-20151231xex1005.htm" TargetMode="External"/><Relationship Id="rId63" Type="http://schemas.openxmlformats.org/officeDocument/2006/relationships/hyperlink" Target="https://www.sec.gov/Archives/edgar/data/1333986/000156459021035086/eqh-ex104_38.htm" TargetMode="External"/><Relationship Id="rId68" Type="http://schemas.openxmlformats.org/officeDocument/2006/relationships/hyperlink" Target="https://www.sec.gov/Archives/edgar/data/1333986/000156459021015823/eqh-ex106_22.htm" TargetMode="External"/><Relationship Id="rId84" Type="http://schemas.openxmlformats.org/officeDocument/2006/relationships/hyperlink" Target="http://www.sec.gov/Archives/edgar/data/1333986/000119312518132723/d334112dex1047.htm" TargetMode="External"/><Relationship Id="rId89" Type="http://schemas.openxmlformats.org/officeDocument/2006/relationships/hyperlink" Target="http://www.sec.gov/Archives/edgar/data/1333986/000119312518132723/d334112dex1051.htm" TargetMode="External"/><Relationship Id="rId112" Type="http://schemas.openxmlformats.org/officeDocument/2006/relationships/hyperlink" Target="https://www.sec.gov/Archives/edgar/data/1333986/000133398622000022/eqh-93022exhibit101.htm" TargetMode="External"/><Relationship Id="rId16" Type="http://schemas.openxmlformats.org/officeDocument/2006/relationships/image" Target="file:///E:\projects\LLMs\new_data_collection\data_new\htm\Equitable%20Holdings,%20Inc\eqh-20221231_g13.jpg" TargetMode="External"/><Relationship Id="rId107" Type="http://schemas.openxmlformats.org/officeDocument/2006/relationships/hyperlink" Target="https://www.sec.gov/Archives/edgar/data/1109448/000110944822000008/ablp-2021exhibit1003.htm" TargetMode="External"/><Relationship Id="rId11" Type="http://schemas.openxmlformats.org/officeDocument/2006/relationships/image" Target="file:///E:\projects\LLMs\new_data_collection\data_new\htm\Equitable%20Holdings,%20Inc\eqh-20221231_g8.jpg" TargetMode="External"/><Relationship Id="rId32" Type="http://schemas.openxmlformats.org/officeDocument/2006/relationships/hyperlink" Target="eqh-12312022exhibit411.htm" TargetMode="External"/><Relationship Id="rId37" Type="http://schemas.openxmlformats.org/officeDocument/2006/relationships/hyperlink" Target="http://www.sec.gov/Archives/edgar/data/1333986/000119312518110200/d334112dex1072.htm" TargetMode="External"/><Relationship Id="rId53" Type="http://schemas.openxmlformats.org/officeDocument/2006/relationships/hyperlink" Target="http://www.sec.gov/Archives/edgar/data/825313/000082531318000011/a2017_exhibit1006.htm" TargetMode="External"/><Relationship Id="rId58" Type="http://schemas.openxmlformats.org/officeDocument/2006/relationships/hyperlink" Target="http://www.sec.gov/Archives/edgar/data/1333986/000119312518110200/d334112dex1026.htm" TargetMode="External"/><Relationship Id="rId74" Type="http://schemas.openxmlformats.org/officeDocument/2006/relationships/hyperlink" Target="https://www.sec.gov/Archives/edgar/data/1333986/000156459021015823/eqh-ex108_20.htm" TargetMode="External"/><Relationship Id="rId79" Type="http://schemas.openxmlformats.org/officeDocument/2006/relationships/hyperlink" Target="https://www.sec.gov/Archives/edgar/data/1333986/000156459021035086/eqh-ex109_33.htm" TargetMode="External"/><Relationship Id="rId102" Type="http://schemas.openxmlformats.org/officeDocument/2006/relationships/hyperlink" Target="https://www.sec.gov/Archives/edgar/data/1333986/000133398621000011/eqh-123120exhibit1058.htm" TargetMode="External"/><Relationship Id="rId5" Type="http://schemas.openxmlformats.org/officeDocument/2006/relationships/image" Target="file:///E:\projects\LLMs\new_data_collection\data_new\htm\Equitable%20Holdings,%20Inc\eqh-20221231_g2.jpg" TargetMode="External"/><Relationship Id="rId90" Type="http://schemas.openxmlformats.org/officeDocument/2006/relationships/hyperlink" Target="http://www.sec.gov/Archives/edgar/data/1333986/000119312518132723/d334112dex1052.htm" TargetMode="External"/><Relationship Id="rId95" Type="http://schemas.openxmlformats.org/officeDocument/2006/relationships/hyperlink" Target="http://www.sec.gov/Archives/edgar/data/1333986/000119312518132723/d334112dex1057.htm" TargetMode="External"/><Relationship Id="rId22" Type="http://schemas.openxmlformats.org/officeDocument/2006/relationships/hyperlink" Target="https://www.sec.gov/Archives/edgar/data/1333986/000119312521003213/d944972dex31.htm" TargetMode="External"/><Relationship Id="rId27" Type="http://schemas.openxmlformats.org/officeDocument/2006/relationships/hyperlink" Target="http://www.sec.gov/Archives/edgar/data/1333986/000119312518125782/d334112dex44.htm" TargetMode="External"/><Relationship Id="rId43" Type="http://schemas.openxmlformats.org/officeDocument/2006/relationships/hyperlink" Target="http://www.sec.gov/Archives/edgar/data/825313/000082531316000046/ab-20151231xex1008.htm" TargetMode="External"/><Relationship Id="rId48" Type="http://schemas.openxmlformats.org/officeDocument/2006/relationships/hyperlink" Target="https://www.sec.gov/Archives/edgar/data/825313/000082531317000008/a201610-kxexhibit1006.htm" TargetMode="External"/><Relationship Id="rId64" Type="http://schemas.openxmlformats.org/officeDocument/2006/relationships/hyperlink" Target="http://www.sec.gov/Archives/edgar/data/1333986/000119312518110200/d334112dex1028.htm" TargetMode="External"/><Relationship Id="rId69" Type="http://schemas.openxmlformats.org/officeDocument/2006/relationships/hyperlink" Target="https://www.sec.gov/Archives/edgar/data/1333986/000156459021035086/eqh-ex106_36.htm" TargetMode="External"/><Relationship Id="rId113" Type="http://schemas.openxmlformats.org/officeDocument/2006/relationships/hyperlink" Target="https://www.sec.gov/Archives/edgar/data/1333986/000133398622000022/eqh93022-exhibit102.htm" TargetMode="External"/><Relationship Id="rId118" Type="http://schemas.openxmlformats.org/officeDocument/2006/relationships/hyperlink" Target="eqh-12312022exhibit321.htm" TargetMode="External"/><Relationship Id="rId80" Type="http://schemas.openxmlformats.org/officeDocument/2006/relationships/hyperlink" Target="https://www.sec.gov/Archives/edgar/data/1333986/000156459022023006/eqh-ex101_13.htm" TargetMode="External"/><Relationship Id="rId85" Type="http://schemas.openxmlformats.org/officeDocument/2006/relationships/hyperlink" Target="http://www.sec.gov/Archives/edgar/data/1333986/000119312518132723/d334112dex1048.htm" TargetMode="External"/><Relationship Id="rId12" Type="http://schemas.openxmlformats.org/officeDocument/2006/relationships/image" Target="file:///E:\projects\LLMs\new_data_collection\data_new\htm\Equitable%20Holdings,%20Inc\eqh-20221231_g9.jpg" TargetMode="External"/><Relationship Id="rId17" Type="http://schemas.openxmlformats.org/officeDocument/2006/relationships/image" Target="file:///E:\projects\LLMs\new_data_collection\data_new\htm\Equitable%20Holdings,%20Inc\eqh-20221231_g14.jpg" TargetMode="External"/><Relationship Id="rId33" Type="http://schemas.openxmlformats.org/officeDocument/2006/relationships/hyperlink" Target="http://www.sec.gov/Archives/edgar/data/1333986/000119312518110200/d334112dex105.htm" TargetMode="External"/><Relationship Id="rId38" Type="http://schemas.openxmlformats.org/officeDocument/2006/relationships/hyperlink" Target="http://www.sec.gov/Archives/edgar/data/1333986/000133398619000010/markpearsonemploymentagree.htm" TargetMode="External"/><Relationship Id="rId59" Type="http://schemas.openxmlformats.org/officeDocument/2006/relationships/hyperlink" Target="https://www.sec.gov/Archives/edgar/data/1333986/000156459021015823/eqh-ex103_25.htm" TargetMode="External"/><Relationship Id="rId103" Type="http://schemas.openxmlformats.org/officeDocument/2006/relationships/hyperlink" Target="https://www.sec.gov/Archives/edgar/data/1109448/000110944822000008/ablp-2021exhibit1001.htm" TargetMode="External"/><Relationship Id="rId108" Type="http://schemas.openxmlformats.org/officeDocument/2006/relationships/hyperlink" Target="https://www.sec.gov/Archives/edgar/data/825313/000082531320000077/exhibit9901theplan.htm" TargetMode="External"/><Relationship Id="rId54" Type="http://schemas.openxmlformats.org/officeDocument/2006/relationships/hyperlink" Target="https://www.sec.gov/Archives/edgar/data/1333986/000156459021035086/eqh-ex101_32.htm" TargetMode="External"/><Relationship Id="rId70" Type="http://schemas.openxmlformats.org/officeDocument/2006/relationships/hyperlink" Target="http://www.sec.gov/Archives/edgar/data/1333986/000119312518110200/d334112dex1030.htm" TargetMode="External"/><Relationship Id="rId75" Type="http://schemas.openxmlformats.org/officeDocument/2006/relationships/hyperlink" Target="https://www.sec.gov/Archives/edgar/data/1333986/000156459021035086/eqh-ex108_34.htm" TargetMode="External"/><Relationship Id="rId91" Type="http://schemas.openxmlformats.org/officeDocument/2006/relationships/hyperlink" Target="http://www.sec.gov/Archives/edgar/data/1333986/000119312518132723/d334112dex1053.htm" TargetMode="External"/><Relationship Id="rId96" Type="http://schemas.openxmlformats.org/officeDocument/2006/relationships/hyperlink" Target="http://www.sec.gov/Archives/edgar/data/1333986/000133398619000010/omnibusincentiveplan.htm" TargetMode="External"/><Relationship Id="rId1" Type="http://schemas.openxmlformats.org/officeDocument/2006/relationships/styles" Target="styles.xml"/><Relationship Id="rId6" Type="http://schemas.openxmlformats.org/officeDocument/2006/relationships/image" Target="file:///E:\projects\LLMs\new_data_collection\data_new\htm\Equitable%20Holdings,%20Inc\eqh-20221231_g3.jpg" TargetMode="External"/><Relationship Id="rId23" Type="http://schemas.openxmlformats.org/officeDocument/2006/relationships/hyperlink" Target="http://www.sec.gov/Archives/edgar/data/0001333986/000119312518125782/d334112dex41.htm" TargetMode="External"/><Relationship Id="rId28" Type="http://schemas.openxmlformats.org/officeDocument/2006/relationships/hyperlink" Target="http://www.sec.gov/Archives/edgar/data/1333986/000119312518125782/d334112dex45.htm" TargetMode="External"/><Relationship Id="rId49" Type="http://schemas.openxmlformats.org/officeDocument/2006/relationships/hyperlink" Target="https://www.sec.gov/Archives/edgar/data/825313/000082531319000006/ab-2018exhibit1012.htm" TargetMode="External"/><Relationship Id="rId114" Type="http://schemas.openxmlformats.org/officeDocument/2006/relationships/hyperlink" Target="eqh-123122exhibit211.htm" TargetMode="External"/><Relationship Id="rId119" Type="http://schemas.openxmlformats.org/officeDocument/2006/relationships/hyperlink" Target="eqh-12312022exhibit322.htm" TargetMode="External"/><Relationship Id="rId44" Type="http://schemas.openxmlformats.org/officeDocument/2006/relationships/hyperlink" Target="http://www.sec.gov/Archives/edgar/data/825313/000082531316000046/ab-20151231xex1009.htm" TargetMode="External"/><Relationship Id="rId60" Type="http://schemas.openxmlformats.org/officeDocument/2006/relationships/hyperlink" Target="https://www.sec.gov/Archives/edgar/data/1333986/000156459021035086/eqh-ex103_39.htm" TargetMode="External"/><Relationship Id="rId65" Type="http://schemas.openxmlformats.org/officeDocument/2006/relationships/hyperlink" Target="https://www.sec.gov/Archives/edgar/data/1333986/000156459021015823/eqh-ex105_23.htm" TargetMode="External"/><Relationship Id="rId81" Type="http://schemas.openxmlformats.org/officeDocument/2006/relationships/hyperlink" Target="http://www.sec.gov/Archives/edgar/data/1333986/000119312518132723/d334112dex1045.htm" TargetMode="External"/><Relationship Id="rId86" Type="http://schemas.openxmlformats.org/officeDocument/2006/relationships/hyperlink" Target="http://www.sec.gov/Archives/edgar/data/1333986/000119312518132723/d334112dex1049.htm" TargetMode="External"/><Relationship Id="rId4" Type="http://schemas.openxmlformats.org/officeDocument/2006/relationships/image" Target="file:///E:\projects\LLMs\new_data_collection\data_new\htm\Equitable%20Holdings,%20Inc\eqh-20221231_g1.jpg" TargetMode="External"/><Relationship Id="rId9" Type="http://schemas.openxmlformats.org/officeDocument/2006/relationships/image" Target="file:///E:\projects\LLMs\new_data_collection\data_new\htm\Equitable%20Holdings,%20Inc\eqh-20221231_g6.jpg" TargetMode="External"/><Relationship Id="rId13" Type="http://schemas.openxmlformats.org/officeDocument/2006/relationships/image" Target="file:///E:\projects\LLMs\new_data_collection\data_new\htm\Equitable%20Holdings,%20Inc\eqh-20221231_g10.jpg" TargetMode="External"/><Relationship Id="rId18" Type="http://schemas.openxmlformats.org/officeDocument/2006/relationships/hyperlink" Target="https://www.sec.gov/Archives/edgar/data/1333986/000156459022020876/eqh-ex31_26.htm" TargetMode="External"/><Relationship Id="rId39" Type="http://schemas.openxmlformats.org/officeDocument/2006/relationships/hyperlink" Target="http://www.sec.gov/Archives/edgar/data/1333986/000133398619000026/eqh-63019exhibit101.htm" TargetMode="External"/><Relationship Id="rId109" Type="http://schemas.openxmlformats.org/officeDocument/2006/relationships/hyperlink" Target="https://www.sec.gov/Archives/edgar/data/1109448/000110944822000008/ablp-2021exhibit1003.htm" TargetMode="External"/><Relationship Id="rId34" Type="http://schemas.openxmlformats.org/officeDocument/2006/relationships/hyperlink" Target="https://www.sec.gov/Archives/edgar/data/1333986/000119312518110200/d334112dex107.htm" TargetMode="External"/><Relationship Id="rId50" Type="http://schemas.openxmlformats.org/officeDocument/2006/relationships/hyperlink" Target="http://www.sec.gov/Archives/edgar/data/825313/000082531317000028/exhibit103.htm" TargetMode="External"/><Relationship Id="rId55" Type="http://schemas.openxmlformats.org/officeDocument/2006/relationships/hyperlink" Target="http://www.sec.gov/Archives/edgar/data/1333986/000119312518110200/d334112dex1025.htm" TargetMode="External"/><Relationship Id="rId76" Type="http://schemas.openxmlformats.org/officeDocument/2006/relationships/hyperlink" Target="https://www.sec.gov/Archives/edgar/data/1333986/000156459021060572/eqh-ex101_6.htm" TargetMode="External"/><Relationship Id="rId97" Type="http://schemas.openxmlformats.org/officeDocument/2006/relationships/hyperlink" Target="http://www.sec.gov/Archives/edgar/data/1333986/000133398619000010/a1062stockpurchaseplan.htm" TargetMode="External"/><Relationship Id="rId104" Type="http://schemas.openxmlformats.org/officeDocument/2006/relationships/hyperlink" Target="https://www.sec.gov/Archives/edgar/data/1109448/000110944822000008/ablp-2021exhibit1002.htm" TargetMode="External"/><Relationship Id="rId120" Type="http://schemas.openxmlformats.org/officeDocument/2006/relationships/fontTable" Target="fontTable.xml"/><Relationship Id="rId7" Type="http://schemas.openxmlformats.org/officeDocument/2006/relationships/image" Target="file:///E:\projects\LLMs\new_data_collection\data_new\htm\Equitable%20Holdings,%20Inc\eqh-20221231_g4.jpg" TargetMode="External"/><Relationship Id="rId71" Type="http://schemas.openxmlformats.org/officeDocument/2006/relationships/hyperlink" Target="https://www.sec.gov/Archives/edgar/data/1333986/000156459021015823/eqh-ex107_21.htm" TargetMode="External"/><Relationship Id="rId92" Type="http://schemas.openxmlformats.org/officeDocument/2006/relationships/hyperlink" Target="http://www.sec.gov/Archives/edgar/data/1333986/000119312518132723/d334112dex1054.htm" TargetMode="External"/><Relationship Id="rId2" Type="http://schemas.openxmlformats.org/officeDocument/2006/relationships/settings" Target="settings.xml"/><Relationship Id="rId29" Type="http://schemas.openxmlformats.org/officeDocument/2006/relationships/hyperlink" Target="http://www.sec.gov/Archives/edgar/data/1333986/000119312518125782/d334112dex46.htm" TargetMode="External"/><Relationship Id="rId24" Type="http://schemas.openxmlformats.org/officeDocument/2006/relationships/hyperlink" Target="https://www.sec.gov/Archives/edgar/data/1333986/000119312518110200/d334112dex42.htm" TargetMode="External"/><Relationship Id="rId40" Type="http://schemas.openxmlformats.org/officeDocument/2006/relationships/hyperlink" Target="http://www.sec.gov/Archives/edgar/data/1333986/000156459019046393/eqh-ex101_6.htm" TargetMode="External"/><Relationship Id="rId45" Type="http://schemas.openxmlformats.org/officeDocument/2006/relationships/hyperlink" Target="http://www.sec.gov/Archives/edgar/data/825313/000082531316000046/ab-20151231xex1010.htm" TargetMode="External"/><Relationship Id="rId66" Type="http://schemas.openxmlformats.org/officeDocument/2006/relationships/hyperlink" Target="https://www.sec.gov/Archives/edgar/data/1333986/000156459021035086/eqh-ex105_37.htm" TargetMode="External"/><Relationship Id="rId87" Type="http://schemas.openxmlformats.org/officeDocument/2006/relationships/hyperlink" Target="https://www.sec.gov/Archives/edgar/data/1333986/000133398619000010/ex1069variabledeferredcomp.htm" TargetMode="External"/><Relationship Id="rId110" Type="http://schemas.openxmlformats.org/officeDocument/2006/relationships/hyperlink" Target="https://www.sec.gov/Archives/edgar/data/0001333986/000133398621000011/eqh-123120exhibit1064.htm" TargetMode="External"/><Relationship Id="rId115" Type="http://schemas.openxmlformats.org/officeDocument/2006/relationships/hyperlink" Target="eqh-123122exhibit231.htm" TargetMode="External"/><Relationship Id="rId61" Type="http://schemas.openxmlformats.org/officeDocument/2006/relationships/hyperlink" Target="http://www.sec.gov/Archives/edgar/data/1333986/000119312518110200/d334112dex1027.htm" TargetMode="External"/><Relationship Id="rId82" Type="http://schemas.openxmlformats.org/officeDocument/2006/relationships/hyperlink" Target="http://www.sec.gov/Archives/edgar/data/1333986/000133398618000006/aeh-03312018xexhibit1025.htm" TargetMode="External"/><Relationship Id="rId19" Type="http://schemas.openxmlformats.org/officeDocument/2006/relationships/hyperlink" Target="eqh-12312022exhibit32.htm" TargetMode="External"/><Relationship Id="rId14" Type="http://schemas.openxmlformats.org/officeDocument/2006/relationships/image" Target="file:///E:\projects\LLMs\new_data_collection\data_new\htm\Equitable%20Holdings,%20Inc\eqh-20221231_g11.jpg" TargetMode="External"/><Relationship Id="rId30" Type="http://schemas.openxmlformats.org/officeDocument/2006/relationships/hyperlink" Target="http://www.sec.gov/Archives/edgar/data/1333986/000119312518125782/d334112dex47.htm" TargetMode="External"/><Relationship Id="rId35" Type="http://schemas.openxmlformats.org/officeDocument/2006/relationships/hyperlink" Target="http://www.sec.gov/Archives/edgar/data/1333986/000119312518110200/d334112dex1071.htm" TargetMode="External"/><Relationship Id="rId56" Type="http://schemas.openxmlformats.org/officeDocument/2006/relationships/hyperlink" Target="https://www.sec.gov/Archives/edgar/data/1333986/000156459021015823/eqh-ex102_26.htm" TargetMode="External"/><Relationship Id="rId77" Type="http://schemas.openxmlformats.org/officeDocument/2006/relationships/hyperlink" Target="http://www.sec.gov/Archives/edgar/data/1333986/000119312518110200/d334112dex1032.htm" TargetMode="External"/><Relationship Id="rId100" Type="http://schemas.openxmlformats.org/officeDocument/2006/relationships/hyperlink" Target="eqh-12312022exhibit1039.htm" TargetMode="External"/><Relationship Id="rId105" Type="http://schemas.openxmlformats.org/officeDocument/2006/relationships/hyperlink" Target="https://www.sec.gov/Archives/edgar/data/1109448/000110944822000008/ablp-2021exhibit1003.htm" TargetMode="External"/><Relationship Id="rId8" Type="http://schemas.openxmlformats.org/officeDocument/2006/relationships/image" Target="file:///E:\projects\LLMs\new_data_collection\data_new\htm\Equitable%20Holdings,%20Inc\eqh-20221231_g5.jpg" TargetMode="External"/><Relationship Id="rId51" Type="http://schemas.openxmlformats.org/officeDocument/2006/relationships/hyperlink" Target="http://www.sec.gov/Archives/edgar/data/825313/000082531319000006/ab-2018exhibit1001.htm" TargetMode="External"/><Relationship Id="rId72" Type="http://schemas.openxmlformats.org/officeDocument/2006/relationships/hyperlink" Target="https://www.sec.gov/Archives/edgar/data/1333986/000156459021035086/eqh-ex107_35.htm" TargetMode="External"/><Relationship Id="rId93" Type="http://schemas.openxmlformats.org/officeDocument/2006/relationships/hyperlink" Target="http://www.sec.gov/Archives/edgar/data/1333986/000119312518132723/d334112dex1055.htm" TargetMode="External"/><Relationship Id="rId98" Type="http://schemas.openxmlformats.org/officeDocument/2006/relationships/hyperlink" Target="https://www.sec.gov/Archives/edgar/data/1333986/000133398622000006/eqh-12312021exhibit1037.htm" TargetMode="External"/><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www.sec.gov/Archives/edgar/data/1333986/000119312518110200/d334112dex43.htm" TargetMode="External"/><Relationship Id="rId46" Type="http://schemas.openxmlformats.org/officeDocument/2006/relationships/hyperlink" Target="https://www.sec.gov/Archives/edgar/data/825313/000082531321000058/alliancebernsteincrag2021ex.htm" TargetMode="External"/><Relationship Id="rId67" Type="http://schemas.openxmlformats.org/officeDocument/2006/relationships/hyperlink" Target="http://www.sec.gov/Archives/edgar/data/1333986/000119312518110200/d334112dex1029.htm" TargetMode="External"/><Relationship Id="rId116" Type="http://schemas.openxmlformats.org/officeDocument/2006/relationships/hyperlink" Target="eqh-12312022exhibit311.htm" TargetMode="External"/><Relationship Id="rId20" Type="http://schemas.openxmlformats.org/officeDocument/2006/relationships/hyperlink" Target="http://www.sec.gov/Archives/edgar/data/1333986/000119312519297702/d788758dex31.htm" TargetMode="External"/><Relationship Id="rId41" Type="http://schemas.openxmlformats.org/officeDocument/2006/relationships/hyperlink" Target="eqh-12312022exhibit1026.htm" TargetMode="External"/><Relationship Id="rId62" Type="http://schemas.openxmlformats.org/officeDocument/2006/relationships/hyperlink" Target="https://www.sec.gov/Archives/edgar/data/1333986/000156459021015823/eqh-ex104_24.htm" TargetMode="External"/><Relationship Id="rId83" Type="http://schemas.openxmlformats.org/officeDocument/2006/relationships/hyperlink" Target="https://www.sec.gov/Archives/edgar/data/1333986/000133398619000026/eqh-63019exhibit102.htm" TargetMode="External"/><Relationship Id="rId88" Type="http://schemas.openxmlformats.org/officeDocument/2006/relationships/hyperlink" Target="http://www.sec.gov/Archives/edgar/data/1333986/000119312518132723/d334112dex1050.htm" TargetMode="External"/><Relationship Id="rId111" Type="http://schemas.openxmlformats.org/officeDocument/2006/relationships/hyperlink" Target="https://www.sec.gov/Archives/edgar/data/727920/000119312521177935/d177305dex101.htm" TargetMode="External"/><Relationship Id="rId15" Type="http://schemas.openxmlformats.org/officeDocument/2006/relationships/image" Target="file:///E:\projects\LLMs\new_data_collection\data_new\htm\Equitable%20Holdings,%20Inc\eqh-20221231_g12.jpg" TargetMode="External"/><Relationship Id="rId36" Type="http://schemas.openxmlformats.org/officeDocument/2006/relationships/hyperlink" Target="http://www.sec.gov/Archives/edgar/data/1333986/000119312518110200/d334112dex1071.htm" TargetMode="External"/><Relationship Id="rId57" Type="http://schemas.openxmlformats.org/officeDocument/2006/relationships/hyperlink" Target="https://www.sec.gov/Archives/edgar/data/1333986/000156459021035086/eqh-ex102_40.htm" TargetMode="External"/><Relationship Id="rId106" Type="http://schemas.openxmlformats.org/officeDocument/2006/relationships/hyperlink" Target="https://www.sec.gov/Archives/edgar/data/825313/000082531322000012/ab-2021exhibit1004.htm" TargetMode="External"/><Relationship Id="rId10" Type="http://schemas.openxmlformats.org/officeDocument/2006/relationships/image" Target="file:///E:\projects\LLMs\new_data_collection\data_new\htm\Equitable%20Holdings,%20Inc\eqh-20221231_g7.jpg" TargetMode="External"/><Relationship Id="rId31" Type="http://schemas.openxmlformats.org/officeDocument/2006/relationships/hyperlink" Target="https://www.sec.gov/Archives/edgar/data/1333986/000119312523006493/d423196dex41.htm" TargetMode="External"/><Relationship Id="rId52" Type="http://schemas.openxmlformats.org/officeDocument/2006/relationships/hyperlink" Target="http://www.sec.gov/Archives/edgar/data/1333986/000156459019046393/eqh-ex102_7.htm" TargetMode="External"/><Relationship Id="rId73" Type="http://schemas.openxmlformats.org/officeDocument/2006/relationships/hyperlink" Target="http://www.sec.gov/Archives/edgar/data/1333986/000119312518110200/d334112dex1031.htm" TargetMode="External"/><Relationship Id="rId78" Type="http://schemas.openxmlformats.org/officeDocument/2006/relationships/hyperlink" Target="https://www.sec.gov/Archives/edgar/data/1333986/000156459021015823/eqh-ex109_19.htm" TargetMode="External"/><Relationship Id="rId94" Type="http://schemas.openxmlformats.org/officeDocument/2006/relationships/hyperlink" Target="http://www.sec.gov/Archives/edgar/data/1333986/000119312518132723/d334112dex1056.htm" TargetMode="External"/><Relationship Id="rId99" Type="http://schemas.openxmlformats.org/officeDocument/2006/relationships/hyperlink" Target="https://www.sec.gov/Archives/edgar/data/1333986/000133398622000006/eqh-12312021exhibit1038.htm" TargetMode="External"/><Relationship Id="rId101" Type="http://schemas.openxmlformats.org/officeDocument/2006/relationships/hyperlink" Target="eqh-12312022exhibit104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175811</Words>
  <Characters>1002129</Characters>
  <Application>Microsoft Office Word</Application>
  <DocSecurity>0</DocSecurity>
  <Lines>8351</Lines>
  <Paragraphs>2351</Paragraphs>
  <ScaleCrop>false</ScaleCrop>
  <Company/>
  <LinksUpToDate>false</LinksUpToDate>
  <CharactersWithSpaces>1175589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eqh-20221231</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