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406BD4">
      <w:pPr>
        <w:pStyle w:val="a3"/>
        <w:spacing w:before="0" w:beforeAutospacing="0" w:after="0" w:afterAutospacing="0"/>
        <w:rPr>
          <w:sz w:val="20"/>
          <w:szCs w:val="20"/>
        </w:rPr>
      </w:pPr>
      <w:r>
        <w:rPr>
          <w:sz w:val="20"/>
          <w:szCs w:val="20"/>
        </w:rPr>
        <w:t> </w:t>
      </w:r>
    </w:p>
    <w:p w:rsidR="00000000" w:rsidRDefault="00406BD4">
      <w:pPr>
        <w:pStyle w:val="a3"/>
        <w:pBdr>
          <w:bottom w:val="double" w:sz="6" w:space="1" w:color="auto"/>
        </w:pBdr>
        <w:spacing w:before="0" w:beforeAutospacing="0" w:after="0" w:afterAutospacing="0"/>
        <w:rPr>
          <w:sz w:val="2"/>
          <w:szCs w:val="2"/>
        </w:rPr>
      </w:pPr>
      <w:r>
        <w:rPr>
          <w:sz w:val="2"/>
          <w:szCs w:val="2"/>
        </w:rPr>
        <w:t> </w:t>
      </w:r>
    </w:p>
    <w:p w:rsidR="00000000" w:rsidRDefault="00406BD4">
      <w:pPr>
        <w:pStyle w:val="a3"/>
        <w:spacing w:before="60" w:beforeAutospacing="0" w:after="0" w:afterAutospacing="0"/>
        <w:jc w:val="center"/>
        <w:rPr>
          <w:b/>
          <w:bCs/>
          <w:sz w:val="36"/>
          <w:szCs w:val="36"/>
        </w:rPr>
      </w:pPr>
      <w:r>
        <w:rPr>
          <w:b/>
          <w:bCs/>
          <w:sz w:val="36"/>
          <w:szCs w:val="36"/>
        </w:rPr>
        <w:t>UNITED STATES</w:t>
      </w:r>
    </w:p>
    <w:p w:rsidR="00000000" w:rsidRDefault="00406BD4">
      <w:pPr>
        <w:pStyle w:val="a3"/>
        <w:spacing w:before="0" w:beforeAutospacing="0" w:after="0" w:afterAutospacing="0"/>
        <w:jc w:val="center"/>
        <w:rPr>
          <w:b/>
          <w:bCs/>
          <w:sz w:val="36"/>
          <w:szCs w:val="36"/>
        </w:rPr>
      </w:pPr>
      <w:r>
        <w:rPr>
          <w:b/>
          <w:bCs/>
          <w:sz w:val="36"/>
          <w:szCs w:val="36"/>
        </w:rPr>
        <w:t>SECURITIES AND EXCHANGE COMMISSION</w:t>
      </w:r>
    </w:p>
    <w:p w:rsidR="00000000" w:rsidRDefault="00406BD4">
      <w:pPr>
        <w:pStyle w:val="a3"/>
        <w:spacing w:before="0" w:beforeAutospacing="0" w:after="0" w:afterAutospacing="0"/>
        <w:jc w:val="center"/>
        <w:rPr>
          <w:b/>
          <w:bCs/>
        </w:rPr>
      </w:pPr>
      <w:r>
        <w:rPr>
          <w:b/>
          <w:bCs/>
        </w:rPr>
        <w:t>WASHINGTON, DC 20549</w:t>
      </w:r>
    </w:p>
    <w:p w:rsidR="00000000" w:rsidRDefault="00406BD4">
      <w:pPr>
        <w:pStyle w:val="a3"/>
        <w:pBdr>
          <w:bottom w:val="single" w:sz="6" w:space="1" w:color="auto"/>
        </w:pBdr>
        <w:spacing w:before="0" w:beforeAutospacing="0" w:after="0" w:afterAutospacing="0"/>
        <w:ind w:left="4762" w:right="4762"/>
        <w:jc w:val="center"/>
        <w:rPr>
          <w:sz w:val="8"/>
          <w:szCs w:val="8"/>
        </w:rPr>
      </w:pPr>
      <w:r>
        <w:rPr>
          <w:sz w:val="8"/>
          <w:szCs w:val="8"/>
        </w:rPr>
        <w:t> </w:t>
      </w:r>
    </w:p>
    <w:p w:rsidR="00000000" w:rsidRDefault="00406BD4">
      <w:pPr>
        <w:pStyle w:val="a3"/>
        <w:spacing w:before="80" w:beforeAutospacing="0" w:after="0" w:afterAutospacing="0"/>
        <w:jc w:val="center"/>
        <w:rPr>
          <w:b/>
          <w:bCs/>
          <w:sz w:val="36"/>
          <w:szCs w:val="36"/>
        </w:rPr>
      </w:pPr>
      <w:r>
        <w:rPr>
          <w:b/>
          <w:bCs/>
          <w:sz w:val="36"/>
          <w:szCs w:val="36"/>
        </w:rPr>
        <w:t>FORM 10-Q</w:t>
      </w:r>
    </w:p>
    <w:p w:rsidR="00000000" w:rsidRDefault="00406BD4">
      <w:pPr>
        <w:pStyle w:val="a3"/>
        <w:pBdr>
          <w:bottom w:val="single" w:sz="6" w:space="1" w:color="auto"/>
        </w:pBdr>
        <w:spacing w:before="0" w:beforeAutospacing="0" w:after="0" w:afterAutospacing="0"/>
        <w:ind w:left="4762" w:right="4762"/>
        <w:jc w:val="center"/>
        <w:rPr>
          <w:sz w:val="8"/>
          <w:szCs w:val="8"/>
        </w:rPr>
      </w:pPr>
      <w:r>
        <w:rPr>
          <w:sz w:val="8"/>
          <w:szCs w:val="8"/>
        </w:rPr>
        <w:t> </w:t>
      </w:r>
    </w:p>
    <w:p w:rsidR="00000000" w:rsidRDefault="00406BD4">
      <w:pPr>
        <w:pStyle w:val="a3"/>
        <w:spacing w:before="80" w:beforeAutospacing="0" w:after="0" w:afterAutospacing="0"/>
        <w:rPr>
          <w:b/>
          <w:bCs/>
          <w:sz w:val="20"/>
          <w:szCs w:val="20"/>
        </w:rPr>
      </w:pPr>
      <w:r>
        <w:rPr>
          <w:b/>
          <w:bCs/>
          <w:sz w:val="20"/>
          <w:szCs w:val="20"/>
        </w:rPr>
        <w:t>(Mark One)</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406BD4">
            <w:pPr>
              <w:pStyle w:val="a3"/>
              <w:spacing w:before="0" w:beforeAutospacing="0" w:after="0" w:afterAutospacing="0"/>
              <w:rPr>
                <w:rFonts w:ascii="Segoe UI Symbol" w:hAnsi="Segoe UI Symbol"/>
                <w:b/>
                <w:bCs/>
              </w:rPr>
            </w:pPr>
            <w:r>
              <w:rPr>
                <w:rFonts w:ascii="Segoe UI Symbol" w:hAnsi="Segoe UI Symbol"/>
                <w:b/>
                <w:bCs/>
              </w:rPr>
              <w:t>☒</w:t>
            </w:r>
          </w:p>
        </w:tc>
        <w:tc>
          <w:tcPr>
            <w:tcW w:w="0" w:type="auto"/>
            <w:hideMark/>
          </w:tcPr>
          <w:p w:rsidR="00000000" w:rsidRDefault="00406BD4">
            <w:pPr>
              <w:pStyle w:val="a3"/>
              <w:spacing w:before="0" w:beforeAutospacing="0" w:after="0" w:afterAutospacing="0"/>
              <w:rPr>
                <w:b/>
                <w:bCs/>
              </w:rPr>
            </w:pPr>
            <w:r>
              <w:rPr>
                <w:b/>
                <w:bCs/>
              </w:rPr>
              <w:t>QUARTERLY REPORT PURSUANT TO SECTION 13 OR 15(d) OF THE SECURITIES EXCHANGE ACT OF 1934</w:t>
            </w:r>
          </w:p>
        </w:tc>
      </w:tr>
    </w:tbl>
    <w:p w:rsidR="00000000" w:rsidRDefault="00406BD4">
      <w:pPr>
        <w:pStyle w:val="a3"/>
        <w:spacing w:before="80" w:beforeAutospacing="0" w:after="0" w:afterAutospacing="0"/>
        <w:jc w:val="center"/>
        <w:rPr>
          <w:b/>
          <w:bCs/>
          <w:sz w:val="20"/>
          <w:szCs w:val="20"/>
        </w:rPr>
      </w:pPr>
      <w:r>
        <w:rPr>
          <w:b/>
          <w:bCs/>
          <w:sz w:val="20"/>
          <w:szCs w:val="20"/>
        </w:rPr>
        <w:t>For the quarterly period ended September 30, 2020</w:t>
      </w:r>
    </w:p>
    <w:p w:rsidR="00000000" w:rsidRDefault="00406BD4">
      <w:pPr>
        <w:pStyle w:val="a3"/>
        <w:spacing w:before="80" w:beforeAutospacing="0" w:after="0" w:afterAutospacing="0"/>
        <w:jc w:val="center"/>
        <w:rPr>
          <w:b/>
          <w:bCs/>
          <w:sz w:val="20"/>
          <w:szCs w:val="20"/>
        </w:rPr>
      </w:pPr>
      <w:r>
        <w:rPr>
          <w:b/>
          <w:bCs/>
          <w:sz w:val="20"/>
          <w:szCs w:val="20"/>
        </w:rPr>
        <w:t>or</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406BD4">
            <w:pPr>
              <w:pStyle w:val="a3"/>
              <w:spacing w:before="80" w:beforeAutospacing="0" w:after="0" w:afterAutospacing="0"/>
              <w:rPr>
                <w:rFonts w:ascii="Segoe UI Symbol" w:hAnsi="Segoe UI Symbol"/>
                <w:b/>
                <w:bCs/>
                <w:color w:val="000000"/>
              </w:rPr>
            </w:pPr>
            <w:r>
              <w:rPr>
                <w:rFonts w:ascii="Segoe UI Symbol" w:hAnsi="Segoe UI Symbol"/>
                <w:b/>
                <w:bCs/>
                <w:color w:val="000000"/>
              </w:rPr>
              <w:t>☐</w:t>
            </w:r>
          </w:p>
        </w:tc>
        <w:tc>
          <w:tcPr>
            <w:tcW w:w="0" w:type="auto"/>
            <w:hideMark/>
          </w:tcPr>
          <w:p w:rsidR="00000000" w:rsidRDefault="00406BD4">
            <w:pPr>
              <w:pStyle w:val="a3"/>
              <w:spacing w:before="80" w:beforeAutospacing="0" w:after="0" w:afterAutospacing="0"/>
              <w:rPr>
                <w:b/>
                <w:bCs/>
                <w:color w:val="000000"/>
              </w:rPr>
            </w:pPr>
            <w:r>
              <w:rPr>
                <w:b/>
                <w:bCs/>
                <w:color w:val="000000"/>
              </w:rPr>
              <w:t>TRANSITION REPORT PURSUANT TO SECTION 13 OR 15(d) OF THE SECURITIES EXCHANGE ACT OF 1934</w:t>
            </w:r>
          </w:p>
        </w:tc>
      </w:tr>
    </w:tbl>
    <w:p w:rsidR="00000000" w:rsidRDefault="00406BD4">
      <w:pPr>
        <w:pStyle w:val="a3"/>
        <w:spacing w:before="80" w:beforeAutospacing="0" w:after="0" w:afterAutospacing="0"/>
        <w:jc w:val="center"/>
        <w:rPr>
          <w:b/>
          <w:bCs/>
          <w:sz w:val="20"/>
          <w:szCs w:val="20"/>
        </w:rPr>
      </w:pPr>
      <w:r>
        <w:rPr>
          <w:b/>
          <w:bCs/>
          <w:sz w:val="20"/>
          <w:szCs w:val="20"/>
        </w:rPr>
        <w:t xml:space="preserve">For the transition period from </w:t>
      </w:r>
      <w:r>
        <w:rPr>
          <w:b/>
          <w:bCs/>
          <w:sz w:val="20"/>
          <w:szCs w:val="20"/>
          <w:u w:val="single"/>
        </w:rPr>
        <w:t>                            </w:t>
      </w:r>
      <w:r>
        <w:rPr>
          <w:b/>
          <w:bCs/>
          <w:sz w:val="20"/>
          <w:szCs w:val="20"/>
        </w:rPr>
        <w:t xml:space="preserve"> to </w:t>
      </w:r>
      <w:r>
        <w:rPr>
          <w:b/>
          <w:bCs/>
          <w:sz w:val="20"/>
          <w:szCs w:val="20"/>
          <w:u w:val="single"/>
        </w:rPr>
        <w:t>                            </w:t>
      </w:r>
    </w:p>
    <w:p w:rsidR="00000000" w:rsidRDefault="00406BD4">
      <w:pPr>
        <w:pStyle w:val="a3"/>
        <w:spacing w:before="80" w:beforeAutospacing="0" w:after="0" w:afterAutospacing="0"/>
        <w:jc w:val="center"/>
        <w:rPr>
          <w:b/>
          <w:bCs/>
          <w:sz w:val="20"/>
          <w:szCs w:val="20"/>
        </w:rPr>
      </w:pPr>
      <w:r>
        <w:rPr>
          <w:b/>
          <w:bCs/>
          <w:sz w:val="20"/>
          <w:szCs w:val="20"/>
        </w:rPr>
        <w:t>Commission File Number: 001-37894</w:t>
      </w:r>
    </w:p>
    <w:p w:rsidR="00000000" w:rsidRDefault="00406BD4">
      <w:pPr>
        <w:pStyle w:val="a3"/>
        <w:pBdr>
          <w:bottom w:val="single" w:sz="6" w:space="1" w:color="auto"/>
        </w:pBdr>
        <w:spacing w:before="0" w:beforeAutospacing="0" w:after="0" w:afterAutospacing="0"/>
        <w:ind w:left="4762" w:right="4762"/>
        <w:jc w:val="center"/>
        <w:rPr>
          <w:sz w:val="8"/>
          <w:szCs w:val="8"/>
        </w:rPr>
      </w:pPr>
      <w:r>
        <w:rPr>
          <w:sz w:val="8"/>
          <w:szCs w:val="8"/>
        </w:rPr>
        <w:t> </w:t>
      </w:r>
    </w:p>
    <w:p w:rsidR="00000000" w:rsidRDefault="00406BD4">
      <w:pPr>
        <w:pStyle w:val="a3"/>
        <w:spacing w:before="80" w:beforeAutospacing="0" w:after="0" w:afterAutospacing="0"/>
        <w:jc w:val="center"/>
        <w:rPr>
          <w:b/>
          <w:bCs/>
          <w:sz w:val="48"/>
          <w:szCs w:val="48"/>
        </w:rPr>
      </w:pPr>
      <w:r>
        <w:rPr>
          <w:b/>
          <w:bCs/>
          <w:sz w:val="48"/>
          <w:szCs w:val="48"/>
        </w:rPr>
        <w:t>FULGENT GENETICS, INC.</w:t>
      </w:r>
    </w:p>
    <w:p w:rsidR="00000000" w:rsidRDefault="00406BD4">
      <w:pPr>
        <w:pStyle w:val="a3"/>
        <w:spacing w:before="0" w:beforeAutospacing="0" w:after="0" w:afterAutospacing="0"/>
        <w:jc w:val="center"/>
        <w:rPr>
          <w:b/>
          <w:bCs/>
          <w:sz w:val="20"/>
          <w:szCs w:val="20"/>
        </w:rPr>
      </w:pPr>
      <w:r>
        <w:rPr>
          <w:b/>
          <w:bCs/>
          <w:sz w:val="20"/>
          <w:szCs w:val="20"/>
        </w:rPr>
        <w:t xml:space="preserve">(exact name of </w:t>
      </w:r>
      <w:r>
        <w:rPr>
          <w:b/>
          <w:bCs/>
          <w:sz w:val="20"/>
          <w:szCs w:val="20"/>
        </w:rPr>
        <w:t>registrant as specified in its charter)</w:t>
      </w:r>
    </w:p>
    <w:p w:rsidR="00000000" w:rsidRDefault="00406BD4">
      <w:pPr>
        <w:pStyle w:val="a3"/>
        <w:pBdr>
          <w:bottom w:val="single" w:sz="6" w:space="1" w:color="auto"/>
        </w:pBdr>
        <w:spacing w:before="0" w:beforeAutospacing="0" w:after="0" w:afterAutospacing="0"/>
        <w:ind w:left="4762" w:right="4762"/>
        <w:jc w:val="center"/>
        <w:rPr>
          <w:sz w:val="8"/>
          <w:szCs w:val="8"/>
        </w:rPr>
      </w:pPr>
      <w:r>
        <w:rPr>
          <w:sz w:val="8"/>
          <w:szCs w:val="8"/>
        </w:rPr>
        <w:t> </w:t>
      </w:r>
    </w:p>
    <w:p w:rsidR="00000000" w:rsidRDefault="00406BD4">
      <w:pPr>
        <w:pStyle w:val="a3"/>
        <w:spacing w:before="0" w:beforeAutospacing="0" w:after="0" w:afterAutospacing="0"/>
        <w:rPr>
          <w:sz w:val="8"/>
          <w:szCs w:val="8"/>
        </w:rPr>
      </w:pPr>
      <w:r>
        <w:rPr>
          <w:sz w:val="8"/>
          <w:szCs w:val="8"/>
        </w:rPr>
        <w:t> </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trPr>
          <w:divId w:val="2023238504"/>
          <w:jc w:val="center"/>
        </w:trPr>
        <w:tc>
          <w:tcPr>
            <w:tcW w:w="2500" w:type="pct"/>
            <w:vAlign w:val="bottom"/>
            <w:hideMark/>
          </w:tcPr>
          <w:p w:rsidR="00000000" w:rsidRDefault="00406BD4">
            <w:pPr>
              <w:pStyle w:val="a3"/>
              <w:spacing w:before="0" w:beforeAutospacing="0" w:after="0" w:afterAutospacing="0"/>
              <w:jc w:val="center"/>
              <w:rPr>
                <w:b/>
                <w:bCs/>
                <w:sz w:val="20"/>
                <w:szCs w:val="20"/>
              </w:rPr>
            </w:pPr>
            <w:r>
              <w:rPr>
                <w:b/>
                <w:bCs/>
                <w:sz w:val="20"/>
                <w:szCs w:val="20"/>
              </w:rPr>
              <w:t>Delaware</w:t>
            </w:r>
          </w:p>
        </w:tc>
        <w:tc>
          <w:tcPr>
            <w:tcW w:w="2500" w:type="pct"/>
            <w:vAlign w:val="bottom"/>
            <w:hideMark/>
          </w:tcPr>
          <w:p w:rsidR="00000000" w:rsidRDefault="00406BD4">
            <w:pPr>
              <w:pStyle w:val="a3"/>
              <w:spacing w:before="0" w:beforeAutospacing="0" w:after="0" w:afterAutospacing="0"/>
              <w:jc w:val="center"/>
              <w:rPr>
                <w:b/>
                <w:bCs/>
                <w:sz w:val="20"/>
                <w:szCs w:val="20"/>
              </w:rPr>
            </w:pPr>
            <w:r>
              <w:rPr>
                <w:b/>
                <w:bCs/>
                <w:sz w:val="20"/>
                <w:szCs w:val="20"/>
              </w:rPr>
              <w:t>81-2621304</w:t>
            </w:r>
          </w:p>
        </w:tc>
      </w:tr>
      <w:tr w:rsidR="00000000">
        <w:trPr>
          <w:divId w:val="2023238504"/>
          <w:jc w:val="center"/>
        </w:trPr>
        <w:tc>
          <w:tcPr>
            <w:tcW w:w="2500" w:type="pct"/>
            <w:vAlign w:val="bottom"/>
            <w:hideMark/>
          </w:tcPr>
          <w:p w:rsidR="00000000" w:rsidRDefault="00406BD4">
            <w:pPr>
              <w:pStyle w:val="a3"/>
              <w:spacing w:before="0" w:beforeAutospacing="0" w:after="0" w:afterAutospacing="0"/>
              <w:jc w:val="center"/>
              <w:rPr>
                <w:b/>
                <w:bCs/>
                <w:sz w:val="16"/>
                <w:szCs w:val="16"/>
              </w:rPr>
            </w:pPr>
            <w:r>
              <w:rPr>
                <w:b/>
                <w:bCs/>
                <w:sz w:val="16"/>
                <w:szCs w:val="16"/>
              </w:rPr>
              <w:t>( State or other jurisdiction of</w:t>
            </w:r>
          </w:p>
          <w:p w:rsidR="00000000" w:rsidRDefault="00406BD4">
            <w:pPr>
              <w:pStyle w:val="a3"/>
              <w:spacing w:before="0" w:beforeAutospacing="0" w:after="0" w:afterAutospacing="0"/>
              <w:jc w:val="center"/>
              <w:rPr>
                <w:b/>
                <w:bCs/>
                <w:sz w:val="16"/>
                <w:szCs w:val="16"/>
              </w:rPr>
            </w:pPr>
            <w:r>
              <w:rPr>
                <w:b/>
                <w:bCs/>
                <w:sz w:val="16"/>
                <w:szCs w:val="16"/>
              </w:rPr>
              <w:t>incorporation or organization)</w:t>
            </w:r>
          </w:p>
        </w:tc>
        <w:tc>
          <w:tcPr>
            <w:tcW w:w="2500" w:type="pct"/>
            <w:vAlign w:val="bottom"/>
            <w:hideMark/>
          </w:tcPr>
          <w:p w:rsidR="00000000" w:rsidRDefault="00406BD4">
            <w:pPr>
              <w:pStyle w:val="a3"/>
              <w:spacing w:before="0" w:beforeAutospacing="0" w:after="0" w:afterAutospacing="0"/>
              <w:jc w:val="center"/>
              <w:rPr>
                <w:b/>
                <w:bCs/>
                <w:sz w:val="16"/>
                <w:szCs w:val="16"/>
              </w:rPr>
            </w:pPr>
            <w:r>
              <w:rPr>
                <w:b/>
                <w:bCs/>
                <w:sz w:val="16"/>
                <w:szCs w:val="16"/>
              </w:rPr>
              <w:t>(I.R.S. Employer</w:t>
            </w:r>
          </w:p>
          <w:p w:rsidR="00000000" w:rsidRDefault="00406BD4">
            <w:pPr>
              <w:pStyle w:val="a3"/>
              <w:spacing w:before="0" w:beforeAutospacing="0" w:after="0" w:afterAutospacing="0"/>
              <w:jc w:val="center"/>
              <w:rPr>
                <w:b/>
                <w:bCs/>
                <w:sz w:val="16"/>
                <w:szCs w:val="16"/>
              </w:rPr>
            </w:pPr>
            <w:r>
              <w:rPr>
                <w:b/>
                <w:bCs/>
                <w:sz w:val="16"/>
                <w:szCs w:val="16"/>
              </w:rPr>
              <w:t>Identification No.)</w:t>
            </w:r>
          </w:p>
        </w:tc>
      </w:tr>
      <w:tr w:rsidR="00000000">
        <w:trPr>
          <w:divId w:val="2023238504"/>
          <w:jc w:val="center"/>
        </w:trPr>
        <w:tc>
          <w:tcPr>
            <w:tcW w:w="2500" w:type="pct"/>
            <w:vAlign w:val="bottom"/>
            <w:hideMark/>
          </w:tcPr>
          <w:p w:rsidR="00000000" w:rsidRDefault="00406BD4">
            <w:pPr>
              <w:pStyle w:val="a3"/>
              <w:spacing w:before="0" w:beforeAutospacing="0" w:after="0" w:afterAutospacing="0"/>
              <w:jc w:val="center"/>
              <w:rPr>
                <w:b/>
                <w:bCs/>
                <w:sz w:val="8"/>
                <w:szCs w:val="8"/>
              </w:rPr>
            </w:pPr>
            <w:r>
              <w:rPr>
                <w:b/>
                <w:bCs/>
                <w:sz w:val="8"/>
                <w:szCs w:val="8"/>
              </w:rPr>
              <w:t> </w:t>
            </w:r>
          </w:p>
        </w:tc>
        <w:tc>
          <w:tcPr>
            <w:tcW w:w="2500" w:type="pct"/>
            <w:vAlign w:val="bottom"/>
            <w:hideMark/>
          </w:tcPr>
          <w:p w:rsidR="00000000" w:rsidRDefault="00406BD4">
            <w:pPr>
              <w:pStyle w:val="a3"/>
              <w:spacing w:before="0" w:beforeAutospacing="0" w:after="0" w:afterAutospacing="0"/>
              <w:jc w:val="center"/>
              <w:rPr>
                <w:b/>
                <w:bCs/>
                <w:sz w:val="8"/>
                <w:szCs w:val="8"/>
              </w:rPr>
            </w:pPr>
            <w:r>
              <w:rPr>
                <w:b/>
                <w:bCs/>
                <w:sz w:val="8"/>
                <w:szCs w:val="8"/>
              </w:rPr>
              <w:t> </w:t>
            </w:r>
          </w:p>
        </w:tc>
      </w:tr>
      <w:tr w:rsidR="00000000">
        <w:trPr>
          <w:divId w:val="2023238504"/>
          <w:jc w:val="center"/>
        </w:trPr>
        <w:tc>
          <w:tcPr>
            <w:tcW w:w="2500" w:type="pct"/>
            <w:vAlign w:val="bottom"/>
            <w:hideMark/>
          </w:tcPr>
          <w:p w:rsidR="00000000" w:rsidRDefault="00406BD4">
            <w:pPr>
              <w:pStyle w:val="a3"/>
              <w:spacing w:before="0" w:beforeAutospacing="0" w:after="0" w:afterAutospacing="0"/>
              <w:jc w:val="center"/>
              <w:rPr>
                <w:b/>
                <w:bCs/>
                <w:sz w:val="20"/>
                <w:szCs w:val="20"/>
              </w:rPr>
            </w:pPr>
            <w:r>
              <w:rPr>
                <w:b/>
                <w:bCs/>
                <w:sz w:val="20"/>
                <w:szCs w:val="20"/>
              </w:rPr>
              <w:t>4978 Santa Anita Avenue</w:t>
            </w:r>
          </w:p>
          <w:p w:rsidR="00000000" w:rsidRDefault="00406BD4">
            <w:pPr>
              <w:pStyle w:val="a3"/>
              <w:spacing w:before="0" w:beforeAutospacing="0" w:after="0" w:afterAutospacing="0"/>
              <w:jc w:val="center"/>
              <w:rPr>
                <w:b/>
                <w:bCs/>
                <w:sz w:val="20"/>
                <w:szCs w:val="20"/>
              </w:rPr>
            </w:pPr>
            <w:r>
              <w:rPr>
                <w:b/>
                <w:bCs/>
                <w:sz w:val="20"/>
                <w:szCs w:val="20"/>
              </w:rPr>
              <w:t>Temple City, CA</w:t>
            </w:r>
          </w:p>
        </w:tc>
        <w:tc>
          <w:tcPr>
            <w:tcW w:w="2500" w:type="pct"/>
            <w:vAlign w:val="bottom"/>
            <w:hideMark/>
          </w:tcPr>
          <w:p w:rsidR="00000000" w:rsidRDefault="00406BD4">
            <w:pPr>
              <w:pStyle w:val="a3"/>
              <w:spacing w:before="0" w:beforeAutospacing="0" w:after="0" w:afterAutospacing="0"/>
              <w:jc w:val="center"/>
              <w:rPr>
                <w:b/>
                <w:bCs/>
                <w:sz w:val="20"/>
                <w:szCs w:val="20"/>
              </w:rPr>
            </w:pPr>
            <w:r>
              <w:rPr>
                <w:b/>
                <w:bCs/>
                <w:sz w:val="20"/>
                <w:szCs w:val="20"/>
              </w:rPr>
              <w:t>91780</w:t>
            </w:r>
          </w:p>
        </w:tc>
      </w:tr>
      <w:tr w:rsidR="00000000">
        <w:trPr>
          <w:divId w:val="2023238504"/>
          <w:jc w:val="center"/>
        </w:trPr>
        <w:tc>
          <w:tcPr>
            <w:tcW w:w="2500" w:type="pct"/>
            <w:vAlign w:val="bottom"/>
            <w:hideMark/>
          </w:tcPr>
          <w:p w:rsidR="00000000" w:rsidRDefault="00406BD4">
            <w:pPr>
              <w:pStyle w:val="a3"/>
              <w:spacing w:before="0" w:beforeAutospacing="0" w:after="0" w:afterAutospacing="0"/>
              <w:jc w:val="center"/>
              <w:rPr>
                <w:b/>
                <w:bCs/>
                <w:sz w:val="16"/>
                <w:szCs w:val="16"/>
              </w:rPr>
            </w:pPr>
            <w:r>
              <w:rPr>
                <w:b/>
                <w:bCs/>
                <w:sz w:val="16"/>
                <w:szCs w:val="16"/>
              </w:rPr>
              <w:t>(Address of principal executive offices)</w:t>
            </w:r>
          </w:p>
        </w:tc>
        <w:tc>
          <w:tcPr>
            <w:tcW w:w="2500" w:type="pct"/>
            <w:vAlign w:val="bottom"/>
            <w:hideMark/>
          </w:tcPr>
          <w:p w:rsidR="00000000" w:rsidRDefault="00406BD4">
            <w:pPr>
              <w:pStyle w:val="a3"/>
              <w:spacing w:before="0" w:beforeAutospacing="0" w:after="0" w:afterAutospacing="0"/>
              <w:jc w:val="center"/>
              <w:rPr>
                <w:b/>
                <w:bCs/>
                <w:sz w:val="16"/>
                <w:szCs w:val="16"/>
              </w:rPr>
            </w:pPr>
            <w:r>
              <w:rPr>
                <w:b/>
                <w:bCs/>
                <w:sz w:val="16"/>
                <w:szCs w:val="16"/>
              </w:rPr>
              <w:t>(Zip Code)</w:t>
            </w:r>
          </w:p>
        </w:tc>
      </w:tr>
    </w:tbl>
    <w:p w:rsidR="00000000" w:rsidRDefault="00406BD4">
      <w:pPr>
        <w:pStyle w:val="a3"/>
        <w:spacing w:before="0" w:beforeAutospacing="0" w:after="0" w:afterAutospacing="0"/>
        <w:rPr>
          <w:b/>
          <w:bCs/>
          <w:sz w:val="8"/>
          <w:szCs w:val="8"/>
        </w:rPr>
      </w:pPr>
      <w:r>
        <w:rPr>
          <w:b/>
          <w:bCs/>
          <w:sz w:val="8"/>
          <w:szCs w:val="8"/>
        </w:rPr>
        <w:t> </w:t>
      </w:r>
    </w:p>
    <w:p w:rsidR="00000000" w:rsidRDefault="00406BD4">
      <w:pPr>
        <w:pStyle w:val="a3"/>
        <w:spacing w:before="0" w:beforeAutospacing="0" w:after="0" w:afterAutospacing="0"/>
        <w:jc w:val="center"/>
        <w:rPr>
          <w:b/>
          <w:bCs/>
          <w:sz w:val="20"/>
          <w:szCs w:val="20"/>
        </w:rPr>
      </w:pPr>
      <w:r>
        <w:rPr>
          <w:b/>
          <w:bCs/>
          <w:sz w:val="20"/>
          <w:szCs w:val="20"/>
        </w:rPr>
        <w:t>(626) 350-0537</w:t>
      </w:r>
    </w:p>
    <w:p w:rsidR="00000000" w:rsidRDefault="00406BD4">
      <w:pPr>
        <w:pStyle w:val="a3"/>
        <w:spacing w:before="80" w:beforeAutospacing="0" w:after="0" w:afterAutospacing="0"/>
        <w:jc w:val="center"/>
        <w:rPr>
          <w:b/>
          <w:bCs/>
          <w:sz w:val="20"/>
          <w:szCs w:val="20"/>
        </w:rPr>
      </w:pPr>
      <w:r>
        <w:rPr>
          <w:b/>
          <w:bCs/>
          <w:sz w:val="20"/>
          <w:szCs w:val="20"/>
        </w:rPr>
        <w:t>(Registrant’s telephone number, including area code)</w:t>
      </w:r>
    </w:p>
    <w:p w:rsidR="00000000" w:rsidRDefault="00406BD4">
      <w:pPr>
        <w:pStyle w:val="a3"/>
        <w:pBdr>
          <w:bottom w:val="single" w:sz="6" w:space="1" w:color="auto"/>
        </w:pBdr>
        <w:spacing w:before="0" w:beforeAutospacing="0" w:after="0" w:afterAutospacing="0"/>
        <w:ind w:left="4762" w:right="4762"/>
        <w:jc w:val="center"/>
        <w:rPr>
          <w:sz w:val="8"/>
          <w:szCs w:val="8"/>
        </w:rPr>
      </w:pPr>
      <w:r>
        <w:rPr>
          <w:sz w:val="8"/>
          <w:szCs w:val="8"/>
        </w:rPr>
        <w:t> </w:t>
      </w:r>
    </w:p>
    <w:p w:rsidR="00000000" w:rsidRDefault="00406BD4">
      <w:pPr>
        <w:pStyle w:val="a3"/>
        <w:spacing w:before="80" w:beforeAutospacing="0" w:after="0" w:afterAutospacing="0"/>
        <w:ind w:firstLine="556"/>
        <w:rPr>
          <w:color w:val="000000"/>
          <w:sz w:val="18"/>
          <w:szCs w:val="18"/>
        </w:rPr>
      </w:pPr>
      <w:r>
        <w:rPr>
          <w:color w:val="000000"/>
          <w:sz w:val="18"/>
          <w:szCs w:val="18"/>
        </w:rPr>
        <w:t>Securities registered pursuant to Section 12(b) of the Act:</w:t>
      </w:r>
    </w:p>
    <w:p w:rsidR="00000000" w:rsidRDefault="00406BD4">
      <w:pPr>
        <w:pStyle w:val="a3"/>
        <w:spacing w:before="0" w:beforeAutospacing="0" w:after="0" w:afterAutospacing="0"/>
        <w:rPr>
          <w:sz w:val="8"/>
          <w:szCs w:val="8"/>
        </w:rPr>
      </w:pPr>
      <w:r>
        <w:rPr>
          <w:sz w:val="8"/>
          <w:szCs w:val="8"/>
        </w:rPr>
        <w:t> </w:t>
      </w:r>
    </w:p>
    <w:tbl>
      <w:tblPr>
        <w:tblW w:w="5000" w:type="pct"/>
        <w:jc w:val="center"/>
        <w:tblCellMar>
          <w:left w:w="0" w:type="dxa"/>
          <w:right w:w="0" w:type="dxa"/>
        </w:tblCellMar>
        <w:tblLook w:val="04A0" w:firstRow="1" w:lastRow="0" w:firstColumn="1" w:lastColumn="0" w:noHBand="0" w:noVBand="1"/>
      </w:tblPr>
      <w:tblGrid>
        <w:gridCol w:w="2652"/>
        <w:gridCol w:w="166"/>
        <w:gridCol w:w="2653"/>
        <w:gridCol w:w="166"/>
        <w:gridCol w:w="2653"/>
      </w:tblGrid>
      <w:tr w:rsidR="00000000">
        <w:trPr>
          <w:divId w:val="1865049221"/>
          <w:jc w:val="center"/>
        </w:trPr>
        <w:tc>
          <w:tcPr>
            <w:tcW w:w="1600" w:type="pct"/>
            <w:tcBorders>
              <w:top w:val="single" w:sz="6" w:space="0" w:color="000000"/>
              <w:left w:val="single" w:sz="6" w:space="0" w:color="000000"/>
              <w:bottom w:val="single" w:sz="6" w:space="0" w:color="000000"/>
              <w:right w:val="single" w:sz="6" w:space="0" w:color="000000"/>
            </w:tcBorders>
            <w:vAlign w:val="bottom"/>
            <w:hideMark/>
          </w:tcPr>
          <w:p w:rsidR="00000000" w:rsidRDefault="00406BD4">
            <w:pPr>
              <w:pStyle w:val="a3"/>
              <w:spacing w:before="0" w:beforeAutospacing="0" w:after="0" w:afterAutospacing="0"/>
              <w:jc w:val="center"/>
              <w:rPr>
                <w:b/>
                <w:bCs/>
                <w:color w:val="000000"/>
                <w:sz w:val="18"/>
                <w:szCs w:val="18"/>
              </w:rPr>
            </w:pPr>
            <w:r>
              <w:rPr>
                <w:b/>
                <w:bCs/>
                <w:color w:val="000000"/>
                <w:sz w:val="18"/>
                <w:szCs w:val="18"/>
              </w:rPr>
              <w:t>Title of each class</w:t>
            </w:r>
          </w:p>
        </w:tc>
        <w:tc>
          <w:tcPr>
            <w:tcW w:w="100" w:type="pct"/>
            <w:tcBorders>
              <w:top w:val="single" w:sz="6" w:space="0" w:color="000000"/>
              <w:left w:val="single" w:sz="6" w:space="0" w:color="000000"/>
              <w:bottom w:val="single" w:sz="6" w:space="0" w:color="000000"/>
            </w:tcBorders>
            <w:hideMark/>
          </w:tcPr>
          <w:p w:rsidR="00000000" w:rsidRDefault="00406BD4">
            <w:pPr>
              <w:pStyle w:val="a3"/>
              <w:spacing w:before="80" w:beforeAutospacing="0" w:after="0" w:afterAutospacing="0"/>
              <w:jc w:val="center"/>
              <w:rPr>
                <w:sz w:val="18"/>
                <w:szCs w:val="18"/>
              </w:rPr>
            </w:pPr>
            <w:r>
              <w:rPr>
                <w:sz w:val="18"/>
                <w:szCs w:val="18"/>
              </w:rPr>
              <w:t> </w:t>
            </w:r>
          </w:p>
        </w:tc>
        <w:tc>
          <w:tcPr>
            <w:tcW w:w="1600" w:type="pct"/>
            <w:tcBorders>
              <w:top w:val="single" w:sz="6" w:space="0" w:color="000000"/>
              <w:bottom w:val="single" w:sz="6" w:space="0" w:color="000000"/>
            </w:tcBorders>
            <w:vAlign w:val="bottom"/>
            <w:hideMark/>
          </w:tcPr>
          <w:p w:rsidR="00000000" w:rsidRDefault="00406BD4">
            <w:pPr>
              <w:pStyle w:val="a3"/>
              <w:spacing w:before="0" w:beforeAutospacing="0" w:after="0" w:afterAutospacing="0"/>
              <w:jc w:val="center"/>
              <w:rPr>
                <w:b/>
                <w:bCs/>
                <w:color w:val="000000"/>
                <w:sz w:val="18"/>
                <w:szCs w:val="18"/>
              </w:rPr>
            </w:pPr>
            <w:r>
              <w:rPr>
                <w:b/>
                <w:bCs/>
                <w:color w:val="000000"/>
                <w:sz w:val="18"/>
                <w:szCs w:val="18"/>
              </w:rPr>
              <w:t>Trading Symbol(s)</w:t>
            </w:r>
          </w:p>
        </w:tc>
        <w:tc>
          <w:tcPr>
            <w:tcW w:w="100" w:type="pct"/>
            <w:tcBorders>
              <w:top w:val="single" w:sz="6" w:space="0" w:color="000000"/>
              <w:bottom w:val="single" w:sz="6" w:space="0" w:color="000000"/>
              <w:right w:val="single" w:sz="6" w:space="0" w:color="000000"/>
            </w:tcBorders>
            <w:hideMark/>
          </w:tcPr>
          <w:p w:rsidR="00000000" w:rsidRDefault="00406BD4">
            <w:pPr>
              <w:pStyle w:val="a3"/>
              <w:spacing w:before="80" w:beforeAutospacing="0" w:after="0" w:afterAutospacing="0"/>
              <w:jc w:val="center"/>
              <w:rPr>
                <w:sz w:val="18"/>
                <w:szCs w:val="18"/>
              </w:rPr>
            </w:pPr>
            <w:r>
              <w:rPr>
                <w:sz w:val="18"/>
                <w:szCs w:val="18"/>
              </w:rPr>
              <w:t> </w:t>
            </w:r>
          </w:p>
        </w:tc>
        <w:tc>
          <w:tcPr>
            <w:tcW w:w="1600" w:type="pct"/>
            <w:tcBorders>
              <w:top w:val="single" w:sz="6" w:space="0" w:color="000000"/>
              <w:left w:val="single" w:sz="6" w:space="0" w:color="000000"/>
              <w:bottom w:val="single" w:sz="6" w:space="0" w:color="000000"/>
              <w:right w:val="single" w:sz="6" w:space="0" w:color="000000"/>
            </w:tcBorders>
            <w:vAlign w:val="bottom"/>
            <w:hideMark/>
          </w:tcPr>
          <w:p w:rsidR="00000000" w:rsidRDefault="00406BD4">
            <w:pPr>
              <w:pStyle w:val="a3"/>
              <w:spacing w:before="0" w:beforeAutospacing="0" w:after="0" w:afterAutospacing="0"/>
              <w:jc w:val="center"/>
              <w:rPr>
                <w:b/>
                <w:bCs/>
                <w:color w:val="000000"/>
                <w:sz w:val="18"/>
                <w:szCs w:val="18"/>
              </w:rPr>
            </w:pPr>
            <w:r>
              <w:rPr>
                <w:b/>
                <w:bCs/>
                <w:color w:val="000000"/>
                <w:sz w:val="18"/>
                <w:szCs w:val="18"/>
              </w:rPr>
              <w:t>Name of each exchange on which registered</w:t>
            </w:r>
          </w:p>
        </w:tc>
      </w:tr>
      <w:tr w:rsidR="00000000">
        <w:trPr>
          <w:divId w:val="1865049221"/>
          <w:jc w:val="center"/>
        </w:trPr>
        <w:tc>
          <w:tcPr>
            <w:tcW w:w="1600" w:type="pct"/>
            <w:tcBorders>
              <w:top w:val="single" w:sz="6" w:space="0" w:color="000000"/>
              <w:left w:val="single" w:sz="6" w:space="0" w:color="000000"/>
              <w:bottom w:val="single" w:sz="6" w:space="0" w:color="000000"/>
              <w:right w:val="single" w:sz="6" w:space="0" w:color="000000"/>
            </w:tcBorders>
            <w:hideMark/>
          </w:tcPr>
          <w:p w:rsidR="00000000" w:rsidRDefault="00406BD4">
            <w:pPr>
              <w:pStyle w:val="a3"/>
              <w:spacing w:before="0" w:beforeAutospacing="0" w:after="0" w:afterAutospacing="0"/>
              <w:jc w:val="center"/>
              <w:rPr>
                <w:color w:val="000000"/>
                <w:sz w:val="18"/>
                <w:szCs w:val="18"/>
              </w:rPr>
            </w:pPr>
            <w:r>
              <w:rPr>
                <w:color w:val="000000"/>
                <w:sz w:val="18"/>
                <w:szCs w:val="18"/>
              </w:rPr>
              <w:t>Common Stock, par value $0.0001 per share</w:t>
            </w:r>
          </w:p>
        </w:tc>
        <w:tc>
          <w:tcPr>
            <w:tcW w:w="100" w:type="pct"/>
            <w:tcBorders>
              <w:top w:val="single" w:sz="6" w:space="0" w:color="000000"/>
              <w:left w:val="single" w:sz="6" w:space="0" w:color="000000"/>
              <w:bottom w:val="single" w:sz="6" w:space="0" w:color="000000"/>
            </w:tcBorders>
            <w:hideMark/>
          </w:tcPr>
          <w:p w:rsidR="00000000" w:rsidRDefault="00406BD4">
            <w:pPr>
              <w:pStyle w:val="a3"/>
              <w:spacing w:before="80" w:beforeAutospacing="0" w:after="0" w:afterAutospacing="0"/>
              <w:jc w:val="center"/>
              <w:rPr>
                <w:sz w:val="18"/>
                <w:szCs w:val="18"/>
              </w:rPr>
            </w:pPr>
            <w:r>
              <w:rPr>
                <w:sz w:val="18"/>
                <w:szCs w:val="18"/>
              </w:rPr>
              <w:t> </w:t>
            </w:r>
          </w:p>
        </w:tc>
        <w:tc>
          <w:tcPr>
            <w:tcW w:w="1600" w:type="pct"/>
            <w:tcBorders>
              <w:top w:val="single" w:sz="6" w:space="0" w:color="000000"/>
              <w:bottom w:val="single" w:sz="6" w:space="0" w:color="000000"/>
            </w:tcBorders>
            <w:hideMark/>
          </w:tcPr>
          <w:p w:rsidR="00000000" w:rsidRDefault="00406BD4">
            <w:pPr>
              <w:pStyle w:val="a3"/>
              <w:spacing w:before="0" w:beforeAutospacing="0" w:after="0" w:afterAutospacing="0"/>
              <w:jc w:val="center"/>
              <w:rPr>
                <w:color w:val="000000"/>
                <w:sz w:val="18"/>
                <w:szCs w:val="18"/>
              </w:rPr>
            </w:pPr>
            <w:r>
              <w:rPr>
                <w:color w:val="000000"/>
                <w:sz w:val="18"/>
                <w:szCs w:val="18"/>
              </w:rPr>
              <w:t>FLGT</w:t>
            </w:r>
          </w:p>
        </w:tc>
        <w:tc>
          <w:tcPr>
            <w:tcW w:w="100" w:type="pct"/>
            <w:tcBorders>
              <w:top w:val="single" w:sz="6" w:space="0" w:color="000000"/>
              <w:bottom w:val="single" w:sz="6" w:space="0" w:color="000000"/>
              <w:right w:val="single" w:sz="6" w:space="0" w:color="000000"/>
            </w:tcBorders>
            <w:hideMark/>
          </w:tcPr>
          <w:p w:rsidR="00000000" w:rsidRDefault="00406BD4">
            <w:pPr>
              <w:pStyle w:val="a3"/>
              <w:spacing w:before="80" w:beforeAutospacing="0" w:after="0" w:afterAutospacing="0"/>
              <w:jc w:val="center"/>
              <w:rPr>
                <w:sz w:val="18"/>
                <w:szCs w:val="18"/>
              </w:rPr>
            </w:pPr>
            <w:r>
              <w:rPr>
                <w:sz w:val="18"/>
                <w:szCs w:val="18"/>
              </w:rPr>
              <w:t> </w:t>
            </w:r>
          </w:p>
        </w:tc>
        <w:tc>
          <w:tcPr>
            <w:tcW w:w="1600" w:type="pct"/>
            <w:tcBorders>
              <w:top w:val="single" w:sz="6" w:space="0" w:color="000000"/>
              <w:left w:val="single" w:sz="6" w:space="0" w:color="000000"/>
              <w:bottom w:val="single" w:sz="6" w:space="0" w:color="000000"/>
              <w:right w:val="single" w:sz="6" w:space="0" w:color="000000"/>
            </w:tcBorders>
            <w:hideMark/>
          </w:tcPr>
          <w:p w:rsidR="00000000" w:rsidRDefault="00406BD4">
            <w:pPr>
              <w:pStyle w:val="a3"/>
              <w:spacing w:before="0" w:beforeAutospacing="0" w:after="0" w:afterAutospacing="0"/>
              <w:jc w:val="center"/>
              <w:rPr>
                <w:color w:val="000000"/>
                <w:sz w:val="18"/>
                <w:szCs w:val="18"/>
              </w:rPr>
            </w:pPr>
            <w:r>
              <w:rPr>
                <w:color w:val="000000"/>
                <w:sz w:val="18"/>
                <w:szCs w:val="18"/>
              </w:rPr>
              <w:t>The Nasdaq Stock Market </w:t>
            </w:r>
            <w:r>
              <w:rPr>
                <w:color w:val="000000"/>
                <w:sz w:val="18"/>
                <w:szCs w:val="18"/>
              </w:rPr>
              <w:br/>
              <w:t>(Nasdaq Global Market)</w:t>
            </w:r>
          </w:p>
        </w:tc>
      </w:tr>
    </w:tbl>
    <w:p w:rsidR="00000000" w:rsidRDefault="00406BD4">
      <w:pPr>
        <w:pStyle w:val="a3"/>
        <w:spacing w:before="0" w:beforeAutospacing="0" w:after="0" w:afterAutospacing="0"/>
        <w:rPr>
          <w:sz w:val="8"/>
          <w:szCs w:val="8"/>
        </w:rPr>
      </w:pPr>
      <w:r>
        <w:rPr>
          <w:sz w:val="8"/>
          <w:szCs w:val="8"/>
        </w:rPr>
        <w:t> </w:t>
      </w:r>
    </w:p>
    <w:p w:rsidR="00000000" w:rsidRDefault="00406BD4">
      <w:pPr>
        <w:pStyle w:val="a3"/>
        <w:spacing w:before="0" w:beforeAutospacing="0" w:after="0" w:afterAutospacing="0"/>
        <w:ind w:firstLine="556"/>
        <w:rPr>
          <w:sz w:val="18"/>
          <w:szCs w:val="18"/>
        </w:rPr>
      </w:pPr>
      <w:r>
        <w:rPr>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18"/>
          <w:szCs w:val="18"/>
        </w:rPr>
        <w:t>uch reports), and (2) has been subject to such filing requirements for the past 90 days.    Yes  </w:t>
      </w:r>
      <w:r>
        <w:rPr>
          <w:rFonts w:ascii="Segoe UI Symbol" w:hAnsi="Segoe UI Symbol"/>
          <w:sz w:val="18"/>
          <w:szCs w:val="18"/>
        </w:rPr>
        <w:t>☒</w:t>
      </w:r>
      <w:r>
        <w:rPr>
          <w:sz w:val="18"/>
          <w:szCs w:val="18"/>
        </w:rPr>
        <w:t>    No </w:t>
      </w:r>
      <w:r>
        <w:rPr>
          <w:rFonts w:ascii="Segoe UI Symbol" w:hAnsi="Segoe UI Symbol"/>
          <w:color w:val="000000"/>
          <w:sz w:val="18"/>
          <w:szCs w:val="18"/>
        </w:rPr>
        <w:t>☐</w:t>
      </w:r>
    </w:p>
    <w:p w:rsidR="00000000" w:rsidRDefault="00406BD4">
      <w:pPr>
        <w:pStyle w:val="a3"/>
        <w:spacing w:before="80" w:beforeAutospacing="0" w:after="0" w:afterAutospacing="0"/>
        <w:ind w:firstLine="556"/>
        <w:rPr>
          <w:sz w:val="18"/>
          <w:szCs w:val="18"/>
        </w:rPr>
      </w:pPr>
      <w:r>
        <w:rPr>
          <w:sz w:val="18"/>
          <w:szCs w:val="18"/>
        </w:rPr>
        <w:t>Indicate by check mark whether the registrant has submitted electronically every Interactive Data File required to be submitted pursuant to Rule 405 of Regulation S-T (§ 232.405 of this chapter) during the preceding 12 months (or for such shorter period th</w:t>
      </w:r>
      <w:r>
        <w:rPr>
          <w:sz w:val="18"/>
          <w:szCs w:val="18"/>
        </w:rPr>
        <w:t>at the registrant was required to submit such files).    Yes  </w:t>
      </w:r>
      <w:r>
        <w:rPr>
          <w:rFonts w:ascii="Segoe UI Symbol" w:hAnsi="Segoe UI Symbol"/>
          <w:sz w:val="18"/>
          <w:szCs w:val="18"/>
        </w:rPr>
        <w:t>☒</w:t>
      </w:r>
      <w:r>
        <w:rPr>
          <w:sz w:val="18"/>
          <w:szCs w:val="18"/>
        </w:rPr>
        <w:t>    No  </w:t>
      </w:r>
      <w:r>
        <w:rPr>
          <w:rFonts w:ascii="Segoe UI Symbol" w:hAnsi="Segoe UI Symbol"/>
          <w:color w:val="000000"/>
          <w:sz w:val="18"/>
          <w:szCs w:val="18"/>
        </w:rPr>
        <w:t>☐</w:t>
      </w:r>
    </w:p>
    <w:p w:rsidR="00000000" w:rsidRDefault="00406BD4">
      <w:pPr>
        <w:pStyle w:val="a3"/>
        <w:spacing w:before="80" w:beforeAutospacing="0" w:after="0" w:afterAutospacing="0"/>
        <w:ind w:firstLine="556"/>
        <w:rPr>
          <w:sz w:val="18"/>
          <w:szCs w:val="18"/>
        </w:rPr>
      </w:pPr>
      <w:r>
        <w:rPr>
          <w:sz w:val="18"/>
          <w:szCs w:val="18"/>
        </w:rPr>
        <w:t xml:space="preserve">Indicate by check mark whether the registrant is a large accelerated filer, an accelerated filer, a non-accelerated filer, a smaller reporting company, or an emerging growth company. </w:t>
      </w:r>
      <w:r>
        <w:rPr>
          <w:sz w:val="18"/>
          <w:szCs w:val="18"/>
        </w:rPr>
        <w:t>See the definitions of “large accelerated filer,” “accelerated filer” “smaller reporting company,” and “emerging growth company” in Rule 12b-2 of the Exchange Act.</w:t>
      </w:r>
    </w:p>
    <w:p w:rsidR="00000000" w:rsidRDefault="00406BD4">
      <w:pPr>
        <w:pStyle w:val="a3"/>
        <w:spacing w:before="0" w:beforeAutospacing="0" w:after="0" w:afterAutospacing="0"/>
        <w:rPr>
          <w:sz w:val="8"/>
          <w:szCs w:val="8"/>
        </w:rPr>
      </w:pPr>
      <w:r>
        <w:rPr>
          <w:sz w:val="8"/>
          <w:szCs w:val="8"/>
        </w:rPr>
        <w:t> </w:t>
      </w:r>
    </w:p>
    <w:tbl>
      <w:tblPr>
        <w:tblW w:w="5000" w:type="pct"/>
        <w:jc w:val="center"/>
        <w:tblCellMar>
          <w:left w:w="0" w:type="dxa"/>
          <w:right w:w="0" w:type="dxa"/>
        </w:tblCellMar>
        <w:tblLook w:val="04A0" w:firstRow="1" w:lastRow="0" w:firstColumn="1" w:lastColumn="0" w:noHBand="0" w:noVBand="1"/>
      </w:tblPr>
      <w:tblGrid>
        <w:gridCol w:w="1619"/>
        <w:gridCol w:w="45"/>
        <w:gridCol w:w="4381"/>
        <w:gridCol w:w="90"/>
        <w:gridCol w:w="1970"/>
        <w:gridCol w:w="45"/>
        <w:gridCol w:w="156"/>
      </w:tblGrid>
      <w:tr w:rsidR="00000000">
        <w:trPr>
          <w:divId w:val="708381807"/>
          <w:trHeight w:val="216"/>
          <w:jc w:val="center"/>
        </w:trPr>
        <w:tc>
          <w:tcPr>
            <w:tcW w:w="965" w:type="pct"/>
            <w:hideMark/>
          </w:tcPr>
          <w:p w:rsidR="00000000" w:rsidRDefault="00406BD4">
            <w:pPr>
              <w:pStyle w:val="a3"/>
              <w:spacing w:before="0" w:beforeAutospacing="0" w:after="0" w:afterAutospacing="0"/>
              <w:rPr>
                <w:sz w:val="18"/>
                <w:szCs w:val="18"/>
              </w:rPr>
            </w:pPr>
            <w:r>
              <w:rPr>
                <w:sz w:val="18"/>
                <w:szCs w:val="18"/>
              </w:rPr>
              <w:t>Large accelerated filer</w:t>
            </w:r>
          </w:p>
        </w:tc>
        <w:tc>
          <w:tcPr>
            <w:tcW w:w="30" w:type="pct"/>
            <w:hideMark/>
          </w:tcPr>
          <w:p w:rsidR="00000000" w:rsidRDefault="00406BD4">
            <w:pPr>
              <w:pStyle w:val="a3"/>
              <w:spacing w:before="0" w:beforeAutospacing="0" w:after="0" w:afterAutospacing="0"/>
              <w:rPr>
                <w:sz w:val="18"/>
                <w:szCs w:val="18"/>
              </w:rPr>
            </w:pPr>
            <w:r>
              <w:rPr>
                <w:sz w:val="18"/>
                <w:szCs w:val="18"/>
              </w:rPr>
              <w:t> </w:t>
            </w:r>
          </w:p>
        </w:tc>
        <w:tc>
          <w:tcPr>
            <w:tcW w:w="2792" w:type="pct"/>
            <w:hideMark/>
          </w:tcPr>
          <w:p w:rsidR="00000000" w:rsidRDefault="00406BD4">
            <w:pPr>
              <w:pStyle w:val="a3"/>
              <w:spacing w:before="0" w:beforeAutospacing="0" w:after="0" w:afterAutospacing="0"/>
              <w:rPr>
                <w:rFonts w:ascii="Segoe UI Symbol" w:hAnsi="Segoe UI Symbol"/>
                <w:color w:val="000000"/>
                <w:sz w:val="18"/>
                <w:szCs w:val="18"/>
              </w:rPr>
            </w:pPr>
            <w:r>
              <w:rPr>
                <w:rFonts w:ascii="Segoe UI Symbol" w:hAnsi="Segoe UI Symbol"/>
                <w:color w:val="000000"/>
                <w:sz w:val="18"/>
                <w:szCs w:val="18"/>
              </w:rPr>
              <w:t>☐</w:t>
            </w:r>
          </w:p>
        </w:tc>
        <w:tc>
          <w:tcPr>
            <w:tcW w:w="53" w:type="pct"/>
            <w:hideMark/>
          </w:tcPr>
          <w:p w:rsidR="00000000" w:rsidRDefault="00406BD4">
            <w:pPr>
              <w:pStyle w:val="a3"/>
              <w:spacing w:before="0" w:beforeAutospacing="0" w:after="0" w:afterAutospacing="0"/>
              <w:rPr>
                <w:sz w:val="18"/>
                <w:szCs w:val="18"/>
              </w:rPr>
            </w:pPr>
            <w:r>
              <w:rPr>
                <w:sz w:val="18"/>
                <w:szCs w:val="18"/>
              </w:rPr>
              <w:t>  </w:t>
            </w:r>
          </w:p>
        </w:tc>
        <w:tc>
          <w:tcPr>
            <w:tcW w:w="1024" w:type="pct"/>
            <w:hideMark/>
          </w:tcPr>
          <w:p w:rsidR="00000000" w:rsidRDefault="00406BD4">
            <w:pPr>
              <w:pStyle w:val="a3"/>
              <w:spacing w:before="0" w:beforeAutospacing="0" w:after="0" w:afterAutospacing="0"/>
              <w:rPr>
                <w:sz w:val="18"/>
                <w:szCs w:val="18"/>
              </w:rPr>
            </w:pPr>
            <w:r>
              <w:rPr>
                <w:sz w:val="18"/>
                <w:szCs w:val="18"/>
              </w:rPr>
              <w:t>Accelerated filer</w:t>
            </w:r>
          </w:p>
        </w:tc>
        <w:tc>
          <w:tcPr>
            <w:tcW w:w="30" w:type="pct"/>
            <w:hideMark/>
          </w:tcPr>
          <w:p w:rsidR="00000000" w:rsidRDefault="00406BD4">
            <w:pPr>
              <w:pStyle w:val="a3"/>
              <w:spacing w:before="0" w:beforeAutospacing="0" w:after="0" w:afterAutospacing="0"/>
              <w:rPr>
                <w:sz w:val="18"/>
                <w:szCs w:val="18"/>
              </w:rPr>
            </w:pPr>
            <w:r>
              <w:rPr>
                <w:sz w:val="18"/>
                <w:szCs w:val="18"/>
              </w:rPr>
              <w:t> </w:t>
            </w:r>
          </w:p>
        </w:tc>
        <w:tc>
          <w:tcPr>
            <w:tcW w:w="106" w:type="pct"/>
            <w:hideMark/>
          </w:tcPr>
          <w:p w:rsidR="00000000" w:rsidRDefault="00406BD4">
            <w:pPr>
              <w:pStyle w:val="a3"/>
              <w:spacing w:before="0" w:beforeAutospacing="0" w:after="0" w:afterAutospacing="0"/>
              <w:rPr>
                <w:rFonts w:ascii="Segoe UI Symbol" w:hAnsi="Segoe UI Symbol"/>
                <w:color w:val="000000"/>
                <w:sz w:val="18"/>
                <w:szCs w:val="18"/>
              </w:rPr>
            </w:pPr>
            <w:r>
              <w:rPr>
                <w:rFonts w:ascii="Segoe UI Symbol" w:hAnsi="Segoe UI Symbol"/>
                <w:color w:val="000000"/>
                <w:sz w:val="18"/>
                <w:szCs w:val="18"/>
              </w:rPr>
              <w:t>☐</w:t>
            </w:r>
          </w:p>
        </w:tc>
      </w:tr>
      <w:tr w:rsidR="00000000">
        <w:trPr>
          <w:divId w:val="708381807"/>
          <w:trHeight w:val="75"/>
          <w:jc w:val="center"/>
        </w:trPr>
        <w:tc>
          <w:tcPr>
            <w:tcW w:w="965" w:type="pct"/>
            <w:hideMark/>
          </w:tcPr>
          <w:p w:rsidR="00000000" w:rsidRDefault="00406BD4">
            <w:pPr>
              <w:pStyle w:val="a3"/>
              <w:spacing w:before="0" w:beforeAutospacing="0" w:after="0" w:afterAutospacing="0"/>
              <w:rPr>
                <w:sz w:val="4"/>
                <w:szCs w:val="4"/>
              </w:rPr>
            </w:pPr>
            <w:r>
              <w:rPr>
                <w:sz w:val="4"/>
                <w:szCs w:val="4"/>
              </w:rPr>
              <w:t> </w:t>
            </w:r>
          </w:p>
        </w:tc>
        <w:tc>
          <w:tcPr>
            <w:tcW w:w="2822" w:type="pct"/>
            <w:gridSpan w:val="2"/>
            <w:hideMark/>
          </w:tcPr>
          <w:p w:rsidR="00000000" w:rsidRDefault="00406BD4">
            <w:pPr>
              <w:pStyle w:val="a3"/>
              <w:spacing w:before="0" w:beforeAutospacing="0" w:after="0" w:afterAutospacing="0"/>
              <w:rPr>
                <w:sz w:val="4"/>
                <w:szCs w:val="4"/>
              </w:rPr>
            </w:pPr>
            <w:r>
              <w:rPr>
                <w:sz w:val="4"/>
                <w:szCs w:val="4"/>
              </w:rPr>
              <w:t> </w:t>
            </w:r>
          </w:p>
        </w:tc>
        <w:tc>
          <w:tcPr>
            <w:tcW w:w="1078" w:type="pct"/>
            <w:gridSpan w:val="2"/>
            <w:hideMark/>
          </w:tcPr>
          <w:p w:rsidR="00000000" w:rsidRDefault="00406BD4">
            <w:pPr>
              <w:pStyle w:val="a3"/>
              <w:spacing w:before="0" w:beforeAutospacing="0" w:after="0" w:afterAutospacing="0"/>
              <w:rPr>
                <w:sz w:val="4"/>
                <w:szCs w:val="4"/>
              </w:rPr>
            </w:pPr>
            <w:r>
              <w:rPr>
                <w:sz w:val="4"/>
                <w:szCs w:val="4"/>
              </w:rPr>
              <w:t> </w:t>
            </w:r>
          </w:p>
        </w:tc>
        <w:tc>
          <w:tcPr>
            <w:tcW w:w="136" w:type="pct"/>
            <w:gridSpan w:val="2"/>
            <w:hideMark/>
          </w:tcPr>
          <w:p w:rsidR="00000000" w:rsidRDefault="00406BD4">
            <w:pPr>
              <w:pStyle w:val="a3"/>
              <w:spacing w:before="0" w:beforeAutospacing="0" w:after="0" w:afterAutospacing="0"/>
              <w:rPr>
                <w:sz w:val="4"/>
                <w:szCs w:val="4"/>
              </w:rPr>
            </w:pPr>
            <w:r>
              <w:rPr>
                <w:sz w:val="4"/>
                <w:szCs w:val="4"/>
              </w:rPr>
              <w:t> </w:t>
            </w:r>
          </w:p>
        </w:tc>
      </w:tr>
      <w:tr w:rsidR="00000000">
        <w:trPr>
          <w:divId w:val="708381807"/>
          <w:jc w:val="center"/>
        </w:trPr>
        <w:tc>
          <w:tcPr>
            <w:tcW w:w="965" w:type="pct"/>
            <w:hideMark/>
          </w:tcPr>
          <w:p w:rsidR="00000000" w:rsidRDefault="00406BD4">
            <w:pPr>
              <w:pStyle w:val="a3"/>
              <w:spacing w:before="0" w:beforeAutospacing="0" w:after="0" w:afterAutospacing="0"/>
              <w:rPr>
                <w:sz w:val="18"/>
                <w:szCs w:val="18"/>
              </w:rPr>
            </w:pPr>
            <w:r>
              <w:rPr>
                <w:sz w:val="18"/>
                <w:szCs w:val="18"/>
              </w:rPr>
              <w:t>Non-accelerated filer</w:t>
            </w:r>
          </w:p>
        </w:tc>
        <w:tc>
          <w:tcPr>
            <w:tcW w:w="30" w:type="pct"/>
            <w:hideMark/>
          </w:tcPr>
          <w:p w:rsidR="00000000" w:rsidRDefault="00406BD4">
            <w:pPr>
              <w:pStyle w:val="a3"/>
              <w:spacing w:before="0" w:beforeAutospacing="0" w:after="0" w:afterAutospacing="0"/>
              <w:rPr>
                <w:sz w:val="18"/>
                <w:szCs w:val="18"/>
              </w:rPr>
            </w:pPr>
            <w:r>
              <w:rPr>
                <w:sz w:val="18"/>
                <w:szCs w:val="18"/>
              </w:rPr>
              <w:t> </w:t>
            </w:r>
          </w:p>
        </w:tc>
        <w:tc>
          <w:tcPr>
            <w:tcW w:w="2792" w:type="pct"/>
            <w:hideMark/>
          </w:tcPr>
          <w:p w:rsidR="00000000" w:rsidRDefault="00406BD4">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c>
          <w:tcPr>
            <w:tcW w:w="53" w:type="pct"/>
            <w:hideMark/>
          </w:tcPr>
          <w:p w:rsidR="00000000" w:rsidRDefault="00406BD4">
            <w:pPr>
              <w:pStyle w:val="a3"/>
              <w:spacing w:before="0" w:beforeAutospacing="0" w:after="0" w:afterAutospacing="0"/>
              <w:rPr>
                <w:sz w:val="18"/>
                <w:szCs w:val="18"/>
              </w:rPr>
            </w:pPr>
            <w:r>
              <w:rPr>
                <w:sz w:val="18"/>
                <w:szCs w:val="18"/>
              </w:rPr>
              <w:t>  </w:t>
            </w:r>
          </w:p>
        </w:tc>
        <w:tc>
          <w:tcPr>
            <w:tcW w:w="1024" w:type="pct"/>
            <w:hideMark/>
          </w:tcPr>
          <w:p w:rsidR="00000000" w:rsidRDefault="00406BD4">
            <w:pPr>
              <w:pStyle w:val="a3"/>
              <w:spacing w:before="0" w:beforeAutospacing="0" w:after="0" w:afterAutospacing="0"/>
              <w:rPr>
                <w:sz w:val="18"/>
                <w:szCs w:val="18"/>
              </w:rPr>
            </w:pPr>
            <w:r>
              <w:rPr>
                <w:sz w:val="18"/>
                <w:szCs w:val="18"/>
              </w:rPr>
              <w:t>Smaller reporting company</w:t>
            </w:r>
          </w:p>
        </w:tc>
        <w:tc>
          <w:tcPr>
            <w:tcW w:w="30" w:type="pct"/>
            <w:hideMark/>
          </w:tcPr>
          <w:p w:rsidR="00000000" w:rsidRDefault="00406BD4">
            <w:pPr>
              <w:pStyle w:val="a3"/>
              <w:spacing w:before="0" w:beforeAutospacing="0" w:after="0" w:afterAutospacing="0"/>
              <w:rPr>
                <w:sz w:val="18"/>
                <w:szCs w:val="18"/>
              </w:rPr>
            </w:pPr>
            <w:r>
              <w:rPr>
                <w:sz w:val="18"/>
                <w:szCs w:val="18"/>
              </w:rPr>
              <w:t> </w:t>
            </w:r>
          </w:p>
        </w:tc>
        <w:tc>
          <w:tcPr>
            <w:tcW w:w="106" w:type="pct"/>
            <w:hideMark/>
          </w:tcPr>
          <w:p w:rsidR="00000000" w:rsidRDefault="00406BD4">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r>
      <w:tr w:rsidR="00000000">
        <w:trPr>
          <w:divId w:val="708381807"/>
          <w:jc w:val="center"/>
        </w:trPr>
        <w:tc>
          <w:tcPr>
            <w:tcW w:w="965" w:type="pct"/>
            <w:hideMark/>
          </w:tcPr>
          <w:p w:rsidR="00000000" w:rsidRDefault="00406BD4">
            <w:pPr>
              <w:pStyle w:val="a3"/>
              <w:spacing w:before="0" w:beforeAutospacing="0" w:after="0" w:afterAutospacing="0"/>
              <w:rPr>
                <w:sz w:val="4"/>
                <w:szCs w:val="4"/>
              </w:rPr>
            </w:pPr>
            <w:r>
              <w:rPr>
                <w:sz w:val="4"/>
                <w:szCs w:val="4"/>
              </w:rPr>
              <w:t> </w:t>
            </w:r>
          </w:p>
        </w:tc>
        <w:tc>
          <w:tcPr>
            <w:tcW w:w="30" w:type="pct"/>
            <w:hideMark/>
          </w:tcPr>
          <w:p w:rsidR="00000000" w:rsidRDefault="00406BD4">
            <w:pPr>
              <w:pStyle w:val="a3"/>
              <w:spacing w:before="0" w:beforeAutospacing="0" w:after="0" w:afterAutospacing="0"/>
              <w:rPr>
                <w:sz w:val="4"/>
                <w:szCs w:val="4"/>
              </w:rPr>
            </w:pPr>
            <w:r>
              <w:rPr>
                <w:sz w:val="4"/>
                <w:szCs w:val="4"/>
              </w:rPr>
              <w:t> </w:t>
            </w:r>
          </w:p>
        </w:tc>
        <w:tc>
          <w:tcPr>
            <w:tcW w:w="2792" w:type="pct"/>
            <w:hideMark/>
          </w:tcPr>
          <w:p w:rsidR="00000000" w:rsidRDefault="00406BD4">
            <w:pPr>
              <w:pStyle w:val="a3"/>
              <w:spacing w:before="0" w:beforeAutospacing="0" w:after="0" w:afterAutospacing="0"/>
              <w:rPr>
                <w:sz w:val="4"/>
                <w:szCs w:val="4"/>
              </w:rPr>
            </w:pPr>
            <w:r>
              <w:rPr>
                <w:sz w:val="4"/>
                <w:szCs w:val="4"/>
              </w:rPr>
              <w:t> </w:t>
            </w:r>
          </w:p>
        </w:tc>
        <w:tc>
          <w:tcPr>
            <w:tcW w:w="53" w:type="pct"/>
            <w:hideMark/>
          </w:tcPr>
          <w:p w:rsidR="00000000" w:rsidRDefault="00406BD4">
            <w:pPr>
              <w:pStyle w:val="a3"/>
              <w:spacing w:before="0" w:beforeAutospacing="0" w:after="0" w:afterAutospacing="0"/>
              <w:rPr>
                <w:sz w:val="4"/>
                <w:szCs w:val="4"/>
              </w:rPr>
            </w:pPr>
            <w:r>
              <w:rPr>
                <w:sz w:val="4"/>
                <w:szCs w:val="4"/>
              </w:rPr>
              <w:t> </w:t>
            </w:r>
          </w:p>
        </w:tc>
        <w:tc>
          <w:tcPr>
            <w:tcW w:w="1024" w:type="pct"/>
            <w:hideMark/>
          </w:tcPr>
          <w:p w:rsidR="00000000" w:rsidRDefault="00406BD4">
            <w:pPr>
              <w:pStyle w:val="a3"/>
              <w:spacing w:before="0" w:beforeAutospacing="0" w:after="0" w:afterAutospacing="0"/>
              <w:rPr>
                <w:sz w:val="4"/>
                <w:szCs w:val="4"/>
              </w:rPr>
            </w:pPr>
            <w:r>
              <w:rPr>
                <w:sz w:val="4"/>
                <w:szCs w:val="4"/>
              </w:rPr>
              <w:t> </w:t>
            </w:r>
          </w:p>
        </w:tc>
        <w:tc>
          <w:tcPr>
            <w:tcW w:w="30" w:type="pct"/>
            <w:hideMark/>
          </w:tcPr>
          <w:p w:rsidR="00000000" w:rsidRDefault="00406BD4">
            <w:pPr>
              <w:pStyle w:val="a3"/>
              <w:spacing w:before="0" w:beforeAutospacing="0" w:after="0" w:afterAutospacing="0"/>
              <w:rPr>
                <w:sz w:val="4"/>
                <w:szCs w:val="4"/>
              </w:rPr>
            </w:pPr>
            <w:r>
              <w:rPr>
                <w:sz w:val="4"/>
                <w:szCs w:val="4"/>
              </w:rPr>
              <w:t> </w:t>
            </w:r>
          </w:p>
        </w:tc>
        <w:tc>
          <w:tcPr>
            <w:tcW w:w="106" w:type="pct"/>
            <w:hideMark/>
          </w:tcPr>
          <w:p w:rsidR="00000000" w:rsidRDefault="00406BD4">
            <w:pPr>
              <w:pStyle w:val="a3"/>
              <w:spacing w:before="0" w:beforeAutospacing="0" w:after="0" w:afterAutospacing="0"/>
              <w:rPr>
                <w:sz w:val="4"/>
                <w:szCs w:val="4"/>
              </w:rPr>
            </w:pPr>
            <w:r>
              <w:rPr>
                <w:sz w:val="4"/>
                <w:szCs w:val="4"/>
              </w:rPr>
              <w:t> </w:t>
            </w:r>
          </w:p>
        </w:tc>
      </w:tr>
      <w:tr w:rsidR="00000000">
        <w:trPr>
          <w:divId w:val="708381807"/>
          <w:jc w:val="center"/>
        </w:trPr>
        <w:tc>
          <w:tcPr>
            <w:tcW w:w="965" w:type="pct"/>
            <w:hideMark/>
          </w:tcPr>
          <w:p w:rsidR="00000000" w:rsidRDefault="00406BD4">
            <w:pPr>
              <w:pStyle w:val="a3"/>
              <w:spacing w:before="0" w:beforeAutospacing="0" w:after="0" w:afterAutospacing="0"/>
              <w:rPr>
                <w:sz w:val="18"/>
                <w:szCs w:val="18"/>
              </w:rPr>
            </w:pPr>
            <w:r>
              <w:rPr>
                <w:sz w:val="18"/>
                <w:szCs w:val="18"/>
              </w:rPr>
              <w:t> </w:t>
            </w:r>
          </w:p>
        </w:tc>
        <w:tc>
          <w:tcPr>
            <w:tcW w:w="30" w:type="pct"/>
            <w:hideMark/>
          </w:tcPr>
          <w:p w:rsidR="00000000" w:rsidRDefault="00406BD4">
            <w:pPr>
              <w:pStyle w:val="a3"/>
              <w:spacing w:before="0" w:beforeAutospacing="0" w:after="0" w:afterAutospacing="0"/>
              <w:rPr>
                <w:sz w:val="18"/>
                <w:szCs w:val="18"/>
              </w:rPr>
            </w:pPr>
            <w:r>
              <w:rPr>
                <w:sz w:val="18"/>
                <w:szCs w:val="18"/>
              </w:rPr>
              <w:t> </w:t>
            </w:r>
          </w:p>
        </w:tc>
        <w:tc>
          <w:tcPr>
            <w:tcW w:w="2792" w:type="pct"/>
            <w:hideMark/>
          </w:tcPr>
          <w:p w:rsidR="00000000" w:rsidRDefault="00406BD4">
            <w:pPr>
              <w:pStyle w:val="a3"/>
              <w:spacing w:before="0" w:beforeAutospacing="0" w:after="0" w:afterAutospacing="0"/>
              <w:rPr>
                <w:sz w:val="20"/>
                <w:szCs w:val="20"/>
              </w:rPr>
            </w:pPr>
            <w:r>
              <w:rPr>
                <w:sz w:val="20"/>
                <w:szCs w:val="20"/>
              </w:rPr>
              <w:t> </w:t>
            </w:r>
          </w:p>
        </w:tc>
        <w:tc>
          <w:tcPr>
            <w:tcW w:w="53" w:type="pct"/>
            <w:hideMark/>
          </w:tcPr>
          <w:p w:rsidR="00000000" w:rsidRDefault="00406BD4">
            <w:pPr>
              <w:pStyle w:val="a3"/>
              <w:spacing w:before="0" w:beforeAutospacing="0" w:after="0" w:afterAutospacing="0"/>
              <w:rPr>
                <w:sz w:val="18"/>
                <w:szCs w:val="18"/>
              </w:rPr>
            </w:pPr>
            <w:r>
              <w:rPr>
                <w:sz w:val="18"/>
                <w:szCs w:val="18"/>
              </w:rPr>
              <w:t> </w:t>
            </w:r>
          </w:p>
        </w:tc>
        <w:tc>
          <w:tcPr>
            <w:tcW w:w="1024" w:type="pct"/>
            <w:hideMark/>
          </w:tcPr>
          <w:p w:rsidR="00000000" w:rsidRDefault="00406BD4">
            <w:pPr>
              <w:pStyle w:val="a3"/>
              <w:spacing w:before="0" w:beforeAutospacing="0" w:after="0" w:afterAutospacing="0"/>
              <w:rPr>
                <w:sz w:val="18"/>
                <w:szCs w:val="18"/>
              </w:rPr>
            </w:pPr>
            <w:r>
              <w:rPr>
                <w:sz w:val="18"/>
                <w:szCs w:val="18"/>
              </w:rPr>
              <w:t>Emerging growth company</w:t>
            </w:r>
          </w:p>
        </w:tc>
        <w:tc>
          <w:tcPr>
            <w:tcW w:w="30" w:type="pct"/>
            <w:hideMark/>
          </w:tcPr>
          <w:p w:rsidR="00000000" w:rsidRDefault="00406BD4">
            <w:pPr>
              <w:pStyle w:val="a3"/>
              <w:spacing w:before="0" w:beforeAutospacing="0" w:after="0" w:afterAutospacing="0"/>
              <w:rPr>
                <w:sz w:val="18"/>
                <w:szCs w:val="18"/>
              </w:rPr>
            </w:pPr>
            <w:r>
              <w:rPr>
                <w:sz w:val="18"/>
                <w:szCs w:val="18"/>
              </w:rPr>
              <w:t> </w:t>
            </w:r>
          </w:p>
        </w:tc>
        <w:tc>
          <w:tcPr>
            <w:tcW w:w="106" w:type="pct"/>
            <w:hideMark/>
          </w:tcPr>
          <w:p w:rsidR="00000000" w:rsidRDefault="00406BD4">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r>
    </w:tbl>
    <w:p w:rsidR="00000000" w:rsidRDefault="00406BD4">
      <w:pPr>
        <w:pStyle w:val="a3"/>
        <w:spacing w:before="0" w:beforeAutospacing="0" w:after="0" w:afterAutospacing="0"/>
        <w:rPr>
          <w:sz w:val="8"/>
          <w:szCs w:val="8"/>
        </w:rPr>
      </w:pPr>
      <w:r>
        <w:rPr>
          <w:sz w:val="8"/>
          <w:szCs w:val="8"/>
        </w:rPr>
        <w:t> </w:t>
      </w:r>
    </w:p>
    <w:p w:rsidR="00000000" w:rsidRDefault="00406BD4">
      <w:pPr>
        <w:pStyle w:val="a3"/>
        <w:spacing w:before="0" w:beforeAutospacing="0" w:after="0" w:afterAutospacing="0"/>
        <w:ind w:firstLine="556"/>
        <w:rPr>
          <w:sz w:val="18"/>
          <w:szCs w:val="18"/>
        </w:rPr>
      </w:pPr>
      <w:r>
        <w:rPr>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8"/>
          <w:szCs w:val="18"/>
        </w:rPr>
        <w:t>☒</w:t>
      </w:r>
    </w:p>
    <w:p w:rsidR="00000000" w:rsidRDefault="00406BD4">
      <w:pPr>
        <w:pStyle w:val="a3"/>
        <w:spacing w:before="80" w:beforeAutospacing="0" w:after="0" w:afterAutospacing="0"/>
        <w:ind w:firstLine="556"/>
        <w:rPr>
          <w:sz w:val="18"/>
          <w:szCs w:val="18"/>
        </w:rPr>
      </w:pPr>
      <w:r>
        <w:rPr>
          <w:sz w:val="18"/>
          <w:szCs w:val="18"/>
        </w:rPr>
        <w:lastRenderedPageBreak/>
        <w:t>Indicate by check mark whether the registrant is a shell company (as defined in Rule 12b-2 of the Exchange Act).    Yes  </w:t>
      </w:r>
      <w:r>
        <w:rPr>
          <w:rFonts w:ascii="Segoe UI Symbol" w:hAnsi="Segoe UI Symbol"/>
          <w:color w:val="000000"/>
          <w:sz w:val="18"/>
          <w:szCs w:val="18"/>
        </w:rPr>
        <w:t>☐</w:t>
      </w:r>
      <w:r>
        <w:rPr>
          <w:sz w:val="18"/>
          <w:szCs w:val="18"/>
        </w:rPr>
        <w:t>    No  </w:t>
      </w:r>
      <w:r>
        <w:rPr>
          <w:rFonts w:ascii="Segoe UI Symbol" w:hAnsi="Segoe UI Symbol"/>
          <w:sz w:val="18"/>
          <w:szCs w:val="18"/>
        </w:rPr>
        <w:t>☒</w:t>
      </w:r>
      <w:r>
        <w:rPr>
          <w:sz w:val="18"/>
          <w:szCs w:val="18"/>
        </w:rPr>
        <w:t xml:space="preserve"> </w:t>
      </w:r>
    </w:p>
    <w:p w:rsidR="00000000" w:rsidRDefault="00406BD4">
      <w:pPr>
        <w:pStyle w:val="a3"/>
        <w:spacing w:before="80" w:beforeAutospacing="0" w:after="0" w:afterAutospacing="0"/>
        <w:ind w:firstLine="556"/>
        <w:rPr>
          <w:color w:val="000000"/>
          <w:sz w:val="18"/>
          <w:szCs w:val="18"/>
        </w:rPr>
      </w:pPr>
      <w:r>
        <w:rPr>
          <w:color w:val="000000"/>
          <w:sz w:val="18"/>
          <w:szCs w:val="18"/>
        </w:rPr>
        <w:t>As of November 1, 2020, there were 24,273,564 outstanding shares of the registrant’s common stock.</w:t>
      </w:r>
    </w:p>
    <w:p w:rsidR="00000000" w:rsidRDefault="00406BD4">
      <w:pPr>
        <w:pStyle w:val="a3"/>
        <w:pBdr>
          <w:bottom w:val="double" w:sz="6" w:space="1" w:color="auto"/>
        </w:pBdr>
        <w:spacing w:before="0" w:beforeAutospacing="0" w:after="0" w:afterAutospacing="0"/>
        <w:jc w:val="center"/>
        <w:rPr>
          <w:sz w:val="8"/>
          <w:szCs w:val="8"/>
        </w:rPr>
      </w:pPr>
      <w:r>
        <w:rPr>
          <w:sz w:val="8"/>
          <w:szCs w:val="8"/>
        </w:rPr>
        <w:t> </w: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240" w:beforeAutospacing="0" w:after="0" w:afterAutospacing="0"/>
        <w:jc w:val="center"/>
        <w:rPr>
          <w:sz w:val="20"/>
          <w:szCs w:val="20"/>
        </w:rPr>
      </w:pPr>
      <w:r>
        <w:rPr>
          <w:sz w:val="20"/>
          <w:szCs w:val="20"/>
        </w:rPr>
        <w:t> </w:t>
      </w:r>
    </w:p>
    <w:p w:rsidR="00000000" w:rsidRDefault="00406BD4">
      <w:pPr>
        <w:rPr>
          <w:rFonts w:eastAsia="Times New Roman"/>
        </w:rPr>
      </w:pPr>
      <w:r>
        <w:rPr>
          <w:rFonts w:eastAsia="Times New Roman"/>
        </w:rPr>
        <w:pict>
          <v:rect id="_x0000_i1025"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0" w:beforeAutospacing="0" w:after="0" w:afterAutospacing="0"/>
        <w:jc w:val="center"/>
        <w:rPr>
          <w:b/>
          <w:bCs/>
          <w:sz w:val="20"/>
          <w:szCs w:val="20"/>
        </w:rPr>
      </w:pPr>
      <w:bookmarkStart w:id="0" w:name="_AEIOULastRenderedPageBreakAEIOU2"/>
      <w:bookmarkEnd w:id="0"/>
      <w:r>
        <w:rPr>
          <w:b/>
          <w:bCs/>
          <w:sz w:val="20"/>
          <w:szCs w:val="20"/>
        </w:rPr>
        <w:t>Table of Contents</w:t>
      </w:r>
    </w:p>
    <w:p w:rsidR="00000000" w:rsidRDefault="00406BD4">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7895"/>
        <w:gridCol w:w="411"/>
      </w:tblGrid>
      <w:tr w:rsidR="00000000">
        <w:trPr>
          <w:divId w:val="1157959070"/>
          <w:jc w:val="center"/>
        </w:trPr>
        <w:tc>
          <w:tcPr>
            <w:tcW w:w="4778" w:type="pct"/>
            <w:vAlign w:val="center"/>
            <w:hideMark/>
          </w:tcPr>
          <w:p w:rsidR="00000000" w:rsidRDefault="00406BD4">
            <w:pPr>
              <w:rPr>
                <w:sz w:val="20"/>
                <w:szCs w:val="20"/>
              </w:rPr>
            </w:pPr>
          </w:p>
        </w:tc>
        <w:tc>
          <w:tcPr>
            <w:tcW w:w="222" w:type="pct"/>
            <w:vAlign w:val="center"/>
            <w:hideMark/>
          </w:tcPr>
          <w:p w:rsidR="00000000" w:rsidRDefault="00406BD4">
            <w:pPr>
              <w:rPr>
                <w:rFonts w:eastAsia="Times New Roman"/>
                <w:sz w:val="20"/>
                <w:szCs w:val="20"/>
              </w:rPr>
            </w:pPr>
          </w:p>
        </w:tc>
      </w:tr>
      <w:tr w:rsidR="00000000">
        <w:trPr>
          <w:divId w:val="1157959070"/>
          <w:jc w:val="center"/>
        </w:trPr>
        <w:tc>
          <w:tcPr>
            <w:tcW w:w="0" w:type="auto"/>
            <w:hideMark/>
          </w:tcPr>
          <w:p w:rsidR="00000000" w:rsidRDefault="00406BD4">
            <w:pPr>
              <w:pStyle w:val="a3"/>
              <w:spacing w:before="0" w:beforeAutospacing="0" w:after="0" w:afterAutospacing="0"/>
              <w:rPr>
                <w:sz w:val="20"/>
                <w:szCs w:val="20"/>
              </w:rPr>
            </w:pPr>
            <w:r>
              <w:rPr>
                <w:sz w:val="20"/>
                <w:szCs w:val="20"/>
              </w:rPr>
              <w:t> </w:t>
            </w:r>
          </w:p>
        </w:tc>
        <w:tc>
          <w:tcPr>
            <w:tcW w:w="0" w:type="auto"/>
            <w:hideMark/>
          </w:tcPr>
          <w:p w:rsidR="00000000" w:rsidRDefault="00406BD4">
            <w:pPr>
              <w:pStyle w:val="a3"/>
              <w:spacing w:before="0" w:beforeAutospacing="0" w:after="0" w:afterAutospacing="0"/>
              <w:jc w:val="center"/>
              <w:rPr>
                <w:b/>
                <w:bCs/>
                <w:sz w:val="20"/>
                <w:szCs w:val="20"/>
              </w:rPr>
            </w:pPr>
            <w:r>
              <w:rPr>
                <w:b/>
                <w:bCs/>
                <w:sz w:val="20"/>
                <w:szCs w:val="20"/>
              </w:rPr>
              <w:t>Page</w:t>
            </w:r>
          </w:p>
        </w:tc>
      </w:tr>
      <w:tr w:rsidR="00000000">
        <w:trPr>
          <w:divId w:val="1157959070"/>
          <w:jc w:val="center"/>
        </w:trPr>
        <w:tc>
          <w:tcPr>
            <w:tcW w:w="0" w:type="auto"/>
            <w:hideMark/>
          </w:tcPr>
          <w:p w:rsidR="00000000" w:rsidRDefault="00406BD4">
            <w:pPr>
              <w:pStyle w:val="a3"/>
              <w:spacing w:beforeAutospacing="0" w:after="0" w:afterAutospacing="0"/>
              <w:rPr>
                <w:b/>
                <w:bCs/>
                <w:sz w:val="20"/>
                <w:szCs w:val="20"/>
              </w:rPr>
            </w:pPr>
            <w:hyperlink w:anchor="PART_IFINANCIAL_INFORMATION" w:history="1">
              <w:r>
                <w:rPr>
                  <w:rStyle w:val="a4"/>
                  <w:b/>
                  <w:bCs/>
                  <w:sz w:val="20"/>
                  <w:szCs w:val="20"/>
                </w:rPr>
                <w:t>PART I—FINANCIAL INFORMATION</w:t>
              </w:r>
            </w:hyperlink>
          </w:p>
        </w:tc>
        <w:tc>
          <w:tcPr>
            <w:tcW w:w="0" w:type="auto"/>
            <w:hideMark/>
          </w:tcPr>
          <w:p w:rsidR="00000000" w:rsidRDefault="00406BD4">
            <w:pPr>
              <w:pStyle w:val="a3"/>
              <w:spacing w:beforeAutospacing="0" w:after="0" w:afterAutospacing="0"/>
              <w:jc w:val="center"/>
              <w:rPr>
                <w:sz w:val="20"/>
                <w:szCs w:val="20"/>
              </w:rPr>
            </w:pPr>
            <w:r>
              <w:rPr>
                <w:sz w:val="20"/>
                <w:szCs w:val="20"/>
              </w:rPr>
              <w:t>1</w:t>
            </w:r>
          </w:p>
        </w:tc>
      </w:tr>
      <w:tr w:rsidR="00000000">
        <w:trPr>
          <w:divId w:val="1157959070"/>
          <w:jc w:val="center"/>
        </w:trPr>
        <w:tc>
          <w:tcPr>
            <w:tcW w:w="0" w:type="auto"/>
            <w:hideMark/>
          </w:tcPr>
          <w:p w:rsidR="00000000" w:rsidRDefault="00406BD4">
            <w:pPr>
              <w:pStyle w:val="a3"/>
              <w:spacing w:beforeAutospacing="0" w:after="0" w:afterAutospacing="0"/>
              <w:rPr>
                <w:sz w:val="20"/>
                <w:szCs w:val="20"/>
              </w:rPr>
            </w:pPr>
            <w:hyperlink w:anchor="ITEM_1_FINANCIAL_STATEMENTS" w:history="1">
              <w:r>
                <w:rPr>
                  <w:rStyle w:val="a4"/>
                  <w:sz w:val="20"/>
                  <w:szCs w:val="20"/>
                </w:rPr>
                <w:t>Item 1. Financial Statements (Unaudited)</w:t>
              </w:r>
            </w:hyperlink>
          </w:p>
        </w:tc>
        <w:tc>
          <w:tcPr>
            <w:tcW w:w="0" w:type="auto"/>
            <w:hideMark/>
          </w:tcPr>
          <w:p w:rsidR="00000000" w:rsidRDefault="00406BD4">
            <w:pPr>
              <w:pStyle w:val="a3"/>
              <w:spacing w:beforeAutospacing="0" w:after="0" w:afterAutospacing="0"/>
              <w:jc w:val="center"/>
              <w:rPr>
                <w:sz w:val="20"/>
                <w:szCs w:val="20"/>
              </w:rPr>
            </w:pPr>
            <w:r>
              <w:rPr>
                <w:sz w:val="20"/>
                <w:szCs w:val="20"/>
              </w:rPr>
              <w:t>1</w:t>
            </w:r>
          </w:p>
        </w:tc>
      </w:tr>
      <w:tr w:rsidR="00000000">
        <w:trPr>
          <w:divId w:val="1157959070"/>
          <w:jc w:val="center"/>
        </w:trPr>
        <w:tc>
          <w:tcPr>
            <w:tcW w:w="0" w:type="auto"/>
            <w:hideMark/>
          </w:tcPr>
          <w:p w:rsidR="00000000" w:rsidRDefault="00406BD4">
            <w:pPr>
              <w:pStyle w:val="a3"/>
              <w:spacing w:beforeAutospacing="0" w:after="0" w:afterAutospacing="0"/>
              <w:rPr>
                <w:sz w:val="20"/>
                <w:szCs w:val="20"/>
              </w:rPr>
            </w:pPr>
            <w:hyperlink w:anchor="CONDENSED_CONSOLIDATED_BALANCE_SHEETS" w:history="1">
              <w:r>
                <w:rPr>
                  <w:rStyle w:val="a4"/>
                  <w:sz w:val="20"/>
                  <w:szCs w:val="20"/>
                </w:rPr>
                <w:t>Condensed Consolidat</w:t>
              </w:r>
              <w:r>
                <w:rPr>
                  <w:rStyle w:val="a4"/>
                  <w:sz w:val="20"/>
                  <w:szCs w:val="20"/>
                </w:rPr>
                <w:t>ed Balance Sheets</w:t>
              </w:r>
            </w:hyperlink>
          </w:p>
        </w:tc>
        <w:tc>
          <w:tcPr>
            <w:tcW w:w="0" w:type="auto"/>
            <w:hideMark/>
          </w:tcPr>
          <w:p w:rsidR="00000000" w:rsidRDefault="00406BD4">
            <w:pPr>
              <w:pStyle w:val="a3"/>
              <w:spacing w:beforeAutospacing="0" w:after="0" w:afterAutospacing="0"/>
              <w:jc w:val="center"/>
              <w:rPr>
                <w:sz w:val="20"/>
                <w:szCs w:val="20"/>
              </w:rPr>
            </w:pPr>
            <w:r>
              <w:rPr>
                <w:sz w:val="20"/>
                <w:szCs w:val="20"/>
              </w:rPr>
              <w:t>1</w:t>
            </w:r>
          </w:p>
        </w:tc>
      </w:tr>
      <w:tr w:rsidR="00000000">
        <w:trPr>
          <w:divId w:val="1157959070"/>
          <w:jc w:val="center"/>
        </w:trPr>
        <w:tc>
          <w:tcPr>
            <w:tcW w:w="0" w:type="auto"/>
            <w:hideMark/>
          </w:tcPr>
          <w:p w:rsidR="00000000" w:rsidRDefault="00406BD4">
            <w:pPr>
              <w:pStyle w:val="a3"/>
              <w:spacing w:beforeAutospacing="0" w:after="0" w:afterAutospacing="0"/>
              <w:rPr>
                <w:sz w:val="20"/>
                <w:szCs w:val="20"/>
              </w:rPr>
            </w:pPr>
            <w:hyperlink w:anchor="CONDENSED_CONSOLIDATED_STATEMENTS_OPERA" w:history="1">
              <w:r>
                <w:rPr>
                  <w:rStyle w:val="a4"/>
                  <w:sz w:val="20"/>
                  <w:szCs w:val="20"/>
                </w:rPr>
                <w:t>Condensed Consolidated Statements of Operations</w:t>
              </w:r>
            </w:hyperlink>
          </w:p>
        </w:tc>
        <w:tc>
          <w:tcPr>
            <w:tcW w:w="0" w:type="auto"/>
            <w:hideMark/>
          </w:tcPr>
          <w:p w:rsidR="00000000" w:rsidRDefault="00406BD4">
            <w:pPr>
              <w:pStyle w:val="a3"/>
              <w:spacing w:beforeAutospacing="0" w:after="0" w:afterAutospacing="0"/>
              <w:jc w:val="center"/>
              <w:rPr>
                <w:sz w:val="20"/>
                <w:szCs w:val="20"/>
              </w:rPr>
            </w:pPr>
            <w:r>
              <w:rPr>
                <w:sz w:val="20"/>
                <w:szCs w:val="20"/>
              </w:rPr>
              <w:t>2</w:t>
            </w:r>
          </w:p>
        </w:tc>
      </w:tr>
      <w:tr w:rsidR="00000000">
        <w:trPr>
          <w:divId w:val="1157959070"/>
          <w:jc w:val="center"/>
        </w:trPr>
        <w:tc>
          <w:tcPr>
            <w:tcW w:w="0" w:type="auto"/>
            <w:hideMark/>
          </w:tcPr>
          <w:p w:rsidR="00000000" w:rsidRDefault="00406BD4">
            <w:pPr>
              <w:pStyle w:val="a3"/>
              <w:spacing w:beforeAutospacing="0" w:after="0" w:afterAutospacing="0"/>
              <w:rPr>
                <w:sz w:val="20"/>
                <w:szCs w:val="20"/>
              </w:rPr>
            </w:pPr>
            <w:hyperlink w:anchor="CONSOLIDATED_STMT_OF_COMP_LOST" w:history="1">
              <w:r>
                <w:rPr>
                  <w:rStyle w:val="a4"/>
                  <w:sz w:val="20"/>
                  <w:szCs w:val="20"/>
                </w:rPr>
                <w:t>Condensed Consolidated Statements of Comprehensive Income (Loss)</w:t>
              </w:r>
            </w:hyperlink>
          </w:p>
        </w:tc>
        <w:tc>
          <w:tcPr>
            <w:tcW w:w="0" w:type="auto"/>
            <w:hideMark/>
          </w:tcPr>
          <w:p w:rsidR="00000000" w:rsidRDefault="00406BD4">
            <w:pPr>
              <w:pStyle w:val="a3"/>
              <w:spacing w:beforeAutospacing="0" w:after="0" w:afterAutospacing="0"/>
              <w:jc w:val="center"/>
              <w:rPr>
                <w:sz w:val="20"/>
                <w:szCs w:val="20"/>
              </w:rPr>
            </w:pPr>
            <w:r>
              <w:rPr>
                <w:sz w:val="20"/>
                <w:szCs w:val="20"/>
              </w:rPr>
              <w:t>3</w:t>
            </w:r>
          </w:p>
        </w:tc>
      </w:tr>
      <w:tr w:rsidR="00000000">
        <w:trPr>
          <w:divId w:val="1157959070"/>
          <w:jc w:val="center"/>
        </w:trPr>
        <w:tc>
          <w:tcPr>
            <w:tcW w:w="0" w:type="auto"/>
            <w:hideMark/>
          </w:tcPr>
          <w:p w:rsidR="00000000" w:rsidRDefault="00406BD4">
            <w:pPr>
              <w:pStyle w:val="a3"/>
              <w:spacing w:beforeAutospacing="0" w:after="0" w:afterAutospacing="0"/>
              <w:rPr>
                <w:sz w:val="20"/>
                <w:szCs w:val="20"/>
              </w:rPr>
            </w:pPr>
            <w:hyperlink w:anchor="CONSOLIDATED_STATEMENTS_STOCKHOLDERS_EQ" w:history="1">
              <w:r>
                <w:rPr>
                  <w:rStyle w:val="a4"/>
                  <w:sz w:val="20"/>
                  <w:szCs w:val="20"/>
                </w:rPr>
                <w:t>Condensed Consolidated Statements of Stockholders’ Equity</w:t>
              </w:r>
            </w:hyperlink>
          </w:p>
        </w:tc>
        <w:tc>
          <w:tcPr>
            <w:tcW w:w="0" w:type="auto"/>
            <w:hideMark/>
          </w:tcPr>
          <w:p w:rsidR="00000000" w:rsidRDefault="00406BD4">
            <w:pPr>
              <w:pStyle w:val="a3"/>
              <w:spacing w:beforeAutospacing="0" w:after="0" w:afterAutospacing="0"/>
              <w:jc w:val="center"/>
              <w:rPr>
                <w:sz w:val="20"/>
                <w:szCs w:val="20"/>
              </w:rPr>
            </w:pPr>
            <w:r>
              <w:rPr>
                <w:sz w:val="20"/>
                <w:szCs w:val="20"/>
              </w:rPr>
              <w:t>4</w:t>
            </w:r>
          </w:p>
        </w:tc>
      </w:tr>
      <w:tr w:rsidR="00000000">
        <w:trPr>
          <w:divId w:val="1157959070"/>
          <w:jc w:val="center"/>
        </w:trPr>
        <w:tc>
          <w:tcPr>
            <w:tcW w:w="0" w:type="auto"/>
            <w:hideMark/>
          </w:tcPr>
          <w:p w:rsidR="00000000" w:rsidRDefault="00406BD4">
            <w:pPr>
              <w:pStyle w:val="a3"/>
              <w:spacing w:beforeAutospacing="0" w:after="0" w:afterAutospacing="0"/>
              <w:rPr>
                <w:sz w:val="20"/>
                <w:szCs w:val="20"/>
              </w:rPr>
            </w:pPr>
            <w:hyperlink w:anchor="CONDENSED_CONSOLIDATED_STATEMENTS_CASH_" w:history="1">
              <w:r>
                <w:rPr>
                  <w:rStyle w:val="a4"/>
                  <w:sz w:val="20"/>
                  <w:szCs w:val="20"/>
                </w:rPr>
                <w:t>Con</w:t>
              </w:r>
              <w:r>
                <w:rPr>
                  <w:rStyle w:val="a4"/>
                  <w:sz w:val="20"/>
                  <w:szCs w:val="20"/>
                </w:rPr>
                <w:t>densed Consolidated Statements of Cash Flows</w:t>
              </w:r>
            </w:hyperlink>
          </w:p>
        </w:tc>
        <w:tc>
          <w:tcPr>
            <w:tcW w:w="0" w:type="auto"/>
            <w:hideMark/>
          </w:tcPr>
          <w:p w:rsidR="00000000" w:rsidRDefault="00406BD4">
            <w:pPr>
              <w:pStyle w:val="a3"/>
              <w:spacing w:beforeAutospacing="0" w:after="0" w:afterAutospacing="0"/>
              <w:jc w:val="center"/>
              <w:rPr>
                <w:sz w:val="20"/>
                <w:szCs w:val="20"/>
              </w:rPr>
            </w:pPr>
            <w:r>
              <w:rPr>
                <w:sz w:val="20"/>
                <w:szCs w:val="20"/>
              </w:rPr>
              <w:t>6</w:t>
            </w:r>
          </w:p>
        </w:tc>
      </w:tr>
      <w:tr w:rsidR="00000000">
        <w:trPr>
          <w:divId w:val="1157959070"/>
          <w:jc w:val="center"/>
        </w:trPr>
        <w:tc>
          <w:tcPr>
            <w:tcW w:w="0" w:type="auto"/>
            <w:hideMark/>
          </w:tcPr>
          <w:p w:rsidR="00000000" w:rsidRDefault="00406BD4">
            <w:pPr>
              <w:pStyle w:val="a3"/>
              <w:spacing w:beforeAutospacing="0" w:after="0" w:afterAutospacing="0"/>
              <w:rPr>
                <w:sz w:val="20"/>
                <w:szCs w:val="20"/>
              </w:rPr>
            </w:pPr>
            <w:hyperlink w:anchor="NOTES_TO_CONDENSED_CONSOLIDATED_FINANCI" w:history="1">
              <w:r>
                <w:rPr>
                  <w:rStyle w:val="a4"/>
                  <w:sz w:val="20"/>
                  <w:szCs w:val="20"/>
                </w:rPr>
                <w:t>Notes to the Condensed Consolidated Financial Statements</w:t>
              </w:r>
            </w:hyperlink>
          </w:p>
        </w:tc>
        <w:tc>
          <w:tcPr>
            <w:tcW w:w="0" w:type="auto"/>
            <w:hideMark/>
          </w:tcPr>
          <w:p w:rsidR="00000000" w:rsidRDefault="00406BD4">
            <w:pPr>
              <w:pStyle w:val="a3"/>
              <w:spacing w:beforeAutospacing="0" w:after="0" w:afterAutospacing="0"/>
              <w:jc w:val="center"/>
              <w:rPr>
                <w:sz w:val="20"/>
                <w:szCs w:val="20"/>
              </w:rPr>
            </w:pPr>
            <w:r>
              <w:rPr>
                <w:sz w:val="20"/>
                <w:szCs w:val="20"/>
              </w:rPr>
              <w:t>7</w:t>
            </w:r>
          </w:p>
        </w:tc>
      </w:tr>
      <w:tr w:rsidR="00000000">
        <w:trPr>
          <w:divId w:val="1157959070"/>
          <w:jc w:val="center"/>
        </w:trPr>
        <w:tc>
          <w:tcPr>
            <w:tcW w:w="0" w:type="auto"/>
            <w:hideMark/>
          </w:tcPr>
          <w:p w:rsidR="00000000" w:rsidRDefault="00406BD4">
            <w:pPr>
              <w:pStyle w:val="a3"/>
              <w:spacing w:beforeAutospacing="0" w:after="0" w:afterAutospacing="0"/>
              <w:rPr>
                <w:sz w:val="20"/>
                <w:szCs w:val="20"/>
              </w:rPr>
            </w:pPr>
            <w:hyperlink w:anchor="ITEM_2_MANAGEMENTS_DISCUSSION_ANALYSIS_" w:history="1">
              <w:r>
                <w:rPr>
                  <w:rStyle w:val="a4"/>
                  <w:sz w:val="20"/>
                  <w:szCs w:val="20"/>
                </w:rPr>
                <w:t>Item 2. Management’s Dis</w:t>
              </w:r>
              <w:r>
                <w:rPr>
                  <w:rStyle w:val="a4"/>
                  <w:sz w:val="20"/>
                  <w:szCs w:val="20"/>
                </w:rPr>
                <w:t>cussion and Analysis of Financial Condition and Results of Operations</w:t>
              </w:r>
            </w:hyperlink>
          </w:p>
        </w:tc>
        <w:tc>
          <w:tcPr>
            <w:tcW w:w="0" w:type="auto"/>
            <w:hideMark/>
          </w:tcPr>
          <w:p w:rsidR="00000000" w:rsidRDefault="00406BD4">
            <w:pPr>
              <w:pStyle w:val="a3"/>
              <w:spacing w:beforeAutospacing="0" w:after="0" w:afterAutospacing="0"/>
              <w:jc w:val="center"/>
              <w:rPr>
                <w:sz w:val="20"/>
                <w:szCs w:val="20"/>
              </w:rPr>
            </w:pPr>
            <w:r>
              <w:rPr>
                <w:sz w:val="20"/>
                <w:szCs w:val="20"/>
              </w:rPr>
              <w:t>20</w:t>
            </w:r>
          </w:p>
        </w:tc>
      </w:tr>
      <w:tr w:rsidR="00000000">
        <w:trPr>
          <w:divId w:val="1157959070"/>
          <w:jc w:val="center"/>
        </w:trPr>
        <w:tc>
          <w:tcPr>
            <w:tcW w:w="0" w:type="auto"/>
            <w:hideMark/>
          </w:tcPr>
          <w:p w:rsidR="00000000" w:rsidRDefault="00406BD4">
            <w:pPr>
              <w:pStyle w:val="a3"/>
              <w:spacing w:beforeAutospacing="0" w:after="0" w:afterAutospacing="0"/>
              <w:rPr>
                <w:sz w:val="20"/>
                <w:szCs w:val="20"/>
              </w:rPr>
            </w:pPr>
            <w:hyperlink w:anchor="ITEM_3_QUANTITATIVE_QUALITATIVE_DISCLOS" w:history="1">
              <w:r>
                <w:rPr>
                  <w:rStyle w:val="a4"/>
                  <w:sz w:val="20"/>
                  <w:szCs w:val="20"/>
                </w:rPr>
                <w:t>Item 3. Quantitative and Qualitative Disclosures About Market Risk</w:t>
              </w:r>
            </w:hyperlink>
          </w:p>
        </w:tc>
        <w:tc>
          <w:tcPr>
            <w:tcW w:w="0" w:type="auto"/>
            <w:hideMark/>
          </w:tcPr>
          <w:p w:rsidR="00000000" w:rsidRDefault="00406BD4">
            <w:pPr>
              <w:pStyle w:val="a3"/>
              <w:spacing w:beforeAutospacing="0" w:after="0" w:afterAutospacing="0"/>
              <w:jc w:val="center"/>
              <w:rPr>
                <w:sz w:val="20"/>
                <w:szCs w:val="20"/>
              </w:rPr>
            </w:pPr>
            <w:r>
              <w:rPr>
                <w:sz w:val="20"/>
                <w:szCs w:val="20"/>
              </w:rPr>
              <w:t>30</w:t>
            </w:r>
          </w:p>
        </w:tc>
      </w:tr>
      <w:tr w:rsidR="00000000">
        <w:trPr>
          <w:divId w:val="1157959070"/>
          <w:jc w:val="center"/>
        </w:trPr>
        <w:tc>
          <w:tcPr>
            <w:tcW w:w="0" w:type="auto"/>
            <w:hideMark/>
          </w:tcPr>
          <w:p w:rsidR="00000000" w:rsidRDefault="00406BD4">
            <w:pPr>
              <w:pStyle w:val="a3"/>
              <w:spacing w:beforeAutospacing="0" w:after="0" w:afterAutospacing="0"/>
              <w:rPr>
                <w:sz w:val="20"/>
                <w:szCs w:val="20"/>
              </w:rPr>
            </w:pPr>
            <w:hyperlink w:anchor="ITEM_4_CONTROLS_PROCEDURES" w:history="1">
              <w:r>
                <w:rPr>
                  <w:rStyle w:val="a4"/>
                  <w:sz w:val="20"/>
                  <w:szCs w:val="20"/>
                </w:rPr>
                <w:t>Item 4. Controls and Procedures</w:t>
              </w:r>
            </w:hyperlink>
          </w:p>
        </w:tc>
        <w:tc>
          <w:tcPr>
            <w:tcW w:w="0" w:type="auto"/>
            <w:hideMark/>
          </w:tcPr>
          <w:p w:rsidR="00000000" w:rsidRDefault="00406BD4">
            <w:pPr>
              <w:pStyle w:val="a3"/>
              <w:spacing w:beforeAutospacing="0" w:after="0" w:afterAutospacing="0"/>
              <w:jc w:val="center"/>
              <w:rPr>
                <w:sz w:val="20"/>
                <w:szCs w:val="20"/>
              </w:rPr>
            </w:pPr>
            <w:r>
              <w:rPr>
                <w:sz w:val="20"/>
                <w:szCs w:val="20"/>
              </w:rPr>
              <w:t>30</w:t>
            </w:r>
          </w:p>
        </w:tc>
      </w:tr>
      <w:tr w:rsidR="00000000">
        <w:trPr>
          <w:divId w:val="1157959070"/>
          <w:jc w:val="center"/>
        </w:trPr>
        <w:tc>
          <w:tcPr>
            <w:tcW w:w="0" w:type="auto"/>
            <w:hideMark/>
          </w:tcPr>
          <w:p w:rsidR="00000000" w:rsidRDefault="00406BD4">
            <w:pPr>
              <w:pStyle w:val="a3"/>
              <w:spacing w:beforeAutospacing="0" w:after="0" w:afterAutospacing="0"/>
              <w:rPr>
                <w:b/>
                <w:bCs/>
                <w:sz w:val="20"/>
                <w:szCs w:val="20"/>
              </w:rPr>
            </w:pPr>
            <w:hyperlink w:anchor="PART_IIOR_INFORMATION" w:history="1">
              <w:r>
                <w:rPr>
                  <w:rStyle w:val="a4"/>
                  <w:b/>
                  <w:bCs/>
                  <w:sz w:val="20"/>
                  <w:szCs w:val="20"/>
                </w:rPr>
                <w:t>PART II—OTHER INFORMATION</w:t>
              </w:r>
            </w:hyperlink>
          </w:p>
        </w:tc>
        <w:tc>
          <w:tcPr>
            <w:tcW w:w="0" w:type="auto"/>
            <w:hideMark/>
          </w:tcPr>
          <w:p w:rsidR="00000000" w:rsidRDefault="00406BD4">
            <w:pPr>
              <w:pStyle w:val="a3"/>
              <w:spacing w:beforeAutospacing="0" w:after="0" w:afterAutospacing="0"/>
              <w:jc w:val="center"/>
              <w:rPr>
                <w:sz w:val="20"/>
                <w:szCs w:val="20"/>
              </w:rPr>
            </w:pPr>
            <w:r>
              <w:rPr>
                <w:sz w:val="20"/>
                <w:szCs w:val="20"/>
              </w:rPr>
              <w:t>31</w:t>
            </w:r>
          </w:p>
        </w:tc>
      </w:tr>
      <w:tr w:rsidR="00000000">
        <w:trPr>
          <w:divId w:val="1157959070"/>
          <w:jc w:val="center"/>
        </w:trPr>
        <w:tc>
          <w:tcPr>
            <w:tcW w:w="0" w:type="auto"/>
            <w:hideMark/>
          </w:tcPr>
          <w:p w:rsidR="00000000" w:rsidRDefault="00406BD4">
            <w:pPr>
              <w:pStyle w:val="a3"/>
              <w:spacing w:beforeAutospacing="0" w:after="0" w:afterAutospacing="0"/>
              <w:rPr>
                <w:sz w:val="20"/>
                <w:szCs w:val="20"/>
              </w:rPr>
            </w:pPr>
            <w:hyperlink w:anchor="ITEM_1_LEGAL_PROCEEDINGS" w:history="1">
              <w:r>
                <w:rPr>
                  <w:rStyle w:val="a4"/>
                  <w:sz w:val="20"/>
                  <w:szCs w:val="20"/>
                </w:rPr>
                <w:t>Item 1. Legal Proceedings</w:t>
              </w:r>
            </w:hyperlink>
          </w:p>
        </w:tc>
        <w:tc>
          <w:tcPr>
            <w:tcW w:w="0" w:type="auto"/>
            <w:hideMark/>
          </w:tcPr>
          <w:p w:rsidR="00000000" w:rsidRDefault="00406BD4">
            <w:pPr>
              <w:pStyle w:val="a3"/>
              <w:spacing w:beforeAutospacing="0" w:after="0" w:afterAutospacing="0"/>
              <w:jc w:val="center"/>
              <w:rPr>
                <w:sz w:val="20"/>
                <w:szCs w:val="20"/>
              </w:rPr>
            </w:pPr>
            <w:r>
              <w:rPr>
                <w:sz w:val="20"/>
                <w:szCs w:val="20"/>
              </w:rPr>
              <w:t>31</w:t>
            </w:r>
          </w:p>
        </w:tc>
      </w:tr>
      <w:tr w:rsidR="00000000">
        <w:trPr>
          <w:divId w:val="1157959070"/>
          <w:jc w:val="center"/>
        </w:trPr>
        <w:tc>
          <w:tcPr>
            <w:tcW w:w="0" w:type="auto"/>
            <w:hideMark/>
          </w:tcPr>
          <w:p w:rsidR="00000000" w:rsidRDefault="00406BD4">
            <w:pPr>
              <w:pStyle w:val="a3"/>
              <w:spacing w:beforeAutospacing="0" w:after="0" w:afterAutospacing="0"/>
              <w:rPr>
                <w:sz w:val="20"/>
                <w:szCs w:val="20"/>
              </w:rPr>
            </w:pPr>
            <w:hyperlink w:anchor="ITEM_1A_RISK_FACTORS" w:history="1">
              <w:r>
                <w:rPr>
                  <w:rStyle w:val="a4"/>
                  <w:sz w:val="20"/>
                  <w:szCs w:val="20"/>
                </w:rPr>
                <w:t>Item 1A. Risk Factors</w:t>
              </w:r>
            </w:hyperlink>
          </w:p>
        </w:tc>
        <w:tc>
          <w:tcPr>
            <w:tcW w:w="0" w:type="auto"/>
            <w:hideMark/>
          </w:tcPr>
          <w:p w:rsidR="00000000" w:rsidRDefault="00406BD4">
            <w:pPr>
              <w:pStyle w:val="a3"/>
              <w:spacing w:beforeAutospacing="0" w:after="0" w:afterAutospacing="0"/>
              <w:jc w:val="center"/>
              <w:rPr>
                <w:sz w:val="20"/>
                <w:szCs w:val="20"/>
              </w:rPr>
            </w:pPr>
            <w:r>
              <w:rPr>
                <w:sz w:val="20"/>
                <w:szCs w:val="20"/>
              </w:rPr>
              <w:t>31</w:t>
            </w:r>
          </w:p>
        </w:tc>
      </w:tr>
      <w:tr w:rsidR="00000000">
        <w:trPr>
          <w:divId w:val="1157959070"/>
          <w:jc w:val="center"/>
        </w:trPr>
        <w:tc>
          <w:tcPr>
            <w:tcW w:w="0" w:type="auto"/>
            <w:hideMark/>
          </w:tcPr>
          <w:p w:rsidR="00000000" w:rsidRDefault="00406BD4">
            <w:pPr>
              <w:pStyle w:val="a3"/>
              <w:spacing w:beforeAutospacing="0" w:after="0" w:afterAutospacing="0"/>
              <w:rPr>
                <w:sz w:val="20"/>
                <w:szCs w:val="20"/>
              </w:rPr>
            </w:pPr>
            <w:hyperlink w:anchor="ITEM_2_UNREGISTERED_SALES_EQUITY_SECURI" w:history="1">
              <w:r>
                <w:rPr>
                  <w:rStyle w:val="a4"/>
                  <w:sz w:val="20"/>
                  <w:szCs w:val="20"/>
                </w:rPr>
                <w:t>Item 2. Unregistered Sales of Equity Securities and Use of Proceeds</w:t>
              </w:r>
            </w:hyperlink>
          </w:p>
        </w:tc>
        <w:tc>
          <w:tcPr>
            <w:tcW w:w="0" w:type="auto"/>
            <w:hideMark/>
          </w:tcPr>
          <w:p w:rsidR="00000000" w:rsidRDefault="00406BD4">
            <w:pPr>
              <w:pStyle w:val="a3"/>
              <w:spacing w:beforeAutospacing="0" w:after="0" w:afterAutospacing="0"/>
              <w:jc w:val="center"/>
              <w:rPr>
                <w:sz w:val="20"/>
                <w:szCs w:val="20"/>
              </w:rPr>
            </w:pPr>
            <w:r>
              <w:rPr>
                <w:sz w:val="20"/>
                <w:szCs w:val="20"/>
              </w:rPr>
              <w:t>61</w:t>
            </w:r>
          </w:p>
        </w:tc>
      </w:tr>
      <w:tr w:rsidR="00000000">
        <w:trPr>
          <w:divId w:val="1157959070"/>
          <w:jc w:val="center"/>
        </w:trPr>
        <w:tc>
          <w:tcPr>
            <w:tcW w:w="0" w:type="auto"/>
            <w:hideMark/>
          </w:tcPr>
          <w:p w:rsidR="00000000" w:rsidRDefault="00406BD4">
            <w:pPr>
              <w:pStyle w:val="a3"/>
              <w:spacing w:beforeAutospacing="0" w:after="0" w:afterAutospacing="0"/>
              <w:rPr>
                <w:sz w:val="20"/>
                <w:szCs w:val="20"/>
              </w:rPr>
            </w:pPr>
            <w:hyperlink w:anchor="ITEM_6_EXHIBITS" w:history="1">
              <w:r>
                <w:rPr>
                  <w:rStyle w:val="a4"/>
                  <w:sz w:val="20"/>
                  <w:szCs w:val="20"/>
                </w:rPr>
                <w:t>Item 6. Exhibit</w:t>
              </w:r>
              <w:r>
                <w:rPr>
                  <w:rStyle w:val="a4"/>
                  <w:sz w:val="20"/>
                  <w:szCs w:val="20"/>
                </w:rPr>
                <w:t>s</w:t>
              </w:r>
            </w:hyperlink>
          </w:p>
        </w:tc>
        <w:tc>
          <w:tcPr>
            <w:tcW w:w="0" w:type="auto"/>
            <w:hideMark/>
          </w:tcPr>
          <w:p w:rsidR="00000000" w:rsidRDefault="00406BD4">
            <w:pPr>
              <w:pStyle w:val="a3"/>
              <w:spacing w:beforeAutospacing="0" w:after="0" w:afterAutospacing="0"/>
              <w:jc w:val="center"/>
              <w:rPr>
                <w:sz w:val="20"/>
                <w:szCs w:val="20"/>
              </w:rPr>
            </w:pPr>
            <w:r>
              <w:rPr>
                <w:sz w:val="20"/>
                <w:szCs w:val="20"/>
              </w:rPr>
              <w:t>61</w:t>
            </w:r>
          </w:p>
        </w:tc>
      </w:tr>
      <w:tr w:rsidR="00000000">
        <w:trPr>
          <w:divId w:val="1157959070"/>
          <w:jc w:val="center"/>
        </w:trPr>
        <w:tc>
          <w:tcPr>
            <w:tcW w:w="0" w:type="auto"/>
            <w:hideMark/>
          </w:tcPr>
          <w:p w:rsidR="00000000" w:rsidRDefault="00406BD4">
            <w:pPr>
              <w:pStyle w:val="a3"/>
              <w:spacing w:beforeAutospacing="0" w:after="0" w:afterAutospacing="0"/>
              <w:rPr>
                <w:sz w:val="20"/>
                <w:szCs w:val="20"/>
              </w:rPr>
            </w:pPr>
            <w:hyperlink w:anchor="EXHIBIT_INDEX" w:history="1">
              <w:r>
                <w:rPr>
                  <w:rStyle w:val="a4"/>
                  <w:sz w:val="20"/>
                  <w:szCs w:val="20"/>
                </w:rPr>
                <w:t>Exhibit Index</w:t>
              </w:r>
            </w:hyperlink>
          </w:p>
        </w:tc>
        <w:tc>
          <w:tcPr>
            <w:tcW w:w="0" w:type="auto"/>
            <w:hideMark/>
          </w:tcPr>
          <w:p w:rsidR="00000000" w:rsidRDefault="00406BD4">
            <w:pPr>
              <w:pStyle w:val="a3"/>
              <w:spacing w:beforeAutospacing="0" w:after="0" w:afterAutospacing="0"/>
              <w:jc w:val="center"/>
              <w:rPr>
                <w:sz w:val="20"/>
                <w:szCs w:val="20"/>
              </w:rPr>
            </w:pPr>
            <w:r>
              <w:rPr>
                <w:sz w:val="20"/>
                <w:szCs w:val="20"/>
              </w:rPr>
              <w:t>62</w:t>
            </w:r>
          </w:p>
        </w:tc>
      </w:tr>
      <w:tr w:rsidR="00000000">
        <w:trPr>
          <w:divId w:val="1157959070"/>
          <w:jc w:val="center"/>
        </w:trPr>
        <w:tc>
          <w:tcPr>
            <w:tcW w:w="0" w:type="auto"/>
            <w:hideMark/>
          </w:tcPr>
          <w:p w:rsidR="00000000" w:rsidRDefault="00406BD4">
            <w:pPr>
              <w:pStyle w:val="a3"/>
              <w:spacing w:beforeAutospacing="0" w:after="0" w:afterAutospacing="0"/>
              <w:rPr>
                <w:sz w:val="20"/>
                <w:szCs w:val="20"/>
              </w:rPr>
            </w:pPr>
            <w:hyperlink w:anchor="SIGNATURES" w:history="1">
              <w:r>
                <w:rPr>
                  <w:rStyle w:val="a4"/>
                  <w:sz w:val="20"/>
                  <w:szCs w:val="20"/>
                </w:rPr>
                <w:t>Signatures</w:t>
              </w:r>
            </w:hyperlink>
          </w:p>
        </w:tc>
        <w:tc>
          <w:tcPr>
            <w:tcW w:w="0" w:type="auto"/>
            <w:hideMark/>
          </w:tcPr>
          <w:p w:rsidR="00000000" w:rsidRDefault="00406BD4">
            <w:pPr>
              <w:pStyle w:val="a3"/>
              <w:spacing w:beforeAutospacing="0" w:after="0" w:afterAutospacing="0"/>
              <w:jc w:val="center"/>
              <w:rPr>
                <w:sz w:val="20"/>
                <w:szCs w:val="20"/>
              </w:rPr>
            </w:pPr>
            <w:r>
              <w:rPr>
                <w:sz w:val="20"/>
                <w:szCs w:val="20"/>
              </w:rPr>
              <w:t>63</w:t>
            </w:r>
          </w:p>
        </w:tc>
      </w:tr>
    </w:tbl>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240" w:beforeAutospacing="0" w:after="0" w:afterAutospacing="0"/>
        <w:jc w:val="center"/>
        <w:rPr>
          <w:sz w:val="20"/>
          <w:szCs w:val="20"/>
        </w:rPr>
      </w:pPr>
      <w:r>
        <w:rPr>
          <w:sz w:val="20"/>
          <w:szCs w:val="20"/>
        </w:rPr>
        <w:t>i</w:t>
      </w:r>
    </w:p>
    <w:p w:rsidR="00000000" w:rsidRDefault="00406BD4">
      <w:pPr>
        <w:rPr>
          <w:rFonts w:eastAsia="Times New Roman"/>
        </w:rPr>
      </w:pPr>
      <w:r>
        <w:rPr>
          <w:rFonts w:eastAsia="Times New Roman"/>
        </w:rPr>
        <w:pict>
          <v:rect id="_x0000_i1026"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0" w:beforeAutospacing="0" w:after="0" w:afterAutospacing="0"/>
        <w:jc w:val="center"/>
        <w:rPr>
          <w:b/>
          <w:bCs/>
          <w:sz w:val="20"/>
          <w:szCs w:val="20"/>
        </w:rPr>
      </w:pPr>
      <w:bookmarkStart w:id="1" w:name="_AEIOULastRenderedPageBreakAEIOU3"/>
      <w:bookmarkStart w:id="2" w:name="PART_IFINANCIAL_INFORMATION"/>
      <w:bookmarkEnd w:id="1"/>
      <w:bookmarkEnd w:id="2"/>
      <w:r>
        <w:rPr>
          <w:b/>
          <w:bCs/>
          <w:sz w:val="20"/>
          <w:szCs w:val="20"/>
        </w:rPr>
        <w:t>PART I—FINANCIAL INFORMATION</w:t>
      </w:r>
    </w:p>
    <w:p w:rsidR="00000000" w:rsidRDefault="00406BD4">
      <w:pPr>
        <w:pStyle w:val="a3"/>
        <w:spacing w:before="240" w:beforeAutospacing="0" w:after="0" w:afterAutospacing="0"/>
        <w:rPr>
          <w:b/>
          <w:bCs/>
          <w:sz w:val="20"/>
          <w:szCs w:val="20"/>
        </w:rPr>
      </w:pPr>
      <w:bookmarkStart w:id="3" w:name="ITEM_1_FINANCIAL_STATEMENTS"/>
      <w:bookmarkEnd w:id="3"/>
      <w:r>
        <w:rPr>
          <w:b/>
          <w:bCs/>
          <w:sz w:val="20"/>
          <w:szCs w:val="20"/>
        </w:rPr>
        <w:t>Item 1. Financial Statements.</w:t>
      </w:r>
    </w:p>
    <w:p w:rsidR="00000000" w:rsidRDefault="00406BD4">
      <w:pPr>
        <w:pStyle w:val="a3"/>
        <w:spacing w:before="240" w:beforeAutospacing="0" w:after="0" w:afterAutospacing="0"/>
        <w:jc w:val="center"/>
        <w:rPr>
          <w:b/>
          <w:bCs/>
          <w:sz w:val="20"/>
          <w:szCs w:val="20"/>
        </w:rPr>
      </w:pPr>
      <w:r>
        <w:rPr>
          <w:b/>
          <w:bCs/>
          <w:sz w:val="20"/>
          <w:szCs w:val="20"/>
        </w:rPr>
        <w:t>FULGENT GENETIC</w:t>
      </w:r>
      <w:r>
        <w:rPr>
          <w:b/>
          <w:bCs/>
          <w:sz w:val="20"/>
          <w:szCs w:val="20"/>
        </w:rPr>
        <w:t>S, INC.</w:t>
      </w:r>
    </w:p>
    <w:p w:rsidR="00000000" w:rsidRDefault="00406BD4">
      <w:pPr>
        <w:pStyle w:val="a3"/>
        <w:spacing w:before="0" w:beforeAutospacing="0" w:after="0" w:afterAutospacing="0"/>
        <w:jc w:val="center"/>
        <w:rPr>
          <w:b/>
          <w:bCs/>
          <w:sz w:val="20"/>
          <w:szCs w:val="20"/>
        </w:rPr>
      </w:pPr>
      <w:bookmarkStart w:id="4" w:name="CONDENSED_CONSOLIDATED_BALANCE_SHEETS"/>
      <w:bookmarkEnd w:id="4"/>
      <w:r>
        <w:rPr>
          <w:b/>
          <w:bCs/>
          <w:sz w:val="20"/>
          <w:szCs w:val="20"/>
        </w:rPr>
        <w:t>Condensed Consolidated Balance Sheets</w:t>
      </w:r>
    </w:p>
    <w:p w:rsidR="00000000" w:rsidRDefault="00406BD4">
      <w:pPr>
        <w:pStyle w:val="a3"/>
        <w:spacing w:before="0" w:beforeAutospacing="0" w:after="0" w:afterAutospacing="0"/>
        <w:jc w:val="center"/>
        <w:rPr>
          <w:b/>
          <w:bCs/>
          <w:sz w:val="20"/>
          <w:szCs w:val="20"/>
        </w:rPr>
      </w:pPr>
      <w:r>
        <w:rPr>
          <w:b/>
          <w:bCs/>
          <w:sz w:val="20"/>
          <w:szCs w:val="20"/>
        </w:rPr>
        <w:t>(in thousands, except par value data)</w:t>
      </w:r>
    </w:p>
    <w:p w:rsidR="00000000" w:rsidRDefault="00406BD4">
      <w:pPr>
        <w:pStyle w:val="a3"/>
        <w:spacing w:before="0" w:beforeAutospacing="0" w:after="0" w:afterAutospacing="0"/>
        <w:jc w:val="center"/>
        <w:rPr>
          <w:b/>
          <w:bCs/>
          <w:sz w:val="20"/>
          <w:szCs w:val="20"/>
        </w:rPr>
      </w:pPr>
      <w:r>
        <w:rPr>
          <w:b/>
          <w:bCs/>
          <w:sz w:val="20"/>
          <w:szCs w:val="20"/>
        </w:rPr>
        <w:t>(unaudited)</w:t>
      </w:r>
    </w:p>
    <w:p w:rsidR="00000000" w:rsidRDefault="00406BD4">
      <w:pPr>
        <w:pStyle w:val="a3"/>
        <w:spacing w:before="0" w:beforeAutospacing="0" w:after="0" w:afterAutospacing="0"/>
        <w:jc w:val="center"/>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642"/>
        <w:gridCol w:w="115"/>
        <w:gridCol w:w="1077"/>
        <w:gridCol w:w="82"/>
        <w:gridCol w:w="114"/>
        <w:gridCol w:w="116"/>
        <w:gridCol w:w="1078"/>
        <w:gridCol w:w="82"/>
      </w:tblGrid>
      <w:tr w:rsidR="00000000">
        <w:trPr>
          <w:divId w:val="1105807501"/>
          <w:jc w:val="center"/>
        </w:trPr>
        <w:tc>
          <w:tcPr>
            <w:tcW w:w="340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sz w:val="16"/>
                <w:szCs w:val="16"/>
              </w:rPr>
            </w:pPr>
            <w:r>
              <w:rPr>
                <w:sz w:val="16"/>
                <w:szCs w:val="16"/>
              </w:rPr>
              <w:t> </w:t>
            </w:r>
          </w:p>
        </w:tc>
        <w:tc>
          <w:tcPr>
            <w:tcW w:w="70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8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70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105807501"/>
          <w:jc w:val="center"/>
        </w:trPr>
        <w:tc>
          <w:tcPr>
            <w:tcW w:w="340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8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7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105807501"/>
          <w:jc w:val="center"/>
        </w:trPr>
        <w:tc>
          <w:tcPr>
            <w:tcW w:w="340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b/>
                <w:bCs/>
                <w:color w:val="000000"/>
                <w:sz w:val="20"/>
                <w:szCs w:val="20"/>
              </w:rPr>
            </w:pPr>
            <w:r>
              <w:rPr>
                <w:b/>
                <w:bCs/>
                <w:color w:val="000000"/>
                <w:sz w:val="20"/>
                <w:szCs w:val="20"/>
              </w:rPr>
              <w:t>Assets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Current assets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lastRenderedPageBreak/>
              <w:t>Cash and cash equivalents</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65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53,031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65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11,965</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Marketable securities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21,904</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16,304</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Trade accounts receivable, net of allowance for doubtful accounts of $1,169 and $751,</w:t>
            </w:r>
          </w:p>
          <w:p w:rsidR="00000000" w:rsidRDefault="00406BD4">
            <w:pPr>
              <w:pStyle w:val="a3"/>
              <w:spacing w:before="0" w:beforeAutospacing="0" w:after="0" w:afterAutospacing="0"/>
              <w:ind w:left="274"/>
              <w:rPr>
                <w:color w:val="000000"/>
                <w:sz w:val="20"/>
                <w:szCs w:val="20"/>
              </w:rPr>
            </w:pPr>
            <w:r>
              <w:rPr>
                <w:color w:val="000000"/>
                <w:sz w:val="20"/>
                <w:szCs w:val="20"/>
              </w:rPr>
              <w:t>   as of September 30, 2020 and December 31, 2019, respectively</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90,680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6,555</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Other current assets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30,000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2,255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410"/>
              <w:rPr>
                <w:color w:val="000000"/>
                <w:sz w:val="20"/>
                <w:szCs w:val="20"/>
              </w:rPr>
            </w:pPr>
            <w:r>
              <w:rPr>
                <w:color w:val="000000"/>
                <w:sz w:val="20"/>
                <w:szCs w:val="20"/>
              </w:rPr>
              <w:t>Total current assets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195,615</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37,079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Marketable securities, long-term</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29,035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41,947</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Equity method investments</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1,621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872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Fixed assets, net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17,385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5,974</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Operating lease right-of-use asset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2,680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2,633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Other long-term assets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975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251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Total assets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6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247,311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6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88,756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b/>
                <w:bCs/>
                <w:color w:val="000000"/>
                <w:sz w:val="20"/>
                <w:szCs w:val="20"/>
              </w:rPr>
            </w:pPr>
            <w:r>
              <w:rPr>
                <w:b/>
                <w:bCs/>
                <w:color w:val="000000"/>
                <w:sz w:val="20"/>
                <w:szCs w:val="20"/>
              </w:rPr>
              <w:t>Liabilities and Stockholders’ Equity</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Current liabilities</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Accounts payable</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65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18,674</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65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1,581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Accrued liabilities</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5,467</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1,333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Income tax payable</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14,627</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24</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Contract liabilities</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18,456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365</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Operating lease liabilities, short-term</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512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420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547"/>
              <w:rPr>
                <w:color w:val="000000"/>
                <w:sz w:val="20"/>
                <w:szCs w:val="20"/>
              </w:rPr>
            </w:pPr>
            <w:r>
              <w:rPr>
                <w:color w:val="000000"/>
                <w:sz w:val="20"/>
                <w:szCs w:val="20"/>
              </w:rPr>
              <w:t>Total current liabilities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57,736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3,723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Operating lease liabilities, long-term</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2,231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2,256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Unrecognized tax benefits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389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Total liabilities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60,356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5,979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Commitments and contingencies (Note 8)</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Stockholders’ equity</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Common stock, $0.0001 par value per share, 50,000 shares authorized, 23,307 and</w:t>
            </w:r>
          </w:p>
          <w:p w:rsidR="00000000" w:rsidRDefault="00406BD4">
            <w:pPr>
              <w:pStyle w:val="a3"/>
              <w:spacing w:before="0" w:beforeAutospacing="0" w:after="0" w:afterAutospacing="0"/>
              <w:ind w:left="274"/>
              <w:rPr>
                <w:color w:val="000000"/>
                <w:sz w:val="20"/>
                <w:szCs w:val="20"/>
              </w:rPr>
            </w:pPr>
            <w:r>
              <w:rPr>
                <w:color w:val="000000"/>
                <w:sz w:val="20"/>
                <w:szCs w:val="20"/>
              </w:rPr>
              <w:t xml:space="preserve">   </w:t>
            </w:r>
            <w:r>
              <w:rPr>
                <w:color w:val="000000"/>
                <w:sz w:val="20"/>
                <w:szCs w:val="20"/>
              </w:rPr>
              <w:t>21,483 shares issued and outstanding at September 30, 2020 and December 31, 2019,</w:t>
            </w:r>
          </w:p>
          <w:p w:rsidR="00000000" w:rsidRDefault="00406BD4">
            <w:pPr>
              <w:pStyle w:val="a3"/>
              <w:spacing w:before="0" w:beforeAutospacing="0" w:after="0" w:afterAutospacing="0"/>
              <w:ind w:left="274"/>
              <w:rPr>
                <w:color w:val="000000"/>
                <w:sz w:val="20"/>
                <w:szCs w:val="20"/>
              </w:rPr>
            </w:pPr>
            <w:r>
              <w:rPr>
                <w:color w:val="000000"/>
                <w:sz w:val="20"/>
                <w:szCs w:val="20"/>
              </w:rPr>
              <w:t>   respectively</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Preferred stock, $0.0001 par value per share, 1,000 shares authorized, no shares issued</w:t>
            </w:r>
          </w:p>
          <w:p w:rsidR="00000000" w:rsidRDefault="00406BD4">
            <w:pPr>
              <w:pStyle w:val="a3"/>
              <w:spacing w:before="0" w:beforeAutospacing="0" w:after="0" w:afterAutospacing="0"/>
              <w:ind w:left="274"/>
              <w:rPr>
                <w:color w:val="000000"/>
                <w:sz w:val="20"/>
                <w:szCs w:val="20"/>
              </w:rPr>
            </w:pPr>
            <w:r>
              <w:rPr>
                <w:color w:val="000000"/>
                <w:sz w:val="20"/>
                <w:szCs w:val="20"/>
              </w:rPr>
              <w:t>   or outstanding at September 30, 2020 and December 31</w:t>
            </w:r>
            <w:r>
              <w:rPr>
                <w:color w:val="000000"/>
                <w:sz w:val="20"/>
                <w:szCs w:val="20"/>
              </w:rPr>
              <w:t>, 2019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Additional paid-in capital</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201,772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146,058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Accumulated other comprehensive income</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607</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146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Accumulated deficit</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(15,426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8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(63,429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1105807501"/>
          <w:jc w:val="center"/>
        </w:trPr>
        <w:tc>
          <w:tcPr>
            <w:tcW w:w="340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Total stockholders’ equity</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186,955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82,777</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105807501"/>
          <w:jc w:val="center"/>
        </w:trPr>
        <w:tc>
          <w:tcPr>
            <w:tcW w:w="340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Total liabilities and stockholders’ equity</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6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247,311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6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88,756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
                <w:szCs w:val="2"/>
              </w:rPr>
            </w:pPr>
            <w:r>
              <w:rPr>
                <w:color w:val="000000"/>
                <w:sz w:val="2"/>
                <w:szCs w:val="2"/>
              </w:rPr>
              <w:t> </w:t>
            </w:r>
          </w:p>
        </w:tc>
      </w:tr>
    </w:tbl>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4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240" w:beforeAutospacing="0" w:after="0" w:afterAutospacing="0"/>
        <w:jc w:val="center"/>
        <w:rPr>
          <w:sz w:val="20"/>
          <w:szCs w:val="20"/>
        </w:rPr>
      </w:pPr>
      <w:r>
        <w:rPr>
          <w:sz w:val="20"/>
          <w:szCs w:val="20"/>
        </w:rPr>
        <w:t>1</w:t>
      </w:r>
    </w:p>
    <w:p w:rsidR="00000000" w:rsidRDefault="00406BD4">
      <w:pPr>
        <w:rPr>
          <w:rFonts w:eastAsia="Times New Roman"/>
        </w:rPr>
      </w:pPr>
      <w:r>
        <w:rPr>
          <w:rFonts w:eastAsia="Times New Roman"/>
        </w:rPr>
        <w:pict>
          <v:rect id="_x0000_i1027"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0" w:beforeAutospacing="0" w:after="0" w:afterAutospacing="0"/>
        <w:jc w:val="center"/>
        <w:rPr>
          <w:b/>
          <w:bCs/>
          <w:sz w:val="20"/>
          <w:szCs w:val="20"/>
        </w:rPr>
      </w:pPr>
      <w:r>
        <w:rPr>
          <w:b/>
          <w:bCs/>
          <w:sz w:val="20"/>
          <w:szCs w:val="20"/>
        </w:rPr>
        <w:t>FULGENT GENETICS, INC.</w:t>
      </w:r>
    </w:p>
    <w:p w:rsidR="00000000" w:rsidRDefault="00406BD4">
      <w:pPr>
        <w:pStyle w:val="a3"/>
        <w:spacing w:before="0" w:beforeAutospacing="0" w:after="0" w:afterAutospacing="0"/>
        <w:jc w:val="center"/>
        <w:rPr>
          <w:b/>
          <w:bCs/>
          <w:sz w:val="20"/>
          <w:szCs w:val="20"/>
        </w:rPr>
      </w:pPr>
      <w:bookmarkStart w:id="5" w:name="CONDENSED_CONSOLIDATED_STATEMENTS_OPERAT"/>
      <w:r>
        <w:rPr>
          <w:b/>
          <w:bCs/>
          <w:sz w:val="20"/>
          <w:szCs w:val="20"/>
        </w:rPr>
        <w:t xml:space="preserve">Condensed </w:t>
      </w:r>
      <w:bookmarkEnd w:id="5"/>
      <w:r>
        <w:rPr>
          <w:b/>
          <w:bCs/>
          <w:sz w:val="20"/>
          <w:szCs w:val="20"/>
        </w:rPr>
        <w:t>Consolidated Statements of Operations</w:t>
      </w:r>
    </w:p>
    <w:p w:rsidR="00000000" w:rsidRDefault="00406BD4">
      <w:pPr>
        <w:pStyle w:val="a3"/>
        <w:spacing w:before="0" w:beforeAutospacing="0" w:after="0" w:afterAutospacing="0"/>
        <w:jc w:val="center"/>
        <w:rPr>
          <w:b/>
          <w:bCs/>
          <w:sz w:val="20"/>
          <w:szCs w:val="20"/>
        </w:rPr>
      </w:pPr>
      <w:r>
        <w:rPr>
          <w:b/>
          <w:bCs/>
          <w:sz w:val="20"/>
          <w:szCs w:val="20"/>
        </w:rPr>
        <w:t>(in thousands, except per share data)</w:t>
      </w:r>
    </w:p>
    <w:p w:rsidR="00000000" w:rsidRDefault="00406BD4">
      <w:pPr>
        <w:pStyle w:val="a3"/>
        <w:spacing w:before="0" w:beforeAutospacing="0" w:after="0" w:afterAutospacing="0"/>
        <w:jc w:val="center"/>
        <w:rPr>
          <w:b/>
          <w:bCs/>
          <w:sz w:val="20"/>
          <w:szCs w:val="20"/>
        </w:rPr>
      </w:pPr>
      <w:r>
        <w:rPr>
          <w:b/>
          <w:bCs/>
          <w:sz w:val="20"/>
          <w:szCs w:val="20"/>
        </w:rPr>
        <w:t>(unaudited)</w:t>
      </w:r>
    </w:p>
    <w:p w:rsidR="00000000" w:rsidRDefault="00406BD4">
      <w:pPr>
        <w:pStyle w:val="a3"/>
        <w:spacing w:before="0" w:beforeAutospacing="0" w:after="0" w:afterAutospacing="0"/>
        <w:jc w:val="center"/>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042"/>
        <w:gridCol w:w="115"/>
        <w:gridCol w:w="770"/>
        <w:gridCol w:w="82"/>
        <w:gridCol w:w="65"/>
        <w:gridCol w:w="115"/>
        <w:gridCol w:w="748"/>
        <w:gridCol w:w="82"/>
        <w:gridCol w:w="339"/>
        <w:gridCol w:w="115"/>
        <w:gridCol w:w="738"/>
        <w:gridCol w:w="82"/>
        <w:gridCol w:w="65"/>
        <w:gridCol w:w="115"/>
        <w:gridCol w:w="751"/>
        <w:gridCol w:w="82"/>
      </w:tblGrid>
      <w:tr w:rsidR="00000000">
        <w:trPr>
          <w:divId w:val="1290747804"/>
          <w:jc w:val="center"/>
        </w:trPr>
        <w:tc>
          <w:tcPr>
            <w:tcW w:w="2457"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sz w:val="20"/>
                <w:szCs w:val="20"/>
              </w:rPr>
            </w:pPr>
            <w:r>
              <w:rPr>
                <w:sz w:val="20"/>
                <w:szCs w:val="20"/>
              </w:rPr>
              <w:t> </w:t>
            </w:r>
          </w:p>
        </w:tc>
        <w:tc>
          <w:tcPr>
            <w:tcW w:w="118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118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290747804"/>
          <w:jc w:val="center"/>
        </w:trPr>
        <w:tc>
          <w:tcPr>
            <w:tcW w:w="2457"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53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53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53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53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290747804"/>
          <w:jc w:val="center"/>
        </w:trPr>
        <w:tc>
          <w:tcPr>
            <w:tcW w:w="2457"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Revenue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101,716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10,347</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126,734</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24,141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90747804"/>
          <w:jc w:val="center"/>
        </w:trPr>
        <w:tc>
          <w:tcPr>
            <w:tcW w:w="2457"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Cost of revenue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26,261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3,885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38,035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10,473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90747804"/>
          <w:jc w:val="center"/>
        </w:trPr>
        <w:tc>
          <w:tcPr>
            <w:tcW w:w="2457"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Gross profit</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75,455</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6,462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88,699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13,668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90747804"/>
          <w:jc w:val="center"/>
        </w:trPr>
        <w:tc>
          <w:tcPr>
            <w:tcW w:w="2457"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lastRenderedPageBreak/>
              <w:t>Operating expenses:</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90747804"/>
          <w:jc w:val="center"/>
        </w:trPr>
        <w:tc>
          <w:tcPr>
            <w:tcW w:w="2457"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Research and development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3,177</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1,744</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7,004</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4,742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90747804"/>
          <w:jc w:val="center"/>
        </w:trPr>
        <w:tc>
          <w:tcPr>
            <w:tcW w:w="2457"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Selling and marketing</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5,014</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1,687</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9,871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4,263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90747804"/>
          <w:jc w:val="center"/>
        </w:trPr>
        <w:tc>
          <w:tcPr>
            <w:tcW w:w="2457"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General and administrative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3,741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1,522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7,575</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4,682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90747804"/>
          <w:jc w:val="center"/>
        </w:trPr>
        <w:tc>
          <w:tcPr>
            <w:tcW w:w="2457"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Total operating expenses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11,932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4,953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24,450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13,687</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90747804"/>
          <w:jc w:val="center"/>
        </w:trPr>
        <w:tc>
          <w:tcPr>
            <w:tcW w:w="2457"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Operating income (loss)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63,523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1,509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64,249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1290747804"/>
          <w:jc w:val="center"/>
        </w:trPr>
        <w:tc>
          <w:tcPr>
            <w:tcW w:w="2457"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Interest and other income, net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421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189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937</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588</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90747804"/>
          <w:jc w:val="center"/>
        </w:trPr>
        <w:tc>
          <w:tcPr>
            <w:tcW w:w="2457"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Income before income taxes, equity loss in investee and impairment loss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63,944</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1,698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65,186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569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90747804"/>
          <w:jc w:val="center"/>
        </w:trPr>
        <w:tc>
          <w:tcPr>
            <w:tcW w:w="2457"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Provision for income taxes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14,526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13,961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81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90747804"/>
          <w:jc w:val="center"/>
        </w:trPr>
        <w:tc>
          <w:tcPr>
            <w:tcW w:w="2457"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Income before equity loss in investee and impairment loss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49,418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1,637</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51,225</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488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90747804"/>
          <w:jc w:val="center"/>
        </w:trPr>
        <w:tc>
          <w:tcPr>
            <w:tcW w:w="2457"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Equity loss in investee</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(189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(175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(631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(603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1290747804"/>
          <w:jc w:val="center"/>
        </w:trPr>
        <w:tc>
          <w:tcPr>
            <w:tcW w:w="2457"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Impairment loss in equity-method investment</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(2,591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(2,591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90747804"/>
          <w:jc w:val="center"/>
        </w:trPr>
        <w:tc>
          <w:tcPr>
            <w:tcW w:w="2457"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Net income (loss)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8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46,638</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8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1,462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8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48,003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8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(115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1290747804"/>
          <w:jc w:val="center"/>
        </w:trPr>
        <w:tc>
          <w:tcPr>
            <w:tcW w:w="2457"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90747804"/>
          <w:jc w:val="center"/>
        </w:trPr>
        <w:tc>
          <w:tcPr>
            <w:tcW w:w="2457"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Net income (loss) per common share:</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90747804"/>
          <w:jc w:val="center"/>
        </w:trPr>
        <w:tc>
          <w:tcPr>
            <w:tcW w:w="2457"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Basic</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87"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2.11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87"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0.08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87"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2.20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87"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(0.01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1290747804"/>
          <w:jc w:val="center"/>
        </w:trPr>
        <w:tc>
          <w:tcPr>
            <w:tcW w:w="2457"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Diluted</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87"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1.98</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87"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0.08</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87"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2.07</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87"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(0.01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1290747804"/>
          <w:jc w:val="center"/>
        </w:trPr>
        <w:tc>
          <w:tcPr>
            <w:tcW w:w="2457"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90747804"/>
          <w:jc w:val="center"/>
        </w:trPr>
        <w:tc>
          <w:tcPr>
            <w:tcW w:w="2457"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Weighted-average common shares: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90747804"/>
          <w:jc w:val="center"/>
        </w:trPr>
        <w:tc>
          <w:tcPr>
            <w:tcW w:w="2457"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Basic</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22,062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18,501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21,793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18,358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90747804"/>
          <w:jc w:val="center"/>
        </w:trPr>
        <w:tc>
          <w:tcPr>
            <w:tcW w:w="2457"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Diluted</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23,539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19,456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23,135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18,358</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
                <w:szCs w:val="2"/>
              </w:rPr>
            </w:pPr>
            <w:r>
              <w:rPr>
                <w:color w:val="000000"/>
                <w:sz w:val="2"/>
                <w:szCs w:val="2"/>
              </w:rPr>
              <w:t> </w:t>
            </w:r>
          </w:p>
        </w:tc>
      </w:tr>
    </w:tbl>
    <w:p w:rsidR="00000000" w:rsidRDefault="00406BD4">
      <w:pPr>
        <w:pStyle w:val="a3"/>
        <w:spacing w:before="0" w:beforeAutospacing="0" w:after="0" w:afterAutospacing="0"/>
        <w:ind w:left="476" w:hanging="556"/>
        <w:jc w:val="center"/>
        <w:rPr>
          <w:sz w:val="20"/>
          <w:szCs w:val="20"/>
        </w:rPr>
      </w:pPr>
      <w:r>
        <w:rPr>
          <w:sz w:val="20"/>
          <w:szCs w:val="20"/>
        </w:rPr>
        <w:t> </w:t>
      </w:r>
    </w:p>
    <w:p w:rsidR="00000000" w:rsidRDefault="00406BD4">
      <w:pPr>
        <w:pStyle w:val="a3"/>
        <w:spacing w:before="40" w:beforeAutospacing="0" w:after="0" w:afterAutospacing="0"/>
        <w:ind w:left="476" w:hanging="556"/>
        <w:jc w:val="center"/>
        <w:rPr>
          <w:sz w:val="20"/>
          <w:szCs w:val="20"/>
        </w:rPr>
      </w:pPr>
      <w:r>
        <w:rPr>
          <w:sz w:val="20"/>
          <w:szCs w:val="20"/>
        </w:rPr>
        <w:t>The accompanying notes are an integral part of these condensed consolidated financial statements.</w:t>
      </w:r>
    </w:p>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240" w:beforeAutospacing="0" w:after="0" w:afterAutospacing="0"/>
        <w:jc w:val="center"/>
        <w:rPr>
          <w:sz w:val="20"/>
          <w:szCs w:val="20"/>
        </w:rPr>
      </w:pPr>
      <w:r>
        <w:rPr>
          <w:sz w:val="20"/>
          <w:szCs w:val="20"/>
        </w:rPr>
        <w:t>2</w:t>
      </w:r>
    </w:p>
    <w:p w:rsidR="00000000" w:rsidRDefault="00406BD4">
      <w:pPr>
        <w:rPr>
          <w:rFonts w:eastAsia="Times New Roman"/>
        </w:rPr>
      </w:pPr>
      <w:r>
        <w:rPr>
          <w:rFonts w:eastAsia="Times New Roman"/>
        </w:rPr>
        <w:pict>
          <v:rect id="_x0000_i1028"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0" w:beforeAutospacing="0" w:after="0" w:afterAutospacing="0"/>
        <w:jc w:val="center"/>
        <w:rPr>
          <w:b/>
          <w:bCs/>
          <w:color w:val="000000"/>
          <w:sz w:val="20"/>
          <w:szCs w:val="20"/>
        </w:rPr>
      </w:pPr>
      <w:r>
        <w:rPr>
          <w:b/>
          <w:bCs/>
          <w:color w:val="000000"/>
          <w:sz w:val="20"/>
          <w:szCs w:val="20"/>
        </w:rPr>
        <w:t>FULGENT GENETICS, INC.</w:t>
      </w:r>
    </w:p>
    <w:p w:rsidR="00000000" w:rsidRDefault="00406BD4">
      <w:pPr>
        <w:pStyle w:val="a3"/>
        <w:spacing w:before="0" w:beforeAutospacing="0" w:after="0" w:afterAutospacing="0"/>
        <w:jc w:val="center"/>
        <w:rPr>
          <w:b/>
          <w:bCs/>
          <w:color w:val="000000"/>
          <w:sz w:val="20"/>
          <w:szCs w:val="20"/>
        </w:rPr>
      </w:pPr>
      <w:bookmarkStart w:id="6" w:name="CONSOLIDATED_STMT_OF_COMP_LOST"/>
      <w:bookmarkEnd w:id="6"/>
      <w:r>
        <w:rPr>
          <w:b/>
          <w:bCs/>
          <w:color w:val="000000"/>
          <w:sz w:val="20"/>
          <w:szCs w:val="20"/>
        </w:rPr>
        <w:t>Condensed Consolidated Statements of Comprehensive Income (Loss)</w:t>
      </w:r>
    </w:p>
    <w:p w:rsidR="00000000" w:rsidRDefault="00406BD4">
      <w:pPr>
        <w:pStyle w:val="a3"/>
        <w:spacing w:before="0" w:beforeAutospacing="0" w:after="0" w:afterAutospacing="0"/>
        <w:jc w:val="center"/>
        <w:rPr>
          <w:b/>
          <w:bCs/>
          <w:color w:val="000000"/>
          <w:sz w:val="20"/>
          <w:szCs w:val="20"/>
        </w:rPr>
      </w:pPr>
      <w:r>
        <w:rPr>
          <w:b/>
          <w:bCs/>
          <w:color w:val="000000"/>
          <w:sz w:val="20"/>
          <w:szCs w:val="20"/>
        </w:rPr>
        <w:t>(in thousands)</w:t>
      </w:r>
    </w:p>
    <w:p w:rsidR="00000000" w:rsidRDefault="00406BD4">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406BD4">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047"/>
        <w:gridCol w:w="115"/>
        <w:gridCol w:w="772"/>
        <w:gridCol w:w="82"/>
        <w:gridCol w:w="65"/>
        <w:gridCol w:w="115"/>
        <w:gridCol w:w="748"/>
        <w:gridCol w:w="82"/>
        <w:gridCol w:w="339"/>
        <w:gridCol w:w="115"/>
        <w:gridCol w:w="740"/>
        <w:gridCol w:w="65"/>
        <w:gridCol w:w="65"/>
        <w:gridCol w:w="115"/>
        <w:gridCol w:w="759"/>
        <w:gridCol w:w="82"/>
      </w:tblGrid>
      <w:tr w:rsidR="00000000">
        <w:trPr>
          <w:divId w:val="17171514"/>
          <w:jc w:val="center"/>
        </w:trPr>
        <w:tc>
          <w:tcPr>
            <w:tcW w:w="2459"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sz w:val="20"/>
                <w:szCs w:val="20"/>
              </w:rPr>
            </w:pPr>
            <w:r>
              <w:rPr>
                <w:sz w:val="20"/>
                <w:szCs w:val="20"/>
              </w:rPr>
              <w:t> </w:t>
            </w:r>
          </w:p>
        </w:tc>
        <w:tc>
          <w:tcPr>
            <w:tcW w:w="119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118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7171514"/>
          <w:jc w:val="center"/>
        </w:trPr>
        <w:tc>
          <w:tcPr>
            <w:tcW w:w="2459"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53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53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53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8"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53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7171514"/>
          <w:jc w:val="center"/>
        </w:trPr>
        <w:tc>
          <w:tcPr>
            <w:tcW w:w="2459"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b/>
                <w:bCs/>
                <w:color w:val="000000"/>
                <w:sz w:val="20"/>
                <w:szCs w:val="20"/>
              </w:rPr>
            </w:pPr>
            <w:r>
              <w:rPr>
                <w:b/>
                <w:bCs/>
                <w:color w:val="000000"/>
                <w:sz w:val="20"/>
                <w:szCs w:val="20"/>
              </w:rPr>
              <w:t>Net income (loss)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8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46,638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8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1,462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8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48,003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8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(115</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17171514"/>
          <w:jc w:val="center"/>
        </w:trPr>
        <w:tc>
          <w:tcPr>
            <w:tcW w:w="2459"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b/>
                <w:bCs/>
                <w:color w:val="000000"/>
                <w:sz w:val="20"/>
                <w:szCs w:val="20"/>
              </w:rPr>
            </w:pPr>
            <w:r>
              <w:rPr>
                <w:b/>
                <w:bCs/>
                <w:color w:val="000000"/>
                <w:sz w:val="20"/>
                <w:szCs w:val="20"/>
              </w:rPr>
              <w:t>Other comprehensive income (loss):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8"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8"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8"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8"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7171514"/>
          <w:jc w:val="center"/>
        </w:trPr>
        <w:tc>
          <w:tcPr>
            <w:tcW w:w="2459"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Foreign currency translation gain (loss)</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8"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8"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8"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8"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17171514"/>
          <w:jc w:val="center"/>
        </w:trPr>
        <w:tc>
          <w:tcPr>
            <w:tcW w:w="2459"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Net unrealized gain (loss) on marketable securities, net of tax</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(460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444</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8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230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7171514"/>
          <w:jc w:val="center"/>
        </w:trPr>
        <w:tc>
          <w:tcPr>
            <w:tcW w:w="2459"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b/>
                <w:bCs/>
                <w:color w:val="000000"/>
                <w:sz w:val="20"/>
                <w:szCs w:val="20"/>
              </w:rPr>
            </w:pPr>
            <w:r>
              <w:rPr>
                <w:b/>
                <w:bCs/>
                <w:color w:val="000000"/>
                <w:sz w:val="20"/>
                <w:szCs w:val="20"/>
              </w:rPr>
              <w:t>Comprehensive income</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8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46,196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8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1,438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8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48,464</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8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99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
                <w:szCs w:val="2"/>
              </w:rPr>
            </w:pPr>
            <w:r>
              <w:rPr>
                <w:color w:val="000000"/>
                <w:sz w:val="2"/>
                <w:szCs w:val="2"/>
              </w:rPr>
              <w:t> </w:t>
            </w:r>
          </w:p>
        </w:tc>
      </w:tr>
    </w:tbl>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0" w:beforeAutospacing="0" w:after="0" w:afterAutospacing="0"/>
        <w:rPr>
          <w:sz w:val="4"/>
          <w:szCs w:val="4"/>
        </w:rPr>
      </w:pPr>
      <w:r>
        <w:rPr>
          <w:sz w:val="4"/>
          <w:szCs w:val="4"/>
        </w:rPr>
        <w:t> </w:t>
      </w:r>
    </w:p>
    <w:p w:rsidR="00000000" w:rsidRDefault="00406BD4">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406BD4">
      <w:pPr>
        <w:pStyle w:val="a3"/>
        <w:spacing w:before="240" w:beforeAutospacing="0" w:after="0" w:afterAutospacing="0"/>
        <w:jc w:val="center"/>
        <w:rPr>
          <w:sz w:val="20"/>
          <w:szCs w:val="20"/>
        </w:rPr>
      </w:pPr>
      <w:r>
        <w:rPr>
          <w:sz w:val="20"/>
          <w:szCs w:val="20"/>
        </w:rPr>
        <w:t>3</w:t>
      </w:r>
    </w:p>
    <w:p w:rsidR="00000000" w:rsidRDefault="00406BD4">
      <w:pPr>
        <w:rPr>
          <w:rFonts w:eastAsia="Times New Roman"/>
        </w:rPr>
      </w:pPr>
      <w:r>
        <w:rPr>
          <w:rFonts w:eastAsia="Times New Roman"/>
        </w:rPr>
        <w:pict>
          <v:rect id="_x0000_i1029"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0" w:beforeAutospacing="0" w:after="0" w:afterAutospacing="0"/>
        <w:jc w:val="center"/>
        <w:rPr>
          <w:b/>
          <w:bCs/>
          <w:color w:val="000000"/>
          <w:sz w:val="20"/>
          <w:szCs w:val="20"/>
        </w:rPr>
      </w:pPr>
      <w:r>
        <w:rPr>
          <w:b/>
          <w:bCs/>
          <w:color w:val="000000"/>
          <w:sz w:val="20"/>
          <w:szCs w:val="20"/>
        </w:rPr>
        <w:t>FULGENT GENETICS, INC.</w:t>
      </w:r>
    </w:p>
    <w:p w:rsidR="00000000" w:rsidRDefault="00406BD4">
      <w:pPr>
        <w:pStyle w:val="a3"/>
        <w:spacing w:before="0" w:beforeAutospacing="0" w:after="0" w:afterAutospacing="0"/>
        <w:jc w:val="center"/>
        <w:rPr>
          <w:b/>
          <w:bCs/>
          <w:color w:val="000000"/>
          <w:sz w:val="20"/>
          <w:szCs w:val="20"/>
        </w:rPr>
      </w:pPr>
      <w:bookmarkStart w:id="7" w:name="CONSOLIDATED_STATEMENTS_STOCKHOLDERS_EQU"/>
      <w:bookmarkEnd w:id="7"/>
      <w:r>
        <w:rPr>
          <w:b/>
          <w:bCs/>
          <w:color w:val="000000"/>
          <w:sz w:val="20"/>
          <w:szCs w:val="20"/>
        </w:rPr>
        <w:t>Condensed Consolidated Statements of Stockholders’ Equity</w:t>
      </w:r>
    </w:p>
    <w:p w:rsidR="00000000" w:rsidRDefault="00406BD4">
      <w:pPr>
        <w:pStyle w:val="a3"/>
        <w:spacing w:before="0" w:beforeAutospacing="0" w:after="0" w:afterAutospacing="0"/>
        <w:jc w:val="center"/>
        <w:rPr>
          <w:b/>
          <w:bCs/>
          <w:color w:val="000000"/>
          <w:sz w:val="20"/>
          <w:szCs w:val="20"/>
        </w:rPr>
      </w:pPr>
      <w:r>
        <w:rPr>
          <w:b/>
          <w:bCs/>
          <w:color w:val="000000"/>
          <w:sz w:val="20"/>
          <w:szCs w:val="20"/>
        </w:rPr>
        <w:t>(in thousands, except per share data)</w:t>
      </w:r>
    </w:p>
    <w:p w:rsidR="00000000" w:rsidRDefault="00406BD4">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406BD4">
      <w:pPr>
        <w:pStyle w:val="a3"/>
        <w:spacing w:before="0" w:beforeAutospacing="0" w:after="0" w:afterAutospacing="0"/>
        <w:rPr>
          <w:b/>
          <w:bCs/>
          <w:sz w:val="20"/>
          <w:szCs w:val="20"/>
        </w:rPr>
      </w:pPr>
      <w:r>
        <w:rPr>
          <w:b/>
          <w:bCs/>
          <w:sz w:val="20"/>
          <w:szCs w:val="20"/>
        </w:rPr>
        <w:t> </w:t>
      </w:r>
    </w:p>
    <w:tbl>
      <w:tblPr>
        <w:tblW w:w="5000" w:type="pct"/>
        <w:jc w:val="center"/>
        <w:tblCellMar>
          <w:left w:w="0" w:type="dxa"/>
          <w:right w:w="0" w:type="dxa"/>
        </w:tblCellMar>
        <w:tblLook w:val="04A0" w:firstRow="1" w:lastRow="0" w:firstColumn="1" w:lastColumn="0" w:noHBand="0" w:noVBand="1"/>
      </w:tblPr>
      <w:tblGrid>
        <w:gridCol w:w="2293"/>
        <w:gridCol w:w="65"/>
        <w:gridCol w:w="65"/>
        <w:gridCol w:w="678"/>
        <w:gridCol w:w="82"/>
        <w:gridCol w:w="65"/>
        <w:gridCol w:w="116"/>
        <w:gridCol w:w="674"/>
        <w:gridCol w:w="65"/>
        <w:gridCol w:w="65"/>
        <w:gridCol w:w="115"/>
        <w:gridCol w:w="690"/>
        <w:gridCol w:w="82"/>
        <w:gridCol w:w="65"/>
        <w:gridCol w:w="116"/>
        <w:gridCol w:w="971"/>
        <w:gridCol w:w="82"/>
        <w:gridCol w:w="65"/>
        <w:gridCol w:w="116"/>
        <w:gridCol w:w="827"/>
        <w:gridCol w:w="82"/>
        <w:gridCol w:w="65"/>
        <w:gridCol w:w="115"/>
        <w:gridCol w:w="665"/>
        <w:gridCol w:w="82"/>
      </w:tblGrid>
      <w:tr w:rsidR="00000000">
        <w:trPr>
          <w:divId w:val="1233463945"/>
          <w:jc w:val="center"/>
        </w:trPr>
        <w:tc>
          <w:tcPr>
            <w:tcW w:w="1401"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sz w:val="20"/>
                <w:szCs w:val="20"/>
              </w:rPr>
            </w:pPr>
            <w:r>
              <w:rPr>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109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Stockholders' Equity</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233463945"/>
          <w:jc w:val="center"/>
        </w:trPr>
        <w:tc>
          <w:tcPr>
            <w:tcW w:w="1401"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lastRenderedPageBreak/>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4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8"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4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Additional</w:t>
            </w:r>
          </w:p>
          <w:p w:rsidR="00000000" w:rsidRDefault="00406BD4">
            <w:pPr>
              <w:pStyle w:val="a3"/>
              <w:spacing w:before="0" w:beforeAutospacing="0" w:after="0" w:afterAutospacing="0"/>
              <w:jc w:val="center"/>
              <w:rPr>
                <w:b/>
                <w:bCs/>
                <w:color w:val="000000"/>
                <w:sz w:val="16"/>
                <w:szCs w:val="16"/>
              </w:rPr>
            </w:pPr>
            <w:r>
              <w:rPr>
                <w:b/>
                <w:bCs/>
                <w:color w:val="000000"/>
                <w:sz w:val="16"/>
                <w:szCs w:val="16"/>
              </w:rPr>
              <w:t>Paid-In Capital</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406BD4">
            <w:pPr>
              <w:pStyle w:val="a3"/>
              <w:spacing w:before="0" w:beforeAutospacing="0" w:after="0" w:afterAutospacing="0"/>
              <w:jc w:val="center"/>
              <w:rPr>
                <w:b/>
                <w:bCs/>
                <w:color w:val="000000"/>
                <w:sz w:val="16"/>
                <w:szCs w:val="16"/>
              </w:rPr>
            </w:pPr>
            <w:r>
              <w:rPr>
                <w:b/>
                <w:bCs/>
                <w:color w:val="000000"/>
                <w:sz w:val="16"/>
                <w:szCs w:val="16"/>
              </w:rPr>
              <w:t>Other Comprehensive</w:t>
            </w:r>
          </w:p>
          <w:p w:rsidR="00000000" w:rsidRDefault="00406BD4">
            <w:pPr>
              <w:pStyle w:val="a3"/>
              <w:spacing w:before="0" w:beforeAutospacing="0" w:after="0" w:afterAutospacing="0"/>
              <w:jc w:val="center"/>
              <w:rPr>
                <w:b/>
                <w:bCs/>
                <w:color w:val="000000"/>
                <w:sz w:val="16"/>
                <w:szCs w:val="16"/>
              </w:rPr>
            </w:pPr>
            <w:r>
              <w:rPr>
                <w:b/>
                <w:bCs/>
                <w:color w:val="000000"/>
                <w:sz w:val="16"/>
                <w:szCs w:val="16"/>
              </w:rPr>
              <w:t>Income (Loss)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406BD4">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Total</w:t>
            </w:r>
          </w:p>
          <w:p w:rsidR="00000000" w:rsidRDefault="00406BD4">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233463945"/>
          <w:jc w:val="center"/>
        </w:trPr>
        <w:tc>
          <w:tcPr>
            <w:tcW w:w="1401"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Balance at December 31, 2019</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21,483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146,058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146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(63,429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82,777</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r>
      <w:tr w:rsidR="00000000">
        <w:trPr>
          <w:divId w:val="1233463945"/>
          <w:jc w:val="center"/>
        </w:trPr>
        <w:tc>
          <w:tcPr>
            <w:tcW w:w="1401"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Equity-based compensation</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924</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924</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33463945"/>
          <w:jc w:val="center"/>
        </w:trPr>
        <w:tc>
          <w:tcPr>
            <w:tcW w:w="1401"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Exercise of common stock options</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33463945"/>
          <w:jc w:val="center"/>
        </w:trPr>
        <w:tc>
          <w:tcPr>
            <w:tcW w:w="1401"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Restricted stock awards</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159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33463945"/>
          <w:jc w:val="center"/>
        </w:trPr>
        <w:tc>
          <w:tcPr>
            <w:tcW w:w="1401"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Repurchases of capital stock</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1233463945"/>
          <w:jc w:val="center"/>
        </w:trPr>
        <w:tc>
          <w:tcPr>
            <w:tcW w:w="1401"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Other comprehensive gain (loss)</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(339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(339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1233463945"/>
          <w:jc w:val="center"/>
        </w:trPr>
        <w:tc>
          <w:tcPr>
            <w:tcW w:w="1401"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Net income (loss)</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(1,956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(1,956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1233463945"/>
          <w:jc w:val="center"/>
        </w:trPr>
        <w:tc>
          <w:tcPr>
            <w:tcW w:w="1401"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Balance at March 31, 2020</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21,672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146,948</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(193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(65,385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81,372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r>
      <w:tr w:rsidR="00000000">
        <w:trPr>
          <w:divId w:val="1233463945"/>
          <w:jc w:val="center"/>
        </w:trPr>
        <w:tc>
          <w:tcPr>
            <w:tcW w:w="1401"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Equity-based compensation</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1,080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1,080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33463945"/>
          <w:jc w:val="center"/>
        </w:trPr>
        <w:tc>
          <w:tcPr>
            <w:tcW w:w="1401"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Exercise of common stock options</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33463945"/>
          <w:jc w:val="center"/>
        </w:trPr>
        <w:tc>
          <w:tcPr>
            <w:tcW w:w="1401"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Restricted stock awards</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127</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33463945"/>
          <w:jc w:val="center"/>
        </w:trPr>
        <w:tc>
          <w:tcPr>
            <w:tcW w:w="1401"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Other comprehensive gain (loss)</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1,242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1,242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33463945"/>
          <w:jc w:val="center"/>
        </w:trPr>
        <w:tc>
          <w:tcPr>
            <w:tcW w:w="1401"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Net income (loss)</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3,321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3,321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33463945"/>
          <w:jc w:val="center"/>
        </w:trPr>
        <w:tc>
          <w:tcPr>
            <w:tcW w:w="1401"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Balance at June 30, 2020</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21,810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148,056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1,049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(62,064</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87,043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r>
      <w:tr w:rsidR="00000000">
        <w:trPr>
          <w:divId w:val="1233463945"/>
          <w:jc w:val="center"/>
        </w:trPr>
        <w:tc>
          <w:tcPr>
            <w:tcW w:w="1401"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Equity-based compensation</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3,150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3,150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33463945"/>
          <w:jc w:val="center"/>
        </w:trPr>
        <w:tc>
          <w:tcPr>
            <w:tcW w:w="1401"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Exercise of common stock options</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33463945"/>
          <w:jc w:val="center"/>
        </w:trPr>
        <w:tc>
          <w:tcPr>
            <w:tcW w:w="1401"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Restricted stock awards</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183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33463945"/>
          <w:jc w:val="center"/>
        </w:trPr>
        <w:tc>
          <w:tcPr>
            <w:tcW w:w="1401"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Issuance of common stock at an</w:t>
            </w:r>
          </w:p>
          <w:p w:rsidR="00000000" w:rsidRDefault="00406BD4">
            <w:pPr>
              <w:pStyle w:val="a3"/>
              <w:spacing w:before="0" w:beforeAutospacing="0" w:after="0" w:afterAutospacing="0"/>
              <w:rPr>
                <w:color w:val="000000"/>
                <w:sz w:val="20"/>
                <w:szCs w:val="20"/>
              </w:rPr>
            </w:pPr>
            <w:r>
              <w:rPr>
                <w:color w:val="000000"/>
                <w:sz w:val="20"/>
                <w:szCs w:val="20"/>
              </w:rPr>
              <w:t>   average of $38.50 per share, net</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1,108</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42,655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42,655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33463945"/>
          <w:jc w:val="center"/>
        </w:trPr>
        <w:tc>
          <w:tcPr>
            <w:tcW w:w="1401"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Issuance of common stock at an</w:t>
            </w:r>
          </w:p>
          <w:p w:rsidR="00000000" w:rsidRDefault="00406BD4">
            <w:pPr>
              <w:pStyle w:val="a3"/>
              <w:spacing w:before="0" w:beforeAutospacing="0" w:after="0" w:afterAutospacing="0"/>
              <w:rPr>
                <w:color w:val="000000"/>
                <w:sz w:val="20"/>
                <w:szCs w:val="20"/>
              </w:rPr>
            </w:pPr>
            <w:r>
              <w:rPr>
                <w:color w:val="000000"/>
                <w:sz w:val="20"/>
                <w:szCs w:val="20"/>
              </w:rPr>
              <w:t>   average of $39.24 per share, net</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200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7,849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7,849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33463945"/>
          <w:jc w:val="center"/>
        </w:trPr>
        <w:tc>
          <w:tcPr>
            <w:tcW w:w="1401"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Other comprehensive gain (loss)</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(442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(442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1233463945"/>
          <w:jc w:val="center"/>
        </w:trPr>
        <w:tc>
          <w:tcPr>
            <w:tcW w:w="1401"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Net income (loss)</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46,638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46,638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233463945"/>
          <w:jc w:val="center"/>
        </w:trPr>
        <w:tc>
          <w:tcPr>
            <w:tcW w:w="1401"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Balance at September 30, 2020</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23,307</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201,772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607</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(15,426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186,955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
                <w:szCs w:val="2"/>
              </w:rPr>
            </w:pPr>
            <w:r>
              <w:rPr>
                <w:b/>
                <w:bCs/>
                <w:color w:val="000000"/>
                <w:sz w:val="2"/>
                <w:szCs w:val="2"/>
              </w:rPr>
              <w:t> </w:t>
            </w:r>
          </w:p>
        </w:tc>
      </w:tr>
    </w:tbl>
    <w:p w:rsidR="00000000" w:rsidRDefault="00406BD4">
      <w:pPr>
        <w:pStyle w:val="a3"/>
        <w:spacing w:before="0" w:beforeAutospacing="0" w:after="0" w:afterAutospacing="0"/>
      </w:pPr>
      <w:r>
        <w:t> </w:t>
      </w:r>
    </w:p>
    <w:p w:rsidR="00000000" w:rsidRDefault="00406BD4">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406BD4">
      <w:pPr>
        <w:pStyle w:val="a3"/>
        <w:spacing w:before="40" w:beforeAutospacing="0" w:after="0" w:afterAutospacing="0"/>
        <w:jc w:val="center"/>
        <w:rPr>
          <w:sz w:val="20"/>
          <w:szCs w:val="20"/>
        </w:rPr>
      </w:pPr>
      <w:r>
        <w:rPr>
          <w:sz w:val="20"/>
          <w:szCs w:val="20"/>
        </w:rPr>
        <w:t> </w:t>
      </w:r>
    </w:p>
    <w:p w:rsidR="00000000" w:rsidRDefault="00406BD4">
      <w:pPr>
        <w:pStyle w:val="a3"/>
        <w:spacing w:before="240" w:beforeAutospacing="0" w:after="0" w:afterAutospacing="0"/>
        <w:jc w:val="center"/>
        <w:rPr>
          <w:sz w:val="20"/>
          <w:szCs w:val="20"/>
        </w:rPr>
      </w:pPr>
      <w:r>
        <w:rPr>
          <w:sz w:val="20"/>
          <w:szCs w:val="20"/>
        </w:rPr>
        <w:t>4</w:t>
      </w:r>
    </w:p>
    <w:p w:rsidR="00000000" w:rsidRDefault="00406BD4">
      <w:pPr>
        <w:rPr>
          <w:rFonts w:eastAsia="Times New Roman"/>
        </w:rPr>
      </w:pPr>
      <w:r>
        <w:rPr>
          <w:rFonts w:eastAsia="Times New Roman"/>
        </w:rPr>
        <w:pict>
          <v:rect id="_x0000_i1030"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0" w:beforeAutospacing="0" w:after="0" w:afterAutospacing="0"/>
        <w:jc w:val="center"/>
        <w:rPr>
          <w:b/>
          <w:bCs/>
          <w:color w:val="000000"/>
          <w:sz w:val="20"/>
          <w:szCs w:val="20"/>
        </w:rPr>
      </w:pPr>
      <w:r>
        <w:rPr>
          <w:b/>
          <w:bCs/>
          <w:color w:val="000000"/>
          <w:sz w:val="20"/>
          <w:szCs w:val="20"/>
        </w:rPr>
        <w:t>FULGENT GENETICS, INC.</w:t>
      </w:r>
    </w:p>
    <w:p w:rsidR="00000000" w:rsidRDefault="00406BD4">
      <w:pPr>
        <w:pStyle w:val="a3"/>
        <w:spacing w:before="0" w:beforeAutospacing="0" w:after="0" w:afterAutospacing="0"/>
        <w:jc w:val="center"/>
        <w:rPr>
          <w:b/>
          <w:bCs/>
          <w:color w:val="000000"/>
          <w:sz w:val="20"/>
          <w:szCs w:val="20"/>
        </w:rPr>
      </w:pPr>
      <w:r>
        <w:rPr>
          <w:b/>
          <w:bCs/>
          <w:color w:val="000000"/>
          <w:sz w:val="20"/>
          <w:szCs w:val="20"/>
        </w:rPr>
        <w:t xml:space="preserve">Condensed Consolidated Statements of Stockholders’ </w:t>
      </w:r>
      <w:r>
        <w:rPr>
          <w:b/>
          <w:bCs/>
          <w:color w:val="000000"/>
          <w:sz w:val="20"/>
          <w:szCs w:val="20"/>
        </w:rPr>
        <w:t>Equity</w:t>
      </w:r>
    </w:p>
    <w:p w:rsidR="00000000" w:rsidRDefault="00406BD4">
      <w:pPr>
        <w:pStyle w:val="a3"/>
        <w:spacing w:before="0" w:beforeAutospacing="0" w:after="0" w:afterAutospacing="0"/>
        <w:jc w:val="center"/>
        <w:rPr>
          <w:b/>
          <w:bCs/>
          <w:color w:val="000000"/>
          <w:sz w:val="20"/>
          <w:szCs w:val="20"/>
        </w:rPr>
      </w:pPr>
      <w:r>
        <w:rPr>
          <w:b/>
          <w:bCs/>
          <w:color w:val="000000"/>
          <w:sz w:val="20"/>
          <w:szCs w:val="20"/>
        </w:rPr>
        <w:t>(in thousands, except per share data)</w:t>
      </w:r>
    </w:p>
    <w:p w:rsidR="00000000" w:rsidRDefault="00406BD4">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406BD4">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299"/>
        <w:gridCol w:w="65"/>
        <w:gridCol w:w="65"/>
        <w:gridCol w:w="689"/>
        <w:gridCol w:w="65"/>
        <w:gridCol w:w="65"/>
        <w:gridCol w:w="116"/>
        <w:gridCol w:w="697"/>
        <w:gridCol w:w="65"/>
        <w:gridCol w:w="65"/>
        <w:gridCol w:w="115"/>
        <w:gridCol w:w="696"/>
        <w:gridCol w:w="65"/>
        <w:gridCol w:w="65"/>
        <w:gridCol w:w="116"/>
        <w:gridCol w:w="971"/>
        <w:gridCol w:w="82"/>
        <w:gridCol w:w="65"/>
        <w:gridCol w:w="116"/>
        <w:gridCol w:w="827"/>
        <w:gridCol w:w="82"/>
        <w:gridCol w:w="65"/>
        <w:gridCol w:w="115"/>
        <w:gridCol w:w="653"/>
        <w:gridCol w:w="82"/>
      </w:tblGrid>
      <w:tr w:rsidR="00000000">
        <w:trPr>
          <w:divId w:val="225066032"/>
          <w:jc w:val="center"/>
        </w:trPr>
        <w:tc>
          <w:tcPr>
            <w:tcW w:w="1401"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sz w:val="20"/>
                <w:szCs w:val="20"/>
              </w:rPr>
            </w:pPr>
            <w:r>
              <w:rPr>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109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Stockholders' Equity</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225066032"/>
          <w:jc w:val="center"/>
        </w:trPr>
        <w:tc>
          <w:tcPr>
            <w:tcW w:w="1401"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4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8"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4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Additional</w:t>
            </w:r>
          </w:p>
          <w:p w:rsidR="00000000" w:rsidRDefault="00406BD4">
            <w:pPr>
              <w:pStyle w:val="a3"/>
              <w:spacing w:before="0" w:beforeAutospacing="0" w:after="0" w:afterAutospacing="0"/>
              <w:jc w:val="center"/>
              <w:rPr>
                <w:b/>
                <w:bCs/>
                <w:color w:val="000000"/>
                <w:sz w:val="16"/>
                <w:szCs w:val="16"/>
              </w:rPr>
            </w:pPr>
            <w:r>
              <w:rPr>
                <w:b/>
                <w:bCs/>
                <w:color w:val="000000"/>
                <w:sz w:val="16"/>
                <w:szCs w:val="16"/>
              </w:rPr>
              <w:t>Paid-In Capital</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406BD4">
            <w:pPr>
              <w:pStyle w:val="a3"/>
              <w:spacing w:before="0" w:beforeAutospacing="0" w:after="0" w:afterAutospacing="0"/>
              <w:jc w:val="center"/>
              <w:rPr>
                <w:b/>
                <w:bCs/>
                <w:color w:val="000000"/>
                <w:sz w:val="16"/>
                <w:szCs w:val="16"/>
              </w:rPr>
            </w:pPr>
            <w:r>
              <w:rPr>
                <w:b/>
                <w:bCs/>
                <w:color w:val="000000"/>
                <w:sz w:val="16"/>
                <w:szCs w:val="16"/>
              </w:rPr>
              <w:t>Other Comprehensive</w:t>
            </w:r>
          </w:p>
          <w:p w:rsidR="00000000" w:rsidRDefault="00406BD4">
            <w:pPr>
              <w:pStyle w:val="a3"/>
              <w:spacing w:before="0" w:beforeAutospacing="0" w:after="0" w:afterAutospacing="0"/>
              <w:jc w:val="center"/>
              <w:rPr>
                <w:b/>
                <w:bCs/>
                <w:color w:val="000000"/>
                <w:sz w:val="16"/>
                <w:szCs w:val="16"/>
              </w:rPr>
            </w:pPr>
            <w:r>
              <w:rPr>
                <w:b/>
                <w:bCs/>
                <w:color w:val="000000"/>
                <w:sz w:val="16"/>
                <w:szCs w:val="16"/>
              </w:rPr>
              <w:t>Income (Loss)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406BD4">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Total</w:t>
            </w:r>
          </w:p>
          <w:p w:rsidR="00000000" w:rsidRDefault="00406BD4">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225066032"/>
          <w:jc w:val="center"/>
        </w:trPr>
        <w:tc>
          <w:tcPr>
            <w:tcW w:w="1401"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lastRenderedPageBreak/>
              <w:t>Balance at December 31, 2018</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18,172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114,203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(35</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(63,018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51,152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r>
      <w:tr w:rsidR="00000000">
        <w:trPr>
          <w:divId w:val="225066032"/>
          <w:jc w:val="center"/>
        </w:trPr>
        <w:tc>
          <w:tcPr>
            <w:tcW w:w="1401"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Equity-based compensation</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583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583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225066032"/>
          <w:jc w:val="center"/>
        </w:trPr>
        <w:tc>
          <w:tcPr>
            <w:tcW w:w="1401"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Exercise of common stock options</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225066032"/>
          <w:jc w:val="center"/>
        </w:trPr>
        <w:tc>
          <w:tcPr>
            <w:tcW w:w="1401"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Restricted stock awards</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225066032"/>
          <w:jc w:val="center"/>
        </w:trPr>
        <w:tc>
          <w:tcPr>
            <w:tcW w:w="1401"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Other comprehensive gain (loss)</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130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130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225066032"/>
          <w:jc w:val="center"/>
        </w:trPr>
        <w:tc>
          <w:tcPr>
            <w:tcW w:w="1401"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Net income (loss)</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(1,908</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(1,908</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225066032"/>
          <w:jc w:val="center"/>
        </w:trPr>
        <w:tc>
          <w:tcPr>
            <w:tcW w:w="1401"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Balance at March 31, 2019</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18,286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114,790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95</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(64,926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49,961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r>
      <w:tr w:rsidR="00000000">
        <w:trPr>
          <w:divId w:val="225066032"/>
          <w:jc w:val="center"/>
        </w:trPr>
        <w:tc>
          <w:tcPr>
            <w:tcW w:w="1401"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Equity-based compensation</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737</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737</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225066032"/>
          <w:jc w:val="center"/>
        </w:trPr>
        <w:tc>
          <w:tcPr>
            <w:tcW w:w="1401"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Exercise of common stock options</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225066032"/>
          <w:jc w:val="center"/>
        </w:trPr>
        <w:tc>
          <w:tcPr>
            <w:tcW w:w="1401"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Restricted stock awards</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92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225066032"/>
          <w:jc w:val="center"/>
        </w:trPr>
        <w:tc>
          <w:tcPr>
            <w:tcW w:w="1401"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Other comprehensive gain (loss)</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225066032"/>
          <w:jc w:val="center"/>
        </w:trPr>
        <w:tc>
          <w:tcPr>
            <w:tcW w:w="1401"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Net income (loss)</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331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331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225066032"/>
          <w:jc w:val="center"/>
        </w:trPr>
        <w:tc>
          <w:tcPr>
            <w:tcW w:w="1401"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Balance at June 30, 2019</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18,393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115,532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203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(64,595</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51,142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r>
      <w:tr w:rsidR="00000000">
        <w:trPr>
          <w:divId w:val="225066032"/>
          <w:jc w:val="center"/>
        </w:trPr>
        <w:tc>
          <w:tcPr>
            <w:tcW w:w="1401"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Equity-based compensation</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951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951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225066032"/>
          <w:jc w:val="center"/>
        </w:trPr>
        <w:tc>
          <w:tcPr>
            <w:tcW w:w="1401"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Exercise of common stock options</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225066032"/>
          <w:jc w:val="center"/>
        </w:trPr>
        <w:tc>
          <w:tcPr>
            <w:tcW w:w="1401"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Restricted stock awards</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133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225066032"/>
          <w:jc w:val="center"/>
        </w:trPr>
        <w:tc>
          <w:tcPr>
            <w:tcW w:w="1401"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Issuance of common stock at an</w:t>
            </w:r>
          </w:p>
          <w:p w:rsidR="00000000" w:rsidRDefault="00406BD4">
            <w:pPr>
              <w:pStyle w:val="a3"/>
              <w:spacing w:before="0" w:beforeAutospacing="0" w:after="0" w:afterAutospacing="0"/>
              <w:rPr>
                <w:color w:val="000000"/>
                <w:sz w:val="20"/>
                <w:szCs w:val="20"/>
              </w:rPr>
            </w:pPr>
            <w:r>
              <w:rPr>
                <w:color w:val="000000"/>
                <w:sz w:val="20"/>
                <w:szCs w:val="20"/>
              </w:rPr>
              <w:t>   average of $9.37 per share, net</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104</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979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979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225066032"/>
          <w:jc w:val="center"/>
        </w:trPr>
        <w:tc>
          <w:tcPr>
            <w:tcW w:w="1401"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Other comprehensive gain (loss)</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(24</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(24</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225066032"/>
          <w:jc w:val="center"/>
        </w:trPr>
        <w:tc>
          <w:tcPr>
            <w:tcW w:w="1401"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Net income (loss)</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1,462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1,462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225066032"/>
          <w:jc w:val="center"/>
        </w:trPr>
        <w:tc>
          <w:tcPr>
            <w:tcW w:w="1401"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Balance at September 30, 2019</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18,673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117,478</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179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(63,133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b/>
                <w:bCs/>
                <w:color w:val="000000"/>
                <w:sz w:val="20"/>
                <w:szCs w:val="20"/>
              </w:rPr>
            </w:pPr>
            <w:r>
              <w:rPr>
                <w:b/>
                <w:bCs/>
                <w:color w:val="000000"/>
                <w:sz w:val="20"/>
                <w:szCs w:val="20"/>
              </w:rPr>
              <w:t>54,526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
                <w:szCs w:val="2"/>
              </w:rPr>
            </w:pPr>
            <w:r>
              <w:rPr>
                <w:b/>
                <w:bCs/>
                <w:color w:val="000000"/>
                <w:sz w:val="2"/>
                <w:szCs w:val="2"/>
              </w:rPr>
              <w:t> </w:t>
            </w:r>
          </w:p>
        </w:tc>
      </w:tr>
    </w:tbl>
    <w:p w:rsidR="00000000" w:rsidRDefault="00406BD4">
      <w:pPr>
        <w:pStyle w:val="a3"/>
        <w:spacing w:before="0" w:beforeAutospacing="0" w:after="0" w:afterAutospacing="0"/>
      </w:pPr>
      <w:r>
        <w:t> </w:t>
      </w:r>
    </w:p>
    <w:p w:rsidR="00000000" w:rsidRDefault="00406BD4">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406BD4">
      <w:pPr>
        <w:pStyle w:val="a3"/>
        <w:spacing w:before="240" w:beforeAutospacing="0" w:after="0" w:afterAutospacing="0"/>
        <w:jc w:val="center"/>
        <w:rPr>
          <w:sz w:val="20"/>
          <w:szCs w:val="20"/>
        </w:rPr>
      </w:pPr>
      <w:r>
        <w:rPr>
          <w:sz w:val="20"/>
          <w:szCs w:val="20"/>
        </w:rPr>
        <w:t>5</w:t>
      </w:r>
    </w:p>
    <w:p w:rsidR="00000000" w:rsidRDefault="00406BD4">
      <w:pPr>
        <w:rPr>
          <w:rFonts w:eastAsia="Times New Roman"/>
        </w:rPr>
      </w:pPr>
      <w:r>
        <w:rPr>
          <w:rFonts w:eastAsia="Times New Roman"/>
        </w:rPr>
        <w:pict>
          <v:rect id="_x0000_i1031"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0" w:beforeAutospacing="0" w:after="0" w:afterAutospacing="0"/>
        <w:jc w:val="center"/>
        <w:rPr>
          <w:b/>
          <w:bCs/>
          <w:sz w:val="20"/>
          <w:szCs w:val="20"/>
        </w:rPr>
      </w:pPr>
      <w:r>
        <w:rPr>
          <w:b/>
          <w:bCs/>
          <w:sz w:val="20"/>
          <w:szCs w:val="20"/>
        </w:rPr>
        <w:t>FULGENT GENETICS, INC.</w:t>
      </w:r>
    </w:p>
    <w:p w:rsidR="00000000" w:rsidRDefault="00406BD4">
      <w:pPr>
        <w:pStyle w:val="a3"/>
        <w:spacing w:before="0" w:beforeAutospacing="0" w:after="0" w:afterAutospacing="0"/>
        <w:jc w:val="center"/>
        <w:rPr>
          <w:b/>
          <w:bCs/>
          <w:sz w:val="20"/>
          <w:szCs w:val="20"/>
        </w:rPr>
      </w:pPr>
      <w:bookmarkStart w:id="8" w:name="CONDENSED_CONSOLIDATED_STATEMENTS_CASH_F"/>
      <w:bookmarkEnd w:id="8"/>
      <w:r>
        <w:rPr>
          <w:b/>
          <w:bCs/>
          <w:sz w:val="20"/>
          <w:szCs w:val="20"/>
        </w:rPr>
        <w:t>Condensed Consolidated Statements of Cash Flows</w:t>
      </w:r>
    </w:p>
    <w:p w:rsidR="00000000" w:rsidRDefault="00406BD4">
      <w:pPr>
        <w:pStyle w:val="a3"/>
        <w:spacing w:before="0" w:beforeAutospacing="0" w:after="0" w:afterAutospacing="0"/>
        <w:jc w:val="center"/>
        <w:rPr>
          <w:b/>
          <w:bCs/>
          <w:sz w:val="20"/>
          <w:szCs w:val="20"/>
        </w:rPr>
      </w:pPr>
      <w:r>
        <w:rPr>
          <w:b/>
          <w:bCs/>
          <w:sz w:val="20"/>
          <w:szCs w:val="20"/>
        </w:rPr>
        <w:t>(in thousands)</w:t>
      </w:r>
    </w:p>
    <w:p w:rsidR="00000000" w:rsidRDefault="00406BD4">
      <w:pPr>
        <w:pStyle w:val="a3"/>
        <w:spacing w:before="0" w:beforeAutospacing="0" w:after="0" w:afterAutospacing="0"/>
        <w:jc w:val="center"/>
        <w:rPr>
          <w:b/>
          <w:bCs/>
          <w:sz w:val="20"/>
          <w:szCs w:val="20"/>
        </w:rPr>
      </w:pPr>
      <w:r>
        <w:rPr>
          <w:b/>
          <w:bCs/>
          <w:sz w:val="20"/>
          <w:szCs w:val="20"/>
        </w:rPr>
        <w:t>(unaudited)</w:t>
      </w:r>
    </w:p>
    <w:p w:rsidR="00000000" w:rsidRDefault="00406BD4">
      <w:pPr>
        <w:pStyle w:val="a3"/>
        <w:spacing w:before="0" w:beforeAutospacing="0" w:after="0" w:afterAutospacing="0"/>
        <w:jc w:val="center"/>
        <w:rPr>
          <w:b/>
          <w:bCs/>
          <w:sz w:val="12"/>
          <w:szCs w:val="12"/>
        </w:rPr>
      </w:pPr>
      <w:r>
        <w:rPr>
          <w:b/>
          <w:bCs/>
          <w:sz w:val="12"/>
          <w:szCs w:val="12"/>
        </w:rPr>
        <w:t> </w:t>
      </w:r>
    </w:p>
    <w:tbl>
      <w:tblPr>
        <w:tblW w:w="5000" w:type="pct"/>
        <w:jc w:val="center"/>
        <w:tblCellMar>
          <w:left w:w="0" w:type="dxa"/>
          <w:right w:w="0" w:type="dxa"/>
        </w:tblCellMar>
        <w:tblLook w:val="04A0" w:firstRow="1" w:lastRow="0" w:firstColumn="1" w:lastColumn="0" w:noHBand="0" w:noVBand="1"/>
      </w:tblPr>
      <w:tblGrid>
        <w:gridCol w:w="5027"/>
        <w:gridCol w:w="148"/>
        <w:gridCol w:w="115"/>
        <w:gridCol w:w="1297"/>
        <w:gridCol w:w="82"/>
        <w:gridCol w:w="142"/>
        <w:gridCol w:w="115"/>
        <w:gridCol w:w="1298"/>
        <w:gridCol w:w="82"/>
      </w:tblGrid>
      <w:tr w:rsidR="00000000">
        <w:trPr>
          <w:divId w:val="649407111"/>
          <w:jc w:val="center"/>
        </w:trPr>
        <w:tc>
          <w:tcPr>
            <w:tcW w:w="303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sz w:val="20"/>
                <w:szCs w:val="20"/>
              </w:rPr>
            </w:pPr>
            <w:r>
              <w:rPr>
                <w:sz w:val="20"/>
                <w:szCs w:val="20"/>
              </w:rPr>
              <w:t> </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20"/>
                <w:szCs w:val="20"/>
              </w:rPr>
            </w:pPr>
            <w:r>
              <w:rPr>
                <w:b/>
                <w:bCs/>
                <w:color w:val="000000"/>
                <w:sz w:val="20"/>
                <w:szCs w:val="20"/>
              </w:rPr>
              <w:t> </w:t>
            </w:r>
          </w:p>
        </w:tc>
        <w:tc>
          <w:tcPr>
            <w:tcW w:w="182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649407111"/>
          <w:jc w:val="center"/>
        </w:trPr>
        <w:tc>
          <w:tcPr>
            <w:tcW w:w="303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20"/>
                <w:szCs w:val="20"/>
              </w:rPr>
            </w:pPr>
            <w:r>
              <w:rPr>
                <w:b/>
                <w:bCs/>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20"/>
                <w:szCs w:val="20"/>
              </w:rPr>
            </w:pPr>
            <w:r>
              <w:rPr>
                <w:b/>
                <w:bCs/>
                <w:color w:val="000000"/>
                <w:sz w:val="20"/>
                <w:szCs w:val="20"/>
              </w:rPr>
              <w:t> </w:t>
            </w:r>
          </w:p>
        </w:tc>
        <w:tc>
          <w:tcPr>
            <w:tcW w:w="83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96"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83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649407111"/>
          <w:jc w:val="center"/>
        </w:trPr>
        <w:tc>
          <w:tcPr>
            <w:tcW w:w="303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b/>
                <w:bCs/>
                <w:color w:val="000000"/>
                <w:sz w:val="20"/>
                <w:szCs w:val="20"/>
              </w:rPr>
            </w:pPr>
            <w:r>
              <w:rPr>
                <w:b/>
                <w:bCs/>
                <w:color w:val="000000"/>
                <w:sz w:val="20"/>
                <w:szCs w:val="20"/>
              </w:rPr>
              <w:t>Cash flow from operating activities:</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Net income (loss)</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48,003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(115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649407111"/>
          <w:jc w:val="center"/>
        </w:trPr>
        <w:tc>
          <w:tcPr>
            <w:tcW w:w="303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Adjustments to reconcile net income (loss) to net cash provided by operating activities:</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Equity-based compensation</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5,154</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2,271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Depreciation</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1,840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1,549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Noncash lease expense</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345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306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Loss on disposal of fixed asset</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352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Amortization of premium of marketable securities</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327</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Provision for bad debt</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441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37</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Deferred taxes</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(1,083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649407111"/>
          <w:jc w:val="center"/>
        </w:trPr>
        <w:tc>
          <w:tcPr>
            <w:tcW w:w="303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Unrecognized tax benefits</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389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Equity loss in investee</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631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603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Impairment loss in equity method investment</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2,591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Other</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Changes in operating assets and liabilities:</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547"/>
              <w:rPr>
                <w:color w:val="000000"/>
                <w:sz w:val="20"/>
                <w:szCs w:val="20"/>
              </w:rPr>
            </w:pPr>
            <w:r>
              <w:rPr>
                <w:color w:val="000000"/>
                <w:sz w:val="20"/>
                <w:szCs w:val="20"/>
              </w:rPr>
              <w:t>Accounts receivable</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(84,557</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588</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547"/>
              <w:rPr>
                <w:color w:val="000000"/>
                <w:sz w:val="20"/>
                <w:szCs w:val="20"/>
              </w:rPr>
            </w:pPr>
            <w:r>
              <w:rPr>
                <w:color w:val="000000"/>
                <w:sz w:val="20"/>
                <w:szCs w:val="20"/>
              </w:rPr>
              <w:t>Other current and long-term assets</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(19,176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450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547"/>
              <w:rPr>
                <w:color w:val="000000"/>
                <w:sz w:val="20"/>
                <w:szCs w:val="20"/>
              </w:rPr>
            </w:pPr>
            <w:r>
              <w:rPr>
                <w:color w:val="000000"/>
                <w:sz w:val="20"/>
                <w:szCs w:val="20"/>
              </w:rPr>
              <w:t>Accounts payable</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14,675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(91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649407111"/>
          <w:jc w:val="center"/>
        </w:trPr>
        <w:tc>
          <w:tcPr>
            <w:tcW w:w="303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547"/>
              <w:rPr>
                <w:color w:val="000000"/>
                <w:sz w:val="20"/>
                <w:szCs w:val="20"/>
              </w:rPr>
            </w:pPr>
            <w:r>
              <w:rPr>
                <w:color w:val="000000"/>
                <w:sz w:val="20"/>
                <w:szCs w:val="20"/>
              </w:rPr>
              <w:t>Accrued liabilities and other liabilities</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22,169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202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547"/>
              <w:rPr>
                <w:color w:val="000000"/>
                <w:sz w:val="20"/>
                <w:szCs w:val="20"/>
              </w:rPr>
            </w:pPr>
            <w:r>
              <w:rPr>
                <w:color w:val="000000"/>
                <w:sz w:val="20"/>
                <w:szCs w:val="20"/>
              </w:rPr>
              <w:t>Income tax payable</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14,603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547"/>
              <w:rPr>
                <w:color w:val="000000"/>
                <w:sz w:val="20"/>
                <w:szCs w:val="20"/>
              </w:rPr>
            </w:pPr>
            <w:r>
              <w:rPr>
                <w:color w:val="000000"/>
                <w:sz w:val="20"/>
                <w:szCs w:val="20"/>
              </w:rPr>
              <w:t>Operating lease liabilities</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(325</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(310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649407111"/>
          <w:jc w:val="center"/>
        </w:trPr>
        <w:tc>
          <w:tcPr>
            <w:tcW w:w="303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Net cash provided by operating activities</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6,372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5,633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b/>
                <w:bCs/>
                <w:color w:val="000000"/>
                <w:sz w:val="20"/>
                <w:szCs w:val="20"/>
              </w:rPr>
            </w:pPr>
            <w:r>
              <w:rPr>
                <w:b/>
                <w:bCs/>
                <w:color w:val="000000"/>
                <w:sz w:val="20"/>
                <w:szCs w:val="20"/>
              </w:rPr>
              <w:t>Cash flow from investing activities:</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Purchases of fixed assets</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(11,336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(721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649407111"/>
          <w:jc w:val="center"/>
        </w:trPr>
        <w:tc>
          <w:tcPr>
            <w:tcW w:w="303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Proceeds from disposal of fixed assets</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Purchase of marketable securities</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(13,563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(11,846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649407111"/>
          <w:jc w:val="center"/>
        </w:trPr>
        <w:tc>
          <w:tcPr>
            <w:tcW w:w="303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Maturities of marketable securities</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13,119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19,600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Proceeds from sale of marketable securities</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8,072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Purchase of equipment contributed to equity method investee</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(1,380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Investment in equity method investee</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(2,591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Net cash (used in) provided by investing activities</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(7,671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7,033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b/>
                <w:bCs/>
                <w:color w:val="000000"/>
                <w:sz w:val="20"/>
                <w:szCs w:val="20"/>
              </w:rPr>
            </w:pPr>
            <w:r>
              <w:rPr>
                <w:b/>
                <w:bCs/>
                <w:color w:val="000000"/>
                <w:sz w:val="20"/>
                <w:szCs w:val="20"/>
              </w:rPr>
              <w:t>Cash flow from financing activities:</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Proceeds from public offerings of common stock, net of issuance costs</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42,292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1,110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Proceeds from exercise of stock options</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Repurchases of capital stock</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Net cash provided by financing activities</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42,348</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1,136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Effect of exchange rate changes on cash and cash equivalents</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649407111"/>
          <w:jc w:val="center"/>
        </w:trPr>
        <w:tc>
          <w:tcPr>
            <w:tcW w:w="303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b/>
                <w:bCs/>
                <w:color w:val="000000"/>
                <w:sz w:val="20"/>
                <w:szCs w:val="20"/>
              </w:rPr>
            </w:pPr>
            <w:r>
              <w:rPr>
                <w:b/>
                <w:bCs/>
                <w:color w:val="000000"/>
                <w:sz w:val="20"/>
                <w:szCs w:val="20"/>
              </w:rPr>
              <w:t>Net increase in cash and cash equivalents</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41,066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13,786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b/>
                <w:bCs/>
                <w:color w:val="000000"/>
                <w:sz w:val="20"/>
                <w:szCs w:val="20"/>
              </w:rPr>
            </w:pPr>
            <w:r>
              <w:rPr>
                <w:b/>
                <w:bCs/>
                <w:color w:val="000000"/>
                <w:sz w:val="20"/>
                <w:szCs w:val="20"/>
              </w:rPr>
              <w:t>Cash and cash equivalents at beginning of period</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11,965</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6,736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b/>
                <w:bCs/>
                <w:color w:val="000000"/>
                <w:sz w:val="20"/>
                <w:szCs w:val="20"/>
              </w:rPr>
            </w:pPr>
            <w:r>
              <w:rPr>
                <w:b/>
                <w:bCs/>
                <w:color w:val="000000"/>
                <w:sz w:val="20"/>
                <w:szCs w:val="20"/>
              </w:rPr>
              <w:t>Cash and cash equivalents at end of period</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78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53,031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78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20,522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b/>
                <w:bCs/>
                <w:color w:val="000000"/>
                <w:sz w:val="20"/>
                <w:szCs w:val="20"/>
              </w:rPr>
            </w:pPr>
            <w:r>
              <w:rPr>
                <w:b/>
                <w:bCs/>
                <w:color w:val="000000"/>
                <w:sz w:val="20"/>
                <w:szCs w:val="20"/>
              </w:rPr>
              <w:t>Supplemental disclosures of cash flow information:</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Income taxes paid</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b/>
                <w:bCs/>
                <w:color w:val="000000"/>
                <w:sz w:val="20"/>
                <w:szCs w:val="20"/>
              </w:rPr>
            </w:pPr>
            <w:r>
              <w:rPr>
                <w:b/>
                <w:bCs/>
                <w:color w:val="000000"/>
                <w:sz w:val="20"/>
                <w:szCs w:val="20"/>
              </w:rPr>
              <w:t>Supplemental disclosures of non-cash investing and financing activities:</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Purchases of fixed assets in accounts payable</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2,822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880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Operating lease right-of-use assets obtained in exchange for lease liabilities</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393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110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Public offerings proceeds included in other current assets</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8,407</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49407111"/>
          <w:jc w:val="center"/>
        </w:trPr>
        <w:tc>
          <w:tcPr>
            <w:tcW w:w="303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ind w:left="274"/>
              <w:rPr>
                <w:color w:val="000000"/>
                <w:sz w:val="20"/>
                <w:szCs w:val="20"/>
              </w:rPr>
            </w:pPr>
            <w:r>
              <w:rPr>
                <w:color w:val="000000"/>
                <w:sz w:val="20"/>
                <w:szCs w:val="20"/>
              </w:rPr>
              <w:t>Public offerings costs included in accounts payable</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374</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787"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131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
                <w:szCs w:val="2"/>
              </w:rPr>
            </w:pPr>
            <w:r>
              <w:rPr>
                <w:color w:val="000000"/>
                <w:sz w:val="2"/>
                <w:szCs w:val="2"/>
              </w:rPr>
              <w:t> </w:t>
            </w:r>
          </w:p>
        </w:tc>
      </w:tr>
    </w:tbl>
    <w:p w:rsidR="00000000" w:rsidRDefault="00406BD4">
      <w:pPr>
        <w:pStyle w:val="a3"/>
        <w:spacing w:before="0" w:beforeAutospacing="0" w:after="0" w:afterAutospacing="0"/>
        <w:jc w:val="center"/>
        <w:rPr>
          <w:sz w:val="6"/>
          <w:szCs w:val="6"/>
        </w:rPr>
      </w:pPr>
      <w:r>
        <w:rPr>
          <w:sz w:val="6"/>
          <w:szCs w:val="6"/>
        </w:rPr>
        <w:t> </w:t>
      </w:r>
    </w:p>
    <w:p w:rsidR="00000000" w:rsidRDefault="00406BD4">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406BD4">
      <w:pPr>
        <w:pStyle w:val="a3"/>
        <w:spacing w:before="240" w:beforeAutospacing="0" w:after="0" w:afterAutospacing="0"/>
        <w:jc w:val="center"/>
        <w:rPr>
          <w:sz w:val="20"/>
          <w:szCs w:val="20"/>
        </w:rPr>
      </w:pPr>
      <w:r>
        <w:rPr>
          <w:sz w:val="20"/>
          <w:szCs w:val="20"/>
        </w:rPr>
        <w:t>6</w:t>
      </w:r>
    </w:p>
    <w:p w:rsidR="00000000" w:rsidRDefault="00406BD4">
      <w:pPr>
        <w:rPr>
          <w:rFonts w:eastAsia="Times New Roman"/>
        </w:rPr>
      </w:pPr>
      <w:r>
        <w:rPr>
          <w:rFonts w:eastAsia="Times New Roman"/>
        </w:rPr>
        <w:pict>
          <v:rect id="_x0000_i1032"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0" w:beforeAutospacing="0" w:after="0" w:afterAutospacing="0"/>
        <w:jc w:val="center"/>
        <w:rPr>
          <w:b/>
          <w:bCs/>
          <w:sz w:val="20"/>
          <w:szCs w:val="20"/>
        </w:rPr>
      </w:pPr>
      <w:r>
        <w:rPr>
          <w:b/>
          <w:bCs/>
          <w:sz w:val="20"/>
          <w:szCs w:val="20"/>
        </w:rPr>
        <w:t>FULGENT GENETICS, INC.</w:t>
      </w:r>
    </w:p>
    <w:p w:rsidR="00000000" w:rsidRDefault="00406BD4">
      <w:pPr>
        <w:pStyle w:val="a3"/>
        <w:spacing w:before="0" w:beforeAutospacing="0" w:after="0" w:afterAutospacing="0"/>
        <w:jc w:val="center"/>
        <w:rPr>
          <w:b/>
          <w:bCs/>
          <w:sz w:val="20"/>
          <w:szCs w:val="20"/>
        </w:rPr>
      </w:pPr>
      <w:bookmarkStart w:id="9" w:name="NOTES_TO_CONDENSED_CONSOLIDATED_FINANCIA"/>
      <w:bookmarkEnd w:id="9"/>
      <w:r>
        <w:rPr>
          <w:b/>
          <w:bCs/>
          <w:sz w:val="20"/>
          <w:szCs w:val="20"/>
        </w:rPr>
        <w:t>Notes to the Condensed Consolidated Financial Statements</w:t>
      </w:r>
    </w:p>
    <w:p w:rsidR="00000000" w:rsidRDefault="00406BD4">
      <w:pPr>
        <w:pStyle w:val="a3"/>
        <w:spacing w:before="0" w:beforeAutospacing="0" w:after="0" w:afterAutospacing="0"/>
        <w:jc w:val="center"/>
        <w:rPr>
          <w:b/>
          <w:bCs/>
          <w:sz w:val="20"/>
          <w:szCs w:val="20"/>
        </w:rPr>
      </w:pPr>
      <w:r>
        <w:rPr>
          <w:b/>
          <w:bCs/>
          <w:sz w:val="20"/>
          <w:szCs w:val="20"/>
        </w:rPr>
        <w:t>(unaudited)</w:t>
      </w:r>
    </w:p>
    <w:p w:rsidR="00000000" w:rsidRDefault="00406BD4">
      <w:pPr>
        <w:pStyle w:val="a3"/>
        <w:spacing w:before="0" w:beforeAutospacing="0" w:after="0" w:afterAutospacing="0"/>
      </w:pPr>
      <w:r>
        <w:t> </w:t>
      </w:r>
    </w:p>
    <w:p w:rsidR="00000000" w:rsidRDefault="00406BD4">
      <w:pPr>
        <w:pStyle w:val="a3"/>
        <w:spacing w:before="0" w:beforeAutospacing="0" w:after="0" w:afterAutospacing="0"/>
        <w:rPr>
          <w:b/>
          <w:bCs/>
          <w:sz w:val="20"/>
          <w:szCs w:val="20"/>
        </w:rPr>
      </w:pPr>
      <w:r>
        <w:rPr>
          <w:b/>
          <w:bCs/>
          <w:sz w:val="20"/>
          <w:szCs w:val="20"/>
        </w:rPr>
        <w:t>Note 1. Overview and Basis of Presentation</w:t>
      </w:r>
    </w:p>
    <w:p w:rsidR="00000000" w:rsidRDefault="00406BD4">
      <w:pPr>
        <w:pStyle w:val="a3"/>
        <w:spacing w:before="240" w:beforeAutospacing="0" w:after="0" w:afterAutospacing="0"/>
        <w:ind w:firstLine="556"/>
        <w:rPr>
          <w:sz w:val="20"/>
          <w:szCs w:val="20"/>
        </w:rPr>
      </w:pPr>
      <w:bookmarkStart w:id="10" w:name="_DV_C690"/>
      <w:bookmarkEnd w:id="10"/>
      <w:r>
        <w:rPr>
          <w:sz w:val="20"/>
          <w:szCs w:val="20"/>
        </w:rPr>
        <w:t>The accompanying condensed consolidated financial statements have been prepared in accordance with accounting principles generally accepted in the United States of America, or U.S. GAAP. These financial statements</w:t>
      </w:r>
      <w:r>
        <w:rPr>
          <w:sz w:val="20"/>
          <w:szCs w:val="20"/>
        </w:rPr>
        <w:t xml:space="preserve"> include the assets, liabilities, revenues and expenses of all wholly-owned subsidiaries and entities in which the Company has a controlling financial interest or is deemed to be the primary beneficiary. In determining whether the Company is the primary be</w:t>
      </w:r>
      <w:r>
        <w:rPr>
          <w:sz w:val="20"/>
          <w:szCs w:val="20"/>
        </w:rPr>
        <w:t>neficiary of an entity, the Company applies a qualitative approach that determines whether it has both (i) the power to direct the economically significant activities of the entity and (ii) the obligation to absorb losses of, or the right to receive benefi</w:t>
      </w:r>
      <w:r>
        <w:rPr>
          <w:sz w:val="20"/>
          <w:szCs w:val="20"/>
        </w:rPr>
        <w:t>ts from, the entity that could potentially be significant to that entity. The Company uses the equity method to account for its investments in entities that it does not control, but in which it has the ability to exercise significant influence over operati</w:t>
      </w:r>
      <w:r>
        <w:rPr>
          <w:sz w:val="20"/>
          <w:szCs w:val="20"/>
        </w:rPr>
        <w:t>ng and financial policies. All significant intercompany accounts and transactions are eliminated from the accompanying condensed consolidated financial statements.</w:t>
      </w:r>
    </w:p>
    <w:p w:rsidR="00000000" w:rsidRDefault="00406BD4">
      <w:pPr>
        <w:pStyle w:val="a3"/>
        <w:shd w:val="clear" w:color="auto" w:fill="FFFFFF"/>
        <w:spacing w:before="360" w:beforeAutospacing="0" w:after="0" w:afterAutospacing="0"/>
        <w:rPr>
          <w:b/>
          <w:bCs/>
          <w:i/>
          <w:iCs/>
          <w:color w:val="000000"/>
          <w:sz w:val="20"/>
          <w:szCs w:val="20"/>
        </w:rPr>
      </w:pPr>
      <w:r>
        <w:rPr>
          <w:b/>
          <w:bCs/>
          <w:i/>
          <w:iCs/>
          <w:color w:val="000000"/>
          <w:sz w:val="20"/>
          <w:szCs w:val="20"/>
        </w:rPr>
        <w:t>Nature of the Business</w:t>
      </w:r>
    </w:p>
    <w:p w:rsidR="00000000" w:rsidRDefault="00406BD4">
      <w:pPr>
        <w:pStyle w:val="a3"/>
        <w:shd w:val="clear" w:color="auto" w:fill="FFFFFF"/>
        <w:spacing w:before="120" w:beforeAutospacing="0" w:after="0" w:afterAutospacing="0"/>
        <w:ind w:firstLine="556"/>
        <w:rPr>
          <w:color w:val="000000"/>
          <w:sz w:val="20"/>
          <w:szCs w:val="20"/>
        </w:rPr>
      </w:pPr>
      <w:r>
        <w:rPr>
          <w:color w:val="000000"/>
          <w:sz w:val="20"/>
          <w:szCs w:val="20"/>
        </w:rPr>
        <w:t xml:space="preserve">Fulgent Genetics, Inc., together with its subsidiaries, collectively </w:t>
      </w:r>
      <w:r>
        <w:rPr>
          <w:color w:val="000000"/>
          <w:sz w:val="20"/>
          <w:szCs w:val="20"/>
        </w:rPr>
        <w:t xml:space="preserve">referred to as the Company, unless otherwise noted or the context otherwise requires, is a technology company offering comprehensive genetic testing providing physicians with clinically actionable diagnostic information they can use to improve the quality </w:t>
      </w:r>
      <w:r>
        <w:rPr>
          <w:color w:val="000000"/>
          <w:sz w:val="20"/>
          <w:szCs w:val="20"/>
        </w:rPr>
        <w:t>of patient care. The Company has developed a proprietary technology platform that allows it to offer a broad and flexible test menu and continually expand and improve its proprietary genetic reference library, while maintaining accessible pricing, high acc</w:t>
      </w:r>
      <w:r>
        <w:rPr>
          <w:color w:val="000000"/>
          <w:sz w:val="20"/>
          <w:szCs w:val="20"/>
        </w:rPr>
        <w:t>uracy and competitive turnaround times. Combining next generation sequencing, or NGS, with its technology platform, the Company performs full-gene sequencing with deletion/duplication analysis in single-gene tests; pre-established, multi-gene, disease-spec</w:t>
      </w:r>
      <w:r>
        <w:rPr>
          <w:color w:val="000000"/>
          <w:sz w:val="20"/>
          <w:szCs w:val="20"/>
        </w:rPr>
        <w:t>ific panels; and customized panels that can be tailored to meet specific customer needs. In 2019, the Company launched its first patient-initiated product, Picture Genetics, a new line of at-home screening tests that combines the Company’s advanced NGS sol</w:t>
      </w:r>
      <w:r>
        <w:rPr>
          <w:color w:val="000000"/>
          <w:sz w:val="20"/>
          <w:szCs w:val="20"/>
        </w:rPr>
        <w:t>utions with actionable results and genetic counseling options for individuals. Since March 2020, the Company has commercially launched several tests for the detection of SARS-CoV-2, the virus that causes the novel coronavirus, or COVID-19, including NGS an</w:t>
      </w:r>
      <w:r>
        <w:rPr>
          <w:color w:val="000000"/>
          <w:sz w:val="20"/>
          <w:szCs w:val="20"/>
        </w:rPr>
        <w:t>d reverse transcription polymerase chain reaction – based, or RT-PCR-based, tests. The Company has received Emergency Use Authorizations, or EUAs, from the U.S. Food and Drug Administration, or the FDA, for the RT-PCR-based tests for the detection of SARS-</w:t>
      </w:r>
      <w:r>
        <w:rPr>
          <w:color w:val="000000"/>
          <w:sz w:val="20"/>
          <w:szCs w:val="20"/>
        </w:rPr>
        <w:t>CoV-2 using upper respiratory specimens (nasal, nasopharyngeal, and oropharyngeal swabs) and for the at-home testing service through Picture Genetics. The Company’s at-home testing service for COVID-19 and RT-PCR-based test have been granted EUAs by the FD</w:t>
      </w:r>
      <w:r>
        <w:rPr>
          <w:color w:val="000000"/>
          <w:sz w:val="20"/>
          <w:szCs w:val="20"/>
        </w:rPr>
        <w:t>A only for the detection of nucleic acid from SARS-CoV-2, not for any other viruses or pathogens. The Company believes its test menu offers more genes for testing than its competitors in today’s market, which enables it to provide expansive options for tes</w:t>
      </w:r>
      <w:r>
        <w:rPr>
          <w:color w:val="000000"/>
          <w:sz w:val="20"/>
          <w:szCs w:val="20"/>
        </w:rPr>
        <w:t>t customization and clinically actionable results. A cornerstone of the Company’s business is its ability to provide expansive options and flexibility for all clients’ unique testing needs.</w:t>
      </w:r>
    </w:p>
    <w:p w:rsidR="00000000" w:rsidRDefault="00406BD4">
      <w:pPr>
        <w:pStyle w:val="a3"/>
        <w:shd w:val="clear" w:color="auto" w:fill="FFFFFF"/>
        <w:spacing w:before="360" w:beforeAutospacing="0" w:after="0" w:afterAutospacing="0"/>
        <w:rPr>
          <w:b/>
          <w:bCs/>
          <w:i/>
          <w:iCs/>
          <w:color w:val="000000"/>
          <w:sz w:val="20"/>
          <w:szCs w:val="20"/>
        </w:rPr>
      </w:pPr>
      <w:r>
        <w:rPr>
          <w:b/>
          <w:bCs/>
          <w:i/>
          <w:iCs/>
          <w:color w:val="000000"/>
          <w:sz w:val="20"/>
          <w:szCs w:val="20"/>
        </w:rPr>
        <w:t xml:space="preserve">Unaudited Interim Financial Information </w:t>
      </w:r>
    </w:p>
    <w:p w:rsidR="00000000" w:rsidRDefault="00406BD4">
      <w:pPr>
        <w:pStyle w:val="a3"/>
        <w:spacing w:before="120" w:beforeAutospacing="0" w:after="0" w:afterAutospacing="0"/>
        <w:ind w:firstLine="556"/>
        <w:rPr>
          <w:color w:val="000000"/>
          <w:sz w:val="20"/>
          <w:szCs w:val="20"/>
        </w:rPr>
      </w:pPr>
      <w:bookmarkStart w:id="11" w:name="_Hlk480621919"/>
      <w:r>
        <w:rPr>
          <w:color w:val="000000"/>
          <w:sz w:val="20"/>
          <w:szCs w:val="20"/>
        </w:rPr>
        <w:t>The accompanying unaudite</w:t>
      </w:r>
      <w:r>
        <w:rPr>
          <w:color w:val="000000"/>
          <w:sz w:val="20"/>
          <w:szCs w:val="20"/>
        </w:rPr>
        <w:t>d interim condensed consolidated financial statements have been prepared on the same basis as the Company’s audited consolidated financial statements as of and for the fiscal year ended December 31, 2019, which are included in the Company’s annual report o</w:t>
      </w:r>
      <w:r>
        <w:rPr>
          <w:color w:val="000000"/>
          <w:sz w:val="20"/>
          <w:szCs w:val="20"/>
        </w:rPr>
        <w:t xml:space="preserve">n Form 10-K filed with the Securities and Exchange Commission, or SEC, on March 13, 2020, or the 2019 Annual Report, and, in the opinion of management, include all adjustments, which are normal and recurring in nature, necessary for a fair presentation of </w:t>
      </w:r>
      <w:r>
        <w:rPr>
          <w:color w:val="000000"/>
          <w:sz w:val="20"/>
          <w:szCs w:val="20"/>
        </w:rPr>
        <w:t>the Company’s financial position and results of operations. Operating results for interim periods are not necessarily indicative of the results that may be expected for a full fiscal year or any other period.</w:t>
      </w:r>
      <w:bookmarkEnd w:id="11"/>
      <w:r>
        <w:rPr>
          <w:color w:val="000000"/>
          <w:sz w:val="20"/>
          <w:szCs w:val="20"/>
        </w:rPr>
        <w:t xml:space="preserve"> The accompanying Condensed Consolidated Balance</w:t>
      </w:r>
      <w:r>
        <w:rPr>
          <w:color w:val="000000"/>
          <w:sz w:val="20"/>
          <w:szCs w:val="20"/>
        </w:rPr>
        <w:t xml:space="preserve"> Sheet as of December 31, 2019 has been derived from the Company’s audited consolidated financial statements at that date but does not include all of the disclosures required by U.S. GAAP. As such, the information included in this quarterly report on Form </w:t>
      </w:r>
      <w:r>
        <w:rPr>
          <w:color w:val="000000"/>
          <w:sz w:val="20"/>
          <w:szCs w:val="20"/>
        </w:rPr>
        <w:t>10-Q should be read in conjunction with the Company’s audited consolidated financial statements included in the 2019 Annual Report, including the notes thereto.</w:t>
      </w:r>
    </w:p>
    <w:p w:rsidR="00000000" w:rsidRDefault="00406BD4">
      <w:pPr>
        <w:pStyle w:val="a3"/>
        <w:spacing w:before="0" w:beforeAutospacing="0" w:after="0" w:afterAutospacing="0"/>
        <w:rPr>
          <w:sz w:val="9"/>
          <w:szCs w:val="9"/>
        </w:rPr>
      </w:pPr>
      <w:r>
        <w:rPr>
          <w:sz w:val="9"/>
          <w:szCs w:val="9"/>
        </w:rPr>
        <w:t> </w:t>
      </w:r>
    </w:p>
    <w:p w:rsidR="00000000" w:rsidRDefault="00406BD4">
      <w:pPr>
        <w:pStyle w:val="a3"/>
        <w:spacing w:before="0" w:beforeAutospacing="0" w:after="0" w:afterAutospacing="0"/>
        <w:rPr>
          <w:sz w:val="9"/>
          <w:szCs w:val="9"/>
        </w:rPr>
      </w:pPr>
      <w:r>
        <w:rPr>
          <w:sz w:val="9"/>
          <w:szCs w:val="9"/>
        </w:rPr>
        <w:t> </w:t>
      </w:r>
    </w:p>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240" w:beforeAutospacing="0" w:after="0" w:afterAutospacing="0"/>
        <w:jc w:val="center"/>
        <w:rPr>
          <w:sz w:val="20"/>
          <w:szCs w:val="20"/>
        </w:rPr>
      </w:pPr>
      <w:r>
        <w:rPr>
          <w:sz w:val="20"/>
          <w:szCs w:val="20"/>
        </w:rPr>
        <w:t>7</w:t>
      </w:r>
    </w:p>
    <w:p w:rsidR="00000000" w:rsidRDefault="00406BD4">
      <w:pPr>
        <w:rPr>
          <w:rFonts w:eastAsia="Times New Roman"/>
        </w:rPr>
      </w:pPr>
      <w:r>
        <w:rPr>
          <w:rFonts w:eastAsia="Times New Roman"/>
        </w:rPr>
        <w:pict>
          <v:rect id="_x0000_i1033"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0" w:beforeAutospacing="0" w:after="0" w:afterAutospacing="0"/>
        <w:rPr>
          <w:b/>
          <w:bCs/>
          <w:sz w:val="20"/>
          <w:szCs w:val="20"/>
        </w:rPr>
      </w:pPr>
      <w:r>
        <w:rPr>
          <w:b/>
          <w:bCs/>
          <w:sz w:val="20"/>
          <w:szCs w:val="20"/>
        </w:rPr>
        <w:t>Note 2. Summary of Significant Accounting Policies</w:t>
      </w:r>
    </w:p>
    <w:p w:rsidR="00000000" w:rsidRDefault="00406BD4">
      <w:pPr>
        <w:pStyle w:val="a3"/>
        <w:spacing w:before="240" w:beforeAutospacing="0" w:after="0" w:afterAutospacing="0"/>
        <w:ind w:firstLine="556"/>
        <w:rPr>
          <w:color w:val="000000"/>
          <w:sz w:val="20"/>
          <w:szCs w:val="20"/>
        </w:rPr>
      </w:pPr>
      <w:r>
        <w:rPr>
          <w:color w:val="000000"/>
          <w:sz w:val="20"/>
          <w:szCs w:val="20"/>
          <w:shd w:val="clear" w:color="auto" w:fill="FFFFFF"/>
        </w:rPr>
        <w:t>See the summary</w:t>
      </w:r>
      <w:r>
        <w:rPr>
          <w:color w:val="000000"/>
          <w:sz w:val="20"/>
          <w:szCs w:val="20"/>
        </w:rPr>
        <w:t xml:space="preserve"> of the </w:t>
      </w:r>
      <w:r>
        <w:rPr>
          <w:color w:val="000000"/>
          <w:sz w:val="20"/>
          <w:szCs w:val="20"/>
          <w:shd w:val="clear" w:color="auto" w:fill="FFFFFF"/>
        </w:rPr>
        <w:t xml:space="preserve">Company’s significant accounting policies set forth in the notes to its consolidated </w:t>
      </w:r>
      <w:r>
        <w:rPr>
          <w:color w:val="000000"/>
          <w:sz w:val="20"/>
          <w:szCs w:val="20"/>
        </w:rPr>
        <w:t>f</w:t>
      </w:r>
      <w:r>
        <w:rPr>
          <w:color w:val="000000"/>
          <w:sz w:val="20"/>
          <w:szCs w:val="20"/>
        </w:rPr>
        <w:t xml:space="preserve">inancial statements </w:t>
      </w:r>
      <w:r>
        <w:rPr>
          <w:color w:val="000000"/>
          <w:sz w:val="20"/>
          <w:szCs w:val="20"/>
          <w:shd w:val="clear" w:color="auto" w:fill="FFFFFF"/>
        </w:rPr>
        <w:t>included in the 2019 Annual Report.</w:t>
      </w:r>
    </w:p>
    <w:p w:rsidR="00000000" w:rsidRDefault="00406BD4">
      <w:pPr>
        <w:pStyle w:val="a3"/>
        <w:spacing w:before="360" w:beforeAutospacing="0" w:after="0" w:afterAutospacing="0"/>
        <w:rPr>
          <w:b/>
          <w:bCs/>
          <w:color w:val="000000"/>
          <w:sz w:val="20"/>
          <w:szCs w:val="20"/>
        </w:rPr>
      </w:pPr>
      <w:r>
        <w:rPr>
          <w:b/>
          <w:bCs/>
          <w:color w:val="000000"/>
          <w:sz w:val="20"/>
          <w:szCs w:val="20"/>
        </w:rPr>
        <w:t>Use of Estimates</w:t>
      </w:r>
    </w:p>
    <w:p w:rsidR="00000000" w:rsidRDefault="00406BD4">
      <w:pPr>
        <w:pStyle w:val="a3"/>
        <w:spacing w:before="120" w:beforeAutospacing="0" w:after="0" w:afterAutospacing="0"/>
        <w:ind w:firstLine="556"/>
        <w:rPr>
          <w:color w:val="000000"/>
          <w:sz w:val="20"/>
          <w:szCs w:val="20"/>
        </w:rPr>
      </w:pPr>
      <w:r>
        <w:rPr>
          <w:color w:val="000000"/>
          <w:sz w:val="20"/>
          <w:szCs w:val="20"/>
        </w:rPr>
        <w:t>The preparation of condensed consolidated financial statements in conformity with U.S. GAAP requires management to make certain estimates, judgments and assumptions that affect the reported amounts of assets and liabilities and disclosure of contingent ass</w:t>
      </w:r>
      <w:r>
        <w:rPr>
          <w:color w:val="000000"/>
          <w:sz w:val="20"/>
          <w:szCs w:val="20"/>
        </w:rPr>
        <w:t xml:space="preserve">ets and liabilities at the date of the financial statements, as well as the reported amounts of revenue and expenses during the reporting periods. These estimates, judgments and assumptions are based on historical data and experience available at the date </w:t>
      </w:r>
      <w:r>
        <w:rPr>
          <w:color w:val="000000"/>
          <w:sz w:val="20"/>
          <w:szCs w:val="20"/>
        </w:rPr>
        <w:t>of the accompanying condensed consolidated financial statements, as well as various other factors management believes to be reasonable under the circumstances, including but not limited to the potential impacts arising from the recent global pandemic relat</w:t>
      </w:r>
      <w:r>
        <w:rPr>
          <w:color w:val="000000"/>
          <w:sz w:val="20"/>
          <w:szCs w:val="20"/>
        </w:rPr>
        <w:t>ed to COVID-19. As the extent and duration of the impacts from COVID-19 remain unclear, the Company’s estimates and assumptions may evolve as conditions change. Actual results could differ significantly from these estimates.</w:t>
      </w:r>
    </w:p>
    <w:p w:rsidR="00000000" w:rsidRDefault="00406BD4">
      <w:pPr>
        <w:pStyle w:val="a3"/>
        <w:spacing w:before="240" w:beforeAutospacing="0" w:after="0" w:afterAutospacing="0"/>
        <w:ind w:firstLine="556"/>
        <w:rPr>
          <w:color w:val="000000"/>
          <w:sz w:val="20"/>
          <w:szCs w:val="20"/>
        </w:rPr>
      </w:pPr>
      <w:r>
        <w:rPr>
          <w:color w:val="000000"/>
          <w:sz w:val="20"/>
          <w:szCs w:val="20"/>
        </w:rPr>
        <w:t>On an on-going basis, managemen</w:t>
      </w:r>
      <w:r>
        <w:rPr>
          <w:color w:val="000000"/>
          <w:sz w:val="20"/>
          <w:szCs w:val="20"/>
        </w:rPr>
        <w:t>t evaluates its estimates, primarily those related to: (i) revenue recognition criteria, (ii) accounts receivable and allowances for doubtful accounts, (iii) the useful lives of fixed assets, (iv) estimates of tax liabilities and (v) valuation of equity me</w:t>
      </w:r>
      <w:r>
        <w:rPr>
          <w:color w:val="000000"/>
          <w:sz w:val="20"/>
          <w:szCs w:val="20"/>
        </w:rPr>
        <w:t>thod investments.</w:t>
      </w:r>
    </w:p>
    <w:p w:rsidR="00000000" w:rsidRDefault="00406BD4">
      <w:pPr>
        <w:pStyle w:val="a3"/>
        <w:spacing w:before="360" w:beforeAutospacing="0" w:after="0" w:afterAutospacing="0"/>
        <w:rPr>
          <w:b/>
          <w:bCs/>
          <w:sz w:val="20"/>
          <w:szCs w:val="20"/>
        </w:rPr>
      </w:pPr>
      <w:r>
        <w:rPr>
          <w:b/>
          <w:bCs/>
          <w:sz w:val="20"/>
          <w:szCs w:val="20"/>
        </w:rPr>
        <w:t>Foreign Currency Translation and Foreign Currency Transactions</w:t>
      </w:r>
    </w:p>
    <w:p w:rsidR="00000000" w:rsidRDefault="00406BD4">
      <w:pPr>
        <w:pStyle w:val="a3"/>
        <w:spacing w:before="120" w:beforeAutospacing="0" w:after="0" w:afterAutospacing="0"/>
        <w:ind w:firstLine="556"/>
        <w:rPr>
          <w:sz w:val="20"/>
          <w:szCs w:val="20"/>
        </w:rPr>
      </w:pPr>
      <w:r>
        <w:rPr>
          <w:sz w:val="20"/>
          <w:szCs w:val="20"/>
        </w:rPr>
        <w:t>The Company translates the assets and liabilities of its non-U.S. dollar functional currency subsidiaries into U.S. dollars using exchange rates in effect at the end of each p</w:t>
      </w:r>
      <w:r>
        <w:rPr>
          <w:sz w:val="20"/>
          <w:szCs w:val="20"/>
        </w:rPr>
        <w:t>eriod. Expenses for these subsidiaries are translated using rates that approximate those in effect during the period. Gains and losses from these translations are recognized in foreign currency translation included in accumulated other comprehensive income</w:t>
      </w:r>
      <w:r>
        <w:rPr>
          <w:sz w:val="20"/>
          <w:szCs w:val="20"/>
        </w:rPr>
        <w:t xml:space="preserve"> (loss) in the accompanying Condensed Consolidated Statements of Stockholders’ Equity. Gains and losses from these translations were not significant in the three and nine months ended September 30, 2020 and 2019. The Company and its subsidiaries that use t</w:t>
      </w:r>
      <w:r>
        <w:rPr>
          <w:sz w:val="20"/>
          <w:szCs w:val="20"/>
        </w:rPr>
        <w:t>he U.S. dollar as their functional currency remeasure monetary assets and liabilities at exchange rates in effect at the end of each period, and inventories, property and nonmonetary assets and liabilities at historical rates. Loss from these remeasurement</w:t>
      </w:r>
      <w:r>
        <w:rPr>
          <w:sz w:val="20"/>
          <w:szCs w:val="20"/>
        </w:rPr>
        <w:t>s were $3,000 and $62,000 in the three and nine months ended September 30, 2020. Gain and losses from these remeasurements were not significant</w:t>
      </w:r>
      <w:r>
        <w:rPr>
          <w:color w:val="000000"/>
          <w:sz w:val="20"/>
          <w:szCs w:val="20"/>
        </w:rPr>
        <w:t xml:space="preserve"> </w:t>
      </w:r>
      <w:r>
        <w:rPr>
          <w:sz w:val="20"/>
          <w:szCs w:val="20"/>
        </w:rPr>
        <w:t>in the three and nine months ended September 30, 2019.</w:t>
      </w:r>
    </w:p>
    <w:p w:rsidR="00000000" w:rsidRDefault="00406BD4">
      <w:pPr>
        <w:pStyle w:val="a3"/>
        <w:spacing w:before="360" w:beforeAutospacing="0" w:after="0" w:afterAutospacing="0"/>
        <w:rPr>
          <w:b/>
          <w:bCs/>
          <w:sz w:val="20"/>
          <w:szCs w:val="20"/>
        </w:rPr>
      </w:pPr>
      <w:r>
        <w:rPr>
          <w:b/>
          <w:bCs/>
          <w:sz w:val="20"/>
          <w:szCs w:val="20"/>
        </w:rPr>
        <w:t>Leases</w:t>
      </w:r>
    </w:p>
    <w:p w:rsidR="00000000" w:rsidRDefault="00406BD4">
      <w:pPr>
        <w:pStyle w:val="a3"/>
        <w:spacing w:before="120" w:beforeAutospacing="0" w:after="0" w:afterAutospacing="0"/>
        <w:ind w:firstLine="556"/>
        <w:rPr>
          <w:sz w:val="20"/>
          <w:szCs w:val="20"/>
        </w:rPr>
      </w:pPr>
      <w:r>
        <w:rPr>
          <w:sz w:val="20"/>
          <w:szCs w:val="20"/>
        </w:rPr>
        <w:t>The Company determines if an arrangement is a leas</w:t>
      </w:r>
      <w:r>
        <w:rPr>
          <w:sz w:val="20"/>
          <w:szCs w:val="20"/>
        </w:rPr>
        <w:t xml:space="preserve">e at inception. Operating leases are included as operating lease right-of-use, or ROU, assets, operating lease liabilities, short-term, and operating lease liabilities, long-term, on the Company’s Condensed Consolidated Balance Sheets. </w:t>
      </w:r>
    </w:p>
    <w:p w:rsidR="00000000" w:rsidRDefault="00406BD4">
      <w:pPr>
        <w:pStyle w:val="a3"/>
        <w:spacing w:before="240" w:beforeAutospacing="0" w:after="0" w:afterAutospacing="0"/>
        <w:ind w:firstLine="556"/>
        <w:rPr>
          <w:sz w:val="20"/>
          <w:szCs w:val="20"/>
        </w:rPr>
      </w:pPr>
      <w:r>
        <w:rPr>
          <w:sz w:val="20"/>
          <w:szCs w:val="20"/>
        </w:rPr>
        <w:t>Lease ROU assets re</w:t>
      </w:r>
      <w:r>
        <w:rPr>
          <w:sz w:val="20"/>
          <w:szCs w:val="20"/>
        </w:rPr>
        <w:t xml:space="preserve">present the Company’s right to use an underlying asset for the lease term and lease liabilities represent the Company’s obligation to make lease payments arising from the lease. Operating lease ROU assets and liabilities are recognized at the commencement </w:t>
      </w:r>
      <w:r>
        <w:rPr>
          <w:sz w:val="20"/>
          <w:szCs w:val="20"/>
        </w:rPr>
        <w:t xml:space="preserve">date based on the present value of lease payments over the lease term, including options to extend the lease when it is reasonably certain that the Company will exercise that option. The Company uses its incremental borrowing rate based on the information </w:t>
      </w:r>
      <w:r>
        <w:rPr>
          <w:sz w:val="20"/>
          <w:szCs w:val="20"/>
        </w:rPr>
        <w:t xml:space="preserve">available at the commencement date in determining the present value of lease payments since its leases do not provide an implicit rate. The lease ROU asset includes any base rent payments made and excludes lease incentives and variable operating expenses. </w:t>
      </w:r>
      <w:r>
        <w:rPr>
          <w:sz w:val="20"/>
          <w:szCs w:val="20"/>
        </w:rPr>
        <w:t>Lease expense for lease payments is recognized on a straight-line basis over the lease term.</w:t>
      </w:r>
    </w:p>
    <w:p w:rsidR="00000000" w:rsidRDefault="00406BD4">
      <w:pPr>
        <w:pStyle w:val="a3"/>
        <w:shd w:val="clear" w:color="auto" w:fill="FFFFFF"/>
        <w:spacing w:before="360" w:beforeAutospacing="0" w:after="0" w:afterAutospacing="0"/>
        <w:rPr>
          <w:b/>
          <w:bCs/>
          <w:color w:val="000000"/>
          <w:sz w:val="20"/>
          <w:szCs w:val="20"/>
        </w:rPr>
      </w:pPr>
      <w:r>
        <w:rPr>
          <w:b/>
          <w:bCs/>
          <w:color w:val="000000"/>
          <w:sz w:val="20"/>
          <w:szCs w:val="20"/>
        </w:rPr>
        <w:t>Concentration of Customers</w:t>
      </w:r>
    </w:p>
    <w:p w:rsidR="00000000" w:rsidRDefault="00406BD4">
      <w:pPr>
        <w:pStyle w:val="a3"/>
        <w:shd w:val="clear" w:color="auto" w:fill="FFFFFF"/>
        <w:spacing w:before="120" w:beforeAutospacing="0" w:after="0" w:afterAutospacing="0"/>
        <w:ind w:firstLine="556"/>
        <w:rPr>
          <w:sz w:val="20"/>
          <w:szCs w:val="20"/>
        </w:rPr>
      </w:pPr>
      <w:r>
        <w:rPr>
          <w:sz w:val="20"/>
          <w:szCs w:val="20"/>
        </w:rPr>
        <w:t>In certain periods, a small number of customers has accounted for a significant portion of the Company’s revenue. After aggregating cust</w:t>
      </w:r>
      <w:r>
        <w:rPr>
          <w:sz w:val="20"/>
          <w:szCs w:val="20"/>
        </w:rPr>
        <w:t>omers that are under common control or are affiliates, one customer contributed 37% and 35% of the Company’s revenue for the three and nine months ended September 30, 2020, respectively. One customer contributed 40% and 33% of the Company’s revenue for the</w:t>
      </w:r>
      <w:r>
        <w:rPr>
          <w:sz w:val="20"/>
          <w:szCs w:val="20"/>
        </w:rPr>
        <w:t xml:space="preserve"> three and nine months ended September 30, 2019, respectively. Two customers comprised 29% and 26%, respectively, of total accounts receivable as of September 30, 2020. No customer comprised 10% or more of total accounts receivable as of December</w:t>
      </w:r>
      <w:r>
        <w:rPr>
          <w:color w:val="000000"/>
          <w:sz w:val="20"/>
          <w:szCs w:val="20"/>
        </w:rPr>
        <w:t xml:space="preserve"> </w:t>
      </w:r>
      <w:r>
        <w:rPr>
          <w:color w:val="000000"/>
          <w:sz w:val="20"/>
          <w:szCs w:val="20"/>
        </w:rPr>
        <w:t xml:space="preserve">31, 2019. </w:t>
      </w:r>
      <w:r>
        <w:rPr>
          <w:sz w:val="20"/>
          <w:szCs w:val="20"/>
        </w:rPr>
        <w:t>Revenue from the U.S. government was less than 10% of total revenue for the three and nine months ended September 30, 2020 and 2019.</w:t>
      </w:r>
    </w:p>
    <w:p w:rsidR="00000000" w:rsidRDefault="00406BD4">
      <w:pPr>
        <w:pStyle w:val="a3"/>
        <w:spacing w:before="240" w:beforeAutospacing="0" w:after="0" w:afterAutospacing="0"/>
        <w:jc w:val="center"/>
        <w:rPr>
          <w:sz w:val="20"/>
          <w:szCs w:val="20"/>
        </w:rPr>
      </w:pPr>
      <w:r>
        <w:rPr>
          <w:sz w:val="20"/>
          <w:szCs w:val="20"/>
        </w:rPr>
        <w:t>8</w:t>
      </w:r>
    </w:p>
    <w:p w:rsidR="00000000" w:rsidRDefault="00406BD4">
      <w:pPr>
        <w:rPr>
          <w:rFonts w:eastAsia="Times New Roman"/>
        </w:rPr>
      </w:pPr>
      <w:r>
        <w:rPr>
          <w:rFonts w:eastAsia="Times New Roman"/>
        </w:rPr>
        <w:pict>
          <v:rect id="_x0000_i1034"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360" w:beforeAutospacing="0" w:after="0" w:afterAutospacing="0"/>
        <w:rPr>
          <w:b/>
          <w:bCs/>
          <w:color w:val="000000"/>
          <w:sz w:val="20"/>
          <w:szCs w:val="20"/>
        </w:rPr>
      </w:pPr>
      <w:r>
        <w:rPr>
          <w:b/>
          <w:bCs/>
          <w:color w:val="000000"/>
          <w:sz w:val="20"/>
          <w:szCs w:val="20"/>
        </w:rPr>
        <w:t>Revenue from Contracts with Customers</w:t>
      </w:r>
    </w:p>
    <w:p w:rsidR="00000000" w:rsidRDefault="00406BD4">
      <w:pPr>
        <w:pStyle w:val="a3"/>
        <w:spacing w:before="120" w:beforeAutospacing="0" w:after="0" w:afterAutospacing="0"/>
        <w:rPr>
          <w:b/>
          <w:bCs/>
          <w:i/>
          <w:iCs/>
          <w:color w:val="000000"/>
          <w:sz w:val="20"/>
          <w:szCs w:val="20"/>
        </w:rPr>
      </w:pPr>
      <w:r>
        <w:rPr>
          <w:b/>
          <w:bCs/>
          <w:i/>
          <w:iCs/>
          <w:color w:val="000000"/>
          <w:sz w:val="20"/>
          <w:szCs w:val="20"/>
        </w:rPr>
        <w:t>Disaggregation of Revenue</w:t>
      </w:r>
    </w:p>
    <w:p w:rsidR="00000000" w:rsidRDefault="00406BD4">
      <w:pPr>
        <w:pStyle w:val="a3"/>
        <w:spacing w:before="120" w:beforeAutospacing="0" w:after="0" w:afterAutospacing="0"/>
        <w:ind w:firstLine="556"/>
        <w:rPr>
          <w:color w:val="000000"/>
          <w:sz w:val="20"/>
          <w:szCs w:val="20"/>
        </w:rPr>
      </w:pPr>
      <w:r>
        <w:rPr>
          <w:color w:val="000000"/>
          <w:sz w:val="20"/>
          <w:szCs w:val="20"/>
        </w:rPr>
        <w:t>The Company classifies its customers into three payor types, Institutional, including hospitals, medical institutions, o</w:t>
      </w:r>
      <w:r>
        <w:rPr>
          <w:color w:val="000000"/>
          <w:sz w:val="20"/>
          <w:szCs w:val="20"/>
        </w:rPr>
        <w:t>ther laboratories, governmental bodies, municipalities and large corporations, Patients who pay directly or Insurance, as the Company believes this best depicts how the nature, amount, timing, and uncertainty of its revenue and cash flows are affected by e</w:t>
      </w:r>
      <w:r>
        <w:rPr>
          <w:color w:val="000000"/>
          <w:sz w:val="20"/>
          <w:szCs w:val="20"/>
        </w:rPr>
        <w:t>conomic factors. The following table summarizes revenue from contracts with customers by payor type for the three and nine months ended September 30, 2020 and 2019.</w:t>
      </w:r>
    </w:p>
    <w:p w:rsidR="00000000" w:rsidRDefault="00406BD4">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6"/>
        <w:gridCol w:w="115"/>
        <w:gridCol w:w="921"/>
        <w:gridCol w:w="72"/>
        <w:gridCol w:w="109"/>
        <w:gridCol w:w="115"/>
        <w:gridCol w:w="923"/>
        <w:gridCol w:w="72"/>
        <w:gridCol w:w="109"/>
        <w:gridCol w:w="115"/>
        <w:gridCol w:w="921"/>
        <w:gridCol w:w="73"/>
        <w:gridCol w:w="110"/>
        <w:gridCol w:w="115"/>
        <w:gridCol w:w="927"/>
        <w:gridCol w:w="73"/>
      </w:tblGrid>
      <w:tr w:rsidR="00000000">
        <w:trPr>
          <w:divId w:val="2081246685"/>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sz w:val="20"/>
                <w:szCs w:val="20"/>
              </w:rPr>
            </w:pPr>
            <w:r>
              <w:rPr>
                <w:sz w:val="20"/>
                <w:szCs w:val="20"/>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2081246685"/>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2081246685"/>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2081246685"/>
          <w:jc w:val="center"/>
        </w:trPr>
        <w:tc>
          <w:tcPr>
            <w:tcW w:w="213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Testing Services by payor</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r>
      <w:tr w:rsidR="00000000">
        <w:trPr>
          <w:divId w:val="2081246685"/>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ind w:left="274"/>
              <w:rPr>
                <w:color w:val="000000"/>
                <w:sz w:val="20"/>
                <w:szCs w:val="20"/>
              </w:rPr>
            </w:pPr>
            <w:r>
              <w:rPr>
                <w:color w:val="000000"/>
                <w:sz w:val="20"/>
                <w:szCs w:val="20"/>
              </w:rPr>
              <w:t>Institutional</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34,527</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10,031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58,459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23,310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2081246685"/>
          <w:jc w:val="center"/>
        </w:trPr>
        <w:tc>
          <w:tcPr>
            <w:tcW w:w="213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ind w:left="274"/>
              <w:rPr>
                <w:color w:val="000000"/>
                <w:sz w:val="20"/>
                <w:szCs w:val="20"/>
              </w:rPr>
            </w:pPr>
            <w:r>
              <w:rPr>
                <w:color w:val="000000"/>
                <w:sz w:val="20"/>
                <w:szCs w:val="20"/>
              </w:rPr>
              <w:t>Patient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1,078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128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1,339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373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2081246685"/>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ind w:left="274"/>
              <w:rPr>
                <w:color w:val="000000"/>
                <w:sz w:val="20"/>
                <w:szCs w:val="20"/>
              </w:rPr>
            </w:pPr>
            <w:r>
              <w:rPr>
                <w:color w:val="000000"/>
                <w:sz w:val="20"/>
                <w:szCs w:val="20"/>
              </w:rPr>
              <w:t>Insurance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66,111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188</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66,936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458</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2081246685"/>
          <w:jc w:val="center"/>
        </w:trPr>
        <w:tc>
          <w:tcPr>
            <w:tcW w:w="213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Total Revenue</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101,716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10,347</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126,734</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24,141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
                <w:szCs w:val="2"/>
              </w:rPr>
            </w:pPr>
            <w:r>
              <w:rPr>
                <w:color w:val="000000"/>
                <w:sz w:val="2"/>
                <w:szCs w:val="2"/>
              </w:rPr>
              <w:t> </w:t>
            </w:r>
          </w:p>
        </w:tc>
      </w:tr>
    </w:tbl>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160" w:beforeAutospacing="0" w:after="0" w:afterAutospacing="0"/>
        <w:rPr>
          <w:b/>
          <w:bCs/>
          <w:i/>
          <w:iCs/>
          <w:color w:val="000000"/>
          <w:sz w:val="20"/>
          <w:szCs w:val="20"/>
        </w:rPr>
      </w:pPr>
      <w:r>
        <w:rPr>
          <w:b/>
          <w:bCs/>
          <w:i/>
          <w:iCs/>
          <w:color w:val="000000"/>
          <w:sz w:val="20"/>
          <w:szCs w:val="20"/>
        </w:rPr>
        <w:t>Contract Balances</w:t>
      </w:r>
    </w:p>
    <w:p w:rsidR="00000000" w:rsidRDefault="00406BD4">
      <w:pPr>
        <w:pStyle w:val="a3"/>
        <w:spacing w:before="120" w:beforeAutospacing="0" w:after="0" w:afterAutospacing="0"/>
        <w:ind w:firstLine="556"/>
        <w:rPr>
          <w:i/>
          <w:iCs/>
          <w:color w:val="000000"/>
          <w:sz w:val="20"/>
          <w:szCs w:val="20"/>
        </w:rPr>
      </w:pPr>
      <w:r>
        <w:rPr>
          <w:i/>
          <w:iCs/>
          <w:color w:val="000000"/>
          <w:sz w:val="20"/>
          <w:szCs w:val="20"/>
        </w:rPr>
        <w:t>Receivables from contracts with customers</w:t>
      </w:r>
      <w:r>
        <w:rPr>
          <w:color w:val="000000"/>
          <w:sz w:val="20"/>
          <w:szCs w:val="20"/>
        </w:rPr>
        <w:t>—As of September 30, 2020 and December 31, 2019, receivables from contracts with customers were approximately $90.7 million and $6.6 million, respectively, and are included within trade accounts receivable on the Co</w:t>
      </w:r>
      <w:r>
        <w:rPr>
          <w:color w:val="000000"/>
          <w:sz w:val="20"/>
          <w:szCs w:val="20"/>
        </w:rPr>
        <w:t>ndensed Consolidated Balance Sheets.</w:t>
      </w:r>
    </w:p>
    <w:p w:rsidR="00000000" w:rsidRDefault="00406BD4">
      <w:pPr>
        <w:pStyle w:val="a3"/>
        <w:spacing w:before="240" w:beforeAutospacing="0" w:after="0" w:afterAutospacing="0"/>
        <w:ind w:firstLine="556"/>
        <w:rPr>
          <w:i/>
          <w:iCs/>
          <w:color w:val="000000"/>
          <w:sz w:val="20"/>
          <w:szCs w:val="20"/>
        </w:rPr>
      </w:pPr>
      <w:r>
        <w:rPr>
          <w:i/>
          <w:iCs/>
          <w:color w:val="000000"/>
          <w:sz w:val="20"/>
          <w:szCs w:val="20"/>
        </w:rPr>
        <w:t>Contracts assets and liabilities</w:t>
      </w:r>
      <w:r>
        <w:rPr>
          <w:color w:val="000000"/>
          <w:sz w:val="20"/>
          <w:szCs w:val="20"/>
        </w:rPr>
        <w:t xml:space="preserve"> —As of September 30, 2020 and December 31, 2019, contract assets from contracts with customers were $1.5 million and $150,000, respectively, associated with contract execution and certai</w:t>
      </w:r>
      <w:r>
        <w:rPr>
          <w:color w:val="000000"/>
          <w:sz w:val="20"/>
          <w:szCs w:val="20"/>
        </w:rPr>
        <w:t>n costs to fulfill a contract, and included in other current assets in the accompanying Condensed Consolidated Balance Sheets. Contract liabilities are recorded when the Company receives payment or bills prior to completing its obligation to transfer goods</w:t>
      </w:r>
      <w:r>
        <w:rPr>
          <w:color w:val="000000"/>
          <w:sz w:val="20"/>
          <w:szCs w:val="20"/>
        </w:rPr>
        <w:t xml:space="preserve"> or services to a customer. The Company had $18.5 million and $365,000 of contract liabilities as of September 30, 2020 and December 31, 2019, respectively. Revenues of $252,000 and $48,000 for the three months and $254,000 and $37,000 for the nine months </w:t>
      </w:r>
      <w:r>
        <w:rPr>
          <w:color w:val="000000"/>
          <w:sz w:val="20"/>
          <w:szCs w:val="20"/>
        </w:rPr>
        <w:t>were recognized for the periods ended September 30, 2020 and 2019, respectively, related to contract liabilities at the beginning of the respective periods were recognized.</w:t>
      </w:r>
    </w:p>
    <w:p w:rsidR="00000000" w:rsidRDefault="00406BD4">
      <w:pPr>
        <w:pStyle w:val="a3"/>
        <w:spacing w:before="360" w:beforeAutospacing="0" w:after="0" w:afterAutospacing="0"/>
        <w:rPr>
          <w:b/>
          <w:bCs/>
          <w:i/>
          <w:iCs/>
          <w:color w:val="000000"/>
          <w:sz w:val="20"/>
          <w:szCs w:val="20"/>
        </w:rPr>
      </w:pPr>
      <w:r>
        <w:rPr>
          <w:b/>
          <w:bCs/>
          <w:i/>
          <w:iCs/>
          <w:color w:val="000000"/>
          <w:sz w:val="20"/>
          <w:szCs w:val="20"/>
        </w:rPr>
        <w:t>Transaction Price Allocated to Future Performance Obligations</w:t>
      </w:r>
    </w:p>
    <w:p w:rsidR="00000000" w:rsidRDefault="00406BD4">
      <w:pPr>
        <w:pStyle w:val="a3"/>
        <w:spacing w:before="120" w:beforeAutospacing="0" w:after="0" w:afterAutospacing="0"/>
        <w:ind w:firstLine="556"/>
        <w:rPr>
          <w:color w:val="000000"/>
          <w:sz w:val="20"/>
          <w:szCs w:val="20"/>
        </w:rPr>
      </w:pPr>
      <w:r>
        <w:rPr>
          <w:color w:val="000000"/>
          <w:sz w:val="20"/>
          <w:szCs w:val="20"/>
        </w:rPr>
        <w:t xml:space="preserve">The Company does not </w:t>
      </w:r>
      <w:r>
        <w:rPr>
          <w:color w:val="000000"/>
          <w:sz w:val="20"/>
          <w:szCs w:val="20"/>
        </w:rPr>
        <w:t>have material future obligations associated with testing services that extend beyond one year.</w:t>
      </w:r>
    </w:p>
    <w:p w:rsidR="00000000" w:rsidRDefault="00406BD4">
      <w:pPr>
        <w:pStyle w:val="a3"/>
        <w:spacing w:before="360" w:beforeAutospacing="0" w:after="0" w:afterAutospacing="0"/>
        <w:rPr>
          <w:b/>
          <w:bCs/>
          <w:sz w:val="20"/>
          <w:szCs w:val="20"/>
        </w:rPr>
      </w:pPr>
      <w:bookmarkStart w:id="12" w:name="_Hlk497198842"/>
      <w:bookmarkEnd w:id="12"/>
      <w:r>
        <w:rPr>
          <w:b/>
          <w:bCs/>
          <w:sz w:val="20"/>
          <w:szCs w:val="20"/>
        </w:rPr>
        <w:t>Recent Accounting Pronouncements</w:t>
      </w:r>
    </w:p>
    <w:p w:rsidR="00000000" w:rsidRDefault="00406BD4">
      <w:pPr>
        <w:pStyle w:val="a3"/>
        <w:spacing w:before="120" w:beforeAutospacing="0" w:after="0" w:afterAutospacing="0"/>
        <w:ind w:firstLine="556"/>
        <w:rPr>
          <w:color w:val="000000"/>
          <w:sz w:val="20"/>
          <w:szCs w:val="20"/>
        </w:rPr>
      </w:pPr>
      <w:r>
        <w:rPr>
          <w:color w:val="000000"/>
          <w:sz w:val="20"/>
          <w:szCs w:val="20"/>
        </w:rPr>
        <w:t>The Company evaluates all Accounting Standards Updates, or ASUs, issued by the Financial Accounting Standards Board, or FASB, fo</w:t>
      </w:r>
      <w:r>
        <w:rPr>
          <w:color w:val="000000"/>
          <w:sz w:val="20"/>
          <w:szCs w:val="20"/>
        </w:rPr>
        <w:t>r consideration of their applicability. ASUs not included in the Company’s disclosures were assessed and determined to be either not applicable or are not expected to have a material impact on the Company’s condensed consolidated financial statements.</w:t>
      </w:r>
    </w:p>
    <w:p w:rsidR="00000000" w:rsidRDefault="00406BD4">
      <w:pPr>
        <w:pStyle w:val="a3"/>
        <w:spacing w:before="360" w:beforeAutospacing="0" w:after="0" w:afterAutospacing="0"/>
        <w:rPr>
          <w:i/>
          <w:iCs/>
          <w:color w:val="000000"/>
          <w:sz w:val="20"/>
          <w:szCs w:val="20"/>
        </w:rPr>
      </w:pPr>
      <w:r>
        <w:rPr>
          <w:i/>
          <w:iCs/>
          <w:color w:val="000000"/>
          <w:sz w:val="20"/>
          <w:szCs w:val="20"/>
        </w:rPr>
        <w:t xml:space="preserve">ASU </w:t>
      </w:r>
      <w:r>
        <w:rPr>
          <w:i/>
          <w:iCs/>
          <w:color w:val="000000"/>
          <w:sz w:val="20"/>
          <w:szCs w:val="20"/>
        </w:rPr>
        <w:t>No. 2016-13</w:t>
      </w:r>
    </w:p>
    <w:p w:rsidR="00000000" w:rsidRDefault="00406BD4">
      <w:pPr>
        <w:pStyle w:val="a3"/>
        <w:spacing w:before="120" w:beforeAutospacing="0" w:after="0" w:afterAutospacing="0"/>
        <w:ind w:firstLine="556"/>
        <w:rPr>
          <w:color w:val="000000"/>
          <w:sz w:val="20"/>
          <w:szCs w:val="20"/>
        </w:rPr>
      </w:pPr>
      <w:r>
        <w:rPr>
          <w:color w:val="000000"/>
          <w:sz w:val="20"/>
          <w:szCs w:val="20"/>
        </w:rPr>
        <w:t xml:space="preserve">In June 2016, the FASB issued </w:t>
      </w:r>
      <w:r>
        <w:rPr>
          <w:i/>
          <w:iCs/>
          <w:color w:val="000000"/>
          <w:sz w:val="20"/>
          <w:szCs w:val="20"/>
        </w:rPr>
        <w:t>ASU No. 2016-13, Financial Instruments-Credit Losses: Measurement of Credit Losses on Financial Instruments</w:t>
      </w:r>
      <w:r>
        <w:rPr>
          <w:color w:val="000000"/>
          <w:sz w:val="20"/>
          <w:szCs w:val="20"/>
        </w:rPr>
        <w:t>. ASU No. 2016-13 replaces the incurred loss impairment methodology in current U.S. GAAP with a methodology</w:t>
      </w:r>
      <w:r>
        <w:rPr>
          <w:color w:val="000000"/>
          <w:sz w:val="20"/>
          <w:szCs w:val="20"/>
        </w:rPr>
        <w:t xml:space="preserve"> that reflects expected credit losses. The update is intended to provide financial statement users with more decision-useful information about the expected credit losses on financial instruments and other commitments to extend credit held by a reporting en</w:t>
      </w:r>
      <w:r>
        <w:rPr>
          <w:color w:val="000000"/>
          <w:sz w:val="20"/>
          <w:szCs w:val="20"/>
        </w:rPr>
        <w:t>tity at each reporting date. Entities will apply the standard’s provisions as a cumulative-effect adjustment to retained earnings as of the beginning of the first reporting period in which the guidance is effective. The standard will be effective for annua</w:t>
      </w:r>
      <w:r>
        <w:rPr>
          <w:color w:val="000000"/>
          <w:sz w:val="20"/>
          <w:szCs w:val="20"/>
        </w:rPr>
        <w:t xml:space="preserve">l reporting periods beginning after December 15, 2019, including interim periods within those reporting periods for public business entities that meet the definition of an SEC filer, excluding entities eligible to be smaller reporting companies as defined </w:t>
      </w:r>
      <w:r>
        <w:rPr>
          <w:color w:val="000000"/>
          <w:sz w:val="20"/>
          <w:szCs w:val="20"/>
        </w:rPr>
        <w:t xml:space="preserve">by the SEC. For all other entities, the amendments in this update are effective for fiscal years beginning after December 15, 2022, including interim periods within those fiscal years. Early application of the amendments is permitted. The Company does not </w:t>
      </w:r>
      <w:r>
        <w:rPr>
          <w:color w:val="000000"/>
          <w:sz w:val="20"/>
          <w:szCs w:val="20"/>
        </w:rPr>
        <w:t xml:space="preserve">expect the adoption of the new guidance under the standard to materially affect its financial position or results of operations and plans to adopt during the fiscal year 2023. </w:t>
      </w:r>
    </w:p>
    <w:p w:rsidR="00000000" w:rsidRDefault="00406BD4">
      <w:pPr>
        <w:pStyle w:val="a3"/>
        <w:spacing w:before="240" w:beforeAutospacing="0" w:after="0" w:afterAutospacing="0"/>
        <w:jc w:val="center"/>
        <w:rPr>
          <w:sz w:val="20"/>
          <w:szCs w:val="20"/>
        </w:rPr>
      </w:pPr>
      <w:r>
        <w:rPr>
          <w:sz w:val="20"/>
          <w:szCs w:val="20"/>
        </w:rPr>
        <w:t>9</w:t>
      </w:r>
    </w:p>
    <w:p w:rsidR="00000000" w:rsidRDefault="00406BD4">
      <w:pPr>
        <w:rPr>
          <w:rFonts w:eastAsia="Times New Roman"/>
        </w:rPr>
      </w:pPr>
      <w:r>
        <w:rPr>
          <w:rFonts w:eastAsia="Times New Roman"/>
        </w:rPr>
        <w:pict>
          <v:rect id="_x0000_i1035"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360" w:beforeAutospacing="0" w:after="0" w:afterAutospacing="0"/>
        <w:rPr>
          <w:i/>
          <w:iCs/>
          <w:color w:val="000000"/>
          <w:sz w:val="20"/>
          <w:szCs w:val="20"/>
        </w:rPr>
      </w:pPr>
      <w:r>
        <w:rPr>
          <w:i/>
          <w:iCs/>
          <w:color w:val="000000"/>
          <w:sz w:val="20"/>
          <w:szCs w:val="20"/>
        </w:rPr>
        <w:t>ASU No. 2018-15</w:t>
      </w:r>
    </w:p>
    <w:p w:rsidR="00000000" w:rsidRDefault="00406BD4">
      <w:pPr>
        <w:pStyle w:val="a3"/>
        <w:spacing w:before="120" w:beforeAutospacing="0" w:after="0" w:afterAutospacing="0"/>
        <w:ind w:firstLine="556"/>
        <w:rPr>
          <w:color w:val="000000"/>
          <w:sz w:val="20"/>
          <w:szCs w:val="20"/>
        </w:rPr>
      </w:pPr>
      <w:r>
        <w:rPr>
          <w:color w:val="000000"/>
          <w:sz w:val="20"/>
          <w:szCs w:val="20"/>
        </w:rPr>
        <w:t xml:space="preserve">In August 2018, the FASB issued </w:t>
      </w:r>
      <w:r>
        <w:rPr>
          <w:i/>
          <w:iCs/>
          <w:color w:val="000000"/>
          <w:sz w:val="20"/>
          <w:szCs w:val="20"/>
        </w:rPr>
        <w:t>ASU No. 2018-15, Intangibles-Goodwill and Other-Internal-Use Software (Subtopic 350-40): Customer’s Accounting for Implementation Costs Incurred in a Cloud Computing Arrangement That Is a Service Contract</w:t>
      </w:r>
      <w:r>
        <w:rPr>
          <w:color w:val="000000"/>
          <w:sz w:val="20"/>
          <w:szCs w:val="20"/>
        </w:rPr>
        <w:t xml:space="preserve">, which provides new guidance on the accounting for </w:t>
      </w:r>
      <w:r>
        <w:rPr>
          <w:color w:val="000000"/>
          <w:sz w:val="20"/>
          <w:szCs w:val="20"/>
        </w:rPr>
        <w:t>implementation, set-up, and other upfront costs incurred in a hosted cloud computing arrangement. Under the new guidance, entities will apply the same criteria for capitalizing implementation costs as they would for an internal-use software license arrange</w:t>
      </w:r>
      <w:r>
        <w:rPr>
          <w:color w:val="000000"/>
          <w:sz w:val="20"/>
          <w:szCs w:val="20"/>
        </w:rPr>
        <w:t>ment. This guidance is effective for fiscal years, and interim periods within those fiscal years, beginning after December 15, 2019. This ASU can be adopted prospectively to eligible costs incurred on or after the date of adoption or retrospectively. The a</w:t>
      </w:r>
      <w:r>
        <w:rPr>
          <w:color w:val="000000"/>
          <w:sz w:val="20"/>
          <w:szCs w:val="20"/>
        </w:rPr>
        <w:t>doption of this update did not have a material impact on the Company’s condensed consolidated financial statements or disclosures.</w:t>
      </w:r>
    </w:p>
    <w:p w:rsidR="00000000" w:rsidRDefault="00406BD4">
      <w:pPr>
        <w:pStyle w:val="a3"/>
        <w:spacing w:before="360" w:beforeAutospacing="0" w:after="0" w:afterAutospacing="0"/>
        <w:rPr>
          <w:i/>
          <w:iCs/>
          <w:color w:val="000000"/>
          <w:sz w:val="20"/>
          <w:szCs w:val="20"/>
        </w:rPr>
      </w:pPr>
      <w:r>
        <w:rPr>
          <w:i/>
          <w:iCs/>
          <w:color w:val="000000"/>
          <w:sz w:val="20"/>
          <w:szCs w:val="20"/>
        </w:rPr>
        <w:t>ASU No. 2019-12</w:t>
      </w:r>
    </w:p>
    <w:p w:rsidR="00000000" w:rsidRDefault="00406BD4">
      <w:pPr>
        <w:pStyle w:val="a3"/>
        <w:spacing w:before="120" w:beforeAutospacing="0" w:after="0" w:afterAutospacing="0"/>
        <w:ind w:firstLine="556"/>
        <w:rPr>
          <w:color w:val="000000"/>
          <w:sz w:val="20"/>
          <w:szCs w:val="20"/>
        </w:rPr>
      </w:pPr>
      <w:r>
        <w:rPr>
          <w:color w:val="000000"/>
          <w:sz w:val="20"/>
          <w:szCs w:val="20"/>
        </w:rPr>
        <w:t xml:space="preserve">In December 2019, the FASB issued </w:t>
      </w:r>
      <w:r>
        <w:rPr>
          <w:i/>
          <w:iCs/>
          <w:color w:val="000000"/>
          <w:sz w:val="20"/>
          <w:szCs w:val="20"/>
        </w:rPr>
        <w:t>ASU No. 2019-12, Simplifying the Accounting for Income Taxes (Topic 740)</w:t>
      </w:r>
      <w:r>
        <w:rPr>
          <w:color w:val="000000"/>
          <w:sz w:val="20"/>
          <w:szCs w:val="20"/>
        </w:rPr>
        <w:t>, w</w:t>
      </w:r>
      <w:r>
        <w:rPr>
          <w:color w:val="000000"/>
          <w:sz w:val="20"/>
          <w:szCs w:val="20"/>
        </w:rPr>
        <w:t>hich is intended to reduce the complexity of accounting standards while maintaining or enhancing the helpfulness of information provided to financial statement users.  The amendment in this ASU simplifies the accounting for income taxes by removing some ex</w:t>
      </w:r>
      <w:r>
        <w:rPr>
          <w:color w:val="000000"/>
          <w:sz w:val="20"/>
          <w:szCs w:val="20"/>
        </w:rPr>
        <w:t>ceptions including the incremental approach for intraperiod tax allocation, the requirement to recognize a deferred tax liability for equity method investments, the ability not to recognize a deferred tax liability for a foreign subsidiary, and the general</w:t>
      </w:r>
      <w:r>
        <w:rPr>
          <w:color w:val="000000"/>
          <w:sz w:val="20"/>
          <w:szCs w:val="20"/>
        </w:rPr>
        <w:t xml:space="preserve"> methodology for calculating income taxes in an interim period. Other changes include requiring entities to recognize franchise tax that is partially based on income as an income-based tax and account for any incremental amount incurred as a non-income-bas</w:t>
      </w:r>
      <w:r>
        <w:rPr>
          <w:color w:val="000000"/>
          <w:sz w:val="20"/>
          <w:szCs w:val="20"/>
        </w:rPr>
        <w:t>ed tax, evaluate tax basis step-up in goodwill obtained in a transaction that is not a business combination, and reflect the effect of an enacted change in tax laws or rates in the annual effective tax rate computation in the interim period that includes t</w:t>
      </w:r>
      <w:r>
        <w:rPr>
          <w:color w:val="000000"/>
          <w:sz w:val="20"/>
          <w:szCs w:val="20"/>
        </w:rPr>
        <w:t>he enactment date, making minor codification improvements for income taxes related to employee stock ownership plans and investments in qualified affordable housing projects accounted for using the equity method, and specifying that an entity is not requir</w:t>
      </w:r>
      <w:r>
        <w:rPr>
          <w:color w:val="000000"/>
          <w:sz w:val="20"/>
          <w:szCs w:val="20"/>
        </w:rPr>
        <w:t>ed to allocate the consolidated current and deferred tax expense to a legal entity that is not subject to tax in its separate financial statements. For public business entities, this amendment is effective for fiscal years, and interim periods within those</w:t>
      </w:r>
      <w:r>
        <w:rPr>
          <w:color w:val="000000"/>
          <w:sz w:val="20"/>
          <w:szCs w:val="20"/>
        </w:rPr>
        <w:t xml:space="preserve"> fiscal years, beginning after December 15, 2020 with early adoption permitted. The Company has decided not to early adopt the amendments. The Company is currently evaluating the amendment and has not yet determined the impact on its condensed consolidated</w:t>
      </w:r>
      <w:r>
        <w:rPr>
          <w:color w:val="000000"/>
          <w:sz w:val="20"/>
          <w:szCs w:val="20"/>
        </w:rPr>
        <w:t xml:space="preserve"> financial statements.</w:t>
      </w:r>
    </w:p>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180" w:beforeAutospacing="0" w:after="0" w:afterAutospacing="0"/>
        <w:rPr>
          <w:b/>
          <w:bCs/>
          <w:sz w:val="20"/>
          <w:szCs w:val="20"/>
        </w:rPr>
      </w:pPr>
      <w:r>
        <w:rPr>
          <w:b/>
          <w:bCs/>
          <w:sz w:val="20"/>
          <w:szCs w:val="20"/>
        </w:rPr>
        <w:t>Note 3. Marketable Securities</w:t>
      </w:r>
    </w:p>
    <w:p w:rsidR="00000000" w:rsidRDefault="00406BD4">
      <w:pPr>
        <w:pStyle w:val="a3"/>
        <w:spacing w:before="240" w:beforeAutospacing="0" w:after="0" w:afterAutospacing="0"/>
        <w:ind w:firstLine="556"/>
        <w:rPr>
          <w:sz w:val="20"/>
          <w:szCs w:val="20"/>
        </w:rPr>
      </w:pPr>
      <w:r>
        <w:rPr>
          <w:sz w:val="20"/>
          <w:szCs w:val="20"/>
        </w:rPr>
        <w:t>The Company’s marketable securities consisted of the following:</w:t>
      </w:r>
    </w:p>
    <w:p w:rsidR="00000000" w:rsidRDefault="00406BD4">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5"/>
        <w:gridCol w:w="115"/>
        <w:gridCol w:w="920"/>
        <w:gridCol w:w="82"/>
        <w:gridCol w:w="98"/>
        <w:gridCol w:w="116"/>
        <w:gridCol w:w="920"/>
        <w:gridCol w:w="71"/>
        <w:gridCol w:w="108"/>
        <w:gridCol w:w="116"/>
        <w:gridCol w:w="920"/>
        <w:gridCol w:w="71"/>
        <w:gridCol w:w="108"/>
        <w:gridCol w:w="115"/>
        <w:gridCol w:w="929"/>
        <w:gridCol w:w="82"/>
      </w:tblGrid>
      <w:tr w:rsidR="00000000">
        <w:trPr>
          <w:divId w:val="1865946546"/>
          <w:jc w:val="center"/>
        </w:trPr>
        <w:tc>
          <w:tcPr>
            <w:tcW w:w="2135" w:type="pct"/>
            <w:shd w:val="clear" w:color="auto" w:fill="FFFFFF"/>
            <w:tcMar>
              <w:top w:w="15" w:type="dxa"/>
              <w:left w:w="0" w:type="dxa"/>
              <w:bottom w:w="0" w:type="dxa"/>
              <w:right w:w="15" w:type="dxa"/>
            </w:tcMar>
            <w:vAlign w:val="center"/>
            <w:hideMark/>
          </w:tcPr>
          <w:p w:rsidR="00000000" w:rsidRDefault="00406BD4">
            <w:pPr>
              <w:pStyle w:val="a3"/>
              <w:spacing w:before="0" w:beforeAutospacing="0" w:after="0" w:afterAutospacing="0"/>
              <w:rPr>
                <w:sz w:val="16"/>
                <w:szCs w:val="16"/>
              </w:rPr>
            </w:pPr>
            <w:r>
              <w:rPr>
                <w:sz w:val="16"/>
                <w:szCs w:val="16"/>
              </w:rPr>
              <w:t> </w:t>
            </w:r>
          </w:p>
        </w:tc>
        <w:tc>
          <w:tcPr>
            <w:tcW w:w="2814" w:type="pct"/>
            <w:gridSpan w:val="14"/>
            <w:tcBorders>
              <w:bottom w:val="single" w:sz="6" w:space="0" w:color="000000"/>
            </w:tcBorders>
            <w:shd w:val="clear" w:color="auto" w:fill="FFFFFF"/>
            <w:tcMar>
              <w:top w:w="15" w:type="dxa"/>
              <w:left w:w="0" w:type="dxa"/>
              <w:bottom w:w="0" w:type="dxa"/>
              <w:right w:w="15" w:type="dxa"/>
            </w:tcMar>
            <w:vAlign w:val="center"/>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September 30, 2020</w:t>
            </w:r>
          </w:p>
        </w:tc>
        <w:tc>
          <w:tcPr>
            <w:tcW w:w="50" w:type="pct"/>
            <w:shd w:val="clear" w:color="auto" w:fill="FFFFFF"/>
            <w:noWrap/>
            <w:tcMar>
              <w:top w:w="15" w:type="dxa"/>
              <w:left w:w="0" w:type="dxa"/>
              <w:bottom w:w="0" w:type="dxa"/>
              <w:right w:w="15" w:type="dxa"/>
            </w:tcMar>
            <w:vAlign w:val="center"/>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865946546"/>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Amortized</w:t>
            </w:r>
          </w:p>
          <w:p w:rsidR="00000000" w:rsidRDefault="00406BD4">
            <w:pPr>
              <w:pStyle w:val="a3"/>
              <w:spacing w:before="0" w:beforeAutospacing="0" w:after="0" w:afterAutospacing="0"/>
              <w:jc w:val="center"/>
              <w:rPr>
                <w:b/>
                <w:bCs/>
                <w:color w:val="000000"/>
                <w:sz w:val="16"/>
                <w:szCs w:val="16"/>
              </w:rPr>
            </w:pPr>
            <w:r>
              <w:rPr>
                <w:b/>
                <w:bCs/>
                <w:color w:val="000000"/>
                <w:sz w:val="16"/>
                <w:szCs w:val="16"/>
              </w:rPr>
              <w:t>Cost Basis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Unrealized</w:t>
            </w:r>
          </w:p>
          <w:p w:rsidR="00000000" w:rsidRDefault="00406BD4">
            <w:pPr>
              <w:pStyle w:val="a3"/>
              <w:spacing w:before="0" w:beforeAutospacing="0" w:after="0" w:afterAutospacing="0"/>
              <w:jc w:val="center"/>
              <w:rPr>
                <w:b/>
                <w:bCs/>
                <w:color w:val="000000"/>
                <w:sz w:val="16"/>
                <w:szCs w:val="16"/>
              </w:rPr>
            </w:pPr>
            <w:r>
              <w:rPr>
                <w:b/>
                <w:bCs/>
                <w:color w:val="000000"/>
                <w:sz w:val="16"/>
                <w:szCs w:val="16"/>
              </w:rPr>
              <w:t>Gains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Unrealized</w:t>
            </w:r>
          </w:p>
          <w:p w:rsidR="00000000" w:rsidRDefault="00406BD4">
            <w:pPr>
              <w:pStyle w:val="a3"/>
              <w:spacing w:before="0" w:beforeAutospacing="0" w:after="0" w:afterAutospacing="0"/>
              <w:jc w:val="center"/>
              <w:rPr>
                <w:b/>
                <w:bCs/>
                <w:color w:val="000000"/>
                <w:sz w:val="16"/>
                <w:szCs w:val="16"/>
              </w:rPr>
            </w:pPr>
            <w:r>
              <w:rPr>
                <w:b/>
                <w:bCs/>
                <w:color w:val="000000"/>
                <w:sz w:val="16"/>
                <w:szCs w:val="16"/>
              </w:rPr>
              <w:t>Losses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Aggregate</w:t>
            </w:r>
          </w:p>
          <w:p w:rsidR="00000000" w:rsidRDefault="00406BD4">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865946546"/>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865946546"/>
          <w:jc w:val="center"/>
        </w:trPr>
        <w:tc>
          <w:tcPr>
            <w:tcW w:w="213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Marketable securities:</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865946546"/>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Short-term</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865946546"/>
          <w:jc w:val="center"/>
        </w:trPr>
        <w:tc>
          <w:tcPr>
            <w:tcW w:w="213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ind w:left="274"/>
              <w:rPr>
                <w:color w:val="000000"/>
                <w:sz w:val="20"/>
                <w:szCs w:val="20"/>
              </w:rPr>
            </w:pPr>
            <w:r>
              <w:rPr>
                <w:color w:val="000000"/>
                <w:sz w:val="20"/>
                <w:szCs w:val="20"/>
              </w:rPr>
              <w:t>Money market accounts</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38,101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38,101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865946546"/>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21,739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165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21,904</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865946546"/>
          <w:jc w:val="center"/>
        </w:trPr>
        <w:tc>
          <w:tcPr>
            <w:tcW w:w="213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ind w:left="274"/>
              <w:rPr>
                <w:color w:val="000000"/>
                <w:sz w:val="20"/>
                <w:szCs w:val="20"/>
              </w:rPr>
            </w:pPr>
            <w:r>
              <w:rPr>
                <w:color w:val="000000"/>
                <w:sz w:val="20"/>
                <w:szCs w:val="20"/>
              </w:rPr>
              <w:t>Less: Cash equivalents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(38,101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(38,101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1865946546"/>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ind w:left="547"/>
              <w:rPr>
                <w:color w:val="000000"/>
                <w:sz w:val="20"/>
                <w:szCs w:val="20"/>
              </w:rPr>
            </w:pPr>
            <w:r>
              <w:rPr>
                <w:color w:val="000000"/>
                <w:sz w:val="20"/>
                <w:szCs w:val="20"/>
              </w:rPr>
              <w:t>Total short-term marketable securities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21,739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165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21,904</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865946546"/>
          <w:jc w:val="center"/>
        </w:trPr>
        <w:tc>
          <w:tcPr>
            <w:tcW w:w="213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Long-term</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865946546"/>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27,422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609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28,031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865946546"/>
          <w:jc w:val="center"/>
        </w:trPr>
        <w:tc>
          <w:tcPr>
            <w:tcW w:w="213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ind w:left="274"/>
              <w:rPr>
                <w:color w:val="000000"/>
                <w:sz w:val="20"/>
                <w:szCs w:val="20"/>
              </w:rPr>
            </w:pPr>
            <w:r>
              <w:rPr>
                <w:color w:val="000000"/>
                <w:sz w:val="20"/>
                <w:szCs w:val="20"/>
              </w:rPr>
              <w:t>U.S. government agency securities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1,000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1,004</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865946546"/>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ind w:left="547"/>
              <w:rPr>
                <w:color w:val="000000"/>
                <w:sz w:val="20"/>
                <w:szCs w:val="20"/>
              </w:rPr>
            </w:pPr>
            <w:r>
              <w:rPr>
                <w:color w:val="000000"/>
                <w:sz w:val="20"/>
                <w:szCs w:val="20"/>
              </w:rPr>
              <w:t>Total long-term marketable securities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28,422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613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29,035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865946546"/>
          <w:jc w:val="center"/>
        </w:trPr>
        <w:tc>
          <w:tcPr>
            <w:tcW w:w="213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ind w:left="547"/>
              <w:rPr>
                <w:color w:val="000000"/>
                <w:sz w:val="20"/>
                <w:szCs w:val="20"/>
              </w:rPr>
            </w:pPr>
            <w:r>
              <w:rPr>
                <w:color w:val="000000"/>
                <w:sz w:val="20"/>
                <w:szCs w:val="20"/>
              </w:rPr>
              <w:t>Total marketable securities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50,161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778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50,939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
                <w:szCs w:val="2"/>
              </w:rPr>
            </w:pPr>
            <w:r>
              <w:rPr>
                <w:color w:val="000000"/>
                <w:sz w:val="2"/>
                <w:szCs w:val="2"/>
              </w:rPr>
              <w:t> </w:t>
            </w:r>
          </w:p>
        </w:tc>
      </w:tr>
    </w:tbl>
    <w:p w:rsidR="00000000" w:rsidRDefault="00406BD4">
      <w:pPr>
        <w:pStyle w:val="a3"/>
        <w:spacing w:before="240" w:beforeAutospacing="0" w:after="0" w:afterAutospacing="0"/>
        <w:jc w:val="center"/>
        <w:rPr>
          <w:sz w:val="20"/>
          <w:szCs w:val="20"/>
        </w:rPr>
      </w:pPr>
      <w:r>
        <w:rPr>
          <w:sz w:val="20"/>
          <w:szCs w:val="20"/>
        </w:rPr>
        <w:t>10</w:t>
      </w:r>
    </w:p>
    <w:p w:rsidR="00000000" w:rsidRDefault="00406BD4">
      <w:pPr>
        <w:rPr>
          <w:rFonts w:eastAsia="Times New Roman"/>
        </w:rPr>
      </w:pPr>
      <w:r>
        <w:rPr>
          <w:rFonts w:eastAsia="Times New Roman"/>
        </w:rPr>
        <w:pict>
          <v:rect id="_x0000_i1036"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4"/>
        <w:gridCol w:w="116"/>
        <w:gridCol w:w="920"/>
        <w:gridCol w:w="82"/>
        <w:gridCol w:w="98"/>
        <w:gridCol w:w="116"/>
        <w:gridCol w:w="920"/>
        <w:gridCol w:w="71"/>
        <w:gridCol w:w="108"/>
        <w:gridCol w:w="116"/>
        <w:gridCol w:w="920"/>
        <w:gridCol w:w="82"/>
        <w:gridCol w:w="98"/>
        <w:gridCol w:w="116"/>
        <w:gridCol w:w="927"/>
        <w:gridCol w:w="82"/>
      </w:tblGrid>
      <w:tr w:rsidR="00000000">
        <w:trPr>
          <w:divId w:val="497500265"/>
          <w:jc w:val="center"/>
        </w:trPr>
        <w:tc>
          <w:tcPr>
            <w:tcW w:w="2135" w:type="pct"/>
            <w:shd w:val="clear" w:color="auto" w:fill="FFFFFF"/>
            <w:tcMar>
              <w:top w:w="15" w:type="dxa"/>
              <w:left w:w="0" w:type="dxa"/>
              <w:bottom w:w="0" w:type="dxa"/>
              <w:right w:w="15" w:type="dxa"/>
            </w:tcMar>
            <w:vAlign w:val="center"/>
            <w:hideMark/>
          </w:tcPr>
          <w:p w:rsidR="00000000" w:rsidRDefault="00406BD4">
            <w:pPr>
              <w:pStyle w:val="a3"/>
              <w:spacing w:before="0" w:beforeAutospacing="0" w:after="0" w:afterAutospacing="0"/>
              <w:rPr>
                <w:sz w:val="16"/>
                <w:szCs w:val="16"/>
              </w:rPr>
            </w:pPr>
            <w:bookmarkStart w:id="13" w:name="_Hlk46943049"/>
            <w:bookmarkEnd w:id="13"/>
            <w:r>
              <w:rPr>
                <w:sz w:val="16"/>
                <w:szCs w:val="16"/>
              </w:rPr>
              <w:t> </w:t>
            </w:r>
          </w:p>
        </w:tc>
        <w:tc>
          <w:tcPr>
            <w:tcW w:w="2814" w:type="pct"/>
            <w:gridSpan w:val="14"/>
            <w:tcBorders>
              <w:bottom w:val="single" w:sz="6" w:space="0" w:color="000000"/>
            </w:tcBorders>
            <w:shd w:val="clear" w:color="auto" w:fill="FFFFFF"/>
            <w:tcMar>
              <w:top w:w="15" w:type="dxa"/>
              <w:left w:w="0" w:type="dxa"/>
              <w:bottom w:w="0" w:type="dxa"/>
              <w:right w:w="15" w:type="dxa"/>
            </w:tcMar>
            <w:vAlign w:val="center"/>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December 31, 2019</w:t>
            </w:r>
          </w:p>
        </w:tc>
        <w:tc>
          <w:tcPr>
            <w:tcW w:w="50" w:type="pct"/>
            <w:shd w:val="clear" w:color="auto" w:fill="FFFFFF"/>
            <w:noWrap/>
            <w:tcMar>
              <w:top w:w="15" w:type="dxa"/>
              <w:left w:w="0" w:type="dxa"/>
              <w:bottom w:w="0" w:type="dxa"/>
              <w:right w:w="15" w:type="dxa"/>
            </w:tcMar>
            <w:vAlign w:val="center"/>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497500265"/>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Amortized</w:t>
            </w:r>
          </w:p>
          <w:p w:rsidR="00000000" w:rsidRDefault="00406BD4">
            <w:pPr>
              <w:pStyle w:val="a3"/>
              <w:spacing w:before="0" w:beforeAutospacing="0" w:after="0" w:afterAutospacing="0"/>
              <w:jc w:val="center"/>
              <w:rPr>
                <w:b/>
                <w:bCs/>
                <w:color w:val="000000"/>
                <w:sz w:val="16"/>
                <w:szCs w:val="16"/>
              </w:rPr>
            </w:pPr>
            <w:r>
              <w:rPr>
                <w:b/>
                <w:bCs/>
                <w:color w:val="000000"/>
                <w:sz w:val="16"/>
                <w:szCs w:val="16"/>
              </w:rPr>
              <w:t>Cost Basis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Unrealized</w:t>
            </w:r>
          </w:p>
          <w:p w:rsidR="00000000" w:rsidRDefault="00406BD4">
            <w:pPr>
              <w:pStyle w:val="a3"/>
              <w:spacing w:before="0" w:beforeAutospacing="0" w:after="0" w:afterAutospacing="0"/>
              <w:jc w:val="center"/>
              <w:rPr>
                <w:b/>
                <w:bCs/>
                <w:color w:val="000000"/>
                <w:sz w:val="16"/>
                <w:szCs w:val="16"/>
              </w:rPr>
            </w:pPr>
            <w:r>
              <w:rPr>
                <w:b/>
                <w:bCs/>
                <w:color w:val="000000"/>
                <w:sz w:val="16"/>
                <w:szCs w:val="16"/>
              </w:rPr>
              <w:t>Gains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Unrealized</w:t>
            </w:r>
          </w:p>
          <w:p w:rsidR="00000000" w:rsidRDefault="00406BD4">
            <w:pPr>
              <w:pStyle w:val="a3"/>
              <w:spacing w:before="0" w:beforeAutospacing="0" w:after="0" w:afterAutospacing="0"/>
              <w:jc w:val="center"/>
              <w:rPr>
                <w:b/>
                <w:bCs/>
                <w:color w:val="000000"/>
                <w:sz w:val="16"/>
                <w:szCs w:val="16"/>
              </w:rPr>
            </w:pPr>
            <w:r>
              <w:rPr>
                <w:b/>
                <w:bCs/>
                <w:color w:val="000000"/>
                <w:sz w:val="16"/>
                <w:szCs w:val="16"/>
              </w:rPr>
              <w:t>Losses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Aggregate</w:t>
            </w:r>
          </w:p>
          <w:p w:rsidR="00000000" w:rsidRDefault="00406BD4">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497500265"/>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497500265"/>
          <w:jc w:val="center"/>
        </w:trPr>
        <w:tc>
          <w:tcPr>
            <w:tcW w:w="213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Marketable securities:</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497500265"/>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Short-term</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497500265"/>
          <w:jc w:val="center"/>
        </w:trPr>
        <w:tc>
          <w:tcPr>
            <w:tcW w:w="213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ind w:left="274"/>
              <w:rPr>
                <w:color w:val="000000"/>
                <w:sz w:val="20"/>
                <w:szCs w:val="20"/>
              </w:rPr>
            </w:pPr>
            <w:r>
              <w:rPr>
                <w:color w:val="000000"/>
                <w:sz w:val="20"/>
                <w:szCs w:val="20"/>
              </w:rPr>
              <w:t>Money market accounts</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4,700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4,700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497500265"/>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17,962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18,003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497500265"/>
          <w:jc w:val="center"/>
        </w:trPr>
        <w:tc>
          <w:tcPr>
            <w:tcW w:w="213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ind w:left="274"/>
              <w:rPr>
                <w:color w:val="000000"/>
                <w:sz w:val="20"/>
                <w:szCs w:val="20"/>
              </w:rPr>
            </w:pPr>
            <w:r>
              <w:rPr>
                <w:color w:val="000000"/>
                <w:sz w:val="20"/>
                <w:szCs w:val="20"/>
              </w:rPr>
              <w:t>Less: Cash equivalents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(6,399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(6,399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497500265"/>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ind w:left="547"/>
              <w:rPr>
                <w:color w:val="000000"/>
                <w:sz w:val="20"/>
                <w:szCs w:val="20"/>
              </w:rPr>
            </w:pPr>
            <w:r>
              <w:rPr>
                <w:color w:val="000000"/>
                <w:sz w:val="20"/>
                <w:szCs w:val="20"/>
              </w:rPr>
              <w:t>Total short-term marketable securities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16,263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16,304</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497500265"/>
          <w:jc w:val="center"/>
        </w:trPr>
        <w:tc>
          <w:tcPr>
            <w:tcW w:w="213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41,861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116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41,947</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497500265"/>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ind w:left="547"/>
              <w:rPr>
                <w:color w:val="000000"/>
                <w:sz w:val="20"/>
                <w:szCs w:val="20"/>
              </w:rPr>
            </w:pPr>
            <w:r>
              <w:rPr>
                <w:color w:val="000000"/>
                <w:sz w:val="20"/>
                <w:szCs w:val="20"/>
              </w:rPr>
              <w:t>Total long-term marketable securities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41,861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116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41,947</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497500265"/>
          <w:jc w:val="center"/>
        </w:trPr>
        <w:tc>
          <w:tcPr>
            <w:tcW w:w="213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ind w:left="547"/>
              <w:rPr>
                <w:color w:val="000000"/>
                <w:sz w:val="20"/>
                <w:szCs w:val="20"/>
              </w:rPr>
            </w:pPr>
            <w:r>
              <w:rPr>
                <w:color w:val="000000"/>
                <w:sz w:val="20"/>
                <w:szCs w:val="20"/>
              </w:rPr>
              <w:t>Total marketable securities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58,124</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159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58,251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
                <w:szCs w:val="2"/>
              </w:rPr>
            </w:pPr>
            <w:r>
              <w:rPr>
                <w:color w:val="000000"/>
                <w:sz w:val="2"/>
                <w:szCs w:val="2"/>
              </w:rPr>
              <w:t> </w:t>
            </w:r>
          </w:p>
        </w:tc>
      </w:tr>
    </w:tbl>
    <w:p w:rsidR="00000000" w:rsidRDefault="00406BD4">
      <w:pPr>
        <w:pStyle w:val="a3"/>
        <w:spacing w:before="0" w:beforeAutospacing="0" w:after="0" w:afterAutospacing="0"/>
      </w:pPr>
      <w:r>
        <w:t> </w:t>
      </w:r>
    </w:p>
    <w:p w:rsidR="00000000" w:rsidRDefault="00406BD4">
      <w:pPr>
        <w:pStyle w:val="a3"/>
        <w:spacing w:before="0" w:beforeAutospacing="0" w:after="0" w:afterAutospacing="0"/>
        <w:ind w:firstLine="556"/>
        <w:rPr>
          <w:sz w:val="20"/>
          <w:szCs w:val="20"/>
        </w:rPr>
      </w:pPr>
      <w:r>
        <w:rPr>
          <w:sz w:val="20"/>
          <w:szCs w:val="20"/>
        </w:rPr>
        <w:t>There were no gross unrealized losses on the Company’s marketable securities as of September 30, 2020. Gross unrealized losses on the Company’s marketable securities were $32,000 as of December 31, 2019.</w:t>
      </w:r>
    </w:p>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0" w:beforeAutospacing="0" w:after="0" w:afterAutospacing="0"/>
        <w:rPr>
          <w:b/>
          <w:bCs/>
          <w:sz w:val="20"/>
          <w:szCs w:val="20"/>
        </w:rPr>
      </w:pPr>
      <w:r>
        <w:rPr>
          <w:b/>
          <w:bCs/>
          <w:sz w:val="20"/>
          <w:szCs w:val="20"/>
        </w:rPr>
        <w:t xml:space="preserve">Note 4. </w:t>
      </w:r>
      <w:r>
        <w:rPr>
          <w:b/>
          <w:bCs/>
          <w:color w:val="000000"/>
          <w:sz w:val="20"/>
          <w:szCs w:val="20"/>
          <w:shd w:val="clear" w:color="auto" w:fill="FFFFFF"/>
        </w:rPr>
        <w:t>Fair Value Measurements</w:t>
      </w:r>
    </w:p>
    <w:p w:rsidR="00000000" w:rsidRDefault="00406BD4">
      <w:pPr>
        <w:pStyle w:val="a3"/>
        <w:spacing w:before="240" w:beforeAutospacing="0" w:after="0" w:afterAutospacing="0"/>
        <w:ind w:firstLine="556"/>
        <w:rPr>
          <w:sz w:val="20"/>
          <w:szCs w:val="20"/>
        </w:rPr>
      </w:pPr>
      <w:r>
        <w:rPr>
          <w:sz w:val="20"/>
          <w:szCs w:val="20"/>
        </w:rPr>
        <w:t>The authoritativ</w:t>
      </w:r>
      <w:r>
        <w:rPr>
          <w:sz w:val="20"/>
          <w:szCs w:val="20"/>
        </w:rPr>
        <w:t>e guidance on fair value measurements establishes a framework with respect to measuring assets and liabilities at fair value on a recurring basis and non-recurring basis. Under the framework, fair value is defined as the exit price, or the amount that woul</w:t>
      </w:r>
      <w:r>
        <w:rPr>
          <w:sz w:val="20"/>
          <w:szCs w:val="20"/>
        </w:rPr>
        <w:t>d be received to sell an asset or paid to transfer a liability in an orderly transaction between market participants, as of the measurement date. The framework also establishes a three-tier hierarchy for inputs used in measuring fair value that maximizes t</w:t>
      </w:r>
      <w:r>
        <w:rPr>
          <w:sz w:val="20"/>
          <w:szCs w:val="20"/>
        </w:rPr>
        <w:t>he use of observable inputs and minimizes the use of unobservable inputs by requiring that the most observable inputs be used when available. Observable inputs are inputs market participants would use in valuing the asset or liability and are developed bas</w:t>
      </w:r>
      <w:r>
        <w:rPr>
          <w:sz w:val="20"/>
          <w:szCs w:val="20"/>
        </w:rPr>
        <w:t xml:space="preserve">ed on market data obtained from sources independent of the Company. Unobservable inputs are inputs that reflect the Company’s assumptions about the factors market participants would use in valuing the asset or liability and are developed based on the best </w:t>
      </w:r>
      <w:r>
        <w:rPr>
          <w:sz w:val="20"/>
          <w:szCs w:val="20"/>
        </w:rPr>
        <w:t>information available in the circumstances. The hierarchy consists of the following three levels:</w:t>
      </w:r>
    </w:p>
    <w:p w:rsidR="00000000" w:rsidRDefault="00406BD4">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35"/>
        <w:gridCol w:w="661"/>
        <w:gridCol w:w="7410"/>
      </w:tblGrid>
      <w:tr w:rsidR="00000000">
        <w:tc>
          <w:tcPr>
            <w:tcW w:w="227" w:type="pct"/>
            <w:noWrap/>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227" w:type="pct"/>
            <w:noWrap/>
            <w:hideMark/>
          </w:tcPr>
          <w:p w:rsidR="00000000" w:rsidRDefault="00406BD4">
            <w:pPr>
              <w:pStyle w:val="a3"/>
              <w:spacing w:before="0" w:beforeAutospacing="0" w:after="0" w:afterAutospacing="0"/>
              <w:rPr>
                <w:color w:val="000000"/>
                <w:sz w:val="20"/>
                <w:szCs w:val="20"/>
              </w:rPr>
            </w:pPr>
            <w:r>
              <w:rPr>
                <w:color w:val="000000"/>
                <w:sz w:val="20"/>
                <w:szCs w:val="20"/>
              </w:rPr>
              <w:t>Level 1:</w:t>
            </w:r>
          </w:p>
        </w:tc>
        <w:tc>
          <w:tcPr>
            <w:tcW w:w="0" w:type="auto"/>
            <w:hideMark/>
          </w:tcPr>
          <w:p w:rsidR="00000000" w:rsidRDefault="00406BD4">
            <w:pPr>
              <w:pStyle w:val="a3"/>
              <w:spacing w:before="0" w:beforeAutospacing="0" w:after="0" w:afterAutospacing="0"/>
              <w:rPr>
                <w:color w:val="000000"/>
                <w:sz w:val="20"/>
                <w:szCs w:val="20"/>
              </w:rPr>
            </w:pPr>
            <w:r>
              <w:rPr>
                <w:color w:val="000000"/>
                <w:sz w:val="20"/>
                <w:szCs w:val="20"/>
              </w:rPr>
              <w:t>Inputs are quoted prices (unadjusted) in active markets for identical assets or liabilities that the reporting entity can access at the measureme</w:t>
            </w:r>
            <w:r>
              <w:rPr>
                <w:color w:val="000000"/>
                <w:sz w:val="20"/>
                <w:szCs w:val="20"/>
              </w:rPr>
              <w:t>nt date.</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35"/>
        <w:gridCol w:w="661"/>
        <w:gridCol w:w="7410"/>
      </w:tblGrid>
      <w:tr w:rsidR="00000000">
        <w:tc>
          <w:tcPr>
            <w:tcW w:w="227" w:type="pct"/>
            <w:noWrap/>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227" w:type="pct"/>
            <w:noWrap/>
            <w:hideMark/>
          </w:tcPr>
          <w:p w:rsidR="00000000" w:rsidRDefault="00406BD4">
            <w:pPr>
              <w:pStyle w:val="a3"/>
              <w:spacing w:before="0" w:beforeAutospacing="0" w:after="0" w:afterAutospacing="0"/>
              <w:rPr>
                <w:color w:val="000000"/>
                <w:sz w:val="20"/>
                <w:szCs w:val="20"/>
              </w:rPr>
            </w:pPr>
            <w:r>
              <w:rPr>
                <w:color w:val="000000"/>
                <w:sz w:val="20"/>
                <w:szCs w:val="20"/>
              </w:rPr>
              <w:t>Level 2:</w:t>
            </w:r>
          </w:p>
        </w:tc>
        <w:tc>
          <w:tcPr>
            <w:tcW w:w="0" w:type="auto"/>
            <w:hideMark/>
          </w:tcPr>
          <w:p w:rsidR="00000000" w:rsidRDefault="00406BD4">
            <w:pPr>
              <w:pStyle w:val="a3"/>
              <w:spacing w:before="0" w:beforeAutospacing="0" w:after="0" w:afterAutospacing="0"/>
              <w:rPr>
                <w:color w:val="000000"/>
                <w:sz w:val="20"/>
                <w:szCs w:val="20"/>
              </w:rPr>
            </w:pPr>
            <w:r>
              <w:rPr>
                <w:color w:val="000000"/>
                <w:sz w:val="20"/>
                <w:szCs w:val="20"/>
              </w:rPr>
              <w:t>Inputs are inputs other than quoted prices included within Level 1 that are observable for the asset or liability, either directly or indirectly.</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35"/>
        <w:gridCol w:w="661"/>
        <w:gridCol w:w="7410"/>
      </w:tblGrid>
      <w:tr w:rsidR="00000000">
        <w:tc>
          <w:tcPr>
            <w:tcW w:w="227" w:type="pct"/>
            <w:noWrap/>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227" w:type="pct"/>
            <w:noWrap/>
            <w:hideMark/>
          </w:tcPr>
          <w:p w:rsidR="00000000" w:rsidRDefault="00406BD4">
            <w:pPr>
              <w:pStyle w:val="a3"/>
              <w:spacing w:before="0" w:beforeAutospacing="0" w:after="0" w:afterAutospacing="0"/>
              <w:rPr>
                <w:color w:val="000000"/>
                <w:sz w:val="20"/>
                <w:szCs w:val="20"/>
              </w:rPr>
            </w:pPr>
            <w:r>
              <w:rPr>
                <w:color w:val="000000"/>
                <w:sz w:val="20"/>
                <w:szCs w:val="20"/>
              </w:rPr>
              <w:t>Level 3:</w:t>
            </w:r>
          </w:p>
        </w:tc>
        <w:tc>
          <w:tcPr>
            <w:tcW w:w="0" w:type="auto"/>
            <w:hideMark/>
          </w:tcPr>
          <w:p w:rsidR="00000000" w:rsidRDefault="00406BD4">
            <w:pPr>
              <w:pStyle w:val="a3"/>
              <w:spacing w:before="0" w:beforeAutospacing="0" w:after="0" w:afterAutospacing="0"/>
              <w:rPr>
                <w:color w:val="000000"/>
                <w:sz w:val="20"/>
                <w:szCs w:val="20"/>
              </w:rPr>
            </w:pPr>
            <w:r>
              <w:rPr>
                <w:color w:val="000000"/>
                <w:sz w:val="20"/>
                <w:szCs w:val="20"/>
              </w:rPr>
              <w:t>Inputs are unobservable inputs for the asset or liability.</w:t>
            </w:r>
          </w:p>
        </w:tc>
      </w:tr>
    </w:tbl>
    <w:p w:rsidR="00000000" w:rsidRDefault="00406BD4">
      <w:pPr>
        <w:pStyle w:val="a3"/>
        <w:spacing w:before="0" w:beforeAutospacing="0" w:after="0" w:afterAutospacing="0"/>
        <w:ind w:left="1071" w:hanging="556"/>
      </w:pPr>
      <w:r>
        <w:t> </w:t>
      </w:r>
    </w:p>
    <w:p w:rsidR="00000000" w:rsidRDefault="00406BD4">
      <w:pPr>
        <w:pStyle w:val="a3"/>
        <w:spacing w:before="0" w:beforeAutospacing="0" w:after="0" w:afterAutospacing="0"/>
        <w:ind w:firstLine="556"/>
        <w:rPr>
          <w:color w:val="000000"/>
          <w:sz w:val="20"/>
          <w:szCs w:val="20"/>
        </w:rPr>
      </w:pPr>
      <w:r>
        <w:rPr>
          <w:color w:val="000000"/>
          <w:sz w:val="20"/>
          <w:szCs w:val="20"/>
        </w:rPr>
        <w:t>The following tables present infor</w:t>
      </w:r>
      <w:r>
        <w:rPr>
          <w:color w:val="000000"/>
          <w:sz w:val="20"/>
          <w:szCs w:val="20"/>
        </w:rPr>
        <w:t>mation about the Company’s financial assets measured at fair value on a recurring basis, based on the three-tier fair value hierarchy:</w:t>
      </w:r>
    </w:p>
    <w:p w:rsidR="00000000" w:rsidRDefault="00406BD4">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6"/>
        <w:gridCol w:w="115"/>
        <w:gridCol w:w="921"/>
        <w:gridCol w:w="72"/>
        <w:gridCol w:w="109"/>
        <w:gridCol w:w="115"/>
        <w:gridCol w:w="921"/>
        <w:gridCol w:w="72"/>
        <w:gridCol w:w="109"/>
        <w:gridCol w:w="115"/>
        <w:gridCol w:w="921"/>
        <w:gridCol w:w="72"/>
        <w:gridCol w:w="110"/>
        <w:gridCol w:w="116"/>
        <w:gridCol w:w="929"/>
        <w:gridCol w:w="73"/>
      </w:tblGrid>
      <w:tr w:rsidR="00000000">
        <w:trPr>
          <w:divId w:val="1869952445"/>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sz w:val="20"/>
                <w:szCs w:val="20"/>
              </w:rPr>
            </w:pPr>
            <w:r>
              <w:rPr>
                <w:sz w:val="20"/>
                <w:szCs w:val="20"/>
              </w:rPr>
              <w:t> </w:t>
            </w:r>
          </w:p>
        </w:tc>
        <w:tc>
          <w:tcPr>
            <w:tcW w:w="2814" w:type="pct"/>
            <w:gridSpan w:val="14"/>
            <w:tcBorders>
              <w:bottom w:val="single" w:sz="6" w:space="0" w:color="000000"/>
            </w:tcBorders>
            <w:shd w:val="clear" w:color="auto" w:fill="FFFFFF"/>
            <w:tcMar>
              <w:top w:w="15" w:type="dxa"/>
              <w:left w:w="0" w:type="dxa"/>
              <w:bottom w:w="0" w:type="dxa"/>
              <w:right w:w="15" w:type="dxa"/>
            </w:tcMar>
            <w:vAlign w:val="center"/>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September 30, 2020</w:t>
            </w:r>
          </w:p>
        </w:tc>
        <w:tc>
          <w:tcPr>
            <w:tcW w:w="50" w:type="pct"/>
            <w:shd w:val="clear" w:color="auto" w:fill="FFFFFF"/>
            <w:noWrap/>
            <w:tcMar>
              <w:top w:w="15" w:type="dxa"/>
              <w:left w:w="0" w:type="dxa"/>
              <w:bottom w:w="0" w:type="dxa"/>
              <w:right w:w="15" w:type="dxa"/>
            </w:tcMar>
            <w:vAlign w:val="center"/>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869952445"/>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Level 1</w:t>
            </w:r>
          </w:p>
        </w:tc>
        <w:tc>
          <w:tcPr>
            <w:tcW w:w="50" w:type="pct"/>
            <w:shd w:val="clear" w:color="auto" w:fill="FFFFFF"/>
            <w:noWrap/>
            <w:tcMar>
              <w:top w:w="15" w:type="dxa"/>
              <w:left w:w="0" w:type="dxa"/>
              <w:bottom w:w="0" w:type="dxa"/>
              <w:right w:w="15" w:type="dxa"/>
            </w:tcMar>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Level 2</w:t>
            </w:r>
          </w:p>
        </w:tc>
        <w:tc>
          <w:tcPr>
            <w:tcW w:w="50" w:type="pct"/>
            <w:shd w:val="clear" w:color="auto" w:fill="FFFFFF"/>
            <w:noWrap/>
            <w:tcMar>
              <w:top w:w="15" w:type="dxa"/>
              <w:left w:w="0" w:type="dxa"/>
              <w:bottom w:w="0" w:type="dxa"/>
              <w:right w:w="15" w:type="dxa"/>
            </w:tcMar>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Level 3</w:t>
            </w:r>
          </w:p>
        </w:tc>
        <w:tc>
          <w:tcPr>
            <w:tcW w:w="50" w:type="pct"/>
            <w:shd w:val="clear" w:color="auto" w:fill="FFFFFF"/>
            <w:noWrap/>
            <w:tcMar>
              <w:top w:w="15" w:type="dxa"/>
              <w:left w:w="0" w:type="dxa"/>
              <w:bottom w:w="0" w:type="dxa"/>
              <w:right w:w="15" w:type="dxa"/>
            </w:tcMar>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869952445"/>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869952445"/>
          <w:jc w:val="center"/>
        </w:trPr>
        <w:tc>
          <w:tcPr>
            <w:tcW w:w="213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Marketable securities and cash equivalents:</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869952445"/>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49,935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49,935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869952445"/>
          <w:jc w:val="center"/>
        </w:trPr>
        <w:tc>
          <w:tcPr>
            <w:tcW w:w="213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ind w:left="274"/>
              <w:rPr>
                <w:color w:val="000000"/>
                <w:sz w:val="20"/>
                <w:szCs w:val="20"/>
              </w:rPr>
            </w:pPr>
            <w:r>
              <w:rPr>
                <w:color w:val="000000"/>
                <w:sz w:val="20"/>
                <w:szCs w:val="20"/>
              </w:rPr>
              <w:t>U.S. government agency securities</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1,004</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1,004</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869952445"/>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ind w:left="274"/>
              <w:rPr>
                <w:color w:val="000000"/>
                <w:sz w:val="20"/>
                <w:szCs w:val="20"/>
              </w:rPr>
            </w:pPr>
            <w:r>
              <w:rPr>
                <w:color w:val="000000"/>
                <w:sz w:val="20"/>
                <w:szCs w:val="20"/>
              </w:rPr>
              <w:t>Money market accounts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38,101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38,101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869952445"/>
          <w:jc w:val="center"/>
        </w:trPr>
        <w:tc>
          <w:tcPr>
            <w:tcW w:w="213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ind w:left="547"/>
              <w:rPr>
                <w:color w:val="000000"/>
                <w:sz w:val="20"/>
                <w:szCs w:val="20"/>
              </w:rPr>
            </w:pPr>
            <w:r>
              <w:rPr>
                <w:color w:val="000000"/>
                <w:sz w:val="20"/>
                <w:szCs w:val="20"/>
              </w:rPr>
              <w:t>Total marketable securities and cash equivalents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89,040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38,101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50,939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
                <w:szCs w:val="2"/>
              </w:rPr>
            </w:pPr>
            <w:r>
              <w:rPr>
                <w:color w:val="000000"/>
                <w:sz w:val="2"/>
                <w:szCs w:val="2"/>
              </w:rPr>
              <w:t> </w:t>
            </w:r>
          </w:p>
        </w:tc>
      </w:tr>
    </w:tbl>
    <w:p w:rsidR="00000000" w:rsidRDefault="00406BD4">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6"/>
        <w:gridCol w:w="115"/>
        <w:gridCol w:w="921"/>
        <w:gridCol w:w="72"/>
        <w:gridCol w:w="109"/>
        <w:gridCol w:w="115"/>
        <w:gridCol w:w="921"/>
        <w:gridCol w:w="72"/>
        <w:gridCol w:w="109"/>
        <w:gridCol w:w="115"/>
        <w:gridCol w:w="921"/>
        <w:gridCol w:w="72"/>
        <w:gridCol w:w="110"/>
        <w:gridCol w:w="116"/>
        <w:gridCol w:w="929"/>
        <w:gridCol w:w="73"/>
      </w:tblGrid>
      <w:tr w:rsidR="00000000">
        <w:trPr>
          <w:divId w:val="1824155361"/>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sz w:val="20"/>
                <w:szCs w:val="20"/>
              </w:rPr>
            </w:pPr>
            <w:bookmarkStart w:id="14" w:name="_Hlk46943052"/>
            <w:bookmarkEnd w:id="14"/>
            <w:r>
              <w:rPr>
                <w:sz w:val="20"/>
                <w:szCs w:val="20"/>
              </w:rPr>
              <w:t> </w:t>
            </w:r>
          </w:p>
        </w:tc>
        <w:tc>
          <w:tcPr>
            <w:tcW w:w="2814" w:type="pct"/>
            <w:gridSpan w:val="14"/>
            <w:tcBorders>
              <w:bottom w:val="single" w:sz="6" w:space="0" w:color="000000"/>
            </w:tcBorders>
            <w:shd w:val="clear" w:color="auto" w:fill="FFFFFF"/>
            <w:tcMar>
              <w:top w:w="15" w:type="dxa"/>
              <w:left w:w="0" w:type="dxa"/>
              <w:bottom w:w="0" w:type="dxa"/>
              <w:right w:w="15" w:type="dxa"/>
            </w:tcMar>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December 31, 2019</w:t>
            </w:r>
          </w:p>
        </w:tc>
        <w:tc>
          <w:tcPr>
            <w:tcW w:w="50" w:type="pct"/>
            <w:shd w:val="clear" w:color="auto" w:fill="FFFFFF"/>
            <w:noWrap/>
            <w:tcMar>
              <w:top w:w="15" w:type="dxa"/>
              <w:left w:w="0" w:type="dxa"/>
              <w:bottom w:w="0" w:type="dxa"/>
              <w:right w:w="15" w:type="dxa"/>
            </w:tcMar>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824155361"/>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Level 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Level 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Level 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824155361"/>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824155361"/>
          <w:jc w:val="center"/>
        </w:trPr>
        <w:tc>
          <w:tcPr>
            <w:tcW w:w="213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Marketable securities and cash equivalents:</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824155361"/>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59,950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59,950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824155361"/>
          <w:jc w:val="center"/>
        </w:trPr>
        <w:tc>
          <w:tcPr>
            <w:tcW w:w="213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ind w:left="274"/>
              <w:rPr>
                <w:color w:val="000000"/>
                <w:sz w:val="20"/>
                <w:szCs w:val="20"/>
              </w:rPr>
            </w:pPr>
            <w:r>
              <w:rPr>
                <w:color w:val="000000"/>
                <w:sz w:val="20"/>
                <w:szCs w:val="20"/>
              </w:rPr>
              <w:t>Money market accounts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4,700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4,700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824155361"/>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ind w:left="547"/>
              <w:rPr>
                <w:color w:val="000000"/>
                <w:sz w:val="20"/>
                <w:szCs w:val="20"/>
              </w:rPr>
            </w:pPr>
            <w:r>
              <w:rPr>
                <w:color w:val="000000"/>
                <w:sz w:val="20"/>
                <w:szCs w:val="20"/>
              </w:rPr>
              <w:t>Total marketable securities and cash equivalents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64,650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4,700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59,950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
                <w:szCs w:val="2"/>
              </w:rPr>
            </w:pPr>
            <w:r>
              <w:rPr>
                <w:color w:val="000000"/>
                <w:sz w:val="2"/>
                <w:szCs w:val="2"/>
              </w:rPr>
              <w:t> </w:t>
            </w:r>
          </w:p>
        </w:tc>
      </w:tr>
    </w:tbl>
    <w:p w:rsidR="00000000" w:rsidRDefault="00406BD4">
      <w:pPr>
        <w:pStyle w:val="a3"/>
        <w:spacing w:before="0" w:beforeAutospacing="0" w:after="0" w:afterAutospacing="0"/>
      </w:pPr>
      <w:r>
        <w:t> </w:t>
      </w:r>
    </w:p>
    <w:p w:rsidR="00000000" w:rsidRDefault="00406BD4">
      <w:pPr>
        <w:pStyle w:val="a3"/>
        <w:spacing w:before="240" w:beforeAutospacing="0" w:after="0" w:afterAutospacing="0"/>
        <w:jc w:val="center"/>
        <w:rPr>
          <w:sz w:val="20"/>
          <w:szCs w:val="20"/>
        </w:rPr>
      </w:pPr>
      <w:r>
        <w:rPr>
          <w:sz w:val="20"/>
          <w:szCs w:val="20"/>
        </w:rPr>
        <w:t>11</w:t>
      </w:r>
    </w:p>
    <w:p w:rsidR="00000000" w:rsidRDefault="00406BD4">
      <w:pPr>
        <w:rPr>
          <w:rFonts w:eastAsia="Times New Roman"/>
        </w:rPr>
      </w:pPr>
      <w:r>
        <w:rPr>
          <w:rFonts w:eastAsia="Times New Roman"/>
        </w:rPr>
        <w:pict>
          <v:rect id="_x0000_i1037"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0" w:beforeAutospacing="0" w:after="0" w:afterAutospacing="0"/>
        <w:ind w:firstLine="556"/>
        <w:rPr>
          <w:sz w:val="20"/>
          <w:szCs w:val="20"/>
        </w:rPr>
      </w:pPr>
      <w:r>
        <w:rPr>
          <w:sz w:val="20"/>
          <w:szCs w:val="20"/>
        </w:rPr>
        <w:t>The Company’s Level 1 assets include money market instruments and are valu</w:t>
      </w:r>
      <w:r>
        <w:rPr>
          <w:sz w:val="20"/>
          <w:szCs w:val="20"/>
        </w:rPr>
        <w:t>ed based upon observable market prices. Level 2 assets consist of U.S. government agency securities and corporate debt securities. Level 2 securities are valued based upon observable inputs that include reported trades, broker/dealer quotes, bids and offer</w:t>
      </w:r>
      <w:r>
        <w:rPr>
          <w:sz w:val="20"/>
          <w:szCs w:val="20"/>
        </w:rPr>
        <w:t xml:space="preserve">s. As of September 30, 2020, the Company had no investments that were measured using unobservable (Level 3) inputs. </w:t>
      </w:r>
    </w:p>
    <w:p w:rsidR="00000000" w:rsidRDefault="00406BD4">
      <w:pPr>
        <w:pStyle w:val="a3"/>
        <w:spacing w:before="240" w:beforeAutospacing="0" w:after="0" w:afterAutospacing="0"/>
        <w:ind w:firstLine="556"/>
        <w:rPr>
          <w:color w:val="000000"/>
          <w:sz w:val="20"/>
          <w:szCs w:val="20"/>
        </w:rPr>
      </w:pPr>
      <w:r>
        <w:rPr>
          <w:color w:val="000000"/>
          <w:sz w:val="20"/>
          <w:szCs w:val="20"/>
        </w:rPr>
        <w:t>There were no transfers between fair value measurement levels during the three and nine months ended September 30, 2020.</w:t>
      </w:r>
    </w:p>
    <w:p w:rsidR="00000000" w:rsidRDefault="00406BD4">
      <w:pPr>
        <w:pStyle w:val="a3"/>
        <w:spacing w:before="240" w:beforeAutospacing="0" w:after="0" w:afterAutospacing="0"/>
        <w:ind w:firstLine="556"/>
        <w:rPr>
          <w:sz w:val="20"/>
          <w:szCs w:val="20"/>
        </w:rPr>
      </w:pPr>
      <w:r>
        <w:rPr>
          <w:sz w:val="20"/>
          <w:szCs w:val="20"/>
        </w:rPr>
        <w:t>There were no g</w:t>
      </w:r>
      <w:r>
        <w:rPr>
          <w:color w:val="000000"/>
          <w:sz w:val="20"/>
          <w:szCs w:val="20"/>
        </w:rPr>
        <w:t>ros</w:t>
      </w:r>
      <w:r>
        <w:rPr>
          <w:color w:val="000000"/>
          <w:sz w:val="20"/>
          <w:szCs w:val="20"/>
        </w:rPr>
        <w:t xml:space="preserve">s unrealized losses for cash equivalents and marketable securities as of </w:t>
      </w:r>
      <w:r>
        <w:rPr>
          <w:sz w:val="20"/>
          <w:szCs w:val="20"/>
        </w:rPr>
        <w:t>September 30, 2020</w:t>
      </w:r>
      <w:r>
        <w:rPr>
          <w:color w:val="000000"/>
          <w:sz w:val="20"/>
          <w:szCs w:val="20"/>
        </w:rPr>
        <w:t xml:space="preserve">. As of </w:t>
      </w:r>
      <w:r>
        <w:rPr>
          <w:sz w:val="20"/>
          <w:szCs w:val="20"/>
        </w:rPr>
        <w:t>September 30, 2020</w:t>
      </w:r>
      <w:r>
        <w:rPr>
          <w:color w:val="000000"/>
          <w:sz w:val="20"/>
          <w:szCs w:val="20"/>
        </w:rPr>
        <w:t xml:space="preserve">, there were no unrealized losses for securities in an unrealized loss position for more than 12 months. During the nine months ended </w:t>
      </w:r>
      <w:r>
        <w:rPr>
          <w:sz w:val="20"/>
          <w:szCs w:val="20"/>
        </w:rPr>
        <w:t>September 30, 2020</w:t>
      </w:r>
      <w:r>
        <w:rPr>
          <w:color w:val="000000"/>
          <w:sz w:val="20"/>
          <w:szCs w:val="20"/>
        </w:rPr>
        <w:t>, the Company did not recognize other-than-temporary impairment losses related to its marketable securities.</w:t>
      </w:r>
    </w:p>
    <w:p w:rsidR="00000000" w:rsidRDefault="00406BD4">
      <w:pPr>
        <w:pStyle w:val="a3"/>
        <w:spacing w:before="0" w:beforeAutospacing="0" w:after="0" w:afterAutospacing="0"/>
        <w:rPr>
          <w:sz w:val="9"/>
          <w:szCs w:val="9"/>
        </w:rPr>
      </w:pPr>
      <w:r>
        <w:rPr>
          <w:sz w:val="9"/>
          <w:szCs w:val="9"/>
        </w:rPr>
        <w:t> </w:t>
      </w:r>
    </w:p>
    <w:p w:rsidR="00000000" w:rsidRDefault="00406BD4">
      <w:pPr>
        <w:pStyle w:val="a3"/>
        <w:spacing w:before="0" w:beforeAutospacing="0" w:after="0" w:afterAutospacing="0"/>
        <w:rPr>
          <w:sz w:val="9"/>
          <w:szCs w:val="9"/>
        </w:rPr>
      </w:pPr>
      <w:r>
        <w:rPr>
          <w:sz w:val="9"/>
          <w:szCs w:val="9"/>
        </w:rPr>
        <w:t> </w:t>
      </w:r>
    </w:p>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0" w:beforeAutospacing="0" w:after="0" w:afterAutospacing="0"/>
        <w:rPr>
          <w:b/>
          <w:bCs/>
          <w:sz w:val="20"/>
          <w:szCs w:val="20"/>
        </w:rPr>
      </w:pPr>
      <w:r>
        <w:rPr>
          <w:b/>
          <w:bCs/>
          <w:sz w:val="20"/>
          <w:szCs w:val="20"/>
        </w:rPr>
        <w:t>Note 5. Fixed Assets</w:t>
      </w:r>
    </w:p>
    <w:p w:rsidR="00000000" w:rsidRDefault="00406BD4">
      <w:pPr>
        <w:pStyle w:val="a3"/>
        <w:spacing w:before="240" w:beforeAutospacing="0" w:after="0" w:afterAutospacing="0"/>
        <w:ind w:firstLine="556"/>
        <w:rPr>
          <w:sz w:val="20"/>
          <w:szCs w:val="20"/>
        </w:rPr>
      </w:pPr>
      <w:r>
        <w:rPr>
          <w:sz w:val="20"/>
          <w:szCs w:val="20"/>
        </w:rPr>
        <w:t>Major classes of fixed assets consisted of the following:</w:t>
      </w:r>
    </w:p>
    <w:p w:rsidR="00000000" w:rsidRDefault="00406BD4">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068"/>
        <w:gridCol w:w="3068"/>
        <w:gridCol w:w="81"/>
        <w:gridCol w:w="116"/>
        <w:gridCol w:w="770"/>
        <w:gridCol w:w="82"/>
        <w:gridCol w:w="65"/>
        <w:gridCol w:w="116"/>
        <w:gridCol w:w="858"/>
        <w:gridCol w:w="82"/>
      </w:tblGrid>
      <w:tr w:rsidR="00000000">
        <w:trPr>
          <w:divId w:val="1472677871"/>
          <w:jc w:val="center"/>
        </w:trPr>
        <w:tc>
          <w:tcPr>
            <w:tcW w:w="186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sz w:val="16"/>
                <w:szCs w:val="16"/>
              </w:rPr>
            </w:pPr>
            <w:r>
              <w:rPr>
                <w:sz w:val="16"/>
                <w:szCs w:val="16"/>
              </w:rPr>
              <w:t> </w:t>
            </w:r>
          </w:p>
        </w:tc>
        <w:tc>
          <w:tcPr>
            <w:tcW w:w="186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52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472677871"/>
          <w:jc w:val="center"/>
        </w:trPr>
        <w:tc>
          <w:tcPr>
            <w:tcW w:w="186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860" w:type="pct"/>
            <w:tcBorders>
              <w:bottom w:val="single" w:sz="6" w:space="0" w:color="000000"/>
            </w:tcBorders>
            <w:shd w:val="clear" w:color="auto" w:fill="FFFFFF"/>
            <w:tcMar>
              <w:top w:w="15" w:type="dxa"/>
              <w:left w:w="0" w:type="dxa"/>
              <w:bottom w:w="0" w:type="dxa"/>
              <w:right w:w="15" w:type="dxa"/>
            </w:tcMar>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Useful Lives</w:t>
            </w:r>
          </w:p>
        </w:tc>
        <w:tc>
          <w:tcPr>
            <w:tcW w:w="6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52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52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472677871"/>
          <w:jc w:val="center"/>
        </w:trPr>
        <w:tc>
          <w:tcPr>
            <w:tcW w:w="186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860" w:type="pct"/>
            <w:tcBorders>
              <w:top w:val="single" w:sz="6" w:space="0" w:color="000000"/>
            </w:tcBorders>
            <w:shd w:val="clear" w:color="auto" w:fill="FFFFFF"/>
            <w:tcMar>
              <w:top w:w="15" w:type="dxa"/>
              <w:left w:w="0" w:type="dxa"/>
              <w:bottom w:w="0" w:type="dxa"/>
              <w:right w:w="15" w:type="dxa"/>
            </w:tcMar>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1165" w:type="pct"/>
            <w:gridSpan w:val="6"/>
            <w:shd w:val="clear" w:color="auto" w:fill="FFFFFF"/>
            <w:tcMar>
              <w:top w:w="15" w:type="dxa"/>
              <w:left w:w="0" w:type="dxa"/>
              <w:bottom w:w="0" w:type="dxa"/>
              <w:right w:w="15" w:type="dxa"/>
            </w:tcMar>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472677871"/>
          <w:jc w:val="center"/>
        </w:trPr>
        <w:tc>
          <w:tcPr>
            <w:tcW w:w="186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Medical lab equipment</w:t>
            </w:r>
          </w:p>
        </w:tc>
        <w:tc>
          <w:tcPr>
            <w:tcW w:w="1860"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jc w:val="center"/>
              <w:rPr>
                <w:color w:val="000000"/>
                <w:sz w:val="20"/>
                <w:szCs w:val="20"/>
              </w:rPr>
            </w:pPr>
            <w:r>
              <w:rPr>
                <w:color w:val="000000"/>
                <w:sz w:val="20"/>
                <w:szCs w:val="20"/>
              </w:rPr>
              <w:t>5 Years</w:t>
            </w:r>
          </w:p>
        </w:tc>
        <w:tc>
          <w:tcPr>
            <w:tcW w:w="6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7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13,207</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7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10,493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472677871"/>
          <w:jc w:val="center"/>
        </w:trPr>
        <w:tc>
          <w:tcPr>
            <w:tcW w:w="186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Computer hardware</w:t>
            </w:r>
          </w:p>
        </w:tc>
        <w:tc>
          <w:tcPr>
            <w:tcW w:w="1860"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jc w:val="center"/>
              <w:rPr>
                <w:color w:val="000000"/>
                <w:sz w:val="20"/>
                <w:szCs w:val="20"/>
              </w:rPr>
            </w:pPr>
            <w:r>
              <w:rPr>
                <w:color w:val="000000"/>
                <w:sz w:val="20"/>
                <w:szCs w:val="20"/>
              </w:rPr>
              <w:t>3 Years</w:t>
            </w:r>
          </w:p>
        </w:tc>
        <w:tc>
          <w:tcPr>
            <w:tcW w:w="6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7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1,939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7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1,705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472677871"/>
          <w:jc w:val="center"/>
        </w:trPr>
        <w:tc>
          <w:tcPr>
            <w:tcW w:w="186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Computer software</w:t>
            </w:r>
          </w:p>
        </w:tc>
        <w:tc>
          <w:tcPr>
            <w:tcW w:w="1860"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jc w:val="center"/>
              <w:rPr>
                <w:color w:val="000000"/>
                <w:sz w:val="20"/>
                <w:szCs w:val="20"/>
              </w:rPr>
            </w:pPr>
            <w:r>
              <w:rPr>
                <w:color w:val="000000"/>
                <w:sz w:val="20"/>
                <w:szCs w:val="20"/>
              </w:rPr>
              <w:t>3 Years</w:t>
            </w:r>
          </w:p>
        </w:tc>
        <w:tc>
          <w:tcPr>
            <w:tcW w:w="6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7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541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7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541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472677871"/>
          <w:jc w:val="center"/>
        </w:trPr>
        <w:tc>
          <w:tcPr>
            <w:tcW w:w="186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Furniture and fixtures</w:t>
            </w:r>
          </w:p>
        </w:tc>
        <w:tc>
          <w:tcPr>
            <w:tcW w:w="1860"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jc w:val="center"/>
              <w:rPr>
                <w:color w:val="000000"/>
                <w:sz w:val="20"/>
                <w:szCs w:val="20"/>
              </w:rPr>
            </w:pPr>
            <w:r>
              <w:rPr>
                <w:color w:val="000000"/>
                <w:sz w:val="20"/>
                <w:szCs w:val="20"/>
              </w:rPr>
              <w:t>5 Years</w:t>
            </w:r>
          </w:p>
        </w:tc>
        <w:tc>
          <w:tcPr>
            <w:tcW w:w="6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7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434</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7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235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472677871"/>
          <w:jc w:val="center"/>
        </w:trPr>
        <w:tc>
          <w:tcPr>
            <w:tcW w:w="186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General equipment</w:t>
            </w:r>
          </w:p>
        </w:tc>
        <w:tc>
          <w:tcPr>
            <w:tcW w:w="1860"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jc w:val="center"/>
              <w:rPr>
                <w:color w:val="000000"/>
                <w:sz w:val="20"/>
                <w:szCs w:val="20"/>
              </w:rPr>
            </w:pPr>
            <w:r>
              <w:rPr>
                <w:color w:val="000000"/>
                <w:sz w:val="20"/>
                <w:szCs w:val="20"/>
              </w:rPr>
              <w:t>5 Years</w:t>
            </w:r>
          </w:p>
        </w:tc>
        <w:tc>
          <w:tcPr>
            <w:tcW w:w="6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7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7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472677871"/>
          <w:jc w:val="center"/>
        </w:trPr>
        <w:tc>
          <w:tcPr>
            <w:tcW w:w="186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Automobile</w:t>
            </w:r>
          </w:p>
        </w:tc>
        <w:tc>
          <w:tcPr>
            <w:tcW w:w="1860"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jc w:val="center"/>
              <w:rPr>
                <w:color w:val="000000"/>
                <w:sz w:val="20"/>
                <w:szCs w:val="20"/>
              </w:rPr>
            </w:pPr>
            <w:r>
              <w:rPr>
                <w:color w:val="000000"/>
                <w:sz w:val="20"/>
                <w:szCs w:val="20"/>
              </w:rPr>
              <w:t>5 Years</w:t>
            </w:r>
          </w:p>
        </w:tc>
        <w:tc>
          <w:tcPr>
            <w:tcW w:w="6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7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7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472677871"/>
          <w:jc w:val="center"/>
        </w:trPr>
        <w:tc>
          <w:tcPr>
            <w:tcW w:w="186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Leasehold improvements</w:t>
            </w:r>
          </w:p>
        </w:tc>
        <w:tc>
          <w:tcPr>
            <w:tcW w:w="1860"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jc w:val="center"/>
              <w:rPr>
                <w:color w:val="000000"/>
                <w:sz w:val="20"/>
                <w:szCs w:val="20"/>
              </w:rPr>
            </w:pPr>
            <w:r>
              <w:rPr>
                <w:color w:val="000000"/>
                <w:sz w:val="20"/>
                <w:szCs w:val="20"/>
              </w:rPr>
              <w:t>Shorter of lease term or estimated useful life</w:t>
            </w:r>
          </w:p>
        </w:tc>
        <w:tc>
          <w:tcPr>
            <w:tcW w:w="6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7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1,525</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7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876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472677871"/>
          <w:jc w:val="center"/>
        </w:trPr>
        <w:tc>
          <w:tcPr>
            <w:tcW w:w="186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Assets not yet placed in service</w:t>
            </w:r>
          </w:p>
        </w:tc>
        <w:tc>
          <w:tcPr>
            <w:tcW w:w="186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7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9,485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7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114</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472677871"/>
          <w:jc w:val="center"/>
        </w:trPr>
        <w:tc>
          <w:tcPr>
            <w:tcW w:w="186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Total</w:t>
            </w:r>
          </w:p>
        </w:tc>
        <w:tc>
          <w:tcPr>
            <w:tcW w:w="186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7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27,200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7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13,964</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472677871"/>
          <w:jc w:val="center"/>
        </w:trPr>
        <w:tc>
          <w:tcPr>
            <w:tcW w:w="186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Accumulated depreciation</w:t>
            </w:r>
          </w:p>
        </w:tc>
        <w:tc>
          <w:tcPr>
            <w:tcW w:w="186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7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(9,815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47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(7,990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1472677871"/>
          <w:jc w:val="center"/>
        </w:trPr>
        <w:tc>
          <w:tcPr>
            <w:tcW w:w="186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Property and equipment, net</w:t>
            </w:r>
          </w:p>
        </w:tc>
        <w:tc>
          <w:tcPr>
            <w:tcW w:w="186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7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17,385</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47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5,974</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
                <w:szCs w:val="2"/>
              </w:rPr>
            </w:pPr>
            <w:r>
              <w:rPr>
                <w:color w:val="000000"/>
                <w:sz w:val="2"/>
                <w:szCs w:val="2"/>
              </w:rPr>
              <w:t> </w:t>
            </w:r>
          </w:p>
        </w:tc>
      </w:tr>
    </w:tbl>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40" w:beforeAutospacing="0" w:after="0" w:afterAutospacing="0"/>
        <w:ind w:firstLine="556"/>
        <w:rPr>
          <w:sz w:val="20"/>
          <w:szCs w:val="20"/>
        </w:rPr>
      </w:pPr>
      <w:r>
        <w:rPr>
          <w:sz w:val="20"/>
          <w:szCs w:val="20"/>
        </w:rPr>
        <w:t>Depreciation expense on fixed assets totaled $722,000 and $503,000 for the three months and $1.8 million and $1.5 million for the nine months ended September 30, 2020 and 2019, respectively.</w:t>
      </w:r>
    </w:p>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0" w:beforeAutospacing="0" w:after="0" w:afterAutospacing="0"/>
        <w:rPr>
          <w:b/>
          <w:bCs/>
          <w:sz w:val="20"/>
          <w:szCs w:val="20"/>
        </w:rPr>
      </w:pPr>
      <w:r>
        <w:rPr>
          <w:b/>
          <w:bCs/>
          <w:sz w:val="20"/>
          <w:szCs w:val="20"/>
        </w:rPr>
        <w:t>Note 6. Significant Balance Sheet Accounts</w:t>
      </w:r>
    </w:p>
    <w:p w:rsidR="00000000" w:rsidRDefault="00406BD4">
      <w:pPr>
        <w:pStyle w:val="a3"/>
        <w:spacing w:before="240" w:beforeAutospacing="0" w:after="0" w:afterAutospacing="0"/>
        <w:ind w:firstLine="556"/>
        <w:rPr>
          <w:i/>
          <w:iCs/>
          <w:sz w:val="20"/>
          <w:szCs w:val="20"/>
        </w:rPr>
      </w:pPr>
      <w:r>
        <w:rPr>
          <w:i/>
          <w:iCs/>
          <w:sz w:val="20"/>
          <w:szCs w:val="20"/>
        </w:rPr>
        <w:t>Other current asse</w:t>
      </w:r>
      <w:r>
        <w:rPr>
          <w:i/>
          <w:iCs/>
          <w:sz w:val="20"/>
          <w:szCs w:val="20"/>
        </w:rPr>
        <w:t>ts</w:t>
      </w:r>
      <w:r>
        <w:rPr>
          <w:sz w:val="20"/>
          <w:szCs w:val="20"/>
        </w:rPr>
        <w:t xml:space="preserve"> consisted of the following:</w:t>
      </w:r>
    </w:p>
    <w:p w:rsidR="00000000" w:rsidRDefault="00406BD4">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12"/>
        <w:gridCol w:w="116"/>
        <w:gridCol w:w="1378"/>
        <w:gridCol w:w="72"/>
        <w:gridCol w:w="158"/>
        <w:gridCol w:w="116"/>
        <w:gridCol w:w="1381"/>
        <w:gridCol w:w="73"/>
      </w:tblGrid>
      <w:tr w:rsidR="00000000">
        <w:trPr>
          <w:divId w:val="236403775"/>
          <w:jc w:val="center"/>
        </w:trPr>
        <w:tc>
          <w:tcPr>
            <w:tcW w:w="3023"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sz w:val="16"/>
                <w:szCs w:val="16"/>
              </w:rPr>
            </w:pPr>
            <w:r>
              <w:rPr>
                <w:sz w:val="16"/>
                <w:szCs w:val="16"/>
              </w:rPr>
              <w:t> </w:t>
            </w:r>
          </w:p>
        </w:tc>
        <w:tc>
          <w:tcPr>
            <w:tcW w:w="88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10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88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236403775"/>
          <w:jc w:val="center"/>
        </w:trPr>
        <w:tc>
          <w:tcPr>
            <w:tcW w:w="3023"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10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236403775"/>
          <w:jc w:val="center"/>
        </w:trPr>
        <w:tc>
          <w:tcPr>
            <w:tcW w:w="3023"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926" w:type="pct"/>
            <w:gridSpan w:val="6"/>
            <w:shd w:val="clear" w:color="auto" w:fill="FFFFFF"/>
            <w:tcMar>
              <w:top w:w="15" w:type="dxa"/>
              <w:left w:w="0" w:type="dxa"/>
              <w:bottom w:w="0" w:type="dxa"/>
              <w:right w:w="15" w:type="dxa"/>
            </w:tcMar>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236403775"/>
          <w:jc w:val="center"/>
        </w:trPr>
        <w:tc>
          <w:tcPr>
            <w:tcW w:w="3023"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Reagents and supplies</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17,747</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277</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236403775"/>
          <w:jc w:val="center"/>
        </w:trPr>
        <w:tc>
          <w:tcPr>
            <w:tcW w:w="3023"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Other receivable</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8,414</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236403775"/>
          <w:jc w:val="center"/>
        </w:trPr>
        <w:tc>
          <w:tcPr>
            <w:tcW w:w="3023"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Prepaid expenses</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2,055</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1,288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236403775"/>
          <w:jc w:val="center"/>
        </w:trPr>
        <w:tc>
          <w:tcPr>
            <w:tcW w:w="3023"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Contract assets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1,476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150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236403775"/>
          <w:jc w:val="center"/>
        </w:trPr>
        <w:tc>
          <w:tcPr>
            <w:tcW w:w="3023"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Marketable securities interest receivable</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294</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478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236403775"/>
          <w:jc w:val="center"/>
        </w:trPr>
        <w:tc>
          <w:tcPr>
            <w:tcW w:w="3023"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Prepaid income taxes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236403775"/>
          <w:jc w:val="center"/>
        </w:trPr>
        <w:tc>
          <w:tcPr>
            <w:tcW w:w="3023"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Total</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30,000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2,255</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
                <w:szCs w:val="2"/>
              </w:rPr>
            </w:pPr>
            <w:r>
              <w:rPr>
                <w:color w:val="000000"/>
                <w:sz w:val="2"/>
                <w:szCs w:val="2"/>
              </w:rPr>
              <w:t> </w:t>
            </w:r>
          </w:p>
        </w:tc>
      </w:tr>
    </w:tbl>
    <w:p w:rsidR="00000000" w:rsidRDefault="00406BD4">
      <w:pPr>
        <w:pStyle w:val="a3"/>
        <w:spacing w:before="0" w:beforeAutospacing="0" w:after="0" w:afterAutospacing="0"/>
        <w:ind w:firstLine="556"/>
        <w:rPr>
          <w:sz w:val="20"/>
          <w:szCs w:val="20"/>
        </w:rPr>
      </w:pPr>
      <w:r>
        <w:rPr>
          <w:sz w:val="20"/>
          <w:szCs w:val="20"/>
        </w:rPr>
        <w:t> </w:t>
      </w:r>
    </w:p>
    <w:p w:rsidR="00000000" w:rsidRDefault="00406BD4">
      <w:pPr>
        <w:pStyle w:val="a3"/>
        <w:spacing w:before="40" w:beforeAutospacing="0" w:after="0" w:afterAutospacing="0"/>
        <w:ind w:firstLine="556"/>
        <w:rPr>
          <w:sz w:val="20"/>
          <w:szCs w:val="20"/>
        </w:rPr>
      </w:pPr>
      <w:r>
        <w:rPr>
          <w:sz w:val="20"/>
          <w:szCs w:val="20"/>
        </w:rPr>
        <w:t>Reagents and supplies includes reagents used for DNA sequencing applications in the Company’s DNA sequencing equipment and collection kits for COVID-19 tests. Other receivable primarily consists of proceeds to be received from public offerings of the Compa</w:t>
      </w:r>
      <w:r>
        <w:rPr>
          <w:sz w:val="20"/>
          <w:szCs w:val="20"/>
        </w:rPr>
        <w:t>ny’s common stock.</w:t>
      </w:r>
    </w:p>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240" w:beforeAutospacing="0" w:after="0" w:afterAutospacing="0"/>
        <w:jc w:val="center"/>
        <w:rPr>
          <w:sz w:val="20"/>
          <w:szCs w:val="20"/>
        </w:rPr>
      </w:pPr>
      <w:r>
        <w:rPr>
          <w:sz w:val="20"/>
          <w:szCs w:val="20"/>
        </w:rPr>
        <w:t>12</w:t>
      </w:r>
    </w:p>
    <w:p w:rsidR="00000000" w:rsidRDefault="00406BD4">
      <w:pPr>
        <w:rPr>
          <w:rFonts w:eastAsia="Times New Roman"/>
        </w:rPr>
      </w:pPr>
      <w:r>
        <w:rPr>
          <w:rFonts w:eastAsia="Times New Roman"/>
        </w:rPr>
        <w:pict>
          <v:rect id="_x0000_i1038"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0" w:beforeAutospacing="0" w:after="0" w:afterAutospacing="0"/>
        <w:rPr>
          <w:b/>
          <w:bCs/>
          <w:color w:val="000000"/>
          <w:sz w:val="20"/>
          <w:szCs w:val="20"/>
        </w:rPr>
      </w:pPr>
      <w:r>
        <w:rPr>
          <w:b/>
          <w:bCs/>
          <w:color w:val="000000"/>
          <w:sz w:val="20"/>
          <w:szCs w:val="20"/>
          <w:shd w:val="clear" w:color="auto" w:fill="FFFFFF"/>
        </w:rPr>
        <w:t xml:space="preserve">Note </w:t>
      </w:r>
      <w:r>
        <w:rPr>
          <w:b/>
          <w:bCs/>
          <w:color w:val="000000"/>
          <w:sz w:val="20"/>
          <w:szCs w:val="20"/>
        </w:rPr>
        <w:t>7. Reporting Segment and Geographic Informa</w:t>
      </w:r>
      <w:r>
        <w:rPr>
          <w:b/>
          <w:bCs/>
          <w:color w:val="000000"/>
          <w:sz w:val="20"/>
          <w:szCs w:val="20"/>
        </w:rPr>
        <w:t>tion</w:t>
      </w:r>
    </w:p>
    <w:p w:rsidR="00000000" w:rsidRDefault="00406BD4">
      <w:pPr>
        <w:pStyle w:val="a3"/>
        <w:spacing w:before="240" w:beforeAutospacing="0" w:after="0" w:afterAutospacing="0"/>
        <w:ind w:firstLine="556"/>
        <w:rPr>
          <w:sz w:val="20"/>
          <w:szCs w:val="20"/>
        </w:rPr>
      </w:pPr>
      <w:r>
        <w:rPr>
          <w:sz w:val="20"/>
          <w:szCs w:val="20"/>
        </w:rPr>
        <w:t>The Company views its operations and manages its business in one reporting segment. Long-lived assets were primarily located in the United States as of September 30, 2020 and December 31, 2019 with an insignificant amount located in Canada. Revenue by</w:t>
      </w:r>
      <w:r>
        <w:rPr>
          <w:sz w:val="20"/>
          <w:szCs w:val="20"/>
        </w:rPr>
        <w:t xml:space="preserve"> region during the three and nine months ended September 30, 2020 and 2019 were as follows:</w:t>
      </w:r>
    </w:p>
    <w:p w:rsidR="00000000" w:rsidRDefault="00406BD4">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6"/>
        <w:gridCol w:w="115"/>
        <w:gridCol w:w="921"/>
        <w:gridCol w:w="72"/>
        <w:gridCol w:w="109"/>
        <w:gridCol w:w="115"/>
        <w:gridCol w:w="923"/>
        <w:gridCol w:w="72"/>
        <w:gridCol w:w="109"/>
        <w:gridCol w:w="115"/>
        <w:gridCol w:w="921"/>
        <w:gridCol w:w="73"/>
        <w:gridCol w:w="110"/>
        <w:gridCol w:w="115"/>
        <w:gridCol w:w="927"/>
        <w:gridCol w:w="73"/>
      </w:tblGrid>
      <w:tr w:rsidR="00000000">
        <w:trPr>
          <w:divId w:val="778371606"/>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sz w:val="16"/>
                <w:szCs w:val="16"/>
              </w:rPr>
            </w:pPr>
            <w:r>
              <w:rPr>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778371606"/>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778371606"/>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778371606"/>
          <w:jc w:val="center"/>
        </w:trPr>
        <w:tc>
          <w:tcPr>
            <w:tcW w:w="213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Revenue:</w:t>
            </w:r>
          </w:p>
        </w:tc>
        <w:tc>
          <w:tcPr>
            <w:tcW w:w="50" w:type="pct"/>
            <w:shd w:val="clear" w:color="auto" w:fill="CFF0FC"/>
            <w:noWrap/>
            <w:tcMar>
              <w:top w:w="15" w:type="dxa"/>
              <w:left w:w="0" w:type="dxa"/>
              <w:bottom w:w="0" w:type="dxa"/>
              <w:right w:w="15" w:type="dxa"/>
            </w:tcMar>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61" w:type="pct"/>
            <w:shd w:val="clear" w:color="auto" w:fill="CFF0FC"/>
            <w:noWrap/>
            <w:tcMar>
              <w:top w:w="15" w:type="dxa"/>
              <w:left w:w="0" w:type="dxa"/>
              <w:bottom w:w="0" w:type="dxa"/>
              <w:right w:w="15" w:type="dxa"/>
            </w:tcMar>
            <w:hideMark/>
          </w:tcPr>
          <w:p w:rsidR="00000000" w:rsidRDefault="00406BD4">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7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61" w:type="pct"/>
            <w:shd w:val="clear" w:color="auto" w:fill="CFF0FC"/>
            <w:noWrap/>
            <w:tcMar>
              <w:top w:w="15" w:type="dxa"/>
              <w:left w:w="0" w:type="dxa"/>
              <w:bottom w:w="0" w:type="dxa"/>
              <w:right w:w="15" w:type="dxa"/>
            </w:tcMar>
            <w:hideMark/>
          </w:tcPr>
          <w:p w:rsidR="00000000" w:rsidRDefault="00406BD4">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7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61" w:type="pct"/>
            <w:shd w:val="clear" w:color="auto" w:fill="CFF0FC"/>
            <w:noWrap/>
            <w:tcMar>
              <w:top w:w="15" w:type="dxa"/>
              <w:left w:w="0" w:type="dxa"/>
              <w:bottom w:w="0" w:type="dxa"/>
              <w:right w:w="15" w:type="dxa"/>
            </w:tcMar>
            <w:hideMark/>
          </w:tcPr>
          <w:p w:rsidR="00000000" w:rsidRDefault="00406BD4">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7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561" w:type="pct"/>
            <w:shd w:val="clear" w:color="auto" w:fill="CFF0FC"/>
            <w:noWrap/>
            <w:tcMar>
              <w:top w:w="15" w:type="dxa"/>
              <w:left w:w="0" w:type="dxa"/>
              <w:bottom w:w="0" w:type="dxa"/>
              <w:right w:w="15" w:type="dxa"/>
            </w:tcMar>
            <w:hideMark/>
          </w:tcPr>
          <w:p w:rsidR="00000000" w:rsidRDefault="00406BD4">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r>
      <w:tr w:rsidR="00000000">
        <w:trPr>
          <w:divId w:val="778371606"/>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United States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100,223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8,479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122,000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18,779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778371606"/>
          <w:jc w:val="center"/>
        </w:trPr>
        <w:tc>
          <w:tcPr>
            <w:tcW w:w="213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Foreign:</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778371606"/>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ind w:left="274"/>
              <w:rPr>
                <w:color w:val="000000"/>
                <w:sz w:val="20"/>
                <w:szCs w:val="20"/>
              </w:rPr>
            </w:pPr>
            <w:r>
              <w:rPr>
                <w:color w:val="000000"/>
                <w:sz w:val="20"/>
                <w:szCs w:val="20"/>
              </w:rPr>
              <w:t>Canada</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376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548</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1,324</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1,602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778371606"/>
          <w:jc w:val="center"/>
        </w:trPr>
        <w:tc>
          <w:tcPr>
            <w:tcW w:w="213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ind w:left="274"/>
              <w:rPr>
                <w:color w:val="000000"/>
                <w:sz w:val="20"/>
                <w:szCs w:val="20"/>
              </w:rPr>
            </w:pPr>
            <w:r>
              <w:rPr>
                <w:color w:val="000000"/>
                <w:sz w:val="20"/>
                <w:szCs w:val="20"/>
              </w:rPr>
              <w:t>Other Countries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1,117</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1,320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3,410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3,760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778371606"/>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Total</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406BD4">
            <w:pPr>
              <w:pStyle w:val="a3"/>
              <w:spacing w:before="0" w:beforeAutospacing="0" w:after="0" w:afterAutospacing="0"/>
              <w:jc w:val="right"/>
              <w:rPr>
                <w:color w:val="000000"/>
                <w:sz w:val="20"/>
                <w:szCs w:val="20"/>
              </w:rPr>
            </w:pPr>
            <w:r>
              <w:rPr>
                <w:color w:val="000000"/>
                <w:sz w:val="20"/>
                <w:szCs w:val="20"/>
              </w:rPr>
              <w:t>101,716</w:t>
            </w:r>
          </w:p>
        </w:tc>
        <w:tc>
          <w:tcPr>
            <w:tcW w:w="50" w:type="pct"/>
            <w:shd w:val="clear" w:color="auto" w:fill="FFFFFF"/>
            <w:noWrap/>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406BD4">
            <w:pPr>
              <w:pStyle w:val="a3"/>
              <w:spacing w:before="0" w:beforeAutospacing="0" w:after="0" w:afterAutospacing="0"/>
              <w:jc w:val="right"/>
              <w:rPr>
                <w:color w:val="000000"/>
                <w:sz w:val="20"/>
                <w:szCs w:val="20"/>
              </w:rPr>
            </w:pPr>
            <w:r>
              <w:rPr>
                <w:color w:val="000000"/>
                <w:sz w:val="20"/>
                <w:szCs w:val="20"/>
              </w:rPr>
              <w:t>10,347</w:t>
            </w:r>
          </w:p>
        </w:tc>
        <w:tc>
          <w:tcPr>
            <w:tcW w:w="50" w:type="pct"/>
            <w:shd w:val="clear" w:color="auto" w:fill="FFFFFF"/>
            <w:noWrap/>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406BD4">
            <w:pPr>
              <w:pStyle w:val="a3"/>
              <w:spacing w:before="0" w:beforeAutospacing="0" w:after="0" w:afterAutospacing="0"/>
              <w:jc w:val="right"/>
              <w:rPr>
                <w:color w:val="000000"/>
                <w:sz w:val="20"/>
                <w:szCs w:val="20"/>
              </w:rPr>
            </w:pPr>
            <w:r>
              <w:rPr>
                <w:color w:val="000000"/>
                <w:sz w:val="20"/>
                <w:szCs w:val="20"/>
              </w:rPr>
              <w:t>126,734</w:t>
            </w:r>
          </w:p>
        </w:tc>
        <w:tc>
          <w:tcPr>
            <w:tcW w:w="50" w:type="pct"/>
            <w:shd w:val="clear" w:color="auto" w:fill="FFFFFF"/>
            <w:noWrap/>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406BD4">
            <w:pPr>
              <w:pStyle w:val="a3"/>
              <w:spacing w:before="0" w:beforeAutospacing="0" w:after="0" w:afterAutospacing="0"/>
              <w:jc w:val="right"/>
              <w:rPr>
                <w:color w:val="000000"/>
                <w:sz w:val="20"/>
                <w:szCs w:val="20"/>
              </w:rPr>
            </w:pPr>
            <w:r>
              <w:rPr>
                <w:color w:val="000000"/>
                <w:sz w:val="20"/>
                <w:szCs w:val="20"/>
              </w:rPr>
              <w:t>24,141</w:t>
            </w:r>
          </w:p>
        </w:tc>
        <w:tc>
          <w:tcPr>
            <w:tcW w:w="50" w:type="pct"/>
            <w:shd w:val="clear" w:color="auto" w:fill="FFFFFF"/>
            <w:noWrap/>
            <w:tcMar>
              <w:top w:w="15" w:type="dxa"/>
              <w:left w:w="0" w:type="dxa"/>
              <w:bottom w:w="0" w:type="dxa"/>
              <w:right w:w="15" w:type="dxa"/>
            </w:tcMar>
            <w:hideMark/>
          </w:tcPr>
          <w:p w:rsidR="00000000" w:rsidRDefault="00406BD4">
            <w:pPr>
              <w:pStyle w:val="a3"/>
              <w:spacing w:before="0" w:beforeAutospacing="0" w:after="0" w:afterAutospacing="0"/>
              <w:rPr>
                <w:color w:val="000000"/>
                <w:sz w:val="2"/>
                <w:szCs w:val="2"/>
              </w:rPr>
            </w:pPr>
            <w:r>
              <w:rPr>
                <w:color w:val="000000"/>
                <w:sz w:val="2"/>
                <w:szCs w:val="2"/>
              </w:rPr>
              <w:t> </w:t>
            </w:r>
          </w:p>
        </w:tc>
      </w:tr>
    </w:tbl>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0" w:beforeAutospacing="0" w:after="0" w:afterAutospacing="0"/>
        <w:rPr>
          <w:b/>
          <w:bCs/>
          <w:color w:val="000000"/>
          <w:sz w:val="20"/>
          <w:szCs w:val="20"/>
        </w:rPr>
      </w:pPr>
      <w:r>
        <w:rPr>
          <w:b/>
          <w:bCs/>
          <w:color w:val="000000"/>
          <w:sz w:val="20"/>
          <w:szCs w:val="20"/>
          <w:shd w:val="clear" w:color="auto" w:fill="FFFFFF"/>
        </w:rPr>
        <w:t xml:space="preserve">Note </w:t>
      </w:r>
      <w:r>
        <w:rPr>
          <w:b/>
          <w:bCs/>
          <w:color w:val="000000"/>
          <w:sz w:val="20"/>
          <w:szCs w:val="20"/>
        </w:rPr>
        <w:t>8. Commitments and Contingencies</w:t>
      </w:r>
    </w:p>
    <w:p w:rsidR="00000000" w:rsidRDefault="00406BD4">
      <w:pPr>
        <w:pStyle w:val="a3"/>
        <w:spacing w:before="240" w:beforeAutospacing="0" w:after="0" w:afterAutospacing="0"/>
        <w:rPr>
          <w:b/>
          <w:bCs/>
          <w:i/>
          <w:iCs/>
          <w:sz w:val="20"/>
          <w:szCs w:val="20"/>
        </w:rPr>
      </w:pPr>
      <w:r>
        <w:rPr>
          <w:b/>
          <w:bCs/>
          <w:i/>
          <w:iCs/>
          <w:sz w:val="20"/>
          <w:szCs w:val="20"/>
        </w:rPr>
        <w:t>Operating Leases</w:t>
      </w:r>
    </w:p>
    <w:p w:rsidR="00000000" w:rsidRDefault="00406BD4">
      <w:pPr>
        <w:pStyle w:val="a3"/>
        <w:spacing w:before="120" w:beforeAutospacing="0" w:after="0" w:afterAutospacing="0"/>
        <w:ind w:firstLine="556"/>
        <w:rPr>
          <w:color w:val="000000"/>
          <w:sz w:val="20"/>
          <w:szCs w:val="20"/>
        </w:rPr>
      </w:pPr>
      <w:r>
        <w:rPr>
          <w:color w:val="000000"/>
          <w:sz w:val="20"/>
          <w:szCs w:val="20"/>
        </w:rPr>
        <w:t xml:space="preserve">See Note 9, Leases, for further information. </w:t>
      </w:r>
    </w:p>
    <w:p w:rsidR="00000000" w:rsidRDefault="00406BD4">
      <w:pPr>
        <w:pStyle w:val="a3"/>
        <w:spacing w:before="360" w:beforeAutospacing="0" w:after="0" w:afterAutospacing="0"/>
        <w:rPr>
          <w:b/>
          <w:bCs/>
          <w:i/>
          <w:iCs/>
          <w:sz w:val="20"/>
          <w:szCs w:val="20"/>
        </w:rPr>
      </w:pPr>
      <w:bookmarkStart w:id="15" w:name="_Hlk8210620"/>
      <w:bookmarkEnd w:id="15"/>
      <w:r>
        <w:rPr>
          <w:b/>
          <w:bCs/>
          <w:i/>
          <w:iCs/>
          <w:sz w:val="20"/>
          <w:szCs w:val="20"/>
        </w:rPr>
        <w:t>FF Gene Biotech</w:t>
      </w:r>
    </w:p>
    <w:p w:rsidR="00000000" w:rsidRDefault="00406BD4">
      <w:pPr>
        <w:pStyle w:val="a3"/>
        <w:spacing w:before="120" w:beforeAutospacing="0" w:after="0" w:afterAutospacing="0"/>
        <w:ind w:firstLine="556"/>
        <w:rPr>
          <w:sz w:val="20"/>
          <w:szCs w:val="20"/>
        </w:rPr>
      </w:pPr>
      <w:r>
        <w:rPr>
          <w:sz w:val="20"/>
          <w:szCs w:val="20"/>
        </w:rPr>
        <w:t>See Note 14, Equity Method Investments, for a description of the Company’s commitments related to its joint venture, FF Gene Biotech (as defined in Note 14).</w:t>
      </w:r>
    </w:p>
    <w:p w:rsidR="00000000" w:rsidRDefault="00406BD4">
      <w:pPr>
        <w:pStyle w:val="a3"/>
        <w:spacing w:before="360" w:beforeAutospacing="0" w:after="0" w:afterAutospacing="0"/>
        <w:rPr>
          <w:b/>
          <w:bCs/>
          <w:i/>
          <w:iCs/>
          <w:sz w:val="20"/>
          <w:szCs w:val="20"/>
        </w:rPr>
      </w:pPr>
      <w:r>
        <w:rPr>
          <w:b/>
          <w:bCs/>
          <w:i/>
          <w:iCs/>
          <w:sz w:val="20"/>
          <w:szCs w:val="20"/>
        </w:rPr>
        <w:t>Purchase Obligations</w:t>
      </w:r>
    </w:p>
    <w:p w:rsidR="00000000" w:rsidRDefault="00406BD4">
      <w:pPr>
        <w:pStyle w:val="a3"/>
        <w:spacing w:before="120" w:beforeAutospacing="0" w:after="0" w:afterAutospacing="0"/>
        <w:ind w:firstLine="556"/>
        <w:rPr>
          <w:sz w:val="20"/>
          <w:szCs w:val="20"/>
        </w:rPr>
      </w:pPr>
      <w:r>
        <w:rPr>
          <w:sz w:val="20"/>
          <w:szCs w:val="20"/>
        </w:rPr>
        <w:t>As of September 30, 2020, the Company had non-cancelable purchase obligations</w:t>
      </w:r>
      <w:r>
        <w:rPr>
          <w:sz w:val="20"/>
          <w:szCs w:val="20"/>
        </w:rPr>
        <w:t xml:space="preserve"> of $13.1 million, which is payable within twelve months, for computer equipment, medical lab equipment, reagents and other supplies.</w:t>
      </w:r>
    </w:p>
    <w:p w:rsidR="00000000" w:rsidRDefault="00406BD4">
      <w:pPr>
        <w:pStyle w:val="a3"/>
        <w:spacing w:before="360" w:beforeAutospacing="0" w:after="0" w:afterAutospacing="0"/>
        <w:rPr>
          <w:b/>
          <w:bCs/>
          <w:i/>
          <w:iCs/>
          <w:sz w:val="20"/>
          <w:szCs w:val="20"/>
        </w:rPr>
      </w:pPr>
      <w:r>
        <w:rPr>
          <w:b/>
          <w:bCs/>
          <w:i/>
          <w:iCs/>
          <w:sz w:val="20"/>
          <w:szCs w:val="20"/>
        </w:rPr>
        <w:t>Contingencies</w:t>
      </w:r>
    </w:p>
    <w:p w:rsidR="00000000" w:rsidRDefault="00406BD4">
      <w:pPr>
        <w:pStyle w:val="a3"/>
        <w:spacing w:before="120" w:beforeAutospacing="0" w:after="0" w:afterAutospacing="0"/>
        <w:ind w:firstLine="556"/>
        <w:rPr>
          <w:sz w:val="20"/>
          <w:szCs w:val="20"/>
        </w:rPr>
      </w:pPr>
      <w:r>
        <w:rPr>
          <w:sz w:val="20"/>
          <w:szCs w:val="20"/>
        </w:rPr>
        <w:t>From time to time, the Company may be subject to legal proceedings and claims arising in the ordinary course</w:t>
      </w:r>
      <w:r>
        <w:rPr>
          <w:sz w:val="20"/>
          <w:szCs w:val="20"/>
        </w:rPr>
        <w:t xml:space="preserve"> of business. In the opinion of management, the outcome of these matters would not have a material effect on the Company’s consolidated financial position, results of operations or cash flows.</w:t>
      </w:r>
    </w:p>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0" w:beforeAutospacing="0" w:after="0" w:afterAutospacing="0"/>
        <w:rPr>
          <w:b/>
          <w:bCs/>
          <w:sz w:val="20"/>
          <w:szCs w:val="20"/>
        </w:rPr>
      </w:pPr>
      <w:r>
        <w:rPr>
          <w:b/>
          <w:bCs/>
          <w:sz w:val="20"/>
          <w:szCs w:val="20"/>
        </w:rPr>
        <w:t>Note 9. Leases</w:t>
      </w:r>
    </w:p>
    <w:p w:rsidR="00000000" w:rsidRDefault="00406BD4">
      <w:pPr>
        <w:pStyle w:val="a3"/>
        <w:spacing w:before="240" w:beforeAutospacing="0" w:after="0" w:afterAutospacing="0"/>
        <w:ind w:firstLine="556"/>
        <w:rPr>
          <w:sz w:val="20"/>
          <w:szCs w:val="20"/>
        </w:rPr>
      </w:pPr>
      <w:r>
        <w:rPr>
          <w:sz w:val="20"/>
          <w:szCs w:val="20"/>
        </w:rPr>
        <w:t>The Company has various non-cancelable opera</w:t>
      </w:r>
      <w:r>
        <w:rPr>
          <w:sz w:val="20"/>
          <w:szCs w:val="20"/>
        </w:rPr>
        <w:t>ting leases with varying terms through August 2023 primarily for office space</w:t>
      </w:r>
      <w:r>
        <w:rPr>
          <w:sz w:val="20"/>
          <w:szCs w:val="20"/>
        </w:rPr>
        <w:t>.</w:t>
      </w:r>
      <w:r>
        <w:rPr>
          <w:sz w:val="20"/>
          <w:szCs w:val="20"/>
        </w:rPr>
        <w:t xml:space="preserve"> The Company has options to renew some of these leases for three years after their expiration. The Company considers these options, which may be elected at the Company’s sole dis</w:t>
      </w:r>
      <w:r>
        <w:rPr>
          <w:sz w:val="20"/>
          <w:szCs w:val="20"/>
        </w:rPr>
        <w:t xml:space="preserve">cretion, in determining the lease term on a lease-by-lease basis. The Company does not have any finance leases or leases with variable lease payments. </w:t>
      </w:r>
    </w:p>
    <w:p w:rsidR="00000000" w:rsidRDefault="00406BD4">
      <w:pPr>
        <w:pStyle w:val="a3"/>
        <w:spacing w:before="240" w:beforeAutospacing="0" w:after="0" w:afterAutospacing="0"/>
        <w:ind w:firstLine="556"/>
        <w:rPr>
          <w:color w:val="000000"/>
          <w:sz w:val="20"/>
          <w:szCs w:val="20"/>
        </w:rPr>
      </w:pPr>
      <w:r>
        <w:rPr>
          <w:color w:val="000000"/>
          <w:sz w:val="20"/>
          <w:szCs w:val="20"/>
        </w:rPr>
        <w:t>The determination of whether an arrangement contains a lease is made at inception by evaluating whether the arrangement conveys the right to use an identified asset and whether the Company obtains substantially all of the economic benefits from and has the</w:t>
      </w:r>
      <w:r>
        <w:rPr>
          <w:color w:val="000000"/>
          <w:sz w:val="20"/>
          <w:szCs w:val="20"/>
        </w:rPr>
        <w:t xml:space="preserve"> ability to direct the use of the asset.</w:t>
      </w:r>
    </w:p>
    <w:p w:rsidR="00000000" w:rsidRDefault="00406BD4">
      <w:pPr>
        <w:pStyle w:val="a3"/>
        <w:spacing w:before="240" w:beforeAutospacing="0" w:after="0" w:afterAutospacing="0"/>
        <w:ind w:firstLine="556"/>
        <w:rPr>
          <w:sz w:val="20"/>
          <w:szCs w:val="20"/>
        </w:rPr>
      </w:pPr>
      <w:r>
        <w:rPr>
          <w:sz w:val="20"/>
          <w:szCs w:val="20"/>
        </w:rPr>
        <w:t>The Company’s headquarters is located in Temple City, California, which is comprised of various corporate offices and a laboratory certified under the Clinical Laboratory Improvement Amendments of 1988, or CLIA, acc</w:t>
      </w:r>
      <w:r>
        <w:rPr>
          <w:sz w:val="20"/>
          <w:szCs w:val="20"/>
        </w:rPr>
        <w:t>redited by the College of American Pathologists, or CAP, and licensed by the State of California Department of Public Health. Additional offices are located in El Monte, California and Atlanta, Georgia and are used for certain research and development, cus</w:t>
      </w:r>
      <w:r>
        <w:rPr>
          <w:sz w:val="20"/>
          <w:szCs w:val="20"/>
        </w:rPr>
        <w:t>tomer service, report generation and other administrative functions. During the three months ended September 30, 2020, the Company opened another CLIA-certified laboratory in Houston, Texas to expand its capacity.</w:t>
      </w:r>
    </w:p>
    <w:p w:rsidR="00000000" w:rsidRDefault="00406BD4">
      <w:pPr>
        <w:pStyle w:val="a3"/>
        <w:spacing w:before="240" w:beforeAutospacing="0" w:after="0" w:afterAutospacing="0"/>
        <w:jc w:val="center"/>
        <w:rPr>
          <w:sz w:val="20"/>
          <w:szCs w:val="20"/>
        </w:rPr>
      </w:pPr>
      <w:r>
        <w:rPr>
          <w:sz w:val="20"/>
          <w:szCs w:val="20"/>
        </w:rPr>
        <w:t>13</w:t>
      </w:r>
    </w:p>
    <w:p w:rsidR="00000000" w:rsidRDefault="00406BD4">
      <w:pPr>
        <w:rPr>
          <w:rFonts w:eastAsia="Times New Roman"/>
        </w:rPr>
      </w:pPr>
      <w:r>
        <w:rPr>
          <w:rFonts w:eastAsia="Times New Roman"/>
        </w:rPr>
        <w:pict>
          <v:rect id="_x0000_i1039"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hd w:val="clear" w:color="auto" w:fill="FFFFFF"/>
        <w:spacing w:before="240" w:beforeAutospacing="0" w:after="0" w:afterAutospacing="0"/>
        <w:ind w:firstLine="556"/>
        <w:rPr>
          <w:color w:val="000000"/>
          <w:sz w:val="20"/>
          <w:szCs w:val="20"/>
        </w:rPr>
      </w:pPr>
      <w:r>
        <w:rPr>
          <w:color w:val="000000"/>
          <w:sz w:val="20"/>
          <w:szCs w:val="20"/>
        </w:rPr>
        <w:t xml:space="preserve">The Company adopted new accounting standard Accounting Standards Codification, or </w:t>
      </w:r>
      <w:r>
        <w:rPr>
          <w:i/>
          <w:iCs/>
          <w:color w:val="000000"/>
          <w:sz w:val="20"/>
          <w:szCs w:val="20"/>
        </w:rPr>
        <w:t>ASC, 842, Leases</w:t>
      </w:r>
      <w:r>
        <w:rPr>
          <w:color w:val="000000"/>
          <w:sz w:val="20"/>
          <w:szCs w:val="20"/>
        </w:rPr>
        <w:t xml:space="preserve">, </w:t>
      </w:r>
      <w:r>
        <w:rPr>
          <w:color w:val="000000"/>
          <w:sz w:val="20"/>
          <w:szCs w:val="20"/>
        </w:rPr>
        <w:t xml:space="preserve">on January 1, 2019. Upon adoption, the Company recorded ROU assets of $3.0 million and short-term and long-term lease liabilities of $384,000 and $2.6 million, respectively. The difference between the ROU asset and liability is due to the existing balance </w:t>
      </w:r>
      <w:r>
        <w:rPr>
          <w:color w:val="000000"/>
          <w:sz w:val="20"/>
          <w:szCs w:val="20"/>
        </w:rPr>
        <w:t xml:space="preserve">of deferred rent at the date of adoption. There was no impact to retained earnings upon adoption. The Company entered into three operating leases with an existing landlord during the nine months ended September 30, 2020. Upon entering into the leases, the </w:t>
      </w:r>
      <w:r>
        <w:rPr>
          <w:color w:val="000000"/>
          <w:sz w:val="20"/>
          <w:szCs w:val="20"/>
        </w:rPr>
        <w:t>Company recorded ROU assets of $393,000 and short-term and long-term lease liabilities of $58,000 and $335,000, respectively. The Company also entered into nine short-term leases during the three months ended September 30, 2020 and thirteen short-term leas</w:t>
      </w:r>
      <w:r>
        <w:rPr>
          <w:color w:val="000000"/>
          <w:sz w:val="20"/>
          <w:szCs w:val="20"/>
        </w:rPr>
        <w:t>es during the nine months ended September 30, 2020 and elected short-term lease recognition exemption for such leases.</w:t>
      </w:r>
    </w:p>
    <w:p w:rsidR="00000000" w:rsidRDefault="00406BD4">
      <w:pPr>
        <w:pStyle w:val="a3"/>
        <w:shd w:val="clear" w:color="auto" w:fill="FFFFFF"/>
        <w:spacing w:before="240" w:beforeAutospacing="0" w:after="0" w:afterAutospacing="0"/>
        <w:ind w:firstLine="556"/>
        <w:rPr>
          <w:color w:val="000000"/>
          <w:sz w:val="20"/>
          <w:szCs w:val="20"/>
        </w:rPr>
      </w:pPr>
      <w:r>
        <w:rPr>
          <w:color w:val="000000"/>
          <w:sz w:val="20"/>
          <w:szCs w:val="20"/>
        </w:rPr>
        <w:t>As the Company’s leases do not provide an implicit rate, the Company uses its incremental borrowing rate based on information available a</w:t>
      </w:r>
      <w:r>
        <w:rPr>
          <w:color w:val="000000"/>
          <w:sz w:val="20"/>
          <w:szCs w:val="20"/>
        </w:rPr>
        <w:t>t the commencement date in determining the discount rate used to calculate present value lease payment. The Company determined its incremental borrowing rate based on inquiries with its bank. The Company’s lease agreements do not contain any residual value</w:t>
      </w:r>
      <w:r>
        <w:rPr>
          <w:color w:val="000000"/>
          <w:sz w:val="20"/>
          <w:szCs w:val="20"/>
        </w:rPr>
        <w:t xml:space="preserve"> guarantees, material restrictive covenants, bargain purchase options or asset retirement obligations. Lease expense for the Company’s operating leases is recognized on a straight-line basis over the lease term. The Company’s leases do not contain variable</w:t>
      </w:r>
      <w:r>
        <w:rPr>
          <w:color w:val="000000"/>
          <w:sz w:val="20"/>
          <w:szCs w:val="20"/>
        </w:rPr>
        <w:t xml:space="preserve"> lease payments. </w:t>
      </w:r>
    </w:p>
    <w:p w:rsidR="00000000" w:rsidRDefault="00406BD4">
      <w:pPr>
        <w:pStyle w:val="a3"/>
        <w:shd w:val="clear" w:color="auto" w:fill="FFFFFF"/>
        <w:spacing w:before="240" w:beforeAutospacing="0" w:after="0" w:afterAutospacing="0"/>
        <w:ind w:firstLine="556"/>
        <w:rPr>
          <w:color w:val="000000"/>
          <w:sz w:val="20"/>
          <w:szCs w:val="20"/>
        </w:rPr>
      </w:pPr>
      <w:r>
        <w:rPr>
          <w:color w:val="000000"/>
          <w:sz w:val="20"/>
          <w:szCs w:val="20"/>
        </w:rPr>
        <w:t>The following was operating lease expense:</w:t>
      </w:r>
    </w:p>
    <w:p w:rsidR="00000000" w:rsidRDefault="00406BD4">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6"/>
        <w:gridCol w:w="115"/>
        <w:gridCol w:w="921"/>
        <w:gridCol w:w="72"/>
        <w:gridCol w:w="109"/>
        <w:gridCol w:w="115"/>
        <w:gridCol w:w="923"/>
        <w:gridCol w:w="72"/>
        <w:gridCol w:w="109"/>
        <w:gridCol w:w="115"/>
        <w:gridCol w:w="921"/>
        <w:gridCol w:w="73"/>
        <w:gridCol w:w="110"/>
        <w:gridCol w:w="115"/>
        <w:gridCol w:w="927"/>
        <w:gridCol w:w="73"/>
      </w:tblGrid>
      <w:tr w:rsidR="00000000">
        <w:trPr>
          <w:divId w:val="1643272606"/>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sz w:val="20"/>
                <w:szCs w:val="20"/>
              </w:rPr>
            </w:pPr>
            <w:r>
              <w:rPr>
                <w:sz w:val="20"/>
                <w:szCs w:val="20"/>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643272606"/>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643272606"/>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643272606"/>
          <w:jc w:val="center"/>
        </w:trPr>
        <w:tc>
          <w:tcPr>
            <w:tcW w:w="213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Operating lease cost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167</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146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468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438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643272606"/>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Short-term lease cost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643272606"/>
          <w:jc w:val="center"/>
        </w:trPr>
        <w:tc>
          <w:tcPr>
            <w:tcW w:w="213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Total lease cost</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223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146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527</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438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
                <w:szCs w:val="2"/>
              </w:rPr>
            </w:pPr>
            <w:r>
              <w:rPr>
                <w:color w:val="000000"/>
                <w:sz w:val="2"/>
                <w:szCs w:val="2"/>
              </w:rPr>
              <w:t> </w:t>
            </w:r>
          </w:p>
        </w:tc>
      </w:tr>
    </w:tbl>
    <w:p w:rsidR="00000000" w:rsidRDefault="00406BD4">
      <w:pPr>
        <w:pStyle w:val="a3"/>
        <w:shd w:val="clear" w:color="auto" w:fill="FFFFFF"/>
        <w:spacing w:before="0" w:beforeAutospacing="0" w:after="0" w:afterAutospacing="0"/>
        <w:rPr>
          <w:sz w:val="20"/>
          <w:szCs w:val="20"/>
        </w:rPr>
      </w:pPr>
      <w:r>
        <w:rPr>
          <w:sz w:val="20"/>
          <w:szCs w:val="20"/>
        </w:rPr>
        <w:t> </w:t>
      </w:r>
    </w:p>
    <w:p w:rsidR="00000000" w:rsidRDefault="00406BD4">
      <w:pPr>
        <w:pStyle w:val="a3"/>
        <w:shd w:val="clear" w:color="auto" w:fill="FFFFFF"/>
        <w:spacing w:before="40" w:beforeAutospacing="0" w:after="0" w:afterAutospacing="0"/>
        <w:ind w:firstLine="556"/>
        <w:rPr>
          <w:color w:val="000000"/>
          <w:sz w:val="20"/>
          <w:szCs w:val="20"/>
        </w:rPr>
      </w:pPr>
      <w:r>
        <w:rPr>
          <w:color w:val="000000"/>
          <w:sz w:val="20"/>
          <w:szCs w:val="20"/>
        </w:rPr>
        <w:t>Supplemental cash flow information related to leases was the following:</w:t>
      </w:r>
    </w:p>
    <w:p w:rsidR="00000000" w:rsidRDefault="00406BD4">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6"/>
        <w:gridCol w:w="115"/>
        <w:gridCol w:w="921"/>
        <w:gridCol w:w="72"/>
        <w:gridCol w:w="109"/>
        <w:gridCol w:w="115"/>
        <w:gridCol w:w="923"/>
        <w:gridCol w:w="72"/>
        <w:gridCol w:w="109"/>
        <w:gridCol w:w="115"/>
        <w:gridCol w:w="921"/>
        <w:gridCol w:w="73"/>
        <w:gridCol w:w="110"/>
        <w:gridCol w:w="115"/>
        <w:gridCol w:w="927"/>
        <w:gridCol w:w="73"/>
      </w:tblGrid>
      <w:tr w:rsidR="00000000">
        <w:trPr>
          <w:divId w:val="1435706397"/>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sz w:val="20"/>
                <w:szCs w:val="20"/>
              </w:rPr>
            </w:pPr>
            <w:r>
              <w:rPr>
                <w:sz w:val="20"/>
                <w:szCs w:val="20"/>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435706397"/>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435706397"/>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435706397"/>
          <w:jc w:val="center"/>
        </w:trPr>
        <w:tc>
          <w:tcPr>
            <w:tcW w:w="213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Cash paid for amounts included in the measurement of lease liabilities</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336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140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647</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391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435706397"/>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Noncash lease expense</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125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345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306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435706397"/>
          <w:jc w:val="center"/>
        </w:trPr>
        <w:tc>
          <w:tcPr>
            <w:tcW w:w="213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Right-of-use assets obtained in exchange for new operating lease liabilities</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110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393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110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
                <w:szCs w:val="2"/>
              </w:rPr>
            </w:pPr>
            <w:r>
              <w:rPr>
                <w:color w:val="000000"/>
                <w:sz w:val="2"/>
                <w:szCs w:val="2"/>
              </w:rPr>
              <w:t> </w:t>
            </w:r>
          </w:p>
        </w:tc>
      </w:tr>
    </w:tbl>
    <w:p w:rsidR="00000000" w:rsidRDefault="00406BD4">
      <w:pPr>
        <w:pStyle w:val="a3"/>
        <w:shd w:val="clear" w:color="auto" w:fill="FFFFFF"/>
        <w:spacing w:before="0" w:beforeAutospacing="0" w:after="0" w:afterAutospacing="0"/>
        <w:rPr>
          <w:sz w:val="20"/>
          <w:szCs w:val="20"/>
        </w:rPr>
      </w:pPr>
      <w:r>
        <w:rPr>
          <w:sz w:val="20"/>
          <w:szCs w:val="20"/>
        </w:rPr>
        <w:t> </w:t>
      </w:r>
    </w:p>
    <w:p w:rsidR="00000000" w:rsidRDefault="00406BD4">
      <w:pPr>
        <w:pStyle w:val="a3"/>
        <w:shd w:val="clear" w:color="auto" w:fill="FFFFFF"/>
        <w:spacing w:before="40" w:beforeAutospacing="0" w:after="0" w:afterAutospacing="0"/>
        <w:ind w:firstLine="556"/>
        <w:rPr>
          <w:color w:val="000000"/>
          <w:sz w:val="20"/>
          <w:szCs w:val="20"/>
        </w:rPr>
      </w:pPr>
      <w:r>
        <w:rPr>
          <w:color w:val="000000"/>
          <w:sz w:val="20"/>
          <w:szCs w:val="20"/>
        </w:rPr>
        <w:t>Supplemental information related to leases was the following:</w:t>
      </w:r>
    </w:p>
    <w:p w:rsidR="00000000" w:rsidRDefault="00406BD4">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6309"/>
        <w:gridCol w:w="66"/>
        <w:gridCol w:w="1749"/>
        <w:gridCol w:w="182"/>
      </w:tblGrid>
      <w:tr w:rsidR="00000000">
        <w:trPr>
          <w:divId w:val="1735008131"/>
          <w:jc w:val="center"/>
        </w:trPr>
        <w:tc>
          <w:tcPr>
            <w:tcW w:w="3817"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sz w:val="20"/>
                <w:szCs w:val="20"/>
              </w:rPr>
            </w:pPr>
            <w:r>
              <w:rPr>
                <w:sz w:val="20"/>
                <w:szCs w:val="20"/>
              </w:rPr>
              <w:t> </w:t>
            </w:r>
          </w:p>
        </w:tc>
        <w:tc>
          <w:tcPr>
            <w:tcW w:w="113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September 30, 2020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735008131"/>
          <w:jc w:val="center"/>
        </w:trPr>
        <w:tc>
          <w:tcPr>
            <w:tcW w:w="3817"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Weighted average remaining lease term - operating leases</w:t>
            </w:r>
          </w:p>
        </w:tc>
        <w:tc>
          <w:tcPr>
            <w:tcW w:w="1132" w:type="pct"/>
            <w:gridSpan w:val="2"/>
            <w:tcBorders>
              <w:top w:val="single" w:sz="6" w:space="0" w:color="000000"/>
            </w:tcBorders>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5.0 years</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735008131"/>
          <w:jc w:val="center"/>
        </w:trPr>
        <w:tc>
          <w:tcPr>
            <w:tcW w:w="3817"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Weighted average discount rate - operating leases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5.87</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bl>
    <w:p w:rsidR="00000000" w:rsidRDefault="00406BD4">
      <w:pPr>
        <w:pStyle w:val="a3"/>
        <w:shd w:val="clear" w:color="auto" w:fill="FFFFFF"/>
        <w:spacing w:before="0" w:beforeAutospacing="0" w:after="0" w:afterAutospacing="0"/>
        <w:rPr>
          <w:sz w:val="20"/>
          <w:szCs w:val="20"/>
        </w:rPr>
      </w:pPr>
      <w:r>
        <w:rPr>
          <w:sz w:val="20"/>
          <w:szCs w:val="20"/>
        </w:rPr>
        <w:t> </w:t>
      </w:r>
    </w:p>
    <w:p w:rsidR="00000000" w:rsidRDefault="00406BD4">
      <w:pPr>
        <w:pStyle w:val="a3"/>
        <w:spacing w:before="240" w:beforeAutospacing="0" w:after="0" w:afterAutospacing="0"/>
        <w:jc w:val="center"/>
        <w:rPr>
          <w:sz w:val="20"/>
          <w:szCs w:val="20"/>
        </w:rPr>
      </w:pPr>
      <w:r>
        <w:rPr>
          <w:sz w:val="20"/>
          <w:szCs w:val="20"/>
        </w:rPr>
        <w:t>14</w:t>
      </w:r>
    </w:p>
    <w:p w:rsidR="00000000" w:rsidRDefault="00406BD4">
      <w:pPr>
        <w:rPr>
          <w:rFonts w:eastAsia="Times New Roman"/>
        </w:rPr>
      </w:pPr>
      <w:r>
        <w:rPr>
          <w:rFonts w:eastAsia="Times New Roman"/>
        </w:rPr>
        <w:pict>
          <v:rect id="_x0000_i1040"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hd w:val="clear" w:color="auto" w:fill="FFFFFF"/>
        <w:spacing w:before="40" w:beforeAutospacing="0" w:after="0" w:afterAutospacing="0"/>
        <w:ind w:firstLine="556"/>
        <w:rPr>
          <w:color w:val="000000"/>
          <w:sz w:val="20"/>
          <w:szCs w:val="20"/>
        </w:rPr>
      </w:pPr>
      <w:r>
        <w:rPr>
          <w:color w:val="000000"/>
          <w:sz w:val="20"/>
          <w:szCs w:val="20"/>
        </w:rPr>
        <w:t xml:space="preserve">The </w:t>
      </w:r>
      <w:r>
        <w:rPr>
          <w:color w:val="000000"/>
          <w:sz w:val="20"/>
          <w:szCs w:val="20"/>
        </w:rPr>
        <w:t>following is a maturity analysis of operating lease liabilities using undiscounted cash flows on an annual basis with renewal periods included:</w:t>
      </w:r>
    </w:p>
    <w:p w:rsidR="00000000" w:rsidRDefault="00406BD4">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6326"/>
        <w:gridCol w:w="116"/>
        <w:gridCol w:w="1782"/>
        <w:gridCol w:w="82"/>
      </w:tblGrid>
      <w:tr w:rsidR="00000000">
        <w:trPr>
          <w:divId w:val="1950235330"/>
          <w:jc w:val="center"/>
        </w:trPr>
        <w:tc>
          <w:tcPr>
            <w:tcW w:w="3817"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sz w:val="20"/>
                <w:szCs w:val="20"/>
              </w:rPr>
            </w:pPr>
            <w:r>
              <w:rPr>
                <w:sz w:val="20"/>
                <w:szCs w:val="20"/>
              </w:rPr>
              <w:t> </w:t>
            </w:r>
          </w:p>
        </w:tc>
        <w:tc>
          <w:tcPr>
            <w:tcW w:w="113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Operating Leases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950235330"/>
          <w:jc w:val="center"/>
        </w:trPr>
        <w:tc>
          <w:tcPr>
            <w:tcW w:w="3817"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132"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950235330"/>
          <w:jc w:val="center"/>
        </w:trPr>
        <w:tc>
          <w:tcPr>
            <w:tcW w:w="3817"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Year Ending December 31,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950235330"/>
          <w:jc w:val="center"/>
        </w:trPr>
        <w:tc>
          <w:tcPr>
            <w:tcW w:w="3817"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2020 (remaining 3 months)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1082"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164</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950235330"/>
          <w:jc w:val="center"/>
        </w:trPr>
        <w:tc>
          <w:tcPr>
            <w:tcW w:w="3817"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2021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662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950235330"/>
          <w:jc w:val="center"/>
        </w:trPr>
        <w:tc>
          <w:tcPr>
            <w:tcW w:w="3817"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2022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668</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950235330"/>
          <w:jc w:val="center"/>
        </w:trPr>
        <w:tc>
          <w:tcPr>
            <w:tcW w:w="3817"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2023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637</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950235330"/>
          <w:jc w:val="center"/>
        </w:trPr>
        <w:tc>
          <w:tcPr>
            <w:tcW w:w="3817"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2024</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400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950235330"/>
          <w:jc w:val="center"/>
        </w:trPr>
        <w:tc>
          <w:tcPr>
            <w:tcW w:w="3817"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2025</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387</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950235330"/>
          <w:jc w:val="center"/>
        </w:trPr>
        <w:tc>
          <w:tcPr>
            <w:tcW w:w="3817"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Thereafter</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0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262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950235330"/>
          <w:jc w:val="center"/>
        </w:trPr>
        <w:tc>
          <w:tcPr>
            <w:tcW w:w="3817"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ind w:left="137"/>
              <w:rPr>
                <w:color w:val="000000"/>
                <w:sz w:val="20"/>
                <w:szCs w:val="20"/>
              </w:rPr>
            </w:pPr>
            <w:r>
              <w:rPr>
                <w:color w:val="000000"/>
                <w:sz w:val="20"/>
                <w:szCs w:val="20"/>
              </w:rPr>
              <w:t>Total lease payments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08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3,180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950235330"/>
          <w:jc w:val="center"/>
        </w:trPr>
        <w:tc>
          <w:tcPr>
            <w:tcW w:w="3817"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Less imputed interest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0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(437</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1950235330"/>
          <w:jc w:val="center"/>
        </w:trPr>
        <w:tc>
          <w:tcPr>
            <w:tcW w:w="3817"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ind w:left="137"/>
              <w:rPr>
                <w:color w:val="000000"/>
                <w:sz w:val="20"/>
                <w:szCs w:val="20"/>
              </w:rPr>
            </w:pPr>
            <w:r>
              <w:rPr>
                <w:color w:val="000000"/>
                <w:sz w:val="20"/>
                <w:szCs w:val="20"/>
              </w:rPr>
              <w:t>Total</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10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2,743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
                <w:szCs w:val="2"/>
              </w:rPr>
            </w:pPr>
            <w:r>
              <w:rPr>
                <w:color w:val="000000"/>
                <w:sz w:val="2"/>
                <w:szCs w:val="2"/>
              </w:rPr>
              <w:t> </w:t>
            </w:r>
          </w:p>
        </w:tc>
      </w:tr>
    </w:tbl>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0" w:beforeAutospacing="0" w:after="0" w:afterAutospacing="0"/>
        <w:rPr>
          <w:sz w:val="16"/>
          <w:szCs w:val="16"/>
        </w:rPr>
      </w:pPr>
      <w:r>
        <w:rPr>
          <w:sz w:val="16"/>
          <w:szCs w:val="16"/>
        </w:rPr>
        <w:t> </w:t>
      </w:r>
    </w:p>
    <w:p w:rsidR="00000000" w:rsidRDefault="00406BD4">
      <w:pPr>
        <w:pStyle w:val="a3"/>
        <w:spacing w:before="0" w:beforeAutospacing="0" w:after="0" w:afterAutospacing="0"/>
        <w:rPr>
          <w:b/>
          <w:bCs/>
          <w:sz w:val="20"/>
          <w:szCs w:val="20"/>
        </w:rPr>
      </w:pPr>
      <w:r>
        <w:rPr>
          <w:b/>
          <w:bCs/>
          <w:sz w:val="20"/>
          <w:szCs w:val="20"/>
        </w:rPr>
        <w:t>Note 10. Equity-Based Compensation</w:t>
      </w:r>
    </w:p>
    <w:p w:rsidR="00000000" w:rsidRDefault="00406BD4">
      <w:pPr>
        <w:pStyle w:val="a3"/>
        <w:spacing w:before="240" w:beforeAutospacing="0" w:after="0" w:afterAutospacing="0"/>
        <w:ind w:firstLine="556"/>
        <w:rPr>
          <w:color w:val="000000"/>
          <w:sz w:val="20"/>
          <w:szCs w:val="20"/>
        </w:rPr>
      </w:pPr>
      <w:r>
        <w:rPr>
          <w:color w:val="000000"/>
          <w:sz w:val="20"/>
          <w:szCs w:val="20"/>
          <w:shd w:val="clear" w:color="auto" w:fill="FFFFFF"/>
        </w:rPr>
        <w:t>The Company has included equity-based compensation expense as part of cost of revenue and operating expenses in the accompanying Condensed Consolidated Statements of Operations as follows:</w:t>
      </w:r>
    </w:p>
    <w:p w:rsidR="00000000" w:rsidRDefault="00406BD4">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6"/>
        <w:gridCol w:w="115"/>
        <w:gridCol w:w="921"/>
        <w:gridCol w:w="72"/>
        <w:gridCol w:w="109"/>
        <w:gridCol w:w="115"/>
        <w:gridCol w:w="923"/>
        <w:gridCol w:w="72"/>
        <w:gridCol w:w="109"/>
        <w:gridCol w:w="115"/>
        <w:gridCol w:w="921"/>
        <w:gridCol w:w="73"/>
        <w:gridCol w:w="110"/>
        <w:gridCol w:w="115"/>
        <w:gridCol w:w="927"/>
        <w:gridCol w:w="73"/>
      </w:tblGrid>
      <w:tr w:rsidR="00000000">
        <w:trPr>
          <w:divId w:val="502427928"/>
          <w:jc w:val="center"/>
        </w:trPr>
        <w:tc>
          <w:tcPr>
            <w:tcW w:w="2135"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sz w:val="20"/>
                <w:szCs w:val="20"/>
              </w:rPr>
            </w:pPr>
            <w:r>
              <w:rPr>
                <w:sz w:val="20"/>
                <w:szCs w:val="20"/>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Three Months Ended September</w:t>
            </w:r>
            <w:r>
              <w:rPr>
                <w:b/>
                <w:bCs/>
                <w:color w:val="000000"/>
                <w:sz w:val="16"/>
                <w:szCs w:val="16"/>
              </w:rPr>
              <w:t xml:space="preserve"> 30,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502427928"/>
          <w:jc w:val="center"/>
        </w:trPr>
        <w:tc>
          <w:tcPr>
            <w:tcW w:w="2135"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502427928"/>
          <w:jc w:val="center"/>
        </w:trPr>
        <w:tc>
          <w:tcPr>
            <w:tcW w:w="2135"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2814" w:type="pct"/>
            <w:gridSpan w:val="14"/>
            <w:shd w:val="clear" w:color="auto" w:fill="FFFFFF"/>
            <w:tcMar>
              <w:top w:w="15" w:type="dxa"/>
              <w:left w:w="0" w:type="dxa"/>
              <w:bottom w:w="0" w:type="dxa"/>
              <w:right w:w="15" w:type="dxa"/>
            </w:tcMar>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502427928"/>
          <w:jc w:val="center"/>
        </w:trPr>
        <w:tc>
          <w:tcPr>
            <w:tcW w:w="2135"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Cost of revenue</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428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174</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929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483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502427928"/>
          <w:jc w:val="center"/>
        </w:trPr>
        <w:tc>
          <w:tcPr>
            <w:tcW w:w="2135"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Research and development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887</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279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1,563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690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502427928"/>
          <w:jc w:val="center"/>
        </w:trPr>
        <w:tc>
          <w:tcPr>
            <w:tcW w:w="2135"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Selling and marketing</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1,184</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332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1,577</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643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502427928"/>
          <w:jc w:val="center"/>
        </w:trPr>
        <w:tc>
          <w:tcPr>
            <w:tcW w:w="2135"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General and administrative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651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166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1,085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455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502427928"/>
          <w:jc w:val="center"/>
        </w:trPr>
        <w:tc>
          <w:tcPr>
            <w:tcW w:w="2135"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Total</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3,150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tcBorders>
              <w:top w:val="single" w:sz="6" w:space="0" w:color="000000"/>
              <w:bottom w:val="double" w:sz="6" w:space="0" w:color="000000"/>
            </w:tcBorders>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951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5,154</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tcBorders>
              <w:top w:val="single" w:sz="6" w:space="0" w:color="000000"/>
              <w:bottom w:val="double" w:sz="6" w:space="0" w:color="000000"/>
            </w:tcBorders>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2,271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
                <w:szCs w:val="2"/>
              </w:rPr>
            </w:pPr>
            <w:r>
              <w:rPr>
                <w:color w:val="000000"/>
                <w:sz w:val="2"/>
                <w:szCs w:val="2"/>
              </w:rPr>
              <w:t> </w:t>
            </w:r>
          </w:p>
        </w:tc>
      </w:tr>
    </w:tbl>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0" w:beforeAutospacing="0" w:after="0" w:afterAutospacing="0"/>
        <w:rPr>
          <w:b/>
          <w:bCs/>
          <w:sz w:val="20"/>
          <w:szCs w:val="20"/>
        </w:rPr>
      </w:pPr>
      <w:r>
        <w:rPr>
          <w:b/>
          <w:bCs/>
          <w:sz w:val="20"/>
          <w:szCs w:val="20"/>
        </w:rPr>
        <w:t>Note 11. Income Taxes</w:t>
      </w:r>
    </w:p>
    <w:p w:rsidR="00000000" w:rsidRDefault="00406BD4">
      <w:pPr>
        <w:pStyle w:val="a3"/>
        <w:spacing w:before="240" w:beforeAutospacing="0" w:after="0" w:afterAutospacing="0"/>
        <w:ind w:firstLine="556"/>
        <w:rPr>
          <w:color w:val="000000"/>
          <w:sz w:val="20"/>
          <w:szCs w:val="20"/>
        </w:rPr>
      </w:pPr>
      <w:r>
        <w:rPr>
          <w:color w:val="000000"/>
          <w:sz w:val="20"/>
          <w:szCs w:val="20"/>
        </w:rPr>
        <w:t xml:space="preserve">Provision for income taxes consists of U.S. federal and state income taxes. A deferred tax liability is recognized for all taxable temporary differences, and a deferred tax asset is recognized for all deductible temporary differences, operating losses and </w:t>
      </w:r>
      <w:r>
        <w:rPr>
          <w:color w:val="000000"/>
          <w:sz w:val="20"/>
          <w:szCs w:val="20"/>
        </w:rPr>
        <w:t>tax credit carryforwards.  A valuation allowance is provided when it is more likely than not that some portion or all of a deferred tax asset will not be realized.</w:t>
      </w:r>
    </w:p>
    <w:p w:rsidR="00000000" w:rsidRDefault="00406BD4">
      <w:pPr>
        <w:pStyle w:val="a3"/>
        <w:spacing w:before="240" w:beforeAutospacing="0" w:after="0" w:afterAutospacing="0"/>
        <w:ind w:firstLine="556"/>
        <w:rPr>
          <w:color w:val="000000"/>
          <w:sz w:val="20"/>
          <w:szCs w:val="20"/>
        </w:rPr>
      </w:pPr>
      <w:r>
        <w:rPr>
          <w:color w:val="000000"/>
          <w:sz w:val="20"/>
          <w:szCs w:val="20"/>
        </w:rPr>
        <w:t>In order to determine the Company’s quarterly provision for income taxes, the Company used a</w:t>
      </w:r>
      <w:r>
        <w:rPr>
          <w:color w:val="000000"/>
          <w:sz w:val="20"/>
          <w:szCs w:val="20"/>
        </w:rPr>
        <w:t>n estimated annual effective tax rate for the full fiscal year ending December 31, 2020, which is based on expected annual income and statutory tax rates in the various jurisdictions in which the Company operates, adjusted for discrete items recognized dur</w:t>
      </w:r>
      <w:r>
        <w:rPr>
          <w:color w:val="000000"/>
          <w:sz w:val="20"/>
          <w:szCs w:val="20"/>
        </w:rPr>
        <w:t>ing the period. Certain significant or unusual items are separately recognized in the quarter during which they occur and can cause the effective tax rate to vary from quarter to quarter.</w:t>
      </w:r>
    </w:p>
    <w:p w:rsidR="00000000" w:rsidRDefault="00406BD4">
      <w:pPr>
        <w:pStyle w:val="a3"/>
        <w:spacing w:before="240" w:beforeAutospacing="0" w:after="0" w:afterAutospacing="0"/>
        <w:ind w:firstLine="556"/>
        <w:rPr>
          <w:color w:val="000000"/>
          <w:sz w:val="20"/>
          <w:szCs w:val="20"/>
        </w:rPr>
      </w:pPr>
      <w:r>
        <w:rPr>
          <w:color w:val="000000"/>
          <w:sz w:val="20"/>
          <w:szCs w:val="20"/>
        </w:rPr>
        <w:t>As of September 30, 2020, the Company has unrecognized income tax be</w:t>
      </w:r>
      <w:r>
        <w:rPr>
          <w:color w:val="000000"/>
          <w:sz w:val="20"/>
          <w:szCs w:val="20"/>
        </w:rPr>
        <w:t>nefits related to federal and state R&amp;D credits totaling $389,000. If recognized, the unrecognized tax benefits would be recorded as a benefit to income tax expense on the Consolidated Statements of Operations. The Company does not currently anticipate sig</w:t>
      </w:r>
      <w:r>
        <w:rPr>
          <w:color w:val="000000"/>
          <w:sz w:val="20"/>
          <w:szCs w:val="20"/>
        </w:rPr>
        <w:t>nificant changes in the amount of unrecognized income tax benefits over the next year.</w:t>
      </w:r>
    </w:p>
    <w:p w:rsidR="00000000" w:rsidRDefault="00406BD4">
      <w:pPr>
        <w:pStyle w:val="a3"/>
        <w:spacing w:before="240" w:beforeAutospacing="0" w:after="0" w:afterAutospacing="0"/>
        <w:ind w:firstLine="556"/>
        <w:rPr>
          <w:sz w:val="20"/>
          <w:szCs w:val="20"/>
        </w:rPr>
      </w:pPr>
      <w:r>
        <w:rPr>
          <w:sz w:val="20"/>
          <w:szCs w:val="20"/>
        </w:rPr>
        <w:t xml:space="preserve">The Company’s effective tax rates were 23% and 21% for the three and nine months ended September 30, 2020, respectively, compared with 4% and 14% for the three and nine </w:t>
      </w:r>
      <w:r>
        <w:rPr>
          <w:sz w:val="20"/>
          <w:szCs w:val="20"/>
        </w:rPr>
        <w:t xml:space="preserve">months ended September 30, 2019, respectively. The change in effective tax rates for the three and nine months ended September 30, 2020, relative to the comparative 2019 periods, was primarily attributable to a significant increase in income for the three </w:t>
      </w:r>
      <w:r>
        <w:rPr>
          <w:sz w:val="20"/>
          <w:szCs w:val="20"/>
        </w:rPr>
        <w:t xml:space="preserve">and nine months ended September 30, 2020, partially offset by a reduction in the valuation allowance on deferred tax assets and increased windfall tax deductions related to stock-based compensation. </w:t>
      </w:r>
    </w:p>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240" w:beforeAutospacing="0" w:after="0" w:afterAutospacing="0"/>
        <w:jc w:val="center"/>
        <w:rPr>
          <w:sz w:val="20"/>
          <w:szCs w:val="20"/>
        </w:rPr>
      </w:pPr>
      <w:r>
        <w:rPr>
          <w:sz w:val="20"/>
          <w:szCs w:val="20"/>
        </w:rPr>
        <w:t>15</w:t>
      </w:r>
    </w:p>
    <w:p w:rsidR="00000000" w:rsidRDefault="00406BD4">
      <w:pPr>
        <w:rPr>
          <w:rFonts w:eastAsia="Times New Roman"/>
        </w:rPr>
      </w:pPr>
      <w:r>
        <w:rPr>
          <w:rFonts w:eastAsia="Times New Roman"/>
        </w:rPr>
        <w:pict>
          <v:rect id="_x0000_i1041"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0" w:beforeAutospacing="0" w:after="0" w:afterAutospacing="0"/>
        <w:rPr>
          <w:b/>
          <w:bCs/>
          <w:sz w:val="20"/>
          <w:szCs w:val="20"/>
        </w:rPr>
      </w:pPr>
      <w:r>
        <w:rPr>
          <w:b/>
          <w:bCs/>
          <w:sz w:val="20"/>
          <w:szCs w:val="20"/>
        </w:rPr>
        <w:t>Note 12. Income (Loss) per Share</w:t>
      </w:r>
    </w:p>
    <w:p w:rsidR="00000000" w:rsidRDefault="00406BD4">
      <w:pPr>
        <w:pStyle w:val="a3"/>
        <w:spacing w:before="240" w:beforeAutospacing="0" w:after="0" w:afterAutospacing="0"/>
        <w:ind w:firstLine="556"/>
        <w:rPr>
          <w:sz w:val="20"/>
          <w:szCs w:val="20"/>
        </w:rPr>
      </w:pPr>
      <w:r>
        <w:rPr>
          <w:sz w:val="20"/>
          <w:szCs w:val="20"/>
        </w:rPr>
        <w:t xml:space="preserve">The following table presents </w:t>
      </w:r>
      <w:r>
        <w:rPr>
          <w:color w:val="000000"/>
          <w:sz w:val="20"/>
          <w:szCs w:val="20"/>
          <w:shd w:val="clear" w:color="auto" w:fill="FFFFFF"/>
        </w:rPr>
        <w:t xml:space="preserve">the calculation of basic and diluted income (loss) per share </w:t>
      </w:r>
      <w:r>
        <w:rPr>
          <w:sz w:val="20"/>
          <w:szCs w:val="20"/>
        </w:rPr>
        <w:t>for the three and nine months ended September 30, 2020 and 2019:</w:t>
      </w:r>
    </w:p>
    <w:p w:rsidR="00000000" w:rsidRDefault="00406BD4">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5"/>
        <w:gridCol w:w="115"/>
        <w:gridCol w:w="920"/>
        <w:gridCol w:w="71"/>
        <w:gridCol w:w="108"/>
        <w:gridCol w:w="115"/>
        <w:gridCol w:w="922"/>
        <w:gridCol w:w="71"/>
        <w:gridCol w:w="108"/>
        <w:gridCol w:w="115"/>
        <w:gridCol w:w="920"/>
        <w:gridCol w:w="72"/>
        <w:gridCol w:w="110"/>
        <w:gridCol w:w="115"/>
        <w:gridCol w:w="927"/>
        <w:gridCol w:w="82"/>
      </w:tblGrid>
      <w:tr w:rsidR="00000000">
        <w:trPr>
          <w:divId w:val="883098524"/>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sz w:val="20"/>
                <w:szCs w:val="20"/>
              </w:rPr>
            </w:pPr>
            <w:r>
              <w:rPr>
                <w:sz w:val="20"/>
                <w:szCs w:val="20"/>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883098524"/>
          <w:jc w:val="center"/>
        </w:trPr>
        <w:tc>
          <w:tcPr>
            <w:tcW w:w="2135"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883098524"/>
          <w:jc w:val="center"/>
        </w:trPr>
        <w:tc>
          <w:tcPr>
            <w:tcW w:w="2135"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(in thousands, except per share data)</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883098524"/>
          <w:jc w:val="center"/>
        </w:trPr>
        <w:tc>
          <w:tcPr>
            <w:tcW w:w="2135"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Net income (loss)</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46,638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1,462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48,003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(115</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883098524"/>
          <w:jc w:val="center"/>
        </w:trPr>
        <w:tc>
          <w:tcPr>
            <w:tcW w:w="2135"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Weighted-average common shares—outstanding, basic</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22,062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18,501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21,793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18,358</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883098524"/>
          <w:jc w:val="center"/>
        </w:trPr>
        <w:tc>
          <w:tcPr>
            <w:tcW w:w="2135"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Weighted-average common shares—outstanding, diluted</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23,539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19,456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23,135</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18,358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883098524"/>
          <w:jc w:val="center"/>
        </w:trPr>
        <w:tc>
          <w:tcPr>
            <w:tcW w:w="2135"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Net income (loss) per common share, basic</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2.11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0.08</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2.20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(0.01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883098524"/>
          <w:jc w:val="center"/>
        </w:trPr>
        <w:tc>
          <w:tcPr>
            <w:tcW w:w="2135"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Net income (loss) per common share, diluted</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1.98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0.08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2.07</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(0.01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bl>
    <w:p w:rsidR="00000000" w:rsidRDefault="00406BD4">
      <w:pPr>
        <w:pStyle w:val="a3"/>
        <w:spacing w:before="240" w:beforeAutospacing="0" w:after="0" w:afterAutospacing="0"/>
        <w:ind w:firstLine="556"/>
        <w:rPr>
          <w:color w:val="000000"/>
          <w:sz w:val="20"/>
          <w:szCs w:val="20"/>
        </w:rPr>
      </w:pPr>
      <w:r>
        <w:rPr>
          <w:color w:val="000000"/>
          <w:sz w:val="20"/>
          <w:szCs w:val="20"/>
        </w:rPr>
        <w:t>The following securities have been excluded from the calculation of diluted income (loss) per share because their effect would have been anti-dilutive:</w:t>
      </w:r>
    </w:p>
    <w:p w:rsidR="00000000" w:rsidRDefault="00406BD4">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47"/>
        <w:gridCol w:w="83"/>
        <w:gridCol w:w="932"/>
        <w:gridCol w:w="83"/>
        <w:gridCol w:w="120"/>
        <w:gridCol w:w="83"/>
        <w:gridCol w:w="934"/>
        <w:gridCol w:w="83"/>
        <w:gridCol w:w="120"/>
        <w:gridCol w:w="83"/>
        <w:gridCol w:w="932"/>
        <w:gridCol w:w="83"/>
        <w:gridCol w:w="120"/>
        <w:gridCol w:w="83"/>
        <w:gridCol w:w="937"/>
        <w:gridCol w:w="83"/>
      </w:tblGrid>
      <w:tr w:rsidR="00000000">
        <w:trPr>
          <w:divId w:val="1093815656"/>
          <w:jc w:val="center"/>
        </w:trPr>
        <w:tc>
          <w:tcPr>
            <w:tcW w:w="2135"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sz w:val="20"/>
                <w:szCs w:val="20"/>
              </w:rPr>
            </w:pPr>
            <w:r>
              <w:rPr>
                <w:sz w:val="20"/>
                <w:szCs w:val="20"/>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093815656"/>
          <w:jc w:val="center"/>
        </w:trPr>
        <w:tc>
          <w:tcPr>
            <w:tcW w:w="2135"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093815656"/>
          <w:jc w:val="center"/>
        </w:trPr>
        <w:tc>
          <w:tcPr>
            <w:tcW w:w="2135"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2814" w:type="pct"/>
            <w:gridSpan w:val="14"/>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093815656"/>
          <w:jc w:val="center"/>
        </w:trPr>
        <w:tc>
          <w:tcPr>
            <w:tcW w:w="2135"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Options</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351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093815656"/>
          <w:jc w:val="center"/>
        </w:trPr>
        <w:tc>
          <w:tcPr>
            <w:tcW w:w="2135"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Restricted Stock Units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167</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1,056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
                <w:szCs w:val="2"/>
              </w:rPr>
            </w:pPr>
            <w:r>
              <w:rPr>
                <w:color w:val="000000"/>
                <w:sz w:val="2"/>
                <w:szCs w:val="2"/>
              </w:rPr>
              <w:t> </w:t>
            </w:r>
          </w:p>
        </w:tc>
      </w:tr>
    </w:tbl>
    <w:p w:rsidR="00000000" w:rsidRDefault="00406BD4">
      <w:pPr>
        <w:pStyle w:val="a3"/>
        <w:spacing w:before="0" w:beforeAutospacing="0" w:after="0" w:afterAutospacing="0"/>
      </w:pPr>
      <w:r>
        <w:t> </w:t>
      </w:r>
    </w:p>
    <w:p w:rsidR="00000000" w:rsidRDefault="00406BD4">
      <w:pPr>
        <w:pStyle w:val="a3"/>
        <w:spacing w:before="0" w:beforeAutospacing="0" w:after="0" w:afterAutospacing="0"/>
        <w:ind w:firstLine="556"/>
        <w:rPr>
          <w:sz w:val="20"/>
          <w:szCs w:val="20"/>
        </w:rPr>
      </w:pPr>
      <w:r>
        <w:rPr>
          <w:sz w:val="20"/>
          <w:szCs w:val="20"/>
        </w:rPr>
        <w:t>The anti-dilutive shares described above were calculated using the treasury stock method. During the nine months ended September 30, 2019, the Company had outstanding stock options and restricted stock units that were excluded from the weighted-average sha</w:t>
      </w:r>
      <w:r>
        <w:rPr>
          <w:sz w:val="20"/>
          <w:szCs w:val="20"/>
        </w:rPr>
        <w:t>re calculation due to the Company’s net loss position.</w:t>
      </w:r>
    </w:p>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180" w:beforeAutospacing="0" w:after="0" w:afterAutospacing="0"/>
        <w:rPr>
          <w:b/>
          <w:bCs/>
          <w:sz w:val="20"/>
          <w:szCs w:val="20"/>
        </w:rPr>
      </w:pPr>
      <w:r>
        <w:rPr>
          <w:b/>
          <w:bCs/>
          <w:sz w:val="20"/>
          <w:szCs w:val="20"/>
        </w:rPr>
        <w:t>Note 13. Related Parties</w:t>
      </w:r>
    </w:p>
    <w:p w:rsidR="00000000" w:rsidRDefault="00406BD4">
      <w:pPr>
        <w:pStyle w:val="a3"/>
        <w:spacing w:before="240" w:beforeAutospacing="0" w:after="0" w:afterAutospacing="0"/>
        <w:ind w:firstLine="556"/>
        <w:rPr>
          <w:sz w:val="20"/>
          <w:szCs w:val="20"/>
        </w:rPr>
      </w:pPr>
      <w:r>
        <w:rPr>
          <w:sz w:val="20"/>
          <w:szCs w:val="20"/>
        </w:rPr>
        <w:t>Linda Marsh, who is a member of the Company’s board of directors, is currently</w:t>
      </w:r>
      <w:r>
        <w:rPr>
          <w:color w:val="000000"/>
          <w:sz w:val="20"/>
          <w:szCs w:val="20"/>
        </w:rPr>
        <w:t> </w:t>
      </w:r>
      <w:r>
        <w:rPr>
          <w:color w:val="000000"/>
          <w:sz w:val="20"/>
          <w:szCs w:val="20"/>
        </w:rPr>
        <w:t>the Senior Executive Vice President of AHMC Healthcare Inc.</w:t>
      </w:r>
      <w:r>
        <w:rPr>
          <w:sz w:val="20"/>
          <w:szCs w:val="20"/>
        </w:rPr>
        <w:t xml:space="preserve">, or AHMC. The Company performs genetic testing and other testing services, on an arms-length basis, for AHMC, and the Company recognized $1.3 million in revenue in the three and nine months ended </w:t>
      </w:r>
      <w:r>
        <w:rPr>
          <w:sz w:val="20"/>
          <w:szCs w:val="20"/>
        </w:rPr>
        <w:t>September 30, 2020. As of September 30, 2020, $1.2 million was owed to the Company by AHMC in connection with this relationship.</w:t>
      </w:r>
    </w:p>
    <w:p w:rsidR="00000000" w:rsidRDefault="00406BD4">
      <w:pPr>
        <w:pStyle w:val="a3"/>
        <w:spacing w:before="240" w:beforeAutospacing="0" w:after="0" w:afterAutospacing="0"/>
        <w:ind w:firstLine="556"/>
        <w:rPr>
          <w:color w:val="000000"/>
          <w:sz w:val="20"/>
          <w:szCs w:val="20"/>
        </w:rPr>
      </w:pPr>
      <w:r>
        <w:rPr>
          <w:color w:val="000000"/>
          <w:sz w:val="20"/>
          <w:szCs w:val="20"/>
        </w:rPr>
        <w:t xml:space="preserve">The Spouse of </w:t>
      </w:r>
      <w:bookmarkStart w:id="16" w:name="highlight-result-1"/>
      <w:bookmarkEnd w:id="16"/>
      <w:r>
        <w:rPr>
          <w:color w:val="000000"/>
          <w:sz w:val="20"/>
          <w:szCs w:val="20"/>
          <w:shd w:val="clear" w:color="auto" w:fill="FFFFFF"/>
        </w:rPr>
        <w:t>our founder, Chief Executive Officer and Chairman of our board of directors, Ming Hsieh, is the owner of JEM Ente</w:t>
      </w:r>
      <w:r>
        <w:rPr>
          <w:color w:val="000000"/>
          <w:sz w:val="20"/>
          <w:szCs w:val="20"/>
          <w:shd w:val="clear" w:color="auto" w:fill="FFFFFF"/>
        </w:rPr>
        <w:t>rprise, or JEM. In the three months ended September 30, 2020, the Company purchased $200,000 of office furniture and supplies from JEM. The Company believed $200,000 was a fair market price for the furniture purchased. As of September 30, 2020, no money wa</w:t>
      </w:r>
      <w:r>
        <w:rPr>
          <w:color w:val="000000"/>
          <w:sz w:val="20"/>
          <w:szCs w:val="20"/>
          <w:shd w:val="clear" w:color="auto" w:fill="FFFFFF"/>
        </w:rPr>
        <w:t>s owed to JEM by the Company in connection with this relationship.</w:t>
      </w:r>
    </w:p>
    <w:p w:rsidR="00000000" w:rsidRDefault="00406BD4">
      <w:pPr>
        <w:pStyle w:val="a3"/>
        <w:spacing w:before="240" w:beforeAutospacing="0" w:after="0" w:afterAutospacing="0"/>
        <w:ind w:firstLine="556"/>
        <w:rPr>
          <w:sz w:val="20"/>
          <w:szCs w:val="20"/>
        </w:rPr>
      </w:pPr>
      <w:r>
        <w:rPr>
          <w:sz w:val="20"/>
          <w:szCs w:val="20"/>
        </w:rPr>
        <w:t xml:space="preserve">As more fully described in Note 14, Equity Method Investments, in </w:t>
      </w:r>
      <w:r>
        <w:rPr>
          <w:sz w:val="20"/>
          <w:szCs w:val="20"/>
          <w:shd w:val="clear" w:color="auto" w:fill="FFFFFF"/>
        </w:rPr>
        <w:t>April 2017, the Company, through an affiliated company formed for the purpose of the relationship, entered into a cooperati</w:t>
      </w:r>
      <w:r>
        <w:rPr>
          <w:sz w:val="20"/>
          <w:szCs w:val="20"/>
          <w:shd w:val="clear" w:color="auto" w:fill="FFFFFF"/>
        </w:rPr>
        <w:t>on agreement, or JV Agreement, with Xilong Scientific Co., Ltd., or Xilong Scientific, and Fuzhou Jinqiang Investment Partnership (LP), or FJIP, to form a joint venture under the laws of the People’s Republic of China, or PRC, called Fujian Fujun Gene Biot</w:t>
      </w:r>
      <w:r>
        <w:rPr>
          <w:sz w:val="20"/>
          <w:szCs w:val="20"/>
          <w:shd w:val="clear" w:color="auto" w:fill="FFFFFF"/>
        </w:rPr>
        <w:t>ech Co., Ltd., or FF Gene Biotech. Xilong Scientific is an affiliate of Xi Long USA, Inc., a company which at one point owned greater than 10% of the Company’s common stock.  XiLong USA, Inc. has since reported beneficial ownership of 4.92% of the Company’</w:t>
      </w:r>
      <w:r>
        <w:rPr>
          <w:sz w:val="20"/>
          <w:szCs w:val="20"/>
          <w:shd w:val="clear" w:color="auto" w:fill="FFFFFF"/>
        </w:rPr>
        <w:t>s common stock in a Schedule 13G filed with the SEC on June 12, 2020. FJIP is owned by key management of FF Gene Biotech, including Dr. Han Lin Gao, the Chief Scientific Officer and a large stockholder of the Company and the owner of approximately 25% of F</w:t>
      </w:r>
      <w:r>
        <w:rPr>
          <w:sz w:val="20"/>
          <w:szCs w:val="20"/>
          <w:shd w:val="clear" w:color="auto" w:fill="FFFFFF"/>
        </w:rPr>
        <w:t>JIP.</w:t>
      </w:r>
    </w:p>
    <w:p w:rsidR="00000000" w:rsidRDefault="00406BD4">
      <w:pPr>
        <w:pStyle w:val="a3"/>
        <w:spacing w:before="240" w:beforeAutospacing="0" w:after="0" w:afterAutospacing="0"/>
        <w:jc w:val="center"/>
        <w:rPr>
          <w:sz w:val="20"/>
          <w:szCs w:val="20"/>
        </w:rPr>
      </w:pPr>
      <w:r>
        <w:rPr>
          <w:sz w:val="20"/>
          <w:szCs w:val="20"/>
        </w:rPr>
        <w:t>16</w:t>
      </w:r>
    </w:p>
    <w:p w:rsidR="00000000" w:rsidRDefault="00406BD4">
      <w:pPr>
        <w:rPr>
          <w:rFonts w:eastAsia="Times New Roman"/>
        </w:rPr>
      </w:pPr>
      <w:r>
        <w:rPr>
          <w:rFonts w:eastAsia="Times New Roman"/>
        </w:rPr>
        <w:pict>
          <v:rect id="_x0000_i1042"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160" w:beforeAutospacing="0" w:after="0" w:afterAutospacing="0"/>
        <w:rPr>
          <w:sz w:val="20"/>
          <w:szCs w:val="20"/>
        </w:rPr>
      </w:pPr>
      <w:r>
        <w:rPr>
          <w:sz w:val="20"/>
          <w:szCs w:val="20"/>
        </w:rPr>
        <w:t> </w:t>
      </w:r>
    </w:p>
    <w:p w:rsidR="00000000" w:rsidRDefault="00406BD4">
      <w:pPr>
        <w:pStyle w:val="a3"/>
        <w:spacing w:before="0" w:beforeAutospacing="0" w:after="0" w:afterAutospacing="0"/>
        <w:rPr>
          <w:b/>
          <w:bCs/>
          <w:sz w:val="20"/>
          <w:szCs w:val="20"/>
        </w:rPr>
      </w:pPr>
      <w:r>
        <w:rPr>
          <w:b/>
          <w:bCs/>
          <w:sz w:val="20"/>
          <w:szCs w:val="20"/>
        </w:rPr>
        <w:t>Note 14. Equity Method Investments</w:t>
      </w:r>
    </w:p>
    <w:p w:rsidR="00000000" w:rsidRDefault="00406BD4">
      <w:pPr>
        <w:pStyle w:val="a3"/>
        <w:spacing w:before="240" w:beforeAutospacing="0" w:after="0" w:afterAutospacing="0"/>
        <w:ind w:firstLine="556"/>
        <w:rPr>
          <w:b/>
          <w:bCs/>
          <w:sz w:val="20"/>
          <w:szCs w:val="20"/>
        </w:rPr>
      </w:pPr>
      <w:r>
        <w:rPr>
          <w:b/>
          <w:bCs/>
          <w:sz w:val="20"/>
          <w:szCs w:val="20"/>
        </w:rPr>
        <w:t>FF Gene Biotech</w:t>
      </w:r>
    </w:p>
    <w:p w:rsidR="00000000" w:rsidRDefault="00406BD4">
      <w:pPr>
        <w:pStyle w:val="a3"/>
        <w:spacing w:before="120" w:beforeAutospacing="0" w:after="0" w:afterAutospacing="0"/>
        <w:ind w:firstLine="556"/>
        <w:rPr>
          <w:sz w:val="20"/>
          <w:szCs w:val="20"/>
        </w:rPr>
      </w:pPr>
      <w:r>
        <w:rPr>
          <w:sz w:val="20"/>
          <w:szCs w:val="20"/>
          <w:shd w:val="clear" w:color="auto" w:fill="FFFFFF"/>
        </w:rPr>
        <w:t>In April 2017, the Company, through an affiliated company formed for the purpose of the relationship, entered into the JV Agreement with Xilong Scientific and</w:t>
      </w:r>
      <w:r>
        <w:rPr>
          <w:color w:val="000000"/>
          <w:sz w:val="20"/>
          <w:szCs w:val="20"/>
          <w:shd w:val="clear" w:color="auto" w:fill="FFFFFF"/>
        </w:rPr>
        <w:t xml:space="preserve"> </w:t>
      </w:r>
      <w:r>
        <w:rPr>
          <w:color w:val="000000"/>
          <w:sz w:val="20"/>
          <w:szCs w:val="20"/>
        </w:rPr>
        <w:t>FJIP</w:t>
      </w:r>
      <w:r>
        <w:rPr>
          <w:sz w:val="20"/>
          <w:szCs w:val="20"/>
          <w:shd w:val="clear" w:color="auto" w:fill="FFFFFF"/>
        </w:rPr>
        <w:t xml:space="preserve"> to form </w:t>
      </w:r>
      <w:r>
        <w:rPr>
          <w:color w:val="000000"/>
          <w:sz w:val="20"/>
          <w:szCs w:val="20"/>
        </w:rPr>
        <w:t>FF Gene Biotech, a joint venture formed under the laws of the PRC to</w:t>
      </w:r>
      <w:r>
        <w:rPr>
          <w:color w:val="000000"/>
          <w:sz w:val="20"/>
          <w:szCs w:val="20"/>
        </w:rPr>
        <w:t xml:space="preserve"> offer</w:t>
      </w:r>
      <w:r>
        <w:rPr>
          <w:sz w:val="20"/>
          <w:szCs w:val="20"/>
          <w:shd w:val="clear" w:color="auto" w:fill="FFFFFF"/>
        </w:rPr>
        <w:t xml:space="preserve"> genetic testing services to customers in the PRC. Pursuant to the terms of the </w:t>
      </w:r>
      <w:r>
        <w:rPr>
          <w:color w:val="000000"/>
          <w:sz w:val="20"/>
          <w:szCs w:val="20"/>
          <w:shd w:val="clear" w:color="auto" w:fill="FFFFFF"/>
        </w:rPr>
        <w:t xml:space="preserve">JV Agreement, the Company has agreed to </w:t>
      </w:r>
      <w:r>
        <w:rPr>
          <w:sz w:val="20"/>
          <w:szCs w:val="20"/>
          <w:shd w:val="clear" w:color="auto" w:fill="FFFFFF"/>
        </w:rPr>
        <w:t xml:space="preserve">contribute to FF Gene Biotech genetic sequencing and other equipment with a total cost of 60,000,000 </w:t>
      </w:r>
      <w:r>
        <w:rPr>
          <w:color w:val="000000"/>
          <w:sz w:val="20"/>
          <w:szCs w:val="20"/>
          <w:shd w:val="clear" w:color="auto" w:fill="FFFFFF"/>
        </w:rPr>
        <w:t xml:space="preserve">renminbi, or </w:t>
      </w:r>
      <w:r>
        <w:rPr>
          <w:sz w:val="20"/>
          <w:szCs w:val="20"/>
          <w:shd w:val="clear" w:color="auto" w:fill="FFFFFF"/>
        </w:rPr>
        <w:t>RMB, over a five</w:t>
      </w:r>
      <w:r>
        <w:rPr>
          <w:sz w:val="20"/>
          <w:szCs w:val="20"/>
          <w:shd w:val="clear" w:color="auto" w:fill="FFFFFF"/>
        </w:rPr>
        <w:t xml:space="preserve">-year period for a 30% ownership interest in FF Gene Biotech (previously three-year per original agreement and amended in April 2019). Xilong Scientific </w:t>
      </w:r>
      <w:r>
        <w:rPr>
          <w:color w:val="000000"/>
          <w:sz w:val="20"/>
          <w:szCs w:val="20"/>
          <w:shd w:val="clear" w:color="auto" w:fill="FFFFFF"/>
        </w:rPr>
        <w:t>has agreed to</w:t>
      </w:r>
      <w:r>
        <w:rPr>
          <w:sz w:val="20"/>
          <w:szCs w:val="20"/>
          <w:shd w:val="clear" w:color="auto" w:fill="FFFFFF"/>
        </w:rPr>
        <w:t xml:space="preserve"> contribute to FF Gene Biotech 102,000,000 RMB over a five-year period for a 51% ownership</w:t>
      </w:r>
      <w:r>
        <w:rPr>
          <w:sz w:val="20"/>
          <w:szCs w:val="20"/>
          <w:shd w:val="clear" w:color="auto" w:fill="FFFFFF"/>
        </w:rPr>
        <w:t xml:space="preserve"> interest in the FF Gene Biotech (previously three-year per original agreement and amended in April 2019). FJIP </w:t>
      </w:r>
      <w:r>
        <w:rPr>
          <w:color w:val="000000"/>
          <w:sz w:val="20"/>
          <w:szCs w:val="20"/>
          <w:shd w:val="clear" w:color="auto" w:fill="FFFFFF"/>
        </w:rPr>
        <w:t>has agreed to</w:t>
      </w:r>
      <w:r>
        <w:rPr>
          <w:sz w:val="20"/>
          <w:szCs w:val="20"/>
          <w:shd w:val="clear" w:color="auto" w:fill="FFFFFF"/>
        </w:rPr>
        <w:t xml:space="preserve"> contribute to FF Gene Biotech 19,000,000 RMB over a ten-year period for a 19% ownership interest in FF Gene Biotech (previously fi</w:t>
      </w:r>
      <w:r>
        <w:rPr>
          <w:sz w:val="20"/>
          <w:szCs w:val="20"/>
          <w:shd w:val="clear" w:color="auto" w:fill="FFFFFF"/>
        </w:rPr>
        <w:t>ve-year per original agreement and amended in April 2019). The Company’s maximum exposure to fund losses of FF Gene Biotech as a result of its minority ownership of this entity is equal to its contribution obligation under the JV Agreement as described abo</w:t>
      </w:r>
      <w:r>
        <w:rPr>
          <w:sz w:val="20"/>
          <w:szCs w:val="20"/>
          <w:shd w:val="clear" w:color="auto" w:fill="FFFFFF"/>
        </w:rPr>
        <w:t xml:space="preserve">ve. As of </w:t>
      </w:r>
      <w:r>
        <w:rPr>
          <w:sz w:val="20"/>
          <w:szCs w:val="20"/>
        </w:rPr>
        <w:t>September 30, 2020</w:t>
      </w:r>
      <w:r>
        <w:rPr>
          <w:sz w:val="20"/>
          <w:szCs w:val="20"/>
          <w:shd w:val="clear" w:color="auto" w:fill="FFFFFF"/>
        </w:rPr>
        <w:t>, 29,700,000 RMB (or approximately $4.4 million U.S. dollars) remains to be contributed to the investee under the terms of the JV agreement. To date, the Company has purchased and contributed equipment with an aggregate fair val</w:t>
      </w:r>
      <w:r>
        <w:rPr>
          <w:sz w:val="20"/>
          <w:szCs w:val="20"/>
          <w:shd w:val="clear" w:color="auto" w:fill="FFFFFF"/>
        </w:rPr>
        <w:t xml:space="preserve">ue of $4.5 million pursuant to its contribution commitment under the JV Agreement., of which, $1.4 million was contributed in the nine months ended September 30, 2020. The Company accounted for this contribution in accordance with </w:t>
      </w:r>
      <w:r>
        <w:rPr>
          <w:i/>
          <w:iCs/>
          <w:sz w:val="20"/>
          <w:szCs w:val="20"/>
          <w:shd w:val="clear" w:color="auto" w:fill="FFFFFF"/>
        </w:rPr>
        <w:t>ASC 845, Nonmonetary Tran</w:t>
      </w:r>
      <w:r>
        <w:rPr>
          <w:i/>
          <w:iCs/>
          <w:sz w:val="20"/>
          <w:szCs w:val="20"/>
          <w:shd w:val="clear" w:color="auto" w:fill="FFFFFF"/>
        </w:rPr>
        <w:t>sactions</w:t>
      </w:r>
      <w:r>
        <w:rPr>
          <w:sz w:val="20"/>
          <w:szCs w:val="20"/>
          <w:shd w:val="clear" w:color="auto" w:fill="FFFFFF"/>
        </w:rPr>
        <w:t>, and recorded an investment based on the fair value of the contributed equipment, which is the same as carryover basis.</w:t>
      </w:r>
    </w:p>
    <w:p w:rsidR="00000000" w:rsidRDefault="00406BD4">
      <w:pPr>
        <w:pStyle w:val="a3"/>
        <w:spacing w:before="240" w:beforeAutospacing="0" w:after="0" w:afterAutospacing="0"/>
        <w:ind w:firstLine="556"/>
        <w:rPr>
          <w:color w:val="000000"/>
          <w:sz w:val="20"/>
          <w:szCs w:val="20"/>
        </w:rPr>
      </w:pPr>
      <w:r>
        <w:rPr>
          <w:color w:val="000000"/>
          <w:sz w:val="20"/>
          <w:szCs w:val="20"/>
        </w:rPr>
        <w:t xml:space="preserve">The Company concluded </w:t>
      </w:r>
      <w:r>
        <w:rPr>
          <w:color w:val="000000"/>
          <w:sz w:val="20"/>
          <w:szCs w:val="20"/>
          <w:shd w:val="clear" w:color="auto" w:fill="FFFFFF"/>
        </w:rPr>
        <w:t xml:space="preserve">FF Gene Biotech is a variable interest entity </w:t>
      </w:r>
      <w:r>
        <w:rPr>
          <w:color w:val="000000"/>
          <w:sz w:val="20"/>
          <w:szCs w:val="20"/>
        </w:rPr>
        <w:t>as FF Gene Biotech lacks sufficient capital to operate inde</w:t>
      </w:r>
      <w:r>
        <w:rPr>
          <w:color w:val="000000"/>
          <w:sz w:val="20"/>
          <w:szCs w:val="20"/>
        </w:rPr>
        <w:t>pendently. The Company concluded that it alone does</w:t>
      </w:r>
      <w:r>
        <w:rPr>
          <w:color w:val="000000"/>
          <w:sz w:val="20"/>
          <w:szCs w:val="20"/>
          <w:shd w:val="clear" w:color="auto" w:fill="FFFFFF"/>
        </w:rPr>
        <w:t xml:space="preserve"> not have </w:t>
      </w:r>
      <w:r>
        <w:rPr>
          <w:color w:val="000000"/>
          <w:sz w:val="20"/>
          <w:szCs w:val="20"/>
        </w:rPr>
        <w:t xml:space="preserve">the power to direct the most </w:t>
      </w:r>
      <w:r>
        <w:rPr>
          <w:color w:val="000000"/>
          <w:sz w:val="20"/>
          <w:szCs w:val="20"/>
          <w:shd w:val="clear" w:color="auto" w:fill="FFFFFF"/>
        </w:rPr>
        <w:t xml:space="preserve">significant </w:t>
      </w:r>
      <w:r>
        <w:rPr>
          <w:color w:val="000000"/>
          <w:sz w:val="20"/>
          <w:szCs w:val="20"/>
        </w:rPr>
        <w:t>activities of FF Gene Biotech</w:t>
      </w:r>
      <w:r>
        <w:rPr>
          <w:color w:val="000000"/>
          <w:sz w:val="20"/>
          <w:szCs w:val="20"/>
          <w:shd w:val="clear" w:color="auto" w:fill="FFFFFF"/>
        </w:rPr>
        <w:t xml:space="preserve"> and </w:t>
      </w:r>
      <w:r>
        <w:rPr>
          <w:color w:val="000000"/>
          <w:sz w:val="20"/>
          <w:szCs w:val="20"/>
        </w:rPr>
        <w:t>therefore is not the primary beneficiary of the entity.</w:t>
      </w:r>
      <w:r>
        <w:rPr>
          <w:color w:val="000000"/>
          <w:sz w:val="20"/>
          <w:szCs w:val="20"/>
          <w:shd w:val="clear" w:color="auto" w:fill="FFFFFF"/>
        </w:rPr>
        <w:t xml:space="preserve"> Judgment regarding the level of influence over FF Gene Biotech i</w:t>
      </w:r>
      <w:r>
        <w:rPr>
          <w:color w:val="000000"/>
          <w:sz w:val="20"/>
          <w:szCs w:val="20"/>
          <w:shd w:val="clear" w:color="auto" w:fill="FFFFFF"/>
        </w:rPr>
        <w:t>ncludes consideration of key factors such as the Company's ownership interest, representation on the board of directors or other management body and participation in policy-making decisions.</w:t>
      </w:r>
    </w:p>
    <w:p w:rsidR="00000000" w:rsidRDefault="00406BD4">
      <w:pPr>
        <w:pStyle w:val="a3"/>
        <w:spacing w:before="240" w:beforeAutospacing="0" w:after="0" w:afterAutospacing="0"/>
        <w:ind w:firstLine="556"/>
        <w:rPr>
          <w:sz w:val="20"/>
          <w:szCs w:val="20"/>
        </w:rPr>
      </w:pPr>
      <w:r>
        <w:rPr>
          <w:sz w:val="20"/>
          <w:szCs w:val="20"/>
          <w:shd w:val="clear" w:color="auto" w:fill="FFFFFF"/>
        </w:rPr>
        <w:t>The Company accounts for its 30% interest in FF Gene Biotech usin</w:t>
      </w:r>
      <w:r>
        <w:rPr>
          <w:sz w:val="20"/>
          <w:szCs w:val="20"/>
          <w:shd w:val="clear" w:color="auto" w:fill="FFFFFF"/>
        </w:rPr>
        <w:t>g the equity method of accounting. The Company recorded its proportionate share of the losses of FF Gene Biotech in the three and nine months ended September 30, 2020 in the accompanying Condensed Consolidated Statements of Operations, and recorded its con</w:t>
      </w:r>
      <w:r>
        <w:rPr>
          <w:sz w:val="20"/>
          <w:szCs w:val="20"/>
          <w:shd w:val="clear" w:color="auto" w:fill="FFFFFF"/>
        </w:rPr>
        <w:t xml:space="preserve">tribution to date, net of its proportionate share in the accumulated losses of FF Gene Biotech, in the accompanying Condensed Consolidated Balance Sheet as of </w:t>
      </w:r>
      <w:r>
        <w:rPr>
          <w:sz w:val="20"/>
          <w:szCs w:val="20"/>
        </w:rPr>
        <w:t>September 30, 2020</w:t>
      </w:r>
      <w:r>
        <w:rPr>
          <w:sz w:val="20"/>
          <w:szCs w:val="20"/>
          <w:shd w:val="clear" w:color="auto" w:fill="FFFFFF"/>
        </w:rPr>
        <w:t>.</w: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160" w:beforeAutospacing="0" w:after="0" w:afterAutospacing="0"/>
        <w:rPr>
          <w:b/>
          <w:bCs/>
          <w:color w:val="000000"/>
          <w:sz w:val="20"/>
          <w:szCs w:val="20"/>
        </w:rPr>
      </w:pPr>
      <w:r>
        <w:rPr>
          <w:b/>
          <w:bCs/>
          <w:color w:val="000000"/>
          <w:sz w:val="20"/>
          <w:szCs w:val="20"/>
        </w:rPr>
        <w:t>Summarize Financial Information</w:t>
      </w:r>
    </w:p>
    <w:p w:rsidR="00000000" w:rsidRDefault="00406BD4">
      <w:pPr>
        <w:pStyle w:val="a3"/>
        <w:spacing w:before="0" w:beforeAutospacing="0" w:after="0" w:afterAutospacing="0"/>
        <w:rPr>
          <w:b/>
          <w:bCs/>
          <w:sz w:val="12"/>
          <w:szCs w:val="12"/>
        </w:rPr>
      </w:pPr>
      <w:r>
        <w:rPr>
          <w:b/>
          <w:bCs/>
          <w:sz w:val="12"/>
          <w:szCs w:val="12"/>
        </w:rPr>
        <w:t> </w:t>
      </w:r>
    </w:p>
    <w:p w:rsidR="00000000" w:rsidRDefault="00406BD4">
      <w:pPr>
        <w:pStyle w:val="a3"/>
        <w:spacing w:before="0" w:beforeAutospacing="0" w:after="0" w:afterAutospacing="0"/>
        <w:ind w:firstLine="556"/>
        <w:rPr>
          <w:color w:val="000000"/>
          <w:sz w:val="20"/>
          <w:szCs w:val="20"/>
        </w:rPr>
      </w:pPr>
      <w:r>
        <w:rPr>
          <w:color w:val="000000"/>
          <w:sz w:val="20"/>
          <w:szCs w:val="20"/>
        </w:rPr>
        <w:t>In the nine months ended September 30, 2020, FF Gene did not constitute 20 percent or more of the Company’s consolidated assets, equity or income from continuing operation, thus the results of operations of FF Gene was not significant to the Company. Summa</w:t>
      </w:r>
      <w:r>
        <w:rPr>
          <w:color w:val="000000"/>
          <w:sz w:val="20"/>
          <w:szCs w:val="20"/>
        </w:rPr>
        <w:t>rized financial information for FF Gene Biotech for the nine months ended September 30, 2019 is as follows.</w:t>
      </w:r>
    </w:p>
    <w:p w:rsidR="00000000" w:rsidRDefault="00406BD4">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6326"/>
        <w:gridCol w:w="116"/>
        <w:gridCol w:w="1782"/>
        <w:gridCol w:w="82"/>
      </w:tblGrid>
      <w:tr w:rsidR="00000000">
        <w:trPr>
          <w:divId w:val="67769471"/>
          <w:jc w:val="center"/>
        </w:trPr>
        <w:tc>
          <w:tcPr>
            <w:tcW w:w="3817"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sz w:val="20"/>
                <w:szCs w:val="20"/>
              </w:rPr>
            </w:pPr>
            <w:r>
              <w:rPr>
                <w:sz w:val="20"/>
                <w:szCs w:val="20"/>
              </w:rPr>
              <w:t> </w:t>
            </w:r>
          </w:p>
        </w:tc>
        <w:tc>
          <w:tcPr>
            <w:tcW w:w="113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67769471"/>
          <w:jc w:val="center"/>
        </w:trPr>
        <w:tc>
          <w:tcPr>
            <w:tcW w:w="3817"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1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67769471"/>
          <w:jc w:val="center"/>
        </w:trPr>
        <w:tc>
          <w:tcPr>
            <w:tcW w:w="3817"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i/>
                <w:iCs/>
                <w:color w:val="000000"/>
                <w:sz w:val="20"/>
                <w:szCs w:val="20"/>
              </w:rPr>
            </w:pPr>
            <w:r>
              <w:rPr>
                <w:i/>
                <w:iCs/>
                <w:color w:val="000000"/>
                <w:sz w:val="20"/>
                <w:szCs w:val="20"/>
              </w:rPr>
              <w:t>Consolidated Statements of Operations Data:</w:t>
            </w:r>
          </w:p>
        </w:tc>
        <w:tc>
          <w:tcPr>
            <w:tcW w:w="1132"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67769471"/>
          <w:jc w:val="center"/>
        </w:trPr>
        <w:tc>
          <w:tcPr>
            <w:tcW w:w="3817"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Net sales</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1082"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2,126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7769471"/>
          <w:jc w:val="center"/>
        </w:trPr>
        <w:tc>
          <w:tcPr>
            <w:tcW w:w="3817"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Gross profit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1,123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67769471"/>
          <w:jc w:val="center"/>
        </w:trPr>
        <w:tc>
          <w:tcPr>
            <w:tcW w:w="3817"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Net loss</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(2,322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67769471"/>
          <w:jc w:val="center"/>
        </w:trPr>
        <w:tc>
          <w:tcPr>
            <w:tcW w:w="3817"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Share of loss from investments accounted for using the equity method</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(603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bl>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240" w:beforeAutospacing="0" w:after="0" w:afterAutospacing="0"/>
        <w:jc w:val="center"/>
        <w:rPr>
          <w:sz w:val="20"/>
          <w:szCs w:val="20"/>
        </w:rPr>
      </w:pPr>
      <w:r>
        <w:rPr>
          <w:sz w:val="20"/>
          <w:szCs w:val="20"/>
        </w:rPr>
        <w:t>17</w:t>
      </w:r>
    </w:p>
    <w:p w:rsidR="00000000" w:rsidRDefault="00406BD4">
      <w:pPr>
        <w:rPr>
          <w:rFonts w:eastAsia="Times New Roman"/>
        </w:rPr>
      </w:pPr>
      <w:r>
        <w:rPr>
          <w:rFonts w:eastAsia="Times New Roman"/>
        </w:rPr>
        <w:pict>
          <v:rect id="_x0000_i1043"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180" w:beforeAutospacing="0" w:after="0" w:afterAutospacing="0"/>
        <w:rPr>
          <w:b/>
          <w:bCs/>
          <w:sz w:val="20"/>
          <w:szCs w:val="20"/>
        </w:rPr>
      </w:pPr>
      <w:r>
        <w:rPr>
          <w:b/>
          <w:bCs/>
          <w:sz w:val="20"/>
          <w:szCs w:val="20"/>
        </w:rPr>
        <w:t>BostonMolecules, Inc.</w:t>
      </w:r>
    </w:p>
    <w:p w:rsidR="00000000" w:rsidRDefault="00406BD4">
      <w:pPr>
        <w:pStyle w:val="a3"/>
        <w:spacing w:before="120" w:beforeAutospacing="0" w:after="0" w:afterAutospacing="0"/>
        <w:ind w:firstLine="556"/>
        <w:rPr>
          <w:sz w:val="20"/>
          <w:szCs w:val="20"/>
        </w:rPr>
      </w:pPr>
      <w:r>
        <w:rPr>
          <w:sz w:val="20"/>
          <w:szCs w:val="20"/>
          <w:shd w:val="clear" w:color="auto" w:fill="FFFFFF"/>
        </w:rPr>
        <w:t>In September 2020, the Company entered into a Series A Preferred Stock Purchase Agreement, or the Series A Purchase Agreement, with BostonMolecules, Inc., or BostonMolecules, a Delaware corporation, pursuant to which the Company purchased 333 shares of Ser</w:t>
      </w:r>
      <w:r>
        <w:rPr>
          <w:sz w:val="20"/>
          <w:szCs w:val="20"/>
          <w:shd w:val="clear" w:color="auto" w:fill="FFFFFF"/>
        </w:rPr>
        <w:t>ies A Preferred Stock of BostonMolecules, $0.0001 par value per share, or the BostonMolecules Shares, at a purchase price of $7,500 per share and an aggregate purchase price of $2.5 million. The BostonMolecules Shares represent an approximate 25% ownership</w:t>
      </w:r>
      <w:r>
        <w:rPr>
          <w:sz w:val="20"/>
          <w:szCs w:val="20"/>
          <w:shd w:val="clear" w:color="auto" w:fill="FFFFFF"/>
        </w:rPr>
        <w:t xml:space="preserve"> interest in BostonMolecules. In connection with its purchase of the BostonMolecules Shares, the Company was granted the right to designate a member of BostonMolecules board of directors and the Company has designated Ming Hsieh to hold this position.</w:t>
      </w:r>
    </w:p>
    <w:p w:rsidR="00000000" w:rsidRDefault="00406BD4">
      <w:pPr>
        <w:pStyle w:val="a3"/>
        <w:spacing w:before="240" w:beforeAutospacing="0" w:after="0" w:afterAutospacing="0"/>
        <w:ind w:firstLine="556"/>
        <w:rPr>
          <w:sz w:val="20"/>
          <w:szCs w:val="20"/>
        </w:rPr>
      </w:pPr>
      <w:r>
        <w:rPr>
          <w:sz w:val="20"/>
          <w:szCs w:val="20"/>
          <w:shd w:val="clear" w:color="auto" w:fill="FFFFFF"/>
        </w:rPr>
        <w:t xml:space="preserve">The </w:t>
      </w:r>
      <w:r>
        <w:rPr>
          <w:sz w:val="20"/>
          <w:szCs w:val="20"/>
          <w:shd w:val="clear" w:color="auto" w:fill="FFFFFF"/>
        </w:rPr>
        <w:t>Company concluded that it has the ability to exercise significant influence over the operating and financial policies of BostonMolecules and therefore concluded the purchase is an equity-method investment. Judgment regarding the level of influence over Bos</w:t>
      </w:r>
      <w:r>
        <w:rPr>
          <w:sz w:val="20"/>
          <w:szCs w:val="20"/>
          <w:shd w:val="clear" w:color="auto" w:fill="FFFFFF"/>
        </w:rPr>
        <w:t>tonMolecules includes consideration of key factors such as the Company's ownership interest and representation on the board of directors.</w:t>
      </w:r>
    </w:p>
    <w:p w:rsidR="00000000" w:rsidRDefault="00406BD4">
      <w:pPr>
        <w:pStyle w:val="a3"/>
        <w:spacing w:before="240" w:beforeAutospacing="0" w:after="0" w:afterAutospacing="0"/>
        <w:ind w:firstLine="556"/>
        <w:rPr>
          <w:sz w:val="20"/>
          <w:szCs w:val="20"/>
        </w:rPr>
      </w:pPr>
      <w:r>
        <w:rPr>
          <w:sz w:val="20"/>
          <w:szCs w:val="20"/>
          <w:shd w:val="clear" w:color="auto" w:fill="FFFFFF"/>
        </w:rPr>
        <w:t>The Company initially accounted for its 25% interest in BostonMolecules using the equity method of accounting. The pri</w:t>
      </w:r>
      <w:r>
        <w:rPr>
          <w:sz w:val="20"/>
          <w:szCs w:val="20"/>
          <w:shd w:val="clear" w:color="auto" w:fill="FFFFFF"/>
        </w:rPr>
        <w:t>mary purpose of the investment was to gain access to certain technologies and products BostonMolecules was developing, however, after the investment was made, similar products became available in the market, and the development of BostonMolecules’ products</w:t>
      </w:r>
      <w:r>
        <w:rPr>
          <w:sz w:val="20"/>
          <w:szCs w:val="20"/>
          <w:shd w:val="clear" w:color="auto" w:fill="FFFFFF"/>
        </w:rPr>
        <w:t xml:space="preserve"> was delayed. Since the current expected performance of BostonMolecules is significantly worse than anticipated when the investment was initially made and recoverability of the Company's investment is not expected, the Company determined its investment has</w:t>
      </w:r>
      <w:r>
        <w:rPr>
          <w:sz w:val="20"/>
          <w:szCs w:val="20"/>
          <w:shd w:val="clear" w:color="auto" w:fill="FFFFFF"/>
        </w:rPr>
        <w:t xml:space="preserve"> been fully impaired. Total investment and direct costs associated with the investment were $2.6 million for the nine months ended September 30, 2020. The Company recorded the impairment loss using the equity method in the accompanying Condensed Consolidat</w:t>
      </w:r>
      <w:r>
        <w:rPr>
          <w:sz w:val="20"/>
          <w:szCs w:val="20"/>
          <w:shd w:val="clear" w:color="auto" w:fill="FFFFFF"/>
        </w:rPr>
        <w:t>ed Statements of Operations.</w:t>
      </w:r>
    </w:p>
    <w:p w:rsidR="00000000" w:rsidRDefault="00406BD4">
      <w:pPr>
        <w:pStyle w:val="a3"/>
        <w:spacing w:before="240" w:beforeAutospacing="0" w:after="0" w:afterAutospacing="0"/>
        <w:ind w:firstLine="556"/>
        <w:rPr>
          <w:sz w:val="20"/>
          <w:szCs w:val="20"/>
        </w:rPr>
      </w:pPr>
      <w:r>
        <w:rPr>
          <w:sz w:val="20"/>
          <w:szCs w:val="20"/>
          <w:shd w:val="clear" w:color="auto" w:fill="FFFFFF"/>
        </w:rPr>
        <w:t>The Company also entered into a distribution agreement with BostonMolecules in June 2020, or the Distribution Agreement, and upon the closing of the aforementioned investment, the Distribution Agreement was amended and restated</w:t>
      </w:r>
      <w:r>
        <w:rPr>
          <w:sz w:val="20"/>
          <w:szCs w:val="20"/>
          <w:shd w:val="clear" w:color="auto" w:fill="FFFFFF"/>
        </w:rPr>
        <w:t>, as amended and restated, the Amended Distribution Agreement. P</w:t>
      </w:r>
      <w:r>
        <w:rPr>
          <w:color w:val="000000"/>
          <w:sz w:val="20"/>
          <w:szCs w:val="20"/>
        </w:rPr>
        <w:t>ursuant to the Amended Distribution Agreement, the Company will</w:t>
      </w:r>
      <w:r>
        <w:rPr>
          <w:sz w:val="20"/>
          <w:szCs w:val="20"/>
          <w:shd w:val="clear" w:color="auto" w:fill="FFFFFF"/>
        </w:rPr>
        <w:t xml:space="preserve"> purchase, use and distribute COVID-19 test kits from BostonMolecules and offer a testing service using these test kits for its c</w:t>
      </w:r>
      <w:r>
        <w:rPr>
          <w:sz w:val="20"/>
          <w:szCs w:val="20"/>
          <w:shd w:val="clear" w:color="auto" w:fill="FFFFFF"/>
        </w:rPr>
        <w:t xml:space="preserve">ustomers within the United States and Canada. Pursuant to the Amended Distribution Agreement, the Company may purchase the COVID-19 test kits from BostonMolecules at a price that is no less favorable than the lowest price charged by BostonMolecules to any </w:t>
      </w:r>
      <w:r>
        <w:rPr>
          <w:sz w:val="20"/>
          <w:szCs w:val="20"/>
          <w:shd w:val="clear" w:color="auto" w:fill="FFFFFF"/>
        </w:rPr>
        <w:t>third party in the United States and Canada for these test kits or their substantial equivalent during the same calendar year. The Company did not purchase any test kits from BostonMolecules in the three and nine months ended September 30, 2020.</w:t>
      </w:r>
      <w:r>
        <w:rPr>
          <w:sz w:val="20"/>
          <w:szCs w:val="20"/>
        </w:rPr>
        <w:t xml:space="preserve"> </w:t>
      </w:r>
    </w:p>
    <w:p w:rsidR="00000000" w:rsidRDefault="00406BD4">
      <w:pPr>
        <w:pStyle w:val="a3"/>
        <w:spacing w:before="240" w:beforeAutospacing="0" w:after="0" w:afterAutospacing="0"/>
        <w:ind w:firstLine="556"/>
        <w:rPr>
          <w:color w:val="000000"/>
          <w:sz w:val="20"/>
          <w:szCs w:val="20"/>
        </w:rPr>
      </w:pPr>
      <w:r>
        <w:rPr>
          <w:color w:val="000000"/>
          <w:sz w:val="20"/>
          <w:szCs w:val="20"/>
        </w:rPr>
        <w:t>Equity me</w:t>
      </w:r>
      <w:r>
        <w:rPr>
          <w:color w:val="000000"/>
          <w:sz w:val="20"/>
          <w:szCs w:val="20"/>
        </w:rPr>
        <w:t>thod investments as of September 30, 2020 and December 31, 2019 consisted of the following:</w:t>
      </w:r>
    </w:p>
    <w:p w:rsidR="00000000" w:rsidRDefault="00406BD4">
      <w:pPr>
        <w:pStyle w:val="a3"/>
        <w:spacing w:before="0" w:beforeAutospacing="0" w:after="0" w:afterAutospacing="0"/>
        <w:rPr>
          <w:sz w:val="10"/>
          <w:szCs w:val="10"/>
        </w:rPr>
      </w:pPr>
      <w:r>
        <w:rPr>
          <w:sz w:val="10"/>
          <w:szCs w:val="10"/>
        </w:rPr>
        <w:t> </w:t>
      </w:r>
    </w:p>
    <w:p w:rsidR="00000000" w:rsidRDefault="00406BD4">
      <w:pPr>
        <w:pStyle w:val="a3"/>
        <w:spacing w:before="0" w:beforeAutospacing="0" w:after="0" w:afterAutospacing="0"/>
        <w:rPr>
          <w:sz w:val="10"/>
          <w:szCs w:val="10"/>
        </w:rPr>
      </w:pPr>
      <w:r>
        <w:rPr>
          <w:sz w:val="10"/>
          <w:szCs w:val="10"/>
        </w:rPr>
        <w:t> </w:t>
      </w:r>
    </w:p>
    <w:tbl>
      <w:tblPr>
        <w:tblW w:w="5000" w:type="pct"/>
        <w:jc w:val="center"/>
        <w:tblCellMar>
          <w:left w:w="0" w:type="dxa"/>
          <w:right w:w="0" w:type="dxa"/>
        </w:tblCellMar>
        <w:tblLook w:val="04A0" w:firstRow="1" w:lastRow="0" w:firstColumn="1" w:lastColumn="0" w:noHBand="0" w:noVBand="1"/>
      </w:tblPr>
      <w:tblGrid>
        <w:gridCol w:w="3525"/>
        <w:gridCol w:w="116"/>
        <w:gridCol w:w="910"/>
        <w:gridCol w:w="65"/>
        <w:gridCol w:w="94"/>
        <w:gridCol w:w="66"/>
        <w:gridCol w:w="907"/>
        <w:gridCol w:w="182"/>
        <w:gridCol w:w="98"/>
        <w:gridCol w:w="116"/>
        <w:gridCol w:w="910"/>
        <w:gridCol w:w="65"/>
        <w:gridCol w:w="94"/>
        <w:gridCol w:w="66"/>
        <w:gridCol w:w="910"/>
        <w:gridCol w:w="182"/>
      </w:tblGrid>
      <w:tr w:rsidR="00000000">
        <w:trPr>
          <w:divId w:val="1685088500"/>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sz w:val="16"/>
                <w:szCs w:val="16"/>
              </w:rPr>
            </w:pPr>
            <w:r>
              <w:rPr>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September 30, 2020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December 31, 2019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685088500"/>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Carrying</w:t>
            </w:r>
          </w:p>
          <w:p w:rsidR="00000000" w:rsidRDefault="00406BD4">
            <w:pPr>
              <w:pStyle w:val="a3"/>
              <w:spacing w:before="0" w:beforeAutospacing="0" w:after="0" w:afterAutospacing="0"/>
              <w:jc w:val="center"/>
              <w:rPr>
                <w:b/>
                <w:bCs/>
                <w:color w:val="000000"/>
                <w:sz w:val="16"/>
                <w:szCs w:val="16"/>
              </w:rPr>
            </w:pPr>
            <w:r>
              <w:rPr>
                <w:b/>
                <w:bCs/>
                <w:color w:val="000000"/>
                <w:sz w:val="16"/>
                <w:szCs w:val="16"/>
              </w:rPr>
              <w:t>Value</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Ownership</w:t>
            </w:r>
          </w:p>
          <w:p w:rsidR="00000000" w:rsidRDefault="00406BD4">
            <w:pPr>
              <w:pStyle w:val="a3"/>
              <w:spacing w:before="0" w:beforeAutospacing="0" w:after="0" w:afterAutospacing="0"/>
              <w:jc w:val="center"/>
              <w:rPr>
                <w:b/>
                <w:bCs/>
                <w:color w:val="000000"/>
                <w:sz w:val="16"/>
                <w:szCs w:val="16"/>
              </w:rPr>
            </w:pPr>
            <w:r>
              <w:rPr>
                <w:b/>
                <w:bCs/>
                <w:color w:val="000000"/>
                <w:sz w:val="16"/>
                <w:szCs w:val="16"/>
              </w:rPr>
              <w:t>Percentage</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Carrying</w:t>
            </w:r>
          </w:p>
          <w:p w:rsidR="00000000" w:rsidRDefault="00406BD4">
            <w:pPr>
              <w:pStyle w:val="a3"/>
              <w:spacing w:before="0" w:beforeAutospacing="0" w:after="0" w:afterAutospacing="0"/>
              <w:jc w:val="center"/>
              <w:rPr>
                <w:b/>
                <w:bCs/>
                <w:color w:val="000000"/>
                <w:sz w:val="16"/>
                <w:szCs w:val="16"/>
              </w:rPr>
            </w:pPr>
            <w:r>
              <w:rPr>
                <w:b/>
                <w:bCs/>
                <w:color w:val="000000"/>
                <w:sz w:val="16"/>
                <w:szCs w:val="16"/>
              </w:rPr>
              <w:t>Value</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Ownership</w:t>
            </w:r>
          </w:p>
          <w:p w:rsidR="00000000" w:rsidRDefault="00406BD4">
            <w:pPr>
              <w:pStyle w:val="a3"/>
              <w:spacing w:before="0" w:beforeAutospacing="0" w:after="0" w:afterAutospacing="0"/>
              <w:jc w:val="center"/>
              <w:rPr>
                <w:b/>
                <w:bCs/>
                <w:color w:val="000000"/>
                <w:sz w:val="16"/>
                <w:szCs w:val="16"/>
              </w:rPr>
            </w:pPr>
            <w:r>
              <w:rPr>
                <w:b/>
                <w:bCs/>
                <w:color w:val="000000"/>
                <w:sz w:val="16"/>
                <w:szCs w:val="16"/>
              </w:rPr>
              <w:t>Percentage</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685088500"/>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685088500"/>
          <w:jc w:val="center"/>
        </w:trPr>
        <w:tc>
          <w:tcPr>
            <w:tcW w:w="213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FF Gene Biotech</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1,621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872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1685088500"/>
          <w:jc w:val="center"/>
        </w:trPr>
        <w:tc>
          <w:tcPr>
            <w:tcW w:w="213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BostonMolecules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000000">
        <w:trPr>
          <w:divId w:val="1685088500"/>
          <w:jc w:val="center"/>
        </w:trPr>
        <w:tc>
          <w:tcPr>
            <w:tcW w:w="213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Total equity method investments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1,621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872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
                <w:szCs w:val="2"/>
              </w:rPr>
            </w:pPr>
            <w:r>
              <w:rPr>
                <w:color w:val="000000"/>
                <w:sz w:val="2"/>
                <w:szCs w:val="2"/>
              </w:rPr>
              <w:t> </w:t>
            </w:r>
          </w:p>
        </w:tc>
      </w:tr>
    </w:tbl>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0" w:beforeAutospacing="0" w:after="0" w:afterAutospacing="0"/>
        <w:rPr>
          <w:b/>
          <w:bCs/>
          <w:color w:val="000000"/>
          <w:sz w:val="20"/>
          <w:szCs w:val="20"/>
        </w:rPr>
      </w:pPr>
      <w:r>
        <w:rPr>
          <w:b/>
          <w:bCs/>
          <w:color w:val="000000"/>
          <w:sz w:val="20"/>
          <w:szCs w:val="20"/>
        </w:rPr>
        <w:t>Note 15. Equity Distribution Agreements</w:t>
      </w:r>
    </w:p>
    <w:p w:rsidR="00000000" w:rsidRDefault="00406BD4">
      <w:pPr>
        <w:pStyle w:val="a3"/>
        <w:spacing w:before="240" w:beforeAutospacing="0" w:after="0" w:afterAutospacing="0"/>
        <w:ind w:firstLine="556"/>
        <w:rPr>
          <w:color w:val="000000"/>
          <w:sz w:val="20"/>
          <w:szCs w:val="20"/>
        </w:rPr>
      </w:pPr>
      <w:bookmarkStart w:id="17" w:name="_Hlk54877335"/>
      <w:bookmarkEnd w:id="17"/>
      <w:r>
        <w:rPr>
          <w:color w:val="000000"/>
          <w:sz w:val="20"/>
          <w:szCs w:val="20"/>
        </w:rPr>
        <w:t xml:space="preserve">In August 2019, the Company entered into an Equity Distribution Agreement, or the Equity Distribution Agreement, with Piper Sandler &amp; Co. (formerly known as Piper Jaffray &amp; Co.), or Piper, as sales agent, as amended </w:t>
      </w:r>
      <w:r>
        <w:rPr>
          <w:color w:val="000000"/>
          <w:sz w:val="20"/>
          <w:szCs w:val="20"/>
        </w:rPr>
        <w:t>on August 4, 2020, pursuant to which the Company offered and sold, from time to time through Piper, shares of its common stock having an aggregate offering price of $44.9 million. Piper received a commission of up to 3% of the gross proceeds received by th</w:t>
      </w:r>
      <w:r>
        <w:rPr>
          <w:color w:val="000000"/>
          <w:sz w:val="20"/>
          <w:szCs w:val="20"/>
        </w:rPr>
        <w:t>e Company for sales pursuant to the Equity Distribution Agreement. During the three months ended September 30, 2020, the Company sold an aggregate of 1,107,884 shares of its common stock pursuant to the Equity Distribution Agreement at a weighted-average s</w:t>
      </w:r>
      <w:r>
        <w:rPr>
          <w:color w:val="000000"/>
          <w:sz w:val="20"/>
          <w:szCs w:val="20"/>
        </w:rPr>
        <w:t>elling price of $38.50 per share, which resulted in $42.7 million of net proceeds to the Company. Shares sold under the Equity Distribution Agreement were offered and sold pursuant to the Company’s registration statement on Form S-3 (File No. 333-233227) f</w:t>
      </w:r>
      <w:r>
        <w:rPr>
          <w:color w:val="000000"/>
          <w:sz w:val="20"/>
          <w:szCs w:val="20"/>
        </w:rPr>
        <w:t>iled with the SEC on August 12, 2019 and declared effective on August 23, 2019, and prospectus supplements and accompanying base prospectus filed with the Securities and Exchange Commission on August 30, 2019, May 6, 2020 and August 5, 2020.</w:t>
      </w:r>
    </w:p>
    <w:p w:rsidR="00000000" w:rsidRDefault="00406BD4">
      <w:pPr>
        <w:pStyle w:val="a3"/>
        <w:spacing w:before="240" w:beforeAutospacing="0" w:after="0" w:afterAutospacing="0"/>
        <w:jc w:val="center"/>
        <w:rPr>
          <w:sz w:val="20"/>
          <w:szCs w:val="20"/>
        </w:rPr>
      </w:pPr>
      <w:r>
        <w:rPr>
          <w:sz w:val="20"/>
          <w:szCs w:val="20"/>
        </w:rPr>
        <w:t>18</w:t>
      </w:r>
    </w:p>
    <w:p w:rsidR="00000000" w:rsidRDefault="00406BD4">
      <w:pPr>
        <w:rPr>
          <w:rFonts w:eastAsia="Times New Roman"/>
        </w:rPr>
      </w:pPr>
      <w:r>
        <w:rPr>
          <w:rFonts w:eastAsia="Times New Roman"/>
        </w:rPr>
        <w:pict>
          <v:rect id="_x0000_i1044"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240" w:beforeAutospacing="0" w:after="0" w:afterAutospacing="0"/>
        <w:ind w:firstLine="556"/>
        <w:rPr>
          <w:color w:val="000000"/>
          <w:sz w:val="20"/>
          <w:szCs w:val="20"/>
        </w:rPr>
      </w:pPr>
      <w:r>
        <w:rPr>
          <w:color w:val="000000"/>
          <w:sz w:val="20"/>
          <w:szCs w:val="20"/>
        </w:rPr>
        <w:t>In September 2020, the Company entered into an Equity Distribution Agreement, or the</w:t>
      </w:r>
      <w:r>
        <w:rPr>
          <w:color w:val="000000"/>
          <w:sz w:val="20"/>
          <w:szCs w:val="20"/>
        </w:rPr>
        <w:t xml:space="preserve"> 2020 Equity Distribution Agreement, with Piper as sales agent, pursuant to which the Company may offer and sell, from time to time through Piper, shares of its common stock having an aggregate offering price of up to $125.0 million. Piper may receive a co</w:t>
      </w:r>
      <w:r>
        <w:rPr>
          <w:color w:val="000000"/>
          <w:sz w:val="20"/>
          <w:szCs w:val="20"/>
        </w:rPr>
        <w:t xml:space="preserve">mmission of up to 3% of the gross proceeds received by the Company for sales pursuant to the 2020 Equity Distribution Agreement. During the three months ended September 30, 2020, the Company sold an aggregate of 200,000 shares of its common stock pursuant </w:t>
      </w:r>
      <w:r>
        <w:rPr>
          <w:color w:val="000000"/>
          <w:sz w:val="20"/>
          <w:szCs w:val="20"/>
        </w:rPr>
        <w:t>to the 2020 Equity Distribution Agreement at a weighted-average selling price of $39.24 per share, which resulted in $7.8 million of net proceeds to the Company. Shares sold under the 2020 Equity Distribution Agreement were offered and sold pursuant to the</w:t>
      </w:r>
      <w:r>
        <w:rPr>
          <w:color w:val="000000"/>
          <w:sz w:val="20"/>
          <w:szCs w:val="20"/>
        </w:rPr>
        <w:t xml:space="preserve"> Company’s registration statement on Form S-3 (File No. 333-239964) filed with the SEC on July 21, 2020, as amended on August 5, 2020, and declared effective on August 12, 2020, and prospectus supplement and accompanying base prospectus filed with the Secu</w:t>
      </w:r>
      <w:r>
        <w:rPr>
          <w:color w:val="000000"/>
          <w:sz w:val="20"/>
          <w:szCs w:val="20"/>
        </w:rPr>
        <w:t>rities and Exchange Commission on September 25, 2020.</w:t>
      </w:r>
    </w:p>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180" w:beforeAutospacing="0" w:after="0" w:afterAutospacing="0"/>
        <w:rPr>
          <w:b/>
          <w:bCs/>
          <w:sz w:val="20"/>
          <w:szCs w:val="20"/>
        </w:rPr>
      </w:pPr>
      <w:r>
        <w:rPr>
          <w:b/>
          <w:bCs/>
          <w:sz w:val="20"/>
          <w:szCs w:val="20"/>
        </w:rPr>
        <w:t>Note 16. Subsequent Event</w:t>
      </w:r>
    </w:p>
    <w:p w:rsidR="00000000" w:rsidRDefault="00406BD4">
      <w:pPr>
        <w:pStyle w:val="a3"/>
        <w:spacing w:before="240" w:beforeAutospacing="0" w:after="0" w:afterAutospacing="0"/>
        <w:ind w:firstLine="556"/>
        <w:rPr>
          <w:sz w:val="20"/>
          <w:szCs w:val="20"/>
        </w:rPr>
      </w:pPr>
      <w:r>
        <w:rPr>
          <w:sz w:val="20"/>
          <w:szCs w:val="20"/>
        </w:rPr>
        <w:t>On October 20, 2020, the Company closed escrow relating to an Agreement for Purchase and Sale of Property, or Purchase Agreement, for the purchase of real property located at</w:t>
      </w:r>
      <w:r>
        <w:rPr>
          <w:sz w:val="20"/>
          <w:szCs w:val="20"/>
        </w:rPr>
        <w:t xml:space="preserve"> 4399-4401 Santa Anita Avenue, El Monte, California, or the Property, from 4401 Santa Anita Corporation, a California corporation, or the Seller. The Company paid an aggregate of $15.4 million in exchange for the Property which consists of approximately 61</w:t>
      </w:r>
      <w:r>
        <w:rPr>
          <w:sz w:val="20"/>
          <w:szCs w:val="20"/>
        </w:rPr>
        <w:t xml:space="preserve">,612 total square feet of building situated on 2.6 acres of land. In connection with the signing of the Purchase Agreement the Company provided a refundable $350,000 deposit to Seller, which was </w:t>
      </w:r>
      <w:r>
        <w:rPr>
          <w:color w:val="000000"/>
          <w:sz w:val="20"/>
          <w:szCs w:val="20"/>
        </w:rPr>
        <w:t>included in other current assets in the accompanying Condense</w:t>
      </w:r>
      <w:r>
        <w:rPr>
          <w:color w:val="000000"/>
          <w:sz w:val="20"/>
          <w:szCs w:val="20"/>
        </w:rPr>
        <w:t>d Consolidated Balance Sheets</w:t>
      </w:r>
      <w:r>
        <w:rPr>
          <w:sz w:val="20"/>
          <w:szCs w:val="20"/>
        </w:rPr>
        <w:t xml:space="preserve">. In connection with the closing of escrow, the Company paid the remaining amount owed pursuant to the Purchase Agreement of approximately $15.0 million to Seller. </w:t>
      </w:r>
    </w:p>
    <w:p w:rsidR="00000000" w:rsidRDefault="00406BD4">
      <w:pPr>
        <w:pStyle w:val="a3"/>
        <w:spacing w:before="240" w:beforeAutospacing="0" w:after="0" w:afterAutospacing="0"/>
        <w:ind w:firstLine="556"/>
        <w:rPr>
          <w:sz w:val="20"/>
          <w:szCs w:val="20"/>
        </w:rPr>
      </w:pPr>
      <w:r>
        <w:rPr>
          <w:sz w:val="20"/>
          <w:szCs w:val="20"/>
        </w:rPr>
        <w:t xml:space="preserve">The $15.0 million paid in connection with the close of escrow </w:t>
      </w:r>
      <w:r>
        <w:rPr>
          <w:sz w:val="20"/>
          <w:szCs w:val="20"/>
        </w:rPr>
        <w:t xml:space="preserve">was financed using a margin loan with the custodian of the Company’s marketable security investment account. The marketable securities in the brokerage account were used as collateral for the margin loan. The custodian can issue a margin call at any time. </w:t>
      </w:r>
      <w:r>
        <w:rPr>
          <w:sz w:val="20"/>
          <w:szCs w:val="20"/>
        </w:rPr>
        <w:t>The interest rate on the margin loan was the effective federal funds rate, or EFFR, plus a spread, and the EFFR and/or the spread can be changed by Bank of New York at any time. The interest was 1% at the time of withdrawal of $15.0 million from the margin</w:t>
      </w:r>
      <w:r>
        <w:rPr>
          <w:sz w:val="20"/>
          <w:szCs w:val="20"/>
        </w:rPr>
        <w:t xml:space="preserve"> account. The Company did not make any other withdrawals from the margin account.</w:t>
      </w:r>
    </w:p>
    <w:p w:rsidR="00000000" w:rsidRDefault="00406BD4">
      <w:pPr>
        <w:pStyle w:val="a3"/>
        <w:spacing w:before="240" w:beforeAutospacing="0" w:after="0" w:afterAutospacing="0"/>
        <w:ind w:firstLine="556"/>
        <w:rPr>
          <w:sz w:val="20"/>
          <w:szCs w:val="20"/>
        </w:rPr>
      </w:pPr>
      <w:r>
        <w:rPr>
          <w:sz w:val="20"/>
          <w:szCs w:val="20"/>
        </w:rPr>
        <w:t xml:space="preserve">Subsequent to September 30, 2020, </w:t>
      </w:r>
      <w:r>
        <w:rPr>
          <w:color w:val="000000"/>
          <w:sz w:val="20"/>
          <w:szCs w:val="20"/>
          <w:shd w:val="clear" w:color="auto" w:fill="FFFFFF"/>
        </w:rPr>
        <w:t>the Company sold an aggregate of 940,018 shares of its common stock pursuant to the 2020 Equity Distribution Agreement at a weighted-average</w:t>
      </w:r>
      <w:r>
        <w:rPr>
          <w:color w:val="000000"/>
          <w:sz w:val="20"/>
          <w:szCs w:val="20"/>
          <w:shd w:val="clear" w:color="auto" w:fill="FFFFFF"/>
        </w:rPr>
        <w:t xml:space="preserve"> selling price of $43.48 per share, which resulted in $40.9 million of gross proceeds to the Company. Shares sold under the 2020 Equity Distribution Agreement were offered and sold pursuant to the Company’s registration statement on Form S-3 (File No. 333-</w:t>
      </w:r>
      <w:r>
        <w:rPr>
          <w:color w:val="000000"/>
          <w:sz w:val="20"/>
          <w:szCs w:val="20"/>
          <w:shd w:val="clear" w:color="auto" w:fill="FFFFFF"/>
        </w:rPr>
        <w:t>239964) filed with the SEC on July 21, 2020, as amended on August 5, 2020, and declared effective on August 12, 2020, and prospectus supplement and accompanying base prospectus filed with the Securities and Exchange Commission on September 25, 2020.</w:t>
      </w:r>
    </w:p>
    <w:p w:rsidR="00000000" w:rsidRDefault="00406BD4">
      <w:pPr>
        <w:pStyle w:val="a3"/>
        <w:spacing w:before="240" w:beforeAutospacing="0" w:after="0" w:afterAutospacing="0"/>
        <w:jc w:val="center"/>
        <w:rPr>
          <w:sz w:val="20"/>
          <w:szCs w:val="20"/>
        </w:rPr>
      </w:pPr>
      <w:r>
        <w:rPr>
          <w:sz w:val="20"/>
          <w:szCs w:val="20"/>
        </w:rPr>
        <w:t>19</w:t>
      </w:r>
    </w:p>
    <w:p w:rsidR="00000000" w:rsidRDefault="00406BD4">
      <w:pPr>
        <w:rPr>
          <w:rFonts w:eastAsia="Times New Roman"/>
        </w:rPr>
      </w:pPr>
      <w:r>
        <w:rPr>
          <w:rFonts w:eastAsia="Times New Roman"/>
        </w:rPr>
        <w:pict>
          <v:rect id="_x0000_i1045"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0" w:beforeAutospacing="0" w:after="0" w:afterAutospacing="0"/>
        <w:rPr>
          <w:b/>
          <w:bCs/>
          <w:sz w:val="20"/>
          <w:szCs w:val="20"/>
        </w:rPr>
      </w:pPr>
      <w:bookmarkStart w:id="18" w:name="ITEM_2_MANAGEMENTS_DISCUSSION_ANALYSIS_F"/>
      <w:bookmarkStart w:id="19" w:name="ITEM_2_MANAGEMENTS_DISCUSSION_ANALYSIS_"/>
      <w:bookmarkEnd w:id="18"/>
      <w:r>
        <w:rPr>
          <w:b/>
          <w:bCs/>
          <w:sz w:val="20"/>
          <w:szCs w:val="20"/>
        </w:rPr>
        <w:t>Item 2. Management’s Discussion and Analysis of</w:t>
      </w:r>
      <w:bookmarkEnd w:id="19"/>
      <w:r>
        <w:rPr>
          <w:b/>
          <w:bCs/>
          <w:sz w:val="20"/>
          <w:szCs w:val="20"/>
        </w:rPr>
        <w:t xml:space="preserve"> Financial Condition and Re</w:t>
      </w:r>
      <w:r>
        <w:rPr>
          <w:b/>
          <w:bCs/>
          <w:sz w:val="20"/>
          <w:szCs w:val="20"/>
        </w:rPr>
        <w:t>sults of Operations.</w:t>
      </w:r>
    </w:p>
    <w:p w:rsidR="00000000" w:rsidRDefault="00406BD4">
      <w:pPr>
        <w:pStyle w:val="a3"/>
        <w:spacing w:before="120" w:beforeAutospacing="0" w:after="0" w:afterAutospacing="0"/>
        <w:ind w:firstLine="556"/>
        <w:rPr>
          <w:i/>
          <w:iCs/>
          <w:sz w:val="20"/>
          <w:szCs w:val="20"/>
        </w:rPr>
      </w:pPr>
      <w:bookmarkStart w:id="20" w:name="_DV_C1183"/>
      <w:bookmarkStart w:id="21" w:name="_DV_C1184"/>
      <w:bookmarkStart w:id="22" w:name="_DV_C1182"/>
      <w:bookmarkEnd w:id="20"/>
      <w:bookmarkEnd w:id="21"/>
      <w:r>
        <w:rPr>
          <w:i/>
          <w:iCs/>
          <w:sz w:val="20"/>
          <w:szCs w:val="20"/>
        </w:rPr>
        <w:t>The following discussion and analysis of our financial condition and results of operations should be read together with our condensed consolidated financial statements and related notes included in this report. Additionally, pursuant t</w:t>
      </w:r>
      <w:r>
        <w:rPr>
          <w:i/>
          <w:iCs/>
          <w:sz w:val="20"/>
          <w:szCs w:val="20"/>
        </w:rPr>
        <w:t>o Instruction 2 to paragraph (b) of Item 303 of Regulation S-K promulgated by the Securities and Exchange Commission, in preparing this discussion and analysis, we presume that readers have access to and have read the discussion and analysis of our financi</w:t>
      </w:r>
      <w:bookmarkEnd w:id="22"/>
      <w:r>
        <w:rPr>
          <w:i/>
          <w:iCs/>
          <w:sz w:val="20"/>
          <w:szCs w:val="20"/>
        </w:rPr>
        <w:t>al condition and results of operations included in our annual report on Form 10-K for our fiscal year ended December 31, 2019 filed with the SEC on March 13, 2020. As used in this discussion and analysis and elsewhere in this report</w:t>
      </w:r>
      <w:r>
        <w:rPr>
          <w:i/>
          <w:iCs/>
          <w:sz w:val="20"/>
          <w:szCs w:val="20"/>
        </w:rPr>
        <w:t>,</w:t>
      </w:r>
      <w:r>
        <w:rPr>
          <w:sz w:val="20"/>
          <w:szCs w:val="20"/>
        </w:rPr>
        <w:t xml:space="preserve"> </w:t>
      </w:r>
      <w:r>
        <w:rPr>
          <w:i/>
          <w:iCs/>
          <w:sz w:val="20"/>
          <w:szCs w:val="20"/>
        </w:rPr>
        <w:t>unless the context oth</w:t>
      </w:r>
      <w:r>
        <w:rPr>
          <w:i/>
          <w:iCs/>
          <w:sz w:val="20"/>
          <w:szCs w:val="20"/>
        </w:rPr>
        <w:t>erwise requires, the terms “Fulgent,” the “Company,” “we,” “us” and “our” refer to Fulgent Genetics, Inc. and its consolidated subsidiaries.</w:t>
      </w:r>
    </w:p>
    <w:p w:rsidR="00000000" w:rsidRDefault="00406BD4">
      <w:pPr>
        <w:pStyle w:val="a3"/>
        <w:spacing w:before="360" w:beforeAutospacing="0" w:after="0" w:afterAutospacing="0"/>
        <w:jc w:val="center"/>
        <w:rPr>
          <w:b/>
          <w:bCs/>
          <w:i/>
          <w:iCs/>
          <w:sz w:val="20"/>
          <w:szCs w:val="20"/>
        </w:rPr>
      </w:pPr>
      <w:bookmarkStart w:id="23" w:name="_DV_C1186"/>
      <w:bookmarkEnd w:id="23"/>
      <w:r>
        <w:rPr>
          <w:b/>
          <w:bCs/>
          <w:i/>
          <w:iCs/>
          <w:sz w:val="20"/>
          <w:szCs w:val="20"/>
        </w:rPr>
        <w:t>Forward-Looking Statements</w:t>
      </w:r>
    </w:p>
    <w:p w:rsidR="00000000" w:rsidRDefault="00406BD4">
      <w:pPr>
        <w:pStyle w:val="a3"/>
        <w:spacing w:before="240" w:beforeAutospacing="0" w:after="0" w:afterAutospacing="0"/>
        <w:ind w:firstLine="556"/>
        <w:rPr>
          <w:i/>
          <w:iCs/>
          <w:color w:val="000000"/>
          <w:sz w:val="20"/>
          <w:szCs w:val="20"/>
        </w:rPr>
      </w:pPr>
      <w:bookmarkStart w:id="24" w:name="_dv_c1186_12139152"/>
      <w:r>
        <w:rPr>
          <w:i/>
          <w:iCs/>
          <w:color w:val="000000"/>
          <w:sz w:val="20"/>
          <w:szCs w:val="20"/>
        </w:rPr>
        <w:t>The following discussion and analysis contains forward-looking statements within the mea</w:t>
      </w:r>
      <w:r>
        <w:rPr>
          <w:i/>
          <w:iCs/>
          <w:color w:val="000000"/>
          <w:sz w:val="20"/>
          <w:szCs w:val="20"/>
        </w:rPr>
        <w:t xml:space="preserve">ning of Section 27A of the Securities Act of 1933, as amended, or the Securities Act, and Section 21E of the Securities Exchange Act of 1934, as amended, or the Exchange Act. Forward-looking statements are statements other than historical facts and relate </w:t>
      </w:r>
      <w:r>
        <w:rPr>
          <w:i/>
          <w:iCs/>
          <w:color w:val="000000"/>
          <w:sz w:val="20"/>
          <w:szCs w:val="20"/>
        </w:rPr>
        <w:t>to future events or circumstances or our future performance, and they are based on our current assumptions, expectations and beliefs concerning future developments and their potential effect on our business. The forward-looking statements in this discussio</w:t>
      </w:r>
      <w:r>
        <w:rPr>
          <w:i/>
          <w:iCs/>
          <w:color w:val="000000"/>
          <w:sz w:val="20"/>
          <w:szCs w:val="20"/>
        </w:rPr>
        <w:t>n and analysis include statements about, among other things, our future financial and operating performance, our future cash flows and liquidity and our growth strategies, as well as anticipated trends in our business and industry. These forward-looking st</w:t>
      </w:r>
      <w:r>
        <w:rPr>
          <w:i/>
          <w:iCs/>
          <w:color w:val="000000"/>
          <w:sz w:val="20"/>
          <w:szCs w:val="20"/>
        </w:rPr>
        <w:t>atements are subject to a number of risks and uncertainties, including, among others, those described under “Item 1A. Risk Factors” in Part II of this report. Moreover, we operate in a competitive and rapidly evolving industry and new risks emerge from tim</w:t>
      </w:r>
      <w:r>
        <w:rPr>
          <w:i/>
          <w:iCs/>
          <w:color w:val="000000"/>
          <w:sz w:val="20"/>
          <w:szCs w:val="20"/>
        </w:rPr>
        <w:t>e to time. It is not possible for us to predict all of the risks we may face, nor can we assess the impact of all factors on our business or the extent to which any factor or combination of factors could cause actual results to differ from our expectations</w:t>
      </w:r>
      <w:r>
        <w:rPr>
          <w:i/>
          <w:iCs/>
          <w:color w:val="000000"/>
          <w:sz w:val="20"/>
          <w:szCs w:val="20"/>
        </w:rPr>
        <w:t>. In light of these risks and uncertainties, the forward-looking events and circumstances described in this discussion and analysis may not occur, and actual results could differ materially and adversely from those described in or implied by any forward-lo</w:t>
      </w:r>
      <w:r>
        <w:rPr>
          <w:i/>
          <w:iCs/>
          <w:color w:val="000000"/>
          <w:sz w:val="20"/>
          <w:szCs w:val="20"/>
        </w:rPr>
        <w:t>oking statements we make. Although we have based our forward-looking statements on assumptions and expectations we believe are reasonable, we cannot guarantee future results, levels of activity, performance or achievements or other future events. As a resu</w:t>
      </w:r>
      <w:r>
        <w:rPr>
          <w:i/>
          <w:iCs/>
          <w:color w:val="000000"/>
          <w:sz w:val="20"/>
          <w:szCs w:val="20"/>
        </w:rPr>
        <w:t>lt, forward-looking statements should not be relied on or viewed as predictions of future events, and this discussion and analysis should be read with the understanding that actual future results, levels of activity, performance and achievements may be mat</w:t>
      </w:r>
      <w:r>
        <w:rPr>
          <w:i/>
          <w:iCs/>
          <w:color w:val="000000"/>
          <w:sz w:val="20"/>
          <w:szCs w:val="20"/>
        </w:rPr>
        <w:t xml:space="preserve">erially different than our current expectations. The forward-looking statements in this discussion and analysis speak only as of the date of this report, and except as </w:t>
      </w:r>
      <w:bookmarkEnd w:id="24"/>
      <w:r>
        <w:rPr>
          <w:i/>
          <w:iCs/>
          <w:color w:val="000000"/>
          <w:sz w:val="20"/>
          <w:szCs w:val="20"/>
        </w:rPr>
        <w:t>required by law, we undertake no obligation to update publicly any forward-looking state</w:t>
      </w:r>
      <w:r>
        <w:rPr>
          <w:i/>
          <w:iCs/>
          <w:color w:val="000000"/>
          <w:sz w:val="20"/>
          <w:szCs w:val="20"/>
        </w:rPr>
        <w:t>ments for any reason after the date of this report to conform these statements to actual results or to changes in our expectations.</w:t>
      </w:r>
    </w:p>
    <w:p w:rsidR="00000000" w:rsidRDefault="00406BD4">
      <w:pPr>
        <w:pStyle w:val="a3"/>
        <w:spacing w:before="360" w:beforeAutospacing="0" w:after="0" w:afterAutospacing="0"/>
        <w:jc w:val="center"/>
        <w:rPr>
          <w:b/>
          <w:bCs/>
          <w:color w:val="000000"/>
          <w:sz w:val="20"/>
          <w:szCs w:val="20"/>
        </w:rPr>
      </w:pPr>
      <w:bookmarkStart w:id="25" w:name="_dv_c1189_12139152"/>
      <w:bookmarkStart w:id="26" w:name="_dv_c1189_11888976_12139152"/>
      <w:bookmarkEnd w:id="25"/>
      <w:bookmarkEnd w:id="26"/>
      <w:r>
        <w:rPr>
          <w:b/>
          <w:bCs/>
          <w:color w:val="000000"/>
          <w:sz w:val="20"/>
          <w:szCs w:val="20"/>
        </w:rPr>
        <w:t>Overview</w:t>
      </w:r>
    </w:p>
    <w:p w:rsidR="00000000" w:rsidRDefault="00406BD4">
      <w:pPr>
        <w:pStyle w:val="a3"/>
        <w:spacing w:before="240" w:beforeAutospacing="0" w:after="0" w:afterAutospacing="0"/>
        <w:ind w:firstLine="556"/>
        <w:rPr>
          <w:color w:val="000000"/>
          <w:sz w:val="20"/>
          <w:szCs w:val="20"/>
        </w:rPr>
      </w:pPr>
      <w:r>
        <w:rPr>
          <w:color w:val="000000"/>
          <w:sz w:val="20"/>
          <w:szCs w:val="20"/>
        </w:rPr>
        <w:t xml:space="preserve">We are a technology company offering comprehensive genetic testing providing physicians with clinically actionable </w:t>
      </w:r>
      <w:r>
        <w:rPr>
          <w:color w:val="000000"/>
          <w:sz w:val="20"/>
          <w:szCs w:val="20"/>
        </w:rPr>
        <w:t>diagnostic information they can use to improve the quality of patient care. We have developed a proprietary technology platform that allows us to offer a broad and flexible test menu and continually expand and improve our proprietary genetic reference libr</w:t>
      </w:r>
      <w:r>
        <w:rPr>
          <w:color w:val="000000"/>
          <w:sz w:val="20"/>
          <w:szCs w:val="20"/>
        </w:rPr>
        <w:t>ary, while maintaining accessible pricing, high accuracy and competitive turnaround times. We believe our test menu offers more genes for testing than our competitors in today’s market, which enables us to provide expansive options for test customization a</w:t>
      </w:r>
      <w:r>
        <w:rPr>
          <w:color w:val="000000"/>
          <w:sz w:val="20"/>
          <w:szCs w:val="20"/>
        </w:rPr>
        <w:t>nd clinically actionable results.</w:t>
      </w:r>
    </w:p>
    <w:p w:rsidR="00000000" w:rsidRDefault="00406BD4">
      <w:pPr>
        <w:pStyle w:val="a3"/>
        <w:spacing w:before="240" w:beforeAutospacing="0" w:after="0" w:afterAutospacing="0"/>
        <w:ind w:firstLine="556"/>
        <w:rPr>
          <w:color w:val="000000"/>
          <w:sz w:val="20"/>
          <w:szCs w:val="20"/>
        </w:rPr>
      </w:pPr>
      <w:bookmarkStart w:id="27" w:name="_Hlk46260962"/>
      <w:r>
        <w:rPr>
          <w:color w:val="000000"/>
          <w:sz w:val="20"/>
          <w:szCs w:val="20"/>
        </w:rPr>
        <w:t>Our customer base consists primarily of hospitals, medical institutions, other laboratories,</w:t>
      </w:r>
      <w:bookmarkEnd w:id="27"/>
      <w:r>
        <w:rPr>
          <w:color w:val="000000"/>
          <w:sz w:val="20"/>
          <w:szCs w:val="20"/>
        </w:rPr>
        <w:t xml:space="preserve"> governmental bodies, municipalities, and large corporations, which are typically frequent and high-volume users of tests and whic</w:t>
      </w:r>
      <w:r>
        <w:rPr>
          <w:color w:val="000000"/>
          <w:sz w:val="20"/>
          <w:szCs w:val="20"/>
        </w:rPr>
        <w:t>h often pay us directly for our tests. We believe our relationships with these customers provide a meaningful opportunity for further growth, as we seek to deepen these relationships and drive increased ordering. We also believe our offerings could be attr</w:t>
      </w:r>
      <w:r>
        <w:rPr>
          <w:color w:val="000000"/>
          <w:sz w:val="20"/>
          <w:szCs w:val="20"/>
        </w:rPr>
        <w:t>active to other types of customers, including individual physicians and other practitioners, research institutions and other organizations, and we are building relationships in these new customer markets. Although we have devoted fewer overall resources to</w:t>
      </w:r>
      <w:r>
        <w:rPr>
          <w:color w:val="000000"/>
          <w:sz w:val="20"/>
          <w:szCs w:val="20"/>
        </w:rPr>
        <w:t xml:space="preserve"> sales and marketing efforts than many of our competitors, we made material investments in our sales and marketing team and strategies, the global reach of our business and other aspects of our operations.</w:t>
      </w:r>
    </w:p>
    <w:p w:rsidR="00000000" w:rsidRDefault="00406BD4">
      <w:pPr>
        <w:pStyle w:val="a3"/>
        <w:spacing w:before="240" w:beforeAutospacing="0" w:after="0" w:afterAutospacing="0"/>
        <w:jc w:val="center"/>
        <w:rPr>
          <w:sz w:val="20"/>
          <w:szCs w:val="20"/>
        </w:rPr>
      </w:pPr>
      <w:r>
        <w:rPr>
          <w:sz w:val="20"/>
          <w:szCs w:val="20"/>
        </w:rPr>
        <w:t>20</w:t>
      </w:r>
    </w:p>
    <w:p w:rsidR="00000000" w:rsidRDefault="00406BD4">
      <w:pPr>
        <w:rPr>
          <w:rFonts w:eastAsia="Times New Roman"/>
        </w:rPr>
      </w:pPr>
      <w:r>
        <w:rPr>
          <w:rFonts w:eastAsia="Times New Roman"/>
        </w:rPr>
        <w:pict>
          <v:rect id="_x0000_i1046"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240" w:beforeAutospacing="0" w:after="0" w:afterAutospacing="0"/>
        <w:ind w:firstLine="556"/>
        <w:rPr>
          <w:color w:val="000000"/>
          <w:sz w:val="20"/>
          <w:szCs w:val="20"/>
        </w:rPr>
      </w:pPr>
      <w:bookmarkStart w:id="28" w:name="_dv_c1191_12139152"/>
      <w:r>
        <w:rPr>
          <w:color w:val="000000"/>
          <w:sz w:val="20"/>
          <w:szCs w:val="20"/>
        </w:rPr>
        <w:t>We offer tests at competitive prices averaging $103 per billable test delivered in the nine months ended September 30, 2</w:t>
      </w:r>
      <w:r>
        <w:rPr>
          <w:color w:val="000000"/>
          <w:sz w:val="20"/>
          <w:szCs w:val="20"/>
        </w:rPr>
        <w:t>020, and at a lower cost to us than many of our competitors, averaging approximately $31 per billable test delivered in the nine months ended September 30, 2020. Our volume has grown rapidly since our commercial launch, with 1,035,000 and 1,229,000 billabl</w:t>
      </w:r>
      <w:r>
        <w:rPr>
          <w:color w:val="000000"/>
          <w:sz w:val="20"/>
          <w:szCs w:val="20"/>
        </w:rPr>
        <w:t>e tests delivered in the three and nine months ended September 30, 2020, respectively, compared to 21,000 and 45,000 billable tests delivered in the three and nine months ended September 30, 2019, respectively. An aggregate of 1,347,000 billable tests were</w:t>
      </w:r>
      <w:r>
        <w:rPr>
          <w:color w:val="000000"/>
          <w:sz w:val="20"/>
          <w:szCs w:val="20"/>
        </w:rPr>
        <w:t xml:space="preserve"> delivered to 1,299 groups of customers since launching our first commercial genetic tests in 2013 and through September 30, 2020. We have experienced compound quarterly growth of 107% in the number of billable tests delivered in our last eight completed f</w:t>
      </w:r>
      <w:r>
        <w:rPr>
          <w:color w:val="000000"/>
          <w:sz w:val="20"/>
          <w:szCs w:val="20"/>
        </w:rPr>
        <w:t>iscal quarters. We recorded revenue and net income of $101.7 million and $46.6 million, respectively, in the three months ended September 30, 2020, compared to revenue and net income of $10.3 million and $1.5 million, respectively, in the three months ende</w:t>
      </w:r>
      <w:r>
        <w:rPr>
          <w:color w:val="000000"/>
          <w:sz w:val="20"/>
          <w:szCs w:val="20"/>
        </w:rPr>
        <w:t xml:space="preserve">d September 30, 2019. We recorded revenue and net income of $126.7 million and $48.0 million, respectively, in the nine months ended September 30, 2020, compared to revenue and net loss of $24.1 million and $115,000, respectively, in the nine months ended </w:t>
      </w:r>
      <w:r>
        <w:rPr>
          <w:color w:val="000000"/>
          <w:sz w:val="20"/>
          <w:szCs w:val="20"/>
        </w:rPr>
        <w:t>September 30, 2019. We achieved profitability in the first half of 2017, the second and third quarters of 2019 and the second and third quarters of 2020</w:t>
      </w:r>
      <w:bookmarkEnd w:id="28"/>
      <w:r>
        <w:rPr>
          <w:color w:val="000000"/>
          <w:sz w:val="20"/>
          <w:szCs w:val="20"/>
        </w:rPr>
        <w:t>, but we have recorded losses in all other periods since our inception.</w:t>
      </w:r>
    </w:p>
    <w:p w:rsidR="00000000" w:rsidRDefault="00406BD4">
      <w:pPr>
        <w:pStyle w:val="a3"/>
        <w:spacing w:before="360" w:beforeAutospacing="0" w:after="0" w:afterAutospacing="0"/>
        <w:ind w:firstLine="556"/>
        <w:rPr>
          <w:b/>
          <w:bCs/>
          <w:color w:val="000000"/>
          <w:sz w:val="20"/>
          <w:szCs w:val="20"/>
        </w:rPr>
      </w:pPr>
      <w:r>
        <w:rPr>
          <w:b/>
          <w:bCs/>
          <w:color w:val="000000"/>
          <w:sz w:val="20"/>
          <w:szCs w:val="20"/>
        </w:rPr>
        <w:t>Impact of COVID-19 Testing Busin</w:t>
      </w:r>
      <w:r>
        <w:rPr>
          <w:b/>
          <w:bCs/>
          <w:color w:val="000000"/>
          <w:sz w:val="20"/>
          <w:szCs w:val="20"/>
        </w:rPr>
        <w:t>ess</w:t>
      </w:r>
    </w:p>
    <w:p w:rsidR="00000000" w:rsidRDefault="00406BD4">
      <w:pPr>
        <w:pStyle w:val="a3"/>
        <w:spacing w:before="120" w:beforeAutospacing="0" w:after="0" w:afterAutospacing="0"/>
        <w:ind w:firstLine="556"/>
        <w:rPr>
          <w:color w:val="000000"/>
          <w:sz w:val="20"/>
          <w:szCs w:val="20"/>
        </w:rPr>
      </w:pPr>
      <w:r>
        <w:rPr>
          <w:color w:val="000000"/>
          <w:sz w:val="20"/>
          <w:szCs w:val="20"/>
        </w:rPr>
        <w:t>Since March 2020, we have commercially launched several COVID-19 tests, for the detection of SARS-CoV-2, the virus that causes COVID-19, including NGS and RT-PCR-based tests. We have received EUAs from the FDA for the RT-PCR-based tests for the detecti</w:t>
      </w:r>
      <w:r>
        <w:rPr>
          <w:color w:val="000000"/>
          <w:sz w:val="20"/>
          <w:szCs w:val="20"/>
        </w:rPr>
        <w:t>on of SARS-CoV-2 using upper respiratory specimens (nasal, nasopharyngeal, and oropharyngeal swabs) and for our at-home COVID-19 testing service through Picture Genetics. Our at-home testing service for COVID-19 and RT-PCR-based tests have been granted EUA</w:t>
      </w:r>
      <w:r>
        <w:rPr>
          <w:color w:val="000000"/>
          <w:sz w:val="20"/>
          <w:szCs w:val="20"/>
        </w:rPr>
        <w:t>s by the FDA only for the detection of nucleic acid from SARS-CoV-2, not for any other viruses or pathogens. We are currently accepting patient samples directly to our Biosafety Level 2, or BSL-2, certified laboratories in Temple City, California and Houst</w:t>
      </w:r>
      <w:r>
        <w:rPr>
          <w:color w:val="000000"/>
          <w:sz w:val="20"/>
          <w:szCs w:val="20"/>
        </w:rPr>
        <w:t>on, Texas where we have the capacity to accept and process thousands of samples per day with a typical turn-around time of 24-48 hours from the time the sample was received and accepted. To date, we have processed orders for our COVID-19 tests from a varie</w:t>
      </w:r>
      <w:r>
        <w:rPr>
          <w:color w:val="000000"/>
          <w:sz w:val="20"/>
          <w:szCs w:val="20"/>
        </w:rPr>
        <w:t>ty of customers, including governmental bodies, municipalities, and large corporations. Due to the significant demand for COVID-19 testing services, our business has expanded rapidly since March 2020. This expansion has necessitated a very significant incr</w:t>
      </w:r>
      <w:r>
        <w:rPr>
          <w:color w:val="000000"/>
          <w:sz w:val="20"/>
          <w:szCs w:val="20"/>
        </w:rPr>
        <w:t xml:space="preserve">ease in our total headcount from 154 in March 2020 to 473 in September, and the volume of tests we perform on a daily basis has increased by more than 6,000% in that time. In addition, while most of our genetic testing business relied upon direct payments </w:t>
      </w:r>
      <w:r>
        <w:rPr>
          <w:color w:val="000000"/>
          <w:sz w:val="20"/>
          <w:szCs w:val="20"/>
        </w:rPr>
        <w:t>from hospitals, medical institutions and other laboratories, the majority of our revenues from our COVID-19 testing business result from reimbursements from third party payors, including insurance providers and Medicare. To meet the demand for COVID-19 tes</w:t>
      </w:r>
      <w:r>
        <w:rPr>
          <w:color w:val="000000"/>
          <w:sz w:val="20"/>
          <w:szCs w:val="20"/>
        </w:rPr>
        <w:t>ting, we have increased the number of shifts at our main laboratory in Temple City, California and established a new laboratory in Houston, Texas. This substantial increase in all of our activities has caused significant changes in our business and a drama</w:t>
      </w:r>
      <w:r>
        <w:rPr>
          <w:color w:val="000000"/>
          <w:sz w:val="20"/>
          <w:szCs w:val="20"/>
        </w:rPr>
        <w:t>tic increase in our revenues and operating results. We believe that our scalable technology platform has been a critical element of our ability to meet the increasing demand for high-quality, reliable testing delivered with rapid turnaround times. While we</w:t>
      </w:r>
      <w:r>
        <w:rPr>
          <w:color w:val="000000"/>
          <w:sz w:val="20"/>
          <w:szCs w:val="20"/>
        </w:rPr>
        <w:t xml:space="preserve"> anticipate that demand for COVID-19 tests will eventually decrease once an effective vaccine is developed and widely deployed, we are continuing to invest in expanding our capacity to meet the increasing demand that we anticipate over at least the next tw</w:t>
      </w:r>
      <w:r>
        <w:rPr>
          <w:color w:val="000000"/>
          <w:sz w:val="20"/>
          <w:szCs w:val="20"/>
        </w:rPr>
        <w:t>o quarters.</w:t>
      </w:r>
    </w:p>
    <w:p w:rsidR="00000000" w:rsidRDefault="00406BD4">
      <w:pPr>
        <w:pStyle w:val="a3"/>
        <w:spacing w:before="360" w:beforeAutospacing="0" w:after="0" w:afterAutospacing="0"/>
        <w:jc w:val="center"/>
        <w:rPr>
          <w:b/>
          <w:bCs/>
          <w:color w:val="000000"/>
          <w:sz w:val="20"/>
          <w:szCs w:val="20"/>
        </w:rPr>
      </w:pPr>
      <w:r>
        <w:rPr>
          <w:b/>
          <w:bCs/>
          <w:color w:val="000000"/>
          <w:sz w:val="20"/>
          <w:szCs w:val="20"/>
        </w:rPr>
        <w:t>COVID-19 Considerations</w:t>
      </w:r>
    </w:p>
    <w:p w:rsidR="00000000" w:rsidRDefault="00406BD4">
      <w:pPr>
        <w:pStyle w:val="a3"/>
        <w:shd w:val="clear" w:color="auto" w:fill="FFFFFF"/>
        <w:spacing w:before="240" w:beforeAutospacing="0" w:after="0" w:afterAutospacing="0"/>
        <w:ind w:firstLine="556"/>
        <w:rPr>
          <w:color w:val="000000"/>
          <w:sz w:val="20"/>
          <w:szCs w:val="20"/>
        </w:rPr>
      </w:pPr>
      <w:r>
        <w:rPr>
          <w:color w:val="000000"/>
          <w:sz w:val="20"/>
          <w:szCs w:val="20"/>
        </w:rPr>
        <w:t>The current COVID-19 pandemic has presented a substantial public health and economic challenge around the world and is affecting our employees, patients, communities and business operations, as well as the U.S. economy a</w:t>
      </w:r>
      <w:r>
        <w:rPr>
          <w:color w:val="000000"/>
          <w:sz w:val="20"/>
          <w:szCs w:val="20"/>
        </w:rPr>
        <w:t>nd financial markets. We are closely monitoring the impact of COVID-19 on all aspects of our business, including its impact on our customers, suppliers, third-party service providers, and our employees. The full extent to which the COVID-19 pandemic will d</w:t>
      </w:r>
      <w:r>
        <w:rPr>
          <w:color w:val="000000"/>
          <w:sz w:val="20"/>
          <w:szCs w:val="20"/>
        </w:rPr>
        <w:t>irectly or indirectly impact our business, results of operations and financial condition will depend on future developments that are highly uncertain and cannot be accurately predicted, including new information that may emerge concerning COVID-19, the act</w:t>
      </w:r>
      <w:r>
        <w:rPr>
          <w:color w:val="000000"/>
          <w:sz w:val="20"/>
          <w:szCs w:val="20"/>
        </w:rPr>
        <w:t>ions taken to contain it or treat it and the economic impact on local, regional, national and international markets and supply chains.</w:t>
      </w:r>
    </w:p>
    <w:p w:rsidR="00000000" w:rsidRDefault="00406BD4">
      <w:pPr>
        <w:pStyle w:val="a3"/>
        <w:shd w:val="clear" w:color="auto" w:fill="FFFFFF"/>
        <w:spacing w:before="240" w:beforeAutospacing="0" w:after="0" w:afterAutospacing="0"/>
        <w:ind w:firstLine="556"/>
        <w:rPr>
          <w:color w:val="000000"/>
          <w:sz w:val="20"/>
          <w:szCs w:val="20"/>
        </w:rPr>
      </w:pPr>
      <w:r>
        <w:rPr>
          <w:color w:val="000000"/>
          <w:sz w:val="20"/>
          <w:szCs w:val="20"/>
        </w:rPr>
        <w:t>During the three months ended September 30, 2020, and for the entirety of the COVID-19 pandemic to such point, we continu</w:t>
      </w:r>
      <w:r>
        <w:rPr>
          <w:color w:val="000000"/>
          <w:sz w:val="20"/>
          <w:szCs w:val="20"/>
        </w:rPr>
        <w:t>ed to operate as an essential business in response to COVID-19.</w:t>
      </w:r>
    </w:p>
    <w:p w:rsidR="00000000" w:rsidRDefault="00406BD4">
      <w:pPr>
        <w:pStyle w:val="a3"/>
        <w:spacing w:before="240" w:beforeAutospacing="0" w:after="0" w:afterAutospacing="0"/>
        <w:jc w:val="center"/>
        <w:rPr>
          <w:sz w:val="20"/>
          <w:szCs w:val="20"/>
        </w:rPr>
      </w:pPr>
      <w:r>
        <w:rPr>
          <w:sz w:val="20"/>
          <w:szCs w:val="20"/>
        </w:rPr>
        <w:t>21</w:t>
      </w:r>
    </w:p>
    <w:p w:rsidR="00000000" w:rsidRDefault="00406BD4">
      <w:pPr>
        <w:rPr>
          <w:rFonts w:eastAsia="Times New Roman"/>
        </w:rPr>
      </w:pPr>
      <w:r>
        <w:rPr>
          <w:rFonts w:eastAsia="Times New Roman"/>
        </w:rPr>
        <w:pict>
          <v:rect id="_x0000_i1047"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hd w:val="clear" w:color="auto" w:fill="FFFFFF"/>
        <w:spacing w:before="240" w:beforeAutospacing="0" w:after="0" w:afterAutospacing="0"/>
        <w:ind w:firstLine="556"/>
        <w:rPr>
          <w:color w:val="000000"/>
          <w:sz w:val="20"/>
          <w:szCs w:val="20"/>
        </w:rPr>
      </w:pPr>
      <w:bookmarkStart w:id="29" w:name="_DV_C1234"/>
      <w:r>
        <w:rPr>
          <w:color w:val="000000"/>
          <w:sz w:val="20"/>
          <w:szCs w:val="20"/>
        </w:rPr>
        <w:t xml:space="preserve">In the </w:t>
      </w:r>
      <w:bookmarkEnd w:id="29"/>
      <w:r>
        <w:rPr>
          <w:color w:val="000000"/>
          <w:sz w:val="20"/>
          <w:szCs w:val="20"/>
        </w:rPr>
        <w:t>three and nine months ended September 30, 2020, the COVID-19 pandemic did not have a negative impact on our consolidated operating results. Rather, we have recognized significant revenue growth in connection wit</w:t>
      </w:r>
      <w:r>
        <w:rPr>
          <w:color w:val="000000"/>
          <w:sz w:val="20"/>
          <w:szCs w:val="20"/>
        </w:rPr>
        <w:t>h sales of our COVID-19 tests. However, the responses of the federal, international, state and regional governments to the pandemic, including any shelter in place orders and the allocation of healthcare resources to treating those infected with the virus,</w:t>
      </w:r>
      <w:r>
        <w:rPr>
          <w:color w:val="000000"/>
          <w:sz w:val="20"/>
          <w:szCs w:val="20"/>
        </w:rPr>
        <w:t xml:space="preserve"> previously caused a significant decline in the number of our traditional genetic tests ordered, which may impact our future revenues for these tests. Even after the COVID-19 outbreak has subsided, we may experience materially adverse impacts on our financ</w:t>
      </w:r>
      <w:r>
        <w:rPr>
          <w:color w:val="000000"/>
          <w:sz w:val="20"/>
          <w:szCs w:val="20"/>
        </w:rPr>
        <w:t>ial condition and results of operations. Our ability to continue to operate as currently planned, including our ability to continue to offer our COVID</w:t>
      </w:r>
      <w:r>
        <w:rPr>
          <w:color w:val="000000"/>
          <w:sz w:val="20"/>
          <w:szCs w:val="20"/>
        </w:rPr>
        <w:noBreakHyphen/>
        <w:t>19 tests with competitive results and turn-around times without any significant negative operational impa</w:t>
      </w:r>
      <w:r>
        <w:rPr>
          <w:color w:val="000000"/>
          <w:sz w:val="20"/>
          <w:szCs w:val="20"/>
        </w:rPr>
        <w:t>ct from the COVID-19 pandemic will depend in part on our, and any of our third</w:t>
      </w:r>
      <w:r>
        <w:rPr>
          <w:color w:val="000000"/>
          <w:sz w:val="20"/>
          <w:szCs w:val="20"/>
        </w:rPr>
        <w:noBreakHyphen/>
        <w:t>party service providers’ and suppliers’ ability to protect our respective employees and supply chains. We have endeavored to follow the recommended actions of government and hea</w:t>
      </w:r>
      <w:r>
        <w:rPr>
          <w:color w:val="000000"/>
          <w:sz w:val="20"/>
          <w:szCs w:val="20"/>
        </w:rPr>
        <w:t>lth authorities to protect our employees. We intend to continue to adhere to our employee safety measures to ensure that any disruptions to our operations remain minimal during the pandemic. However, the uncertainty resulting from the pandemic could result</w:t>
      </w:r>
      <w:r>
        <w:rPr>
          <w:color w:val="000000"/>
          <w:sz w:val="20"/>
          <w:szCs w:val="20"/>
        </w:rPr>
        <w:t xml:space="preserve"> in an unforeseen disruption to our, or our third-party service providers’ and suppliers’, workforce and supply chain.</w:t>
      </w:r>
    </w:p>
    <w:p w:rsidR="00000000" w:rsidRDefault="00406BD4">
      <w:pPr>
        <w:pStyle w:val="a3"/>
        <w:shd w:val="clear" w:color="auto" w:fill="FFFFFF"/>
        <w:spacing w:before="240" w:beforeAutospacing="0" w:after="0" w:afterAutospacing="0"/>
        <w:ind w:firstLine="556"/>
        <w:rPr>
          <w:color w:val="000000"/>
          <w:sz w:val="20"/>
          <w:szCs w:val="20"/>
        </w:rPr>
      </w:pPr>
      <w:r>
        <w:rPr>
          <w:color w:val="000000"/>
          <w:sz w:val="20"/>
          <w:szCs w:val="20"/>
        </w:rPr>
        <w:t>The COVID-19 pandemic has not negatively impacted the Company’s liquidity position as of September 30, 2020. We have not incurred any mat</w:t>
      </w:r>
      <w:r>
        <w:rPr>
          <w:color w:val="000000"/>
          <w:sz w:val="20"/>
          <w:szCs w:val="20"/>
        </w:rPr>
        <w:t>erial impairments of our assets or a significant change in the fair value of our assets due to the COVID-19 pandemic as of September 30, 2020.</w:t>
      </w:r>
    </w:p>
    <w:p w:rsidR="00000000" w:rsidRDefault="00406BD4">
      <w:pPr>
        <w:pStyle w:val="a3"/>
        <w:shd w:val="clear" w:color="auto" w:fill="FFFFFF"/>
        <w:spacing w:before="240" w:beforeAutospacing="0" w:after="0" w:afterAutospacing="0"/>
        <w:ind w:firstLine="556"/>
        <w:rPr>
          <w:color w:val="000000"/>
          <w:sz w:val="20"/>
          <w:szCs w:val="20"/>
        </w:rPr>
      </w:pPr>
      <w:r>
        <w:rPr>
          <w:color w:val="000000"/>
          <w:sz w:val="20"/>
          <w:szCs w:val="20"/>
        </w:rPr>
        <w:t xml:space="preserve">For additional information on risk factors related to the COVID-19 pandemic or other risks that could impact our </w:t>
      </w:r>
      <w:r>
        <w:rPr>
          <w:color w:val="000000"/>
          <w:sz w:val="20"/>
          <w:szCs w:val="20"/>
        </w:rPr>
        <w:t>results, please refer to “Item 1A. Risk Factors” in Part II of this Form 10-Q.</w:t>
      </w:r>
    </w:p>
    <w:p w:rsidR="00000000" w:rsidRDefault="00406BD4">
      <w:pPr>
        <w:pStyle w:val="a3"/>
        <w:spacing w:before="360" w:beforeAutospacing="0" w:after="0" w:afterAutospacing="0"/>
        <w:jc w:val="center"/>
        <w:rPr>
          <w:b/>
          <w:bCs/>
          <w:color w:val="000000"/>
          <w:sz w:val="20"/>
          <w:szCs w:val="20"/>
        </w:rPr>
      </w:pPr>
      <w:r>
        <w:rPr>
          <w:b/>
          <w:bCs/>
          <w:color w:val="000000"/>
          <w:sz w:val="20"/>
          <w:szCs w:val="20"/>
        </w:rPr>
        <w:t>Business Risks and Uncertainties and Other Factors Affecting Our Performance</w:t>
      </w:r>
    </w:p>
    <w:p w:rsidR="00000000" w:rsidRDefault="00406BD4">
      <w:pPr>
        <w:pStyle w:val="a3"/>
        <w:spacing w:before="240" w:beforeAutospacing="0" w:after="0" w:afterAutospacing="0"/>
        <w:ind w:firstLine="556"/>
        <w:rPr>
          <w:sz w:val="20"/>
          <w:szCs w:val="20"/>
        </w:rPr>
      </w:pPr>
      <w:bookmarkStart w:id="30" w:name="_DV_C1235"/>
      <w:bookmarkEnd w:id="30"/>
      <w:r>
        <w:rPr>
          <w:sz w:val="20"/>
          <w:szCs w:val="20"/>
        </w:rPr>
        <w:t>Our business and prospects are exposed to numerous risks and uncertainties. For more information, se</w:t>
      </w:r>
      <w:r>
        <w:rPr>
          <w:sz w:val="20"/>
          <w:szCs w:val="20"/>
        </w:rPr>
        <w:t xml:space="preserve">e “Item 1A. Risk Factors” in Part II of this report. In addition, our performance in any period is affected by a number of other factors. See the description of some of the material factors affecting our performance in “Item 7. Management’s Discussion and </w:t>
      </w:r>
      <w:r>
        <w:rPr>
          <w:sz w:val="20"/>
          <w:szCs w:val="20"/>
        </w:rPr>
        <w:t>Analysis of Financial Condition and Results of Operations” of the 2019 Annual Report.</w:t>
      </w:r>
    </w:p>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240" w:beforeAutospacing="0" w:after="0" w:afterAutospacing="0"/>
        <w:jc w:val="center"/>
        <w:rPr>
          <w:sz w:val="20"/>
          <w:szCs w:val="20"/>
        </w:rPr>
      </w:pPr>
      <w:r>
        <w:rPr>
          <w:sz w:val="20"/>
          <w:szCs w:val="20"/>
        </w:rPr>
        <w:t>22</w:t>
      </w:r>
    </w:p>
    <w:p w:rsidR="00000000" w:rsidRDefault="00406BD4">
      <w:pPr>
        <w:rPr>
          <w:rFonts w:eastAsia="Times New Roman"/>
        </w:rPr>
      </w:pPr>
      <w:r>
        <w:rPr>
          <w:rFonts w:eastAsia="Times New Roman"/>
        </w:rPr>
        <w:pict>
          <v:rect id="_x0000_i1048"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0" w:beforeAutospacing="0" w:after="0" w:afterAutospacing="0"/>
        <w:jc w:val="center"/>
        <w:rPr>
          <w:b/>
          <w:bCs/>
          <w:sz w:val="20"/>
          <w:szCs w:val="20"/>
        </w:rPr>
      </w:pPr>
      <w:r>
        <w:rPr>
          <w:b/>
          <w:bCs/>
          <w:sz w:val="20"/>
          <w:szCs w:val="20"/>
        </w:rPr>
        <w:t>Results of Operations</w:t>
      </w:r>
    </w:p>
    <w:p w:rsidR="00000000" w:rsidRDefault="00406BD4">
      <w:pPr>
        <w:pStyle w:val="a3"/>
        <w:spacing w:before="240" w:beforeAutospacing="0" w:after="0" w:afterAutospacing="0"/>
        <w:ind w:firstLine="556"/>
        <w:rPr>
          <w:color w:val="000000"/>
          <w:sz w:val="20"/>
          <w:szCs w:val="20"/>
        </w:rPr>
      </w:pPr>
      <w:r>
        <w:rPr>
          <w:color w:val="000000"/>
          <w:sz w:val="20"/>
          <w:szCs w:val="20"/>
          <w:shd w:val="clear" w:color="auto" w:fill="FFFFFF"/>
        </w:rPr>
        <w:t>The table below summarizes our results of operations for the periods indicated. For a financial overview relating to our results of operations, including general descriptions of the make-up of material line items o</w:t>
      </w:r>
      <w:r>
        <w:rPr>
          <w:color w:val="000000"/>
          <w:sz w:val="20"/>
          <w:szCs w:val="20"/>
          <w:shd w:val="clear" w:color="auto" w:fill="FFFFFF"/>
        </w:rPr>
        <w:t xml:space="preserve">f our statement of operations data, see </w:t>
      </w:r>
      <w:r>
        <w:rPr>
          <w:color w:val="000000"/>
          <w:sz w:val="20"/>
          <w:szCs w:val="20"/>
        </w:rPr>
        <w:t>“Item 7. Management’s Discussion and Analysis of Financial Condition and Results of Operations” of the 2019 Annual Report.</w:t>
      </w:r>
    </w:p>
    <w:p w:rsidR="00000000" w:rsidRDefault="00406BD4">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1434"/>
        <w:gridCol w:w="115"/>
        <w:gridCol w:w="665"/>
        <w:gridCol w:w="82"/>
        <w:gridCol w:w="65"/>
        <w:gridCol w:w="115"/>
        <w:gridCol w:w="565"/>
        <w:gridCol w:w="82"/>
        <w:gridCol w:w="65"/>
        <w:gridCol w:w="115"/>
        <w:gridCol w:w="565"/>
        <w:gridCol w:w="82"/>
        <w:gridCol w:w="65"/>
        <w:gridCol w:w="65"/>
        <w:gridCol w:w="565"/>
        <w:gridCol w:w="249"/>
        <w:gridCol w:w="65"/>
        <w:gridCol w:w="115"/>
        <w:gridCol w:w="665"/>
        <w:gridCol w:w="82"/>
        <w:gridCol w:w="65"/>
        <w:gridCol w:w="115"/>
        <w:gridCol w:w="565"/>
        <w:gridCol w:w="82"/>
        <w:gridCol w:w="65"/>
        <w:gridCol w:w="115"/>
        <w:gridCol w:w="665"/>
        <w:gridCol w:w="82"/>
        <w:gridCol w:w="65"/>
        <w:gridCol w:w="65"/>
        <w:gridCol w:w="665"/>
        <w:gridCol w:w="249"/>
      </w:tblGrid>
      <w:tr w:rsidR="00000000">
        <w:trPr>
          <w:divId w:val="263726789"/>
          <w:jc w:val="center"/>
        </w:trPr>
        <w:tc>
          <w:tcPr>
            <w:tcW w:w="134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sz w:val="20"/>
                <w:szCs w:val="20"/>
              </w:rPr>
            </w:pPr>
            <w:r>
              <w:rPr>
                <w:sz w:val="20"/>
                <w:szCs w:val="20"/>
              </w:rPr>
              <w:t> </w:t>
            </w:r>
          </w:p>
        </w:tc>
        <w:tc>
          <w:tcPr>
            <w:tcW w:w="829" w:type="pct"/>
            <w:gridSpan w:val="6"/>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829" w:type="pct"/>
            <w:gridSpan w:val="6"/>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r>
      <w:tr w:rsidR="00000000">
        <w:trPr>
          <w:divId w:val="263726789"/>
          <w:jc w:val="center"/>
        </w:trPr>
        <w:tc>
          <w:tcPr>
            <w:tcW w:w="134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82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366" w:type="pct"/>
            <w:gridSpan w:val="2"/>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366" w:type="pct"/>
            <w:gridSpan w:val="2"/>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82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366" w:type="pct"/>
            <w:gridSpan w:val="2"/>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366" w:type="pct"/>
            <w:gridSpan w:val="2"/>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263726789"/>
          <w:jc w:val="center"/>
        </w:trPr>
        <w:tc>
          <w:tcPr>
            <w:tcW w:w="134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36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36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36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16"/>
                <w:szCs w:val="16"/>
              </w:rPr>
            </w:pPr>
            <w:r>
              <w:rPr>
                <w:color w:val="000000"/>
                <w:sz w:val="16"/>
                <w:szCs w:val="16"/>
              </w:rPr>
              <w:t> </w:t>
            </w:r>
          </w:p>
        </w:tc>
        <w:tc>
          <w:tcPr>
            <w:tcW w:w="36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36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36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16"/>
                <w:szCs w:val="16"/>
              </w:rPr>
            </w:pPr>
            <w:r>
              <w:rPr>
                <w:color w:val="000000"/>
                <w:sz w:val="16"/>
                <w:szCs w:val="16"/>
              </w:rPr>
              <w:t> </w:t>
            </w:r>
          </w:p>
        </w:tc>
        <w:tc>
          <w:tcPr>
            <w:tcW w:w="36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16"/>
                <w:szCs w:val="16"/>
              </w:rPr>
            </w:pPr>
            <w:r>
              <w:rPr>
                <w:color w:val="000000"/>
                <w:sz w:val="16"/>
                <w:szCs w:val="16"/>
              </w:rPr>
              <w:t> </w:t>
            </w:r>
          </w:p>
        </w:tc>
        <w:tc>
          <w:tcPr>
            <w:tcW w:w="36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263726789"/>
          <w:jc w:val="center"/>
        </w:trPr>
        <w:tc>
          <w:tcPr>
            <w:tcW w:w="134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Statement of Operations Data:</w:t>
            </w:r>
          </w:p>
        </w:tc>
        <w:tc>
          <w:tcPr>
            <w:tcW w:w="3604" w:type="pct"/>
            <w:gridSpan w:val="30"/>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(dollars and billable tests in thousands, except per billable test data)</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406BD4">
        <w:trPr>
          <w:divId w:val="263726789"/>
          <w:jc w:val="center"/>
        </w:trPr>
        <w:tc>
          <w:tcPr>
            <w:tcW w:w="134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Revenue</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101,716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10,347</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91,369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883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126,734</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24,141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102,593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425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406BD4">
        <w:trPr>
          <w:divId w:val="263726789"/>
          <w:jc w:val="center"/>
        </w:trPr>
        <w:tc>
          <w:tcPr>
            <w:tcW w:w="134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Cost of revenue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26,261</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3,885</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22,376</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576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38,035</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10,473</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27,562</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263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406BD4">
        <w:trPr>
          <w:divId w:val="263726789"/>
          <w:jc w:val="center"/>
        </w:trPr>
        <w:tc>
          <w:tcPr>
            <w:tcW w:w="134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ind w:left="274"/>
              <w:rPr>
                <w:color w:val="000000"/>
                <w:sz w:val="20"/>
                <w:szCs w:val="20"/>
              </w:rPr>
            </w:pPr>
            <w:r>
              <w:rPr>
                <w:color w:val="000000"/>
                <w:sz w:val="20"/>
                <w:szCs w:val="20"/>
              </w:rPr>
              <w:t>Gross profit</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75,455</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6,462</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68,993</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1,068</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88,699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13,668</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75,031</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549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406BD4">
        <w:trPr>
          <w:divId w:val="263726789"/>
          <w:jc w:val="center"/>
        </w:trPr>
        <w:tc>
          <w:tcPr>
            <w:tcW w:w="134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Operating expenses: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406BD4">
        <w:trPr>
          <w:divId w:val="263726789"/>
          <w:jc w:val="center"/>
        </w:trPr>
        <w:tc>
          <w:tcPr>
            <w:tcW w:w="134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ind w:left="274"/>
              <w:rPr>
                <w:color w:val="000000"/>
                <w:sz w:val="20"/>
                <w:szCs w:val="20"/>
              </w:rPr>
            </w:pPr>
            <w:r>
              <w:rPr>
                <w:color w:val="000000"/>
                <w:sz w:val="20"/>
                <w:szCs w:val="20"/>
              </w:rPr>
              <w:t>Research and development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3,177</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1,744</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1,433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82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7,004</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4,742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2,262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48</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406BD4">
        <w:trPr>
          <w:divId w:val="263726789"/>
          <w:jc w:val="center"/>
        </w:trPr>
        <w:tc>
          <w:tcPr>
            <w:tcW w:w="134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ind w:left="274"/>
              <w:rPr>
                <w:color w:val="000000"/>
                <w:sz w:val="20"/>
                <w:szCs w:val="20"/>
              </w:rPr>
            </w:pPr>
            <w:r>
              <w:rPr>
                <w:color w:val="000000"/>
                <w:sz w:val="20"/>
                <w:szCs w:val="20"/>
              </w:rPr>
              <w:t>Selling and marketing</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5,014</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1,687</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3,327</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197</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9,871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4,263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5,608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132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406BD4">
        <w:trPr>
          <w:divId w:val="263726789"/>
          <w:jc w:val="center"/>
        </w:trPr>
        <w:tc>
          <w:tcPr>
            <w:tcW w:w="134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ind w:left="274"/>
              <w:rPr>
                <w:color w:val="000000"/>
                <w:sz w:val="20"/>
                <w:szCs w:val="20"/>
              </w:rPr>
            </w:pPr>
            <w:r>
              <w:rPr>
                <w:color w:val="000000"/>
                <w:sz w:val="20"/>
                <w:szCs w:val="20"/>
              </w:rPr>
              <w:t>General and administrative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3,741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1,522</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2,219</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146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7,575</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4,682</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2,893</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406BD4">
        <w:trPr>
          <w:divId w:val="263726789"/>
          <w:jc w:val="center"/>
        </w:trPr>
        <w:tc>
          <w:tcPr>
            <w:tcW w:w="134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Total operating expenses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11,932</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4,953</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6,979</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141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24,450</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13,687</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10,763</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79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406BD4">
        <w:trPr>
          <w:divId w:val="263726789"/>
          <w:jc w:val="center"/>
        </w:trPr>
        <w:tc>
          <w:tcPr>
            <w:tcW w:w="134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Operating income (loss)</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63,523</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1,509</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62,014</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4,110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64,249</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(19</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64,268</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338,253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406BD4">
        <w:trPr>
          <w:divId w:val="263726789"/>
          <w:jc w:val="center"/>
        </w:trPr>
        <w:tc>
          <w:tcPr>
            <w:tcW w:w="134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Interest and other income, net</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421</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189</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232</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123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937</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588</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349</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406BD4">
        <w:trPr>
          <w:divId w:val="263726789"/>
          <w:jc w:val="center"/>
        </w:trPr>
        <w:tc>
          <w:tcPr>
            <w:tcW w:w="134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Income before income taxes,</w:t>
            </w:r>
          </w:p>
          <w:p w:rsidR="00000000" w:rsidRDefault="00406BD4">
            <w:pPr>
              <w:pStyle w:val="a3"/>
              <w:spacing w:before="0" w:beforeAutospacing="0" w:after="0" w:afterAutospacing="0"/>
              <w:rPr>
                <w:color w:val="000000"/>
                <w:sz w:val="20"/>
                <w:szCs w:val="20"/>
              </w:rPr>
            </w:pPr>
            <w:r>
              <w:rPr>
                <w:color w:val="000000"/>
                <w:sz w:val="20"/>
                <w:szCs w:val="20"/>
              </w:rPr>
              <w:t>   equity loss in investee</w:t>
            </w:r>
          </w:p>
          <w:p w:rsidR="00000000" w:rsidRDefault="00406BD4">
            <w:pPr>
              <w:pStyle w:val="a3"/>
              <w:spacing w:before="0" w:beforeAutospacing="0" w:after="0" w:afterAutospacing="0"/>
              <w:rPr>
                <w:color w:val="000000"/>
                <w:sz w:val="20"/>
                <w:szCs w:val="20"/>
              </w:rPr>
            </w:pPr>
            <w:r>
              <w:rPr>
                <w:color w:val="000000"/>
                <w:sz w:val="20"/>
                <w:szCs w:val="20"/>
              </w:rPr>
              <w:t>   and impairment loss</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63,944</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1,698</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62,246</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3,666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65,186</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569</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64,617</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11,356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406BD4">
        <w:trPr>
          <w:divId w:val="263726789"/>
          <w:jc w:val="center"/>
        </w:trPr>
        <w:tc>
          <w:tcPr>
            <w:tcW w:w="134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Provision for income taxes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14,526</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61</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14,465</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23,713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13,961</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81</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13,880</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17,136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406BD4">
        <w:trPr>
          <w:divId w:val="263726789"/>
          <w:jc w:val="center"/>
        </w:trPr>
        <w:tc>
          <w:tcPr>
            <w:tcW w:w="134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Income before equity loss</w:t>
            </w:r>
          </w:p>
          <w:p w:rsidR="00000000" w:rsidRDefault="00406BD4">
            <w:pPr>
              <w:pStyle w:val="a3"/>
              <w:spacing w:before="0" w:beforeAutospacing="0" w:after="0" w:afterAutospacing="0"/>
              <w:rPr>
                <w:color w:val="000000"/>
                <w:sz w:val="20"/>
                <w:szCs w:val="20"/>
              </w:rPr>
            </w:pPr>
            <w:r>
              <w:rPr>
                <w:color w:val="000000"/>
                <w:sz w:val="20"/>
                <w:szCs w:val="20"/>
              </w:rPr>
              <w:t>   in investee and impairment loss</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49,418</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1,637</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47,781</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2,919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51,225</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488</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50,737</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10,397</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406BD4">
        <w:trPr>
          <w:divId w:val="263726789"/>
          <w:jc w:val="center"/>
        </w:trPr>
        <w:tc>
          <w:tcPr>
            <w:tcW w:w="134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Equity loss in investee</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(189</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(175</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(631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(603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406BD4">
        <w:trPr>
          <w:divId w:val="263726789"/>
          <w:jc w:val="center"/>
        </w:trPr>
        <w:tc>
          <w:tcPr>
            <w:tcW w:w="134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Impairment loss in equity-method</w:t>
            </w:r>
          </w:p>
          <w:p w:rsidR="00000000" w:rsidRDefault="00406BD4">
            <w:pPr>
              <w:pStyle w:val="a3"/>
              <w:spacing w:before="0" w:beforeAutospacing="0" w:after="0" w:afterAutospacing="0"/>
              <w:rPr>
                <w:color w:val="000000"/>
                <w:sz w:val="20"/>
                <w:szCs w:val="20"/>
              </w:rPr>
            </w:pPr>
            <w:r>
              <w:rPr>
                <w:color w:val="000000"/>
                <w:sz w:val="20"/>
                <w:szCs w:val="20"/>
              </w:rPr>
              <w:t>   investment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(2,591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(2,591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66" w:type="pct"/>
            <w:gridSpan w:val="2"/>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(2,591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(2,591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66" w:type="pct"/>
            <w:gridSpan w:val="2"/>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406BD4">
        <w:trPr>
          <w:divId w:val="263726789"/>
          <w:jc w:val="center"/>
        </w:trPr>
        <w:tc>
          <w:tcPr>
            <w:tcW w:w="134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Net income (loss)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31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46,638</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31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1,462</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31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45,176</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3,090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31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48,003</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31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(115</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31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48,118</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41,842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406BD4">
        <w:trPr>
          <w:divId w:val="263726789"/>
          <w:jc w:val="center"/>
        </w:trPr>
        <w:tc>
          <w:tcPr>
            <w:tcW w:w="134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406BD4">
        <w:trPr>
          <w:divId w:val="263726789"/>
          <w:jc w:val="center"/>
        </w:trPr>
        <w:tc>
          <w:tcPr>
            <w:tcW w:w="134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Other Operating Data:</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406BD4">
        <w:trPr>
          <w:divId w:val="263726789"/>
          <w:jc w:val="center"/>
        </w:trPr>
        <w:tc>
          <w:tcPr>
            <w:tcW w:w="134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Billable tests delivered</w:t>
            </w:r>
            <w:r>
              <w:rPr>
                <w:color w:val="000000"/>
                <w:sz w:val="17"/>
                <w:szCs w:val="17"/>
                <w:vertAlign w:val="superscript"/>
              </w:rPr>
              <w:t>(1)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1,035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1,014</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4,829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1,229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1,184</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2,631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406BD4">
        <w:trPr>
          <w:divId w:val="263726789"/>
          <w:jc w:val="center"/>
        </w:trPr>
        <w:tc>
          <w:tcPr>
            <w:tcW w:w="1345"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Average price per billable test</w:t>
            </w:r>
          </w:p>
          <w:p w:rsidR="00000000" w:rsidRDefault="00406BD4">
            <w:pPr>
              <w:pStyle w:val="a3"/>
              <w:spacing w:before="0" w:beforeAutospacing="0" w:after="0" w:afterAutospacing="0"/>
              <w:rPr>
                <w:color w:val="000000"/>
                <w:sz w:val="20"/>
                <w:szCs w:val="20"/>
              </w:rPr>
            </w:pPr>
            <w:r>
              <w:rPr>
                <w:color w:val="000000"/>
                <w:sz w:val="20"/>
                <w:szCs w:val="20"/>
              </w:rPr>
              <w:t>   delivered</w:t>
            </w:r>
            <w:r>
              <w:rPr>
                <w:color w:val="000000"/>
                <w:sz w:val="17"/>
                <w:szCs w:val="17"/>
                <w:vertAlign w:val="superscript"/>
              </w:rPr>
              <w:t>(2)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98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493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(395</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(80</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103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536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(433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(81</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406BD4">
        <w:trPr>
          <w:divId w:val="263726789"/>
          <w:jc w:val="center"/>
        </w:trPr>
        <w:tc>
          <w:tcPr>
            <w:tcW w:w="1345"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Cost per billable test delivered</w:t>
            </w:r>
            <w:r>
              <w:rPr>
                <w:color w:val="000000"/>
                <w:sz w:val="17"/>
                <w:szCs w:val="17"/>
                <w:vertAlign w:val="superscript"/>
              </w:rPr>
              <w:t>(3)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185</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(160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(86</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31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233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(202</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(87</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r>
      <w:tr w:rsidR="00406BD4">
        <w:trPr>
          <w:divId w:val="263726789"/>
          <w:jc w:val="center"/>
        </w:trPr>
        <w:tc>
          <w:tcPr>
            <w:tcW w:w="1345" w:type="pct"/>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
                <w:szCs w:val="2"/>
              </w:rPr>
            </w:pPr>
            <w:r>
              <w:rPr>
                <w:color w:val="000000"/>
                <w:sz w:val="2"/>
                <w:szCs w:val="2"/>
              </w:rPr>
              <w:t> </w:t>
            </w:r>
          </w:p>
        </w:tc>
      </w:tr>
    </w:tbl>
    <w:p w:rsidR="00000000" w:rsidRDefault="00406BD4">
      <w:pPr>
        <w:pStyle w:val="a3"/>
        <w:spacing w:before="0" w:beforeAutospacing="0" w:after="0" w:afterAutospacing="0"/>
        <w:ind w:left="357" w:hanging="408"/>
        <w:rPr>
          <w:sz w:val="4"/>
          <w:szCs w:val="4"/>
        </w:rPr>
      </w:pPr>
      <w:r>
        <w:rPr>
          <w:sz w:val="4"/>
          <w:szCs w:val="4"/>
        </w:rPr>
        <w:t> </w:t>
      </w:r>
    </w:p>
    <w:p w:rsidR="00000000" w:rsidRDefault="00406BD4">
      <w:pPr>
        <w:pStyle w:val="a3"/>
        <w:spacing w:before="0" w:beforeAutospacing="0" w:after="0" w:afterAutospacing="0"/>
        <w:ind w:left="357" w:hanging="408"/>
        <w:rPr>
          <w:color w:val="000000"/>
          <w:sz w:val="18"/>
          <w:szCs w:val="18"/>
        </w:rPr>
      </w:pPr>
      <w:r>
        <w:rPr>
          <w:color w:val="000000"/>
          <w:sz w:val="18"/>
          <w:szCs w:val="18"/>
        </w:rPr>
        <w:t>* Percentage not meaningful.</w:t>
      </w:r>
    </w:p>
    <w:p w:rsidR="00000000" w:rsidRDefault="00406BD4">
      <w:pPr>
        <w:pStyle w:val="a3"/>
        <w:spacing w:before="0" w:beforeAutospacing="0" w:after="0" w:afterAutospacing="0"/>
        <w:ind w:left="357" w:hanging="408"/>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406BD4">
            <w:pPr>
              <w:pStyle w:val="a3"/>
              <w:spacing w:before="0" w:beforeAutospacing="0" w:after="0" w:afterAutospacing="0"/>
              <w:rPr>
                <w:color w:val="000000"/>
                <w:sz w:val="18"/>
                <w:szCs w:val="18"/>
              </w:rPr>
            </w:pPr>
            <w:r>
              <w:rPr>
                <w:color w:val="000000"/>
                <w:sz w:val="18"/>
                <w:szCs w:val="18"/>
              </w:rPr>
              <w:t>(1)</w:t>
            </w:r>
          </w:p>
        </w:tc>
        <w:tc>
          <w:tcPr>
            <w:tcW w:w="0" w:type="auto"/>
            <w:hideMark/>
          </w:tcPr>
          <w:p w:rsidR="00000000" w:rsidRDefault="00406BD4">
            <w:pPr>
              <w:pStyle w:val="a3"/>
              <w:spacing w:before="0" w:beforeAutospacing="0" w:after="0" w:afterAutospacing="0"/>
              <w:rPr>
                <w:color w:val="000000"/>
                <w:sz w:val="18"/>
                <w:szCs w:val="18"/>
              </w:rPr>
            </w:pPr>
            <w:r>
              <w:rPr>
                <w:color w:val="000000"/>
                <w:sz w:val="18"/>
                <w:szCs w:val="18"/>
              </w:rPr>
              <w:t>We determine the number of billable tests delivered in a period by counting the number of tests which are delivered to our customers and for which we bill our customers and recognize some amount of revenue in the period.</w:t>
            </w:r>
          </w:p>
        </w:tc>
      </w:tr>
    </w:tbl>
    <w:p w:rsidR="00000000" w:rsidRDefault="00406BD4">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406BD4">
            <w:pPr>
              <w:pStyle w:val="a3"/>
              <w:spacing w:before="120" w:beforeAutospacing="0" w:after="0" w:afterAutospacing="0"/>
              <w:rPr>
                <w:color w:val="000000"/>
                <w:sz w:val="18"/>
                <w:szCs w:val="18"/>
              </w:rPr>
            </w:pPr>
            <w:r>
              <w:rPr>
                <w:color w:val="000000"/>
                <w:sz w:val="18"/>
                <w:szCs w:val="18"/>
              </w:rPr>
              <w:t>(2)</w:t>
            </w:r>
          </w:p>
        </w:tc>
        <w:tc>
          <w:tcPr>
            <w:tcW w:w="0" w:type="auto"/>
            <w:hideMark/>
          </w:tcPr>
          <w:p w:rsidR="00000000" w:rsidRDefault="00406BD4">
            <w:pPr>
              <w:pStyle w:val="a3"/>
              <w:spacing w:before="120" w:beforeAutospacing="0" w:after="0" w:afterAutospacing="0"/>
              <w:rPr>
                <w:color w:val="000000"/>
                <w:sz w:val="18"/>
                <w:szCs w:val="18"/>
              </w:rPr>
            </w:pPr>
            <w:r>
              <w:rPr>
                <w:color w:val="000000"/>
                <w:sz w:val="18"/>
                <w:szCs w:val="18"/>
              </w:rPr>
              <w:t>We calculate the average pric</w:t>
            </w:r>
            <w:r>
              <w:rPr>
                <w:color w:val="000000"/>
                <w:sz w:val="18"/>
                <w:szCs w:val="18"/>
              </w:rPr>
              <w:t xml:space="preserve">e per billable test delivered by dividing the amount of revenue we recognized from the billable tests delivered in a period by the number of billable tests delivered in the same period. </w:t>
            </w:r>
          </w:p>
        </w:tc>
      </w:tr>
    </w:tbl>
    <w:p w:rsidR="00000000" w:rsidRDefault="00406BD4">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406BD4">
            <w:pPr>
              <w:pStyle w:val="a3"/>
              <w:spacing w:before="120" w:beforeAutospacing="0" w:after="0" w:afterAutospacing="0"/>
              <w:rPr>
                <w:sz w:val="18"/>
                <w:szCs w:val="18"/>
              </w:rPr>
            </w:pPr>
            <w:r>
              <w:rPr>
                <w:sz w:val="18"/>
                <w:szCs w:val="18"/>
              </w:rPr>
              <w:t>(3)</w:t>
            </w:r>
          </w:p>
        </w:tc>
        <w:tc>
          <w:tcPr>
            <w:tcW w:w="0" w:type="auto"/>
            <w:hideMark/>
          </w:tcPr>
          <w:p w:rsidR="00000000" w:rsidRDefault="00406BD4">
            <w:pPr>
              <w:pStyle w:val="a3"/>
              <w:spacing w:before="120" w:beforeAutospacing="0" w:after="0" w:afterAutospacing="0"/>
              <w:rPr>
                <w:sz w:val="18"/>
                <w:szCs w:val="18"/>
              </w:rPr>
            </w:pPr>
            <w:r>
              <w:rPr>
                <w:color w:val="000000"/>
                <w:sz w:val="18"/>
                <w:szCs w:val="18"/>
              </w:rPr>
              <w:t>We calculate cost per billable test delivered by dividing our c</w:t>
            </w:r>
            <w:r>
              <w:rPr>
                <w:color w:val="000000"/>
                <w:sz w:val="18"/>
                <w:szCs w:val="18"/>
              </w:rPr>
              <w:t>ost of revenue in a period by the number of billable tests delivered in the same period.</w:t>
            </w:r>
          </w:p>
        </w:tc>
      </w:tr>
    </w:tbl>
    <w:p w:rsidR="00000000" w:rsidRDefault="00406BD4">
      <w:pPr>
        <w:pStyle w:val="a3"/>
        <w:spacing w:before="240" w:beforeAutospacing="0" w:after="0" w:afterAutospacing="0"/>
        <w:jc w:val="center"/>
        <w:rPr>
          <w:sz w:val="20"/>
          <w:szCs w:val="20"/>
        </w:rPr>
      </w:pPr>
      <w:r>
        <w:rPr>
          <w:sz w:val="20"/>
          <w:szCs w:val="20"/>
        </w:rPr>
        <w:t>23</w:t>
      </w:r>
    </w:p>
    <w:p w:rsidR="00000000" w:rsidRDefault="00406BD4">
      <w:pPr>
        <w:rPr>
          <w:rFonts w:eastAsia="Times New Roman"/>
        </w:rPr>
      </w:pPr>
      <w:r>
        <w:rPr>
          <w:rFonts w:eastAsia="Times New Roman"/>
        </w:rPr>
        <w:pict>
          <v:rect id="_x0000_i1049"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0" w:beforeAutospacing="0" w:after="0" w:afterAutospacing="0"/>
        <w:rPr>
          <w:b/>
          <w:bCs/>
          <w:sz w:val="20"/>
          <w:szCs w:val="20"/>
        </w:rPr>
      </w:pPr>
      <w:r>
        <w:rPr>
          <w:b/>
          <w:bCs/>
          <w:sz w:val="20"/>
          <w:szCs w:val="20"/>
        </w:rPr>
        <w:t>Revenue</w:t>
      </w:r>
    </w:p>
    <w:p w:rsidR="00000000" w:rsidRDefault="00406BD4">
      <w:pPr>
        <w:pStyle w:val="a3"/>
        <w:spacing w:before="120" w:beforeAutospacing="0" w:after="0" w:afterAutospacing="0"/>
        <w:ind w:firstLine="556"/>
        <w:rPr>
          <w:sz w:val="20"/>
          <w:szCs w:val="20"/>
        </w:rPr>
      </w:pPr>
      <w:r>
        <w:rPr>
          <w:sz w:val="20"/>
          <w:szCs w:val="20"/>
        </w:rPr>
        <w:t xml:space="preserve">Revenue increased $91.4 million, or 883%, from $10.3 million in </w:t>
      </w:r>
      <w:r>
        <w:rPr>
          <w:color w:val="000000"/>
          <w:sz w:val="20"/>
          <w:szCs w:val="20"/>
        </w:rPr>
        <w:t xml:space="preserve">the three months ended September 30, 2019 </w:t>
      </w:r>
      <w:r>
        <w:rPr>
          <w:sz w:val="20"/>
          <w:szCs w:val="20"/>
        </w:rPr>
        <w:t xml:space="preserve">to $101.7 million in </w:t>
      </w:r>
      <w:r>
        <w:rPr>
          <w:color w:val="000000"/>
          <w:sz w:val="20"/>
          <w:szCs w:val="20"/>
        </w:rPr>
        <w:t>the three months ended September 30, 2020</w:t>
      </w:r>
      <w:r>
        <w:rPr>
          <w:sz w:val="20"/>
          <w:szCs w:val="20"/>
        </w:rPr>
        <w:t>, and increased $102.6 million, or 425%, from $24.1 million in the nine months ended September 30, 2019 to $126.7 million in the nine months ended September 30, 2020. The increase in revenue between periods was primarily due to an increase in the number of</w:t>
      </w:r>
      <w:r>
        <w:rPr>
          <w:sz w:val="20"/>
          <w:szCs w:val="20"/>
        </w:rPr>
        <w:t xml:space="preserve"> billable tests delivered, primarily related to the increased orders for our COVID-19 tests, offset by a substantial decline in the average selling price per test. </w:t>
      </w:r>
    </w:p>
    <w:p w:rsidR="00000000" w:rsidRDefault="00406BD4">
      <w:pPr>
        <w:pStyle w:val="a3"/>
        <w:spacing w:before="240" w:beforeAutospacing="0" w:after="0" w:afterAutospacing="0"/>
        <w:ind w:firstLine="556"/>
        <w:rPr>
          <w:sz w:val="20"/>
          <w:szCs w:val="20"/>
        </w:rPr>
      </w:pPr>
      <w:r>
        <w:rPr>
          <w:sz w:val="20"/>
          <w:szCs w:val="20"/>
        </w:rPr>
        <w:t>The average price of the billable tests we delivered decreased from $493 in the three months ended September 30, 2019 to $98 in the three months ended September 30, 2020, and decreased from $536 in the nine months ended September 30, 2019 to $103 in the ni</w:t>
      </w:r>
      <w:r>
        <w:rPr>
          <w:sz w:val="20"/>
          <w:szCs w:val="20"/>
        </w:rPr>
        <w:t xml:space="preserve">ne months ended September 30, 2020. The decreases were due to (i) lower price-points for the mix of tests we delivered, including our recently launched COVID-19 tests, in </w:t>
      </w:r>
      <w:r>
        <w:rPr>
          <w:color w:val="000000"/>
          <w:sz w:val="20"/>
          <w:szCs w:val="20"/>
        </w:rPr>
        <w:t>the three and nine months ended September 30, 2020</w:t>
      </w:r>
      <w:r>
        <w:rPr>
          <w:sz w:val="20"/>
          <w:szCs w:val="20"/>
        </w:rPr>
        <w:t>, (ii) the mix of customers orderin</w:t>
      </w:r>
      <w:r>
        <w:rPr>
          <w:sz w:val="20"/>
          <w:szCs w:val="20"/>
        </w:rPr>
        <w:t xml:space="preserve">g tests in these periods, who may order tests at different rates depending on the arrangements we have negotiated with them, and for which we may recognize different amounts of revenue at different times </w:t>
      </w:r>
      <w:r>
        <w:rPr>
          <w:color w:val="000000"/>
          <w:sz w:val="20"/>
          <w:szCs w:val="20"/>
        </w:rPr>
        <w:t>in the delivery and payment process</w:t>
      </w:r>
      <w:r>
        <w:rPr>
          <w:sz w:val="20"/>
          <w:szCs w:val="20"/>
        </w:rPr>
        <w:t xml:space="preserve"> based on the imp</w:t>
      </w:r>
      <w:r>
        <w:rPr>
          <w:sz w:val="20"/>
          <w:szCs w:val="20"/>
        </w:rPr>
        <w:t xml:space="preserve">act of our revenue recognition policy on, and differing collectability rates among, various customer groups, and (iii) our reduction of prices for certain of our tests due to general price degradation for genetic tests and other competitive factors during </w:t>
      </w:r>
      <w:r>
        <w:rPr>
          <w:color w:val="000000"/>
          <w:sz w:val="20"/>
          <w:szCs w:val="20"/>
        </w:rPr>
        <w:t>the three and nine months ended September 30, 2020</w:t>
      </w:r>
      <w:r>
        <w:rPr>
          <w:sz w:val="20"/>
          <w:szCs w:val="20"/>
        </w:rPr>
        <w:t>.</w:t>
      </w:r>
    </w:p>
    <w:p w:rsidR="00000000" w:rsidRDefault="00406BD4">
      <w:pPr>
        <w:pStyle w:val="a3"/>
        <w:spacing w:before="240" w:beforeAutospacing="0" w:after="0" w:afterAutospacing="0"/>
        <w:ind w:firstLine="556"/>
        <w:rPr>
          <w:sz w:val="20"/>
          <w:szCs w:val="20"/>
        </w:rPr>
      </w:pPr>
      <w:r>
        <w:rPr>
          <w:sz w:val="20"/>
          <w:szCs w:val="20"/>
        </w:rPr>
        <w:t>Revenue from non-U.S. sources decreased $375,000, or 20%,</w:t>
      </w:r>
      <w:r>
        <w:rPr>
          <w:color w:val="000000"/>
          <w:sz w:val="20"/>
          <w:szCs w:val="20"/>
        </w:rPr>
        <w:t> </w:t>
      </w:r>
      <w:r>
        <w:rPr>
          <w:sz w:val="20"/>
          <w:szCs w:val="20"/>
        </w:rPr>
        <w:t xml:space="preserve">from $1.9 million in </w:t>
      </w:r>
      <w:r>
        <w:rPr>
          <w:color w:val="000000"/>
          <w:sz w:val="20"/>
          <w:szCs w:val="20"/>
        </w:rPr>
        <w:t xml:space="preserve">the three months ended September 30, 2019 </w:t>
      </w:r>
      <w:r>
        <w:rPr>
          <w:sz w:val="20"/>
          <w:szCs w:val="20"/>
        </w:rPr>
        <w:t xml:space="preserve">to $1.5 million in </w:t>
      </w:r>
      <w:r>
        <w:rPr>
          <w:color w:val="000000"/>
          <w:sz w:val="20"/>
          <w:szCs w:val="20"/>
        </w:rPr>
        <w:t>the three months ended September 30, 2020, and decreased $628,00</w:t>
      </w:r>
      <w:r>
        <w:rPr>
          <w:color w:val="000000"/>
          <w:sz w:val="20"/>
          <w:szCs w:val="20"/>
        </w:rPr>
        <w:t>0, or 12%, from $5.4 million in the nine months ended September 30, 2019 to $4.7 million in the nine months ended September 30, 2020</w:t>
      </w:r>
      <w:r>
        <w:rPr>
          <w:sz w:val="20"/>
          <w:szCs w:val="20"/>
        </w:rPr>
        <w:t>. The decreases in revenue from non-U.S. sources between periods were primarily due to</w:t>
      </w:r>
      <w:r>
        <w:rPr>
          <w:color w:val="000000"/>
          <w:sz w:val="20"/>
          <w:szCs w:val="20"/>
        </w:rPr>
        <w:t xml:space="preserve"> decreased sales of our traditional ge</w:t>
      </w:r>
      <w:r>
        <w:rPr>
          <w:color w:val="000000"/>
          <w:sz w:val="20"/>
          <w:szCs w:val="20"/>
        </w:rPr>
        <w:t xml:space="preserve">netic testing services to </w:t>
      </w:r>
      <w:r>
        <w:rPr>
          <w:sz w:val="20"/>
          <w:szCs w:val="20"/>
        </w:rPr>
        <w:t>customers in other countries adversely affected by the COVID-19 pandemic, which decreased by $203,000 and $350,000 in the three and nine months ended September 30, 2020, respectively, and specifically decreased sales to</w:t>
      </w:r>
      <w:r>
        <w:rPr>
          <w:color w:val="000000"/>
          <w:sz w:val="20"/>
          <w:szCs w:val="20"/>
        </w:rPr>
        <w:t xml:space="preserve"> customers </w:t>
      </w:r>
      <w:r>
        <w:rPr>
          <w:color w:val="000000"/>
          <w:sz w:val="20"/>
          <w:szCs w:val="20"/>
        </w:rPr>
        <w:t>in Canada, which decreased by $172,000 and $278,000 in the three and nine months ended September 30, 2020, respectively</w:t>
      </w:r>
      <w:r>
        <w:rPr>
          <w:sz w:val="20"/>
          <w:szCs w:val="20"/>
        </w:rPr>
        <w:t>.</w:t>
      </w:r>
    </w:p>
    <w:p w:rsidR="00000000" w:rsidRDefault="00406BD4">
      <w:pPr>
        <w:pStyle w:val="a3"/>
        <w:spacing w:before="240" w:beforeAutospacing="0" w:after="0" w:afterAutospacing="0"/>
        <w:ind w:firstLine="556"/>
        <w:rPr>
          <w:sz w:val="20"/>
          <w:szCs w:val="20"/>
        </w:rPr>
      </w:pPr>
      <w:r>
        <w:rPr>
          <w:sz w:val="20"/>
          <w:szCs w:val="20"/>
        </w:rPr>
        <w:t xml:space="preserve">The number of billable tests we delivered increased 1,014,000, from 21,000 in </w:t>
      </w:r>
      <w:r>
        <w:rPr>
          <w:color w:val="000000"/>
          <w:sz w:val="20"/>
          <w:szCs w:val="20"/>
        </w:rPr>
        <w:t xml:space="preserve">the three months ended September 30, 2019 </w:t>
      </w:r>
      <w:r>
        <w:rPr>
          <w:sz w:val="20"/>
          <w:szCs w:val="20"/>
        </w:rPr>
        <w:t>to 1,035,000 in</w:t>
      </w:r>
      <w:r>
        <w:rPr>
          <w:sz w:val="20"/>
          <w:szCs w:val="20"/>
        </w:rPr>
        <w:t xml:space="preserve"> </w:t>
      </w:r>
      <w:r>
        <w:rPr>
          <w:color w:val="000000"/>
          <w:sz w:val="20"/>
          <w:szCs w:val="20"/>
        </w:rPr>
        <w:t>the three months ended September 30, 2020, and increased 1,184,000, from 45,000 in the nine months ended September 30, 2019 to 1,229,000 in the nine months ended September 30, 2020</w:t>
      </w:r>
      <w:r>
        <w:rPr>
          <w:sz w:val="20"/>
          <w:szCs w:val="20"/>
        </w:rPr>
        <w:t>. The increases were primarily attributable to the expansion of our test me</w:t>
      </w:r>
      <w:r>
        <w:rPr>
          <w:sz w:val="20"/>
          <w:szCs w:val="20"/>
        </w:rPr>
        <w:t>nu, including our recently launched COVID-19 tests, and increases in sales to certain of our existing and new customers.</w:t>
      </w:r>
    </w:p>
    <w:p w:rsidR="00000000" w:rsidRDefault="00406BD4">
      <w:pPr>
        <w:pStyle w:val="a3"/>
        <w:spacing w:before="240" w:beforeAutospacing="0" w:after="0" w:afterAutospacing="0"/>
        <w:ind w:firstLine="556"/>
        <w:rPr>
          <w:sz w:val="20"/>
          <w:szCs w:val="20"/>
        </w:rPr>
      </w:pPr>
      <w:r>
        <w:rPr>
          <w:sz w:val="20"/>
          <w:szCs w:val="20"/>
        </w:rPr>
        <w:t>After aggregating customers that are under common control or are affiliates, one customer contributed 37% of our total revenue in the t</w:t>
      </w:r>
      <w:r>
        <w:rPr>
          <w:sz w:val="20"/>
          <w:szCs w:val="20"/>
        </w:rPr>
        <w:t xml:space="preserve">hree months ended September 30, 2020, and one customer contributed 35% of our total revenue in the nine months ended September 30, 2020. </w:t>
      </w:r>
    </w:p>
    <w:p w:rsidR="00000000" w:rsidRDefault="00406BD4">
      <w:pPr>
        <w:pStyle w:val="a3"/>
        <w:spacing w:before="360" w:beforeAutospacing="0" w:after="0" w:afterAutospacing="0"/>
        <w:rPr>
          <w:b/>
          <w:bCs/>
          <w:sz w:val="20"/>
          <w:szCs w:val="20"/>
        </w:rPr>
      </w:pPr>
      <w:r>
        <w:rPr>
          <w:b/>
          <w:bCs/>
          <w:sz w:val="20"/>
          <w:szCs w:val="20"/>
        </w:rPr>
        <w:t>Cost of Revenue</w:t>
      </w:r>
    </w:p>
    <w:p w:rsidR="00000000" w:rsidRDefault="00406BD4">
      <w:pPr>
        <w:pStyle w:val="a3"/>
        <w:spacing w:before="120" w:beforeAutospacing="0" w:after="0" w:afterAutospacing="0"/>
        <w:ind w:firstLine="556"/>
        <w:rPr>
          <w:sz w:val="20"/>
          <w:szCs w:val="20"/>
        </w:rPr>
      </w:pPr>
      <w:r>
        <w:rPr>
          <w:sz w:val="20"/>
          <w:szCs w:val="20"/>
        </w:rPr>
        <w:t xml:space="preserve">Cost of revenue increased $22.4 million, or 576%, from $3.9 million in </w:t>
      </w:r>
      <w:r>
        <w:rPr>
          <w:color w:val="000000"/>
          <w:sz w:val="20"/>
          <w:szCs w:val="20"/>
        </w:rPr>
        <w:t>the three months ended Septembe</w:t>
      </w:r>
      <w:r>
        <w:rPr>
          <w:color w:val="000000"/>
          <w:sz w:val="20"/>
          <w:szCs w:val="20"/>
        </w:rPr>
        <w:t xml:space="preserve">r 30, 2019 </w:t>
      </w:r>
      <w:r>
        <w:rPr>
          <w:sz w:val="20"/>
          <w:szCs w:val="20"/>
        </w:rPr>
        <w:t>to $26.3 million in the three months ended September 30, 2020</w:t>
      </w:r>
      <w:r>
        <w:rPr>
          <w:color w:val="000000"/>
          <w:sz w:val="20"/>
          <w:szCs w:val="20"/>
        </w:rPr>
        <w:t xml:space="preserve">. </w:t>
      </w:r>
      <w:r>
        <w:rPr>
          <w:sz w:val="20"/>
          <w:szCs w:val="20"/>
        </w:rPr>
        <w:t>The increase was primarily due to increases of $15.0 million in reagent and supply expenses and $2.8 million in outside labor expense related to increased billable tests delivered, a</w:t>
      </w:r>
      <w:r>
        <w:rPr>
          <w:sz w:val="20"/>
          <w:szCs w:val="20"/>
        </w:rPr>
        <w:t>nd $2.5 million in personnel costs and $253,000 in equity-based compensation expense related to increased headcount to support our recent growth and COVID-19 testing business.</w:t>
      </w:r>
    </w:p>
    <w:p w:rsidR="00000000" w:rsidRDefault="00406BD4">
      <w:pPr>
        <w:pStyle w:val="a3"/>
        <w:spacing w:before="240" w:beforeAutospacing="0" w:after="0" w:afterAutospacing="0"/>
        <w:ind w:firstLine="556"/>
        <w:rPr>
          <w:color w:val="000000"/>
          <w:sz w:val="20"/>
          <w:szCs w:val="20"/>
        </w:rPr>
      </w:pPr>
      <w:r>
        <w:rPr>
          <w:color w:val="000000"/>
          <w:sz w:val="20"/>
          <w:szCs w:val="20"/>
        </w:rPr>
        <w:t>Cost of revenue increased $27.6 million, or 263%, from $10.5 million in the nine</w:t>
      </w:r>
      <w:r>
        <w:rPr>
          <w:color w:val="000000"/>
          <w:sz w:val="20"/>
          <w:szCs w:val="20"/>
        </w:rPr>
        <w:t xml:space="preserve"> months ended September 30, 2019 to $38.0 million in the nine months ended September 30, 2020. The increase was primarily due to increases of $18.7 million in reagent and supply expenses and $3.4 million in outside labor expense related to increased billab</w:t>
      </w:r>
      <w:r>
        <w:rPr>
          <w:color w:val="000000"/>
          <w:sz w:val="20"/>
          <w:szCs w:val="20"/>
        </w:rPr>
        <w:t>le tests delivered, $2.9 million in personnel costs and $446,000 in equity-based compensation expense related to increased headcount and stock price.</w:t>
      </w:r>
    </w:p>
    <w:p w:rsidR="00000000" w:rsidRDefault="00406BD4">
      <w:pPr>
        <w:pStyle w:val="a3"/>
        <w:spacing w:before="240" w:beforeAutospacing="0" w:after="0" w:afterAutospacing="0"/>
        <w:ind w:firstLine="556"/>
        <w:rPr>
          <w:color w:val="000000"/>
          <w:sz w:val="20"/>
          <w:szCs w:val="20"/>
        </w:rPr>
      </w:pPr>
      <w:r>
        <w:rPr>
          <w:color w:val="000000"/>
          <w:sz w:val="20"/>
          <w:szCs w:val="20"/>
        </w:rPr>
        <w:t>Cost per billable test delivered decreased $160, or 86%, from $185 in the three months ended September 30,</w:t>
      </w:r>
      <w:r>
        <w:rPr>
          <w:color w:val="000000"/>
          <w:sz w:val="20"/>
          <w:szCs w:val="20"/>
        </w:rPr>
        <w:t xml:space="preserve"> 2019 to $25 in the three months ended September 30, 2020 as the increase in the number of billable tests we delivered was greater than the increase in our cost of revenue due to economies of scale related to the increased number of billable tests for the </w:t>
      </w:r>
      <w:r>
        <w:rPr>
          <w:color w:val="000000"/>
          <w:sz w:val="20"/>
          <w:szCs w:val="20"/>
        </w:rPr>
        <w:t>period. Cost per billable test delivered decreased $202, or 87%, from $233 in the nine months ended September 30, 2019 to $31 in the nine months ended September 30, 2020 as the increase in the number of billable tests we delivered was greater than the incr</w:t>
      </w:r>
      <w:r>
        <w:rPr>
          <w:color w:val="000000"/>
          <w:sz w:val="20"/>
          <w:szCs w:val="20"/>
        </w:rPr>
        <w:t>ease in our cost of revenue. The greater increase in the number of billable tests we delivered was primarily attributable to new customers and our expanded test menu, including our recently launched COVID-19 tests. Our cost per billable test decreased in p</w:t>
      </w:r>
      <w:r>
        <w:rPr>
          <w:color w:val="000000"/>
          <w:sz w:val="20"/>
          <w:szCs w:val="20"/>
        </w:rPr>
        <w:t>art due to our efforts to leverage our technology, such as engineered chemistry and competitive analytics powered by artificial intelligence and machine learning.</w:t>
      </w:r>
    </w:p>
    <w:p w:rsidR="00000000" w:rsidRDefault="00406BD4">
      <w:pPr>
        <w:pStyle w:val="a3"/>
        <w:spacing w:before="240" w:beforeAutospacing="0" w:after="0" w:afterAutospacing="0"/>
        <w:jc w:val="center"/>
        <w:rPr>
          <w:sz w:val="20"/>
          <w:szCs w:val="20"/>
        </w:rPr>
      </w:pPr>
      <w:r>
        <w:rPr>
          <w:sz w:val="20"/>
          <w:szCs w:val="20"/>
        </w:rPr>
        <w:t>24</w:t>
      </w:r>
    </w:p>
    <w:p w:rsidR="00000000" w:rsidRDefault="00406BD4">
      <w:pPr>
        <w:rPr>
          <w:rFonts w:eastAsia="Times New Roman"/>
        </w:rPr>
      </w:pPr>
      <w:r>
        <w:rPr>
          <w:rFonts w:eastAsia="Times New Roman"/>
        </w:rPr>
        <w:pict>
          <v:rect id="_x0000_i1050"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240" w:beforeAutospacing="0" w:after="0" w:afterAutospacing="0"/>
        <w:ind w:firstLine="556"/>
        <w:rPr>
          <w:sz w:val="20"/>
          <w:szCs w:val="20"/>
        </w:rPr>
      </w:pPr>
      <w:r>
        <w:rPr>
          <w:sz w:val="20"/>
          <w:szCs w:val="20"/>
        </w:rPr>
        <w:t xml:space="preserve">Our gross profit increased $69.0 million, from $6.5 million in </w:t>
      </w:r>
      <w:r>
        <w:rPr>
          <w:color w:val="000000"/>
          <w:sz w:val="20"/>
          <w:szCs w:val="20"/>
        </w:rPr>
        <w:t xml:space="preserve">the three months ended September 30, 2019 </w:t>
      </w:r>
      <w:r>
        <w:rPr>
          <w:sz w:val="20"/>
          <w:szCs w:val="20"/>
        </w:rPr>
        <w:t xml:space="preserve">to $75.5 million in </w:t>
      </w:r>
      <w:r>
        <w:rPr>
          <w:color w:val="000000"/>
          <w:sz w:val="20"/>
          <w:szCs w:val="20"/>
        </w:rPr>
        <w:t>the three months ended September 30, 20</w:t>
      </w:r>
      <w:r>
        <w:rPr>
          <w:color w:val="000000"/>
          <w:sz w:val="20"/>
          <w:szCs w:val="20"/>
        </w:rPr>
        <w:t xml:space="preserve">20, and </w:t>
      </w:r>
      <w:r>
        <w:rPr>
          <w:sz w:val="20"/>
          <w:szCs w:val="20"/>
        </w:rPr>
        <w:t>increased $75.0 million, from $13.7 million in the nine months ended September 30, 2019 to $88.7 million in the nine months ended September 30, 2020. Our gross profit as a percentage of revenue, or gross margin, increased from 62.5% to 74.2% betwee</w:t>
      </w:r>
      <w:r>
        <w:rPr>
          <w:sz w:val="20"/>
          <w:szCs w:val="20"/>
        </w:rPr>
        <w:t>n three months ended September 30, 2019 and 2020, and increased from 56.6% to 70.0% between nine months ended September 30, 2019 and 2020, due in part to the increase in revenue and decreases in our cost per billable test and cost of revenue described abov</w:t>
      </w:r>
      <w:r>
        <w:rPr>
          <w:sz w:val="20"/>
          <w:szCs w:val="20"/>
        </w:rPr>
        <w:t>e.</w:t>
      </w:r>
    </w:p>
    <w:p w:rsidR="00000000" w:rsidRDefault="00406BD4">
      <w:pPr>
        <w:pStyle w:val="a3"/>
        <w:spacing w:before="360" w:beforeAutospacing="0" w:after="0" w:afterAutospacing="0"/>
        <w:rPr>
          <w:b/>
          <w:bCs/>
          <w:sz w:val="20"/>
          <w:szCs w:val="20"/>
        </w:rPr>
      </w:pPr>
      <w:r>
        <w:rPr>
          <w:b/>
          <w:bCs/>
          <w:sz w:val="20"/>
          <w:szCs w:val="20"/>
        </w:rPr>
        <w:t>Research and Development</w:t>
      </w:r>
    </w:p>
    <w:p w:rsidR="00000000" w:rsidRDefault="00406BD4">
      <w:pPr>
        <w:pStyle w:val="a3"/>
        <w:spacing w:before="120" w:beforeAutospacing="0" w:after="0" w:afterAutospacing="0"/>
        <w:ind w:firstLine="556"/>
        <w:rPr>
          <w:sz w:val="20"/>
          <w:szCs w:val="20"/>
        </w:rPr>
      </w:pPr>
      <w:r>
        <w:rPr>
          <w:sz w:val="20"/>
          <w:szCs w:val="20"/>
        </w:rPr>
        <w:t>Research and development expenses increased $1.4 million, or 82%, from $1.7 million in the three months ended September 30, 2019 to $3.2 million in the three months ended September 30, 2020. The increase was primarily due to inc</w:t>
      </w:r>
      <w:r>
        <w:rPr>
          <w:sz w:val="20"/>
          <w:szCs w:val="20"/>
        </w:rPr>
        <w:t>reases of $680,000 in personnel costs and $608,000 in equity-based compensation expense related to increased headcount and stock price, and $117,000 in reagent and supply expenses related to increased reagent usage for COVID-19 research.</w:t>
      </w:r>
    </w:p>
    <w:p w:rsidR="00000000" w:rsidRDefault="00406BD4">
      <w:pPr>
        <w:pStyle w:val="a3"/>
        <w:spacing w:before="240" w:beforeAutospacing="0" w:after="0" w:afterAutospacing="0"/>
        <w:ind w:firstLine="556"/>
        <w:rPr>
          <w:sz w:val="20"/>
          <w:szCs w:val="20"/>
        </w:rPr>
      </w:pPr>
      <w:r>
        <w:rPr>
          <w:sz w:val="20"/>
          <w:szCs w:val="20"/>
        </w:rPr>
        <w:t>Research and devel</w:t>
      </w:r>
      <w:r>
        <w:rPr>
          <w:sz w:val="20"/>
          <w:szCs w:val="20"/>
        </w:rPr>
        <w:t>opment expenses increased $2.3 million, or 48%, from $4.7 million in the nine months ended September 30, 2019 to $7.0 million in the nine months ended September 30, 2020. The increase was primarily due to increases of $1.2 million in personnel costs and $8</w:t>
      </w:r>
      <w:r>
        <w:rPr>
          <w:sz w:val="20"/>
          <w:szCs w:val="20"/>
        </w:rPr>
        <w:t xml:space="preserve">73,000 in equity-based compensation expense related to increased headcount and stock price, and $251,000 in reagent and supply expenses related to increased reagent usage for COVID-19 research. </w:t>
      </w:r>
    </w:p>
    <w:p w:rsidR="00000000" w:rsidRDefault="00406BD4">
      <w:pPr>
        <w:pStyle w:val="a3"/>
        <w:spacing w:before="360" w:beforeAutospacing="0" w:after="0" w:afterAutospacing="0"/>
        <w:rPr>
          <w:b/>
          <w:bCs/>
          <w:sz w:val="20"/>
          <w:szCs w:val="20"/>
        </w:rPr>
      </w:pPr>
      <w:r>
        <w:rPr>
          <w:b/>
          <w:bCs/>
          <w:sz w:val="20"/>
          <w:szCs w:val="20"/>
        </w:rPr>
        <w:t>Selling and Marketing</w:t>
      </w:r>
    </w:p>
    <w:p w:rsidR="00000000" w:rsidRDefault="00406BD4">
      <w:pPr>
        <w:pStyle w:val="a3"/>
        <w:spacing w:before="120" w:beforeAutospacing="0" w:after="0" w:afterAutospacing="0"/>
        <w:ind w:firstLine="556"/>
        <w:rPr>
          <w:color w:val="000000"/>
          <w:sz w:val="20"/>
          <w:szCs w:val="20"/>
        </w:rPr>
      </w:pPr>
      <w:r>
        <w:rPr>
          <w:color w:val="000000"/>
          <w:sz w:val="20"/>
          <w:szCs w:val="20"/>
          <w:shd w:val="clear" w:color="auto" w:fill="FFFFFF"/>
        </w:rPr>
        <w:t>Selling</w:t>
      </w:r>
      <w:r>
        <w:rPr>
          <w:color w:val="000000"/>
          <w:sz w:val="20"/>
          <w:szCs w:val="20"/>
        </w:rPr>
        <w:t xml:space="preserve"> and marketing expenses increase</w:t>
      </w:r>
      <w:r>
        <w:rPr>
          <w:color w:val="000000"/>
          <w:sz w:val="20"/>
          <w:szCs w:val="20"/>
        </w:rPr>
        <w:t>d $3.3 million, or 197% from $1.7 million in the three months ended September 30, 2019 to $5.0 million in the three months ended September 30, 2020. The increase was primarily due to increases of $1.1 million in personnel costs and $853,000 in equity-based</w:t>
      </w:r>
      <w:r>
        <w:rPr>
          <w:color w:val="000000"/>
          <w:sz w:val="20"/>
          <w:szCs w:val="20"/>
        </w:rPr>
        <w:t xml:space="preserve"> compensation expense related to increased commission expense and stock awards granted to sales representatives, respectively, $621,000 in consulting and outside labor expense related to COVID-19 marketing projects in the current period, and $613,000 in ma</w:t>
      </w:r>
      <w:r>
        <w:rPr>
          <w:color w:val="000000"/>
          <w:sz w:val="20"/>
          <w:szCs w:val="20"/>
        </w:rPr>
        <w:t>rketing supplies and shipping to potential customers related to the increased number of COVID-19 tests.</w:t>
      </w:r>
    </w:p>
    <w:p w:rsidR="00000000" w:rsidRDefault="00406BD4">
      <w:pPr>
        <w:pStyle w:val="a3"/>
        <w:spacing w:before="240" w:beforeAutospacing="0" w:after="0" w:afterAutospacing="0"/>
        <w:ind w:firstLine="556"/>
        <w:rPr>
          <w:color w:val="000000"/>
          <w:sz w:val="20"/>
          <w:szCs w:val="20"/>
        </w:rPr>
      </w:pPr>
      <w:r>
        <w:rPr>
          <w:color w:val="000000"/>
          <w:sz w:val="20"/>
          <w:szCs w:val="20"/>
          <w:shd w:val="clear" w:color="auto" w:fill="FFFFFF"/>
        </w:rPr>
        <w:t>Selling</w:t>
      </w:r>
      <w:r>
        <w:rPr>
          <w:color w:val="000000"/>
          <w:sz w:val="20"/>
          <w:szCs w:val="20"/>
        </w:rPr>
        <w:t xml:space="preserve"> and marketing expenses increased $5.6 million, or 132% from $4.3 million in the nine months ended September 30, 2019 to $9.9 million in the nine</w:t>
      </w:r>
      <w:r>
        <w:rPr>
          <w:color w:val="000000"/>
          <w:sz w:val="20"/>
          <w:szCs w:val="20"/>
        </w:rPr>
        <w:t xml:space="preserve"> months ended September 30, 2020. The increase was primarily due to increases of $1.2 million in personnel costs and $934,000 in equity-based compensation expense related to increased commission expense and stock awards granted to sales representatives, re</w:t>
      </w:r>
      <w:r>
        <w:rPr>
          <w:color w:val="000000"/>
          <w:sz w:val="20"/>
          <w:szCs w:val="20"/>
        </w:rPr>
        <w:t xml:space="preserve">spectively, $2.5 million in marketing supplies and shipping to potential customers including kits related to the increased number of COVID-19 tests, and $856,000 in consulting and outside labor expense related to COVID-19 marketing projects in the current </w:t>
      </w:r>
      <w:r>
        <w:rPr>
          <w:color w:val="000000"/>
          <w:sz w:val="20"/>
          <w:szCs w:val="20"/>
        </w:rPr>
        <w:t>period.</w:t>
      </w:r>
    </w:p>
    <w:p w:rsidR="00000000" w:rsidRDefault="00406BD4">
      <w:pPr>
        <w:pStyle w:val="a3"/>
        <w:spacing w:before="360" w:beforeAutospacing="0" w:after="0" w:afterAutospacing="0"/>
        <w:rPr>
          <w:b/>
          <w:bCs/>
          <w:sz w:val="20"/>
          <w:szCs w:val="20"/>
        </w:rPr>
      </w:pPr>
      <w:r>
        <w:rPr>
          <w:b/>
          <w:bCs/>
          <w:sz w:val="20"/>
          <w:szCs w:val="20"/>
        </w:rPr>
        <w:t>General and Administrative</w:t>
      </w:r>
    </w:p>
    <w:p w:rsidR="00000000" w:rsidRDefault="00406BD4">
      <w:pPr>
        <w:pStyle w:val="a3"/>
        <w:spacing w:before="120" w:beforeAutospacing="0" w:after="0" w:afterAutospacing="0"/>
        <w:ind w:firstLine="556"/>
        <w:rPr>
          <w:color w:val="000000"/>
          <w:sz w:val="20"/>
          <w:szCs w:val="20"/>
        </w:rPr>
      </w:pPr>
      <w:r>
        <w:rPr>
          <w:color w:val="000000"/>
          <w:sz w:val="20"/>
          <w:szCs w:val="20"/>
          <w:shd w:val="clear" w:color="auto" w:fill="FFFFFF"/>
        </w:rPr>
        <w:t>General</w:t>
      </w:r>
      <w:r>
        <w:rPr>
          <w:color w:val="000000"/>
          <w:sz w:val="20"/>
          <w:szCs w:val="20"/>
        </w:rPr>
        <w:t xml:space="preserve"> and </w:t>
      </w:r>
      <w:r>
        <w:rPr>
          <w:color w:val="000000"/>
          <w:sz w:val="20"/>
          <w:szCs w:val="20"/>
          <w:shd w:val="clear" w:color="auto" w:fill="FFFFFF"/>
        </w:rPr>
        <w:t>administrative</w:t>
      </w:r>
      <w:r>
        <w:rPr>
          <w:color w:val="000000"/>
          <w:sz w:val="20"/>
          <w:szCs w:val="20"/>
        </w:rPr>
        <w:t xml:space="preserve"> expenses increased $2.2 million, or 146% from $1.5 million in the three months ended September 30, 2019 to $3.7 million in the three months ended September 30, 2020. The increase was primarily d</w:t>
      </w:r>
      <w:r>
        <w:rPr>
          <w:color w:val="000000"/>
          <w:sz w:val="20"/>
          <w:szCs w:val="20"/>
        </w:rPr>
        <w:t>ue to increases of $532,000 in personnel costs and $485,000 in equity-based compensation expense related to increased headcount and stock price, $393,000 in software and licensing related to the increased number of COVID-19 tests, $269,000 in bad debt expe</w:t>
      </w:r>
      <w:r>
        <w:rPr>
          <w:color w:val="000000"/>
          <w:sz w:val="20"/>
          <w:szCs w:val="20"/>
        </w:rPr>
        <w:t>nse related to additional reserve for doubtful accounts in the current period, and $244,000 in accounting fees.</w:t>
      </w:r>
    </w:p>
    <w:p w:rsidR="00000000" w:rsidRDefault="00406BD4">
      <w:pPr>
        <w:pStyle w:val="a3"/>
        <w:spacing w:before="240" w:beforeAutospacing="0" w:after="0" w:afterAutospacing="0"/>
        <w:ind w:firstLine="556"/>
        <w:rPr>
          <w:color w:val="000000"/>
          <w:sz w:val="20"/>
          <w:szCs w:val="20"/>
        </w:rPr>
      </w:pPr>
      <w:r>
        <w:rPr>
          <w:color w:val="000000"/>
          <w:sz w:val="20"/>
          <w:szCs w:val="20"/>
          <w:shd w:val="clear" w:color="auto" w:fill="FFFFFF"/>
        </w:rPr>
        <w:t>General</w:t>
      </w:r>
      <w:r>
        <w:rPr>
          <w:color w:val="000000"/>
          <w:sz w:val="20"/>
          <w:szCs w:val="20"/>
        </w:rPr>
        <w:t xml:space="preserve"> and </w:t>
      </w:r>
      <w:r>
        <w:rPr>
          <w:color w:val="000000"/>
          <w:sz w:val="20"/>
          <w:szCs w:val="20"/>
          <w:shd w:val="clear" w:color="auto" w:fill="FFFFFF"/>
        </w:rPr>
        <w:t>administrative</w:t>
      </w:r>
      <w:r>
        <w:rPr>
          <w:color w:val="000000"/>
          <w:sz w:val="20"/>
          <w:szCs w:val="20"/>
        </w:rPr>
        <w:t xml:space="preserve"> expenses increased $2.9 million, or 62% from $4.7 million in the nine months ended September 30, 2019 to $7.6 million</w:t>
      </w:r>
      <w:r>
        <w:rPr>
          <w:color w:val="000000"/>
          <w:sz w:val="20"/>
          <w:szCs w:val="20"/>
        </w:rPr>
        <w:t xml:space="preserve"> in the nine months ended September 30, 2020. The increase was primarily due to increases of $678,000 in personnel costs and $630,000 in equity-based compensation related to increased headcount and stock price, $499,000 in software and licensing related to</w:t>
      </w:r>
      <w:r>
        <w:rPr>
          <w:color w:val="000000"/>
          <w:sz w:val="20"/>
          <w:szCs w:val="20"/>
        </w:rPr>
        <w:t xml:space="preserve"> the increased number of COVID-19 tests, $454,000 in accounting fees, and $404,000 in bad debt expense related to additional reserve for doubtful accounts in the current period.</w:t>
      </w:r>
    </w:p>
    <w:p w:rsidR="00000000" w:rsidRDefault="00406BD4">
      <w:pPr>
        <w:pStyle w:val="a3"/>
        <w:spacing w:before="360" w:beforeAutospacing="0" w:after="0" w:afterAutospacing="0"/>
        <w:rPr>
          <w:b/>
          <w:bCs/>
          <w:color w:val="000000"/>
          <w:sz w:val="20"/>
          <w:szCs w:val="20"/>
        </w:rPr>
      </w:pPr>
      <w:r>
        <w:rPr>
          <w:b/>
          <w:bCs/>
          <w:color w:val="000000"/>
          <w:sz w:val="20"/>
          <w:szCs w:val="20"/>
          <w:shd w:val="clear" w:color="auto" w:fill="FFFFFF"/>
        </w:rPr>
        <w:t>Interest Income and Other Income (Losses)</w:t>
      </w:r>
    </w:p>
    <w:p w:rsidR="00000000" w:rsidRDefault="00406BD4">
      <w:pPr>
        <w:pStyle w:val="a3"/>
        <w:spacing w:before="120" w:beforeAutospacing="0" w:after="0" w:afterAutospacing="0"/>
        <w:ind w:firstLine="556"/>
        <w:rPr>
          <w:sz w:val="20"/>
          <w:szCs w:val="20"/>
        </w:rPr>
      </w:pPr>
      <w:r>
        <w:rPr>
          <w:sz w:val="20"/>
          <w:szCs w:val="20"/>
        </w:rPr>
        <w:t>Interest income was $424,000</w:t>
      </w:r>
      <w:r>
        <w:rPr>
          <w:color w:val="000000"/>
          <w:sz w:val="20"/>
          <w:szCs w:val="20"/>
        </w:rPr>
        <w:t xml:space="preserve"> and $202,000</w:t>
      </w:r>
      <w:r>
        <w:rPr>
          <w:sz w:val="20"/>
          <w:szCs w:val="20"/>
        </w:rPr>
        <w:t xml:space="preserve"> in </w:t>
      </w:r>
      <w:r>
        <w:rPr>
          <w:color w:val="000000"/>
          <w:sz w:val="20"/>
          <w:szCs w:val="20"/>
        </w:rPr>
        <w:t xml:space="preserve">the three months ended September 30, 2020 and 2019, respectively, and $999,000 and $619,000 in the nine months ended September 30, 2020 and 2019, respectively. This </w:t>
      </w:r>
      <w:r>
        <w:rPr>
          <w:sz w:val="20"/>
          <w:szCs w:val="20"/>
        </w:rPr>
        <w:t xml:space="preserve">income related to </w:t>
      </w:r>
      <w:r>
        <w:rPr>
          <w:color w:val="000000"/>
          <w:sz w:val="20"/>
          <w:szCs w:val="20"/>
        </w:rPr>
        <w:t>interest received on various</w:t>
      </w:r>
      <w:r>
        <w:rPr>
          <w:color w:val="000000"/>
          <w:sz w:val="20"/>
          <w:szCs w:val="20"/>
        </w:rPr>
        <w:t xml:space="preserve"> investments in marketable securities</w:t>
      </w:r>
      <w:r>
        <w:rPr>
          <w:sz w:val="20"/>
          <w:szCs w:val="20"/>
        </w:rPr>
        <w:t xml:space="preserve">. </w:t>
      </w:r>
    </w:p>
    <w:p w:rsidR="00000000" w:rsidRDefault="00406BD4">
      <w:pPr>
        <w:pStyle w:val="a3"/>
        <w:spacing w:before="240" w:beforeAutospacing="0" w:after="0" w:afterAutospacing="0"/>
        <w:ind w:firstLine="556"/>
        <w:rPr>
          <w:sz w:val="20"/>
          <w:szCs w:val="20"/>
        </w:rPr>
      </w:pPr>
      <w:r>
        <w:rPr>
          <w:sz w:val="20"/>
          <w:szCs w:val="20"/>
        </w:rPr>
        <w:t>Other losses were $3,000 and $62,000 in the three and nine months ended September 30, 2020. Other losses were not significant in the three or nine months ended September 30,</w:t>
      </w:r>
      <w:r>
        <w:rPr>
          <w:color w:val="000000"/>
          <w:sz w:val="20"/>
          <w:szCs w:val="20"/>
        </w:rPr>
        <w:t xml:space="preserve"> 2019. The primary component of other losse</w:t>
      </w:r>
      <w:r>
        <w:rPr>
          <w:color w:val="000000"/>
          <w:sz w:val="20"/>
          <w:szCs w:val="20"/>
        </w:rPr>
        <w:t xml:space="preserve">s </w:t>
      </w:r>
      <w:r>
        <w:rPr>
          <w:sz w:val="20"/>
          <w:szCs w:val="20"/>
        </w:rPr>
        <w:t xml:space="preserve">in </w:t>
      </w:r>
      <w:r>
        <w:rPr>
          <w:color w:val="000000"/>
          <w:sz w:val="20"/>
          <w:szCs w:val="20"/>
        </w:rPr>
        <w:t>both periods was foreign currency valuation losses.</w:t>
      </w:r>
      <w:r>
        <w:rPr>
          <w:sz w:val="20"/>
          <w:szCs w:val="20"/>
        </w:rPr>
        <w:t xml:space="preserve"> </w:t>
      </w:r>
    </w:p>
    <w:p w:rsidR="00000000" w:rsidRDefault="00406BD4">
      <w:pPr>
        <w:pStyle w:val="a3"/>
        <w:spacing w:before="240" w:beforeAutospacing="0" w:after="0" w:afterAutospacing="0"/>
        <w:jc w:val="center"/>
        <w:rPr>
          <w:sz w:val="20"/>
          <w:szCs w:val="20"/>
        </w:rPr>
      </w:pPr>
      <w:r>
        <w:rPr>
          <w:sz w:val="20"/>
          <w:szCs w:val="20"/>
        </w:rPr>
        <w:t>25</w:t>
      </w:r>
    </w:p>
    <w:p w:rsidR="00000000" w:rsidRDefault="00406BD4">
      <w:pPr>
        <w:rPr>
          <w:rFonts w:eastAsia="Times New Roman"/>
        </w:rPr>
      </w:pPr>
      <w:r>
        <w:rPr>
          <w:rFonts w:eastAsia="Times New Roman"/>
        </w:rPr>
        <w:pict>
          <v:rect id="_x0000_i1051"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360" w:beforeAutospacing="0" w:after="0" w:afterAutospacing="0"/>
        <w:rPr>
          <w:b/>
          <w:bCs/>
          <w:color w:val="000000"/>
          <w:sz w:val="20"/>
          <w:szCs w:val="20"/>
        </w:rPr>
      </w:pPr>
      <w:r>
        <w:rPr>
          <w:b/>
          <w:bCs/>
          <w:color w:val="000000"/>
          <w:sz w:val="20"/>
          <w:szCs w:val="20"/>
          <w:shd w:val="clear" w:color="auto" w:fill="FFFFFF"/>
        </w:rPr>
        <w:t>Provision fo</w:t>
      </w:r>
      <w:r>
        <w:rPr>
          <w:b/>
          <w:bCs/>
          <w:color w:val="000000"/>
          <w:sz w:val="20"/>
          <w:szCs w:val="20"/>
          <w:shd w:val="clear" w:color="auto" w:fill="FFFFFF"/>
        </w:rPr>
        <w:t>r Income Taxes</w:t>
      </w:r>
    </w:p>
    <w:p w:rsidR="00000000" w:rsidRDefault="00406BD4">
      <w:pPr>
        <w:pStyle w:val="a3"/>
        <w:spacing w:before="120" w:beforeAutospacing="0" w:after="0" w:afterAutospacing="0"/>
        <w:ind w:firstLine="556"/>
        <w:rPr>
          <w:sz w:val="20"/>
          <w:szCs w:val="20"/>
        </w:rPr>
      </w:pPr>
      <w:r>
        <w:rPr>
          <w:sz w:val="20"/>
          <w:szCs w:val="20"/>
        </w:rPr>
        <w:t>Provision for income taxes were $14.5 million and $14.0 million for the three and nine months ended September 30, 2020, respectively, and $61,000 and $81,000 for the three and nine months ended September 30, 2019, respectively. The effective</w:t>
      </w:r>
      <w:r>
        <w:rPr>
          <w:sz w:val="20"/>
          <w:szCs w:val="20"/>
        </w:rPr>
        <w:t xml:space="preserve"> tax rate was 23% for the three months ended September 30, 2020 compared with 4% for the three months ended September 30, 2019. The effective tax rate was 21% for the nine months ended September 30, 2020 compared with 14% for the nine months ended Septembe</w:t>
      </w:r>
      <w:r>
        <w:rPr>
          <w:sz w:val="20"/>
          <w:szCs w:val="20"/>
        </w:rPr>
        <w:t>r 30, 2019. The increase in effective tax rates for the three and nine months ended September 30, 2020, relative to the comparative 2019 periods, was primarily attributable to a significant increase in income for the three and nine months ended September 3</w:t>
      </w:r>
      <w:r>
        <w:rPr>
          <w:sz w:val="20"/>
          <w:szCs w:val="20"/>
        </w:rPr>
        <w:t>0, 2020, partially offset by a reduction in the valuation allowance on deferred tax assets and increased windfall tax deductions related to stock-based compensation.  The decrease in the 2020 tax rates related to the reduction in the valuation allowance is</w:t>
      </w:r>
      <w:r>
        <w:rPr>
          <w:sz w:val="20"/>
          <w:szCs w:val="20"/>
        </w:rPr>
        <w:t xml:space="preserve"> due to management’s conclusion that, as of September 30, 2020, the allowance is generally no longer appropriate given the Company’s increase in current and forecasted future earnings, as well as other positive evidence.</w:t>
      </w:r>
    </w:p>
    <w:p w:rsidR="00000000" w:rsidRDefault="00406BD4">
      <w:pPr>
        <w:pStyle w:val="a3"/>
        <w:spacing w:before="360" w:beforeAutospacing="0" w:after="0" w:afterAutospacing="0"/>
        <w:rPr>
          <w:b/>
          <w:bCs/>
          <w:color w:val="000000"/>
          <w:sz w:val="20"/>
          <w:szCs w:val="20"/>
        </w:rPr>
      </w:pPr>
      <w:r>
        <w:rPr>
          <w:b/>
          <w:bCs/>
          <w:color w:val="000000"/>
          <w:sz w:val="20"/>
          <w:szCs w:val="20"/>
          <w:shd w:val="clear" w:color="auto" w:fill="FFFFFF"/>
        </w:rPr>
        <w:t>Equity Loss in Investee</w:t>
      </w:r>
    </w:p>
    <w:p w:rsidR="00000000" w:rsidRDefault="00406BD4">
      <w:pPr>
        <w:pStyle w:val="a3"/>
        <w:spacing w:before="120" w:beforeAutospacing="0" w:after="0" w:afterAutospacing="0"/>
        <w:ind w:firstLine="556"/>
        <w:rPr>
          <w:color w:val="000000"/>
          <w:sz w:val="20"/>
          <w:szCs w:val="20"/>
        </w:rPr>
      </w:pPr>
      <w:r>
        <w:rPr>
          <w:color w:val="000000"/>
          <w:sz w:val="20"/>
          <w:szCs w:val="20"/>
        </w:rPr>
        <w:t>Equity loss</w:t>
      </w:r>
      <w:r>
        <w:rPr>
          <w:color w:val="000000"/>
          <w:sz w:val="20"/>
          <w:szCs w:val="20"/>
        </w:rPr>
        <w:t xml:space="preserve"> in investee was $189,000 and $175,000 in the three months ended September 30, 2020 and 2019, respectively, and $631,000 and $603,000 in the nine months ended September 30, 2020 and 2019, respectively. Equity loss in investee relates to our 30% ownership i</w:t>
      </w:r>
      <w:r>
        <w:rPr>
          <w:color w:val="000000"/>
          <w:sz w:val="20"/>
          <w:szCs w:val="20"/>
        </w:rPr>
        <w:t>nterest in our joint venture, which we refer to as FF Gene Biotech.</w:t>
      </w:r>
    </w:p>
    <w:p w:rsidR="00000000" w:rsidRDefault="00406BD4">
      <w:pPr>
        <w:pStyle w:val="a3"/>
        <w:spacing w:before="360" w:beforeAutospacing="0" w:after="0" w:afterAutospacing="0"/>
        <w:rPr>
          <w:b/>
          <w:bCs/>
          <w:color w:val="000000"/>
          <w:sz w:val="20"/>
          <w:szCs w:val="20"/>
        </w:rPr>
      </w:pPr>
      <w:r>
        <w:rPr>
          <w:b/>
          <w:bCs/>
          <w:color w:val="000000"/>
          <w:sz w:val="20"/>
          <w:szCs w:val="20"/>
          <w:shd w:val="clear" w:color="auto" w:fill="FFFFFF"/>
        </w:rPr>
        <w:t>Impairment Loss in Equity Method Investment</w:t>
      </w:r>
    </w:p>
    <w:p w:rsidR="00000000" w:rsidRDefault="00406BD4">
      <w:pPr>
        <w:pStyle w:val="a3"/>
        <w:spacing w:before="120" w:beforeAutospacing="0" w:after="0" w:afterAutospacing="0"/>
        <w:ind w:firstLine="556"/>
        <w:rPr>
          <w:color w:val="000000"/>
          <w:sz w:val="20"/>
          <w:szCs w:val="20"/>
        </w:rPr>
      </w:pPr>
      <w:r>
        <w:rPr>
          <w:color w:val="000000"/>
          <w:sz w:val="20"/>
          <w:szCs w:val="20"/>
        </w:rPr>
        <w:t>Impairment loss in equity-method investment was $2.6 million in the three months and nine months ended September 30, 2020. Impairment loss in eq</w:t>
      </w:r>
      <w:r>
        <w:rPr>
          <w:color w:val="000000"/>
          <w:sz w:val="20"/>
          <w:szCs w:val="20"/>
        </w:rPr>
        <w:t>uity relates to our 25% ownership interest in BostonMolecules.</w:t>
      </w:r>
    </w:p>
    <w:p w:rsidR="00000000" w:rsidRDefault="00406BD4">
      <w:pPr>
        <w:pStyle w:val="a3"/>
        <w:spacing w:before="360" w:beforeAutospacing="0" w:after="0" w:afterAutospacing="0"/>
        <w:jc w:val="center"/>
        <w:rPr>
          <w:b/>
          <w:bCs/>
          <w:sz w:val="20"/>
          <w:szCs w:val="20"/>
        </w:rPr>
      </w:pPr>
      <w:r>
        <w:rPr>
          <w:b/>
          <w:bCs/>
          <w:sz w:val="20"/>
          <w:szCs w:val="20"/>
        </w:rPr>
        <w:t>Liquidity and Capital Resources</w:t>
      </w:r>
    </w:p>
    <w:p w:rsidR="00000000" w:rsidRDefault="00406BD4">
      <w:pPr>
        <w:pStyle w:val="a3"/>
        <w:spacing w:before="240" w:beforeAutospacing="0" w:after="0" w:afterAutospacing="0"/>
        <w:rPr>
          <w:b/>
          <w:bCs/>
          <w:sz w:val="20"/>
          <w:szCs w:val="20"/>
        </w:rPr>
      </w:pPr>
      <w:r>
        <w:rPr>
          <w:b/>
          <w:bCs/>
          <w:sz w:val="20"/>
          <w:szCs w:val="20"/>
        </w:rPr>
        <w:t>Liquidity and Sources of Cash</w:t>
      </w:r>
    </w:p>
    <w:p w:rsidR="00000000" w:rsidRDefault="00406BD4">
      <w:pPr>
        <w:pStyle w:val="a3"/>
        <w:spacing w:before="120" w:beforeAutospacing="0" w:after="0" w:afterAutospacing="0"/>
        <w:ind w:firstLine="556"/>
        <w:rPr>
          <w:sz w:val="20"/>
          <w:szCs w:val="20"/>
        </w:rPr>
      </w:pPr>
      <w:bookmarkStart w:id="31" w:name="_DV_C1483"/>
      <w:bookmarkEnd w:id="31"/>
      <w:r>
        <w:rPr>
          <w:sz w:val="20"/>
          <w:szCs w:val="20"/>
        </w:rPr>
        <w:t>W</w:t>
      </w:r>
      <w:r>
        <w:rPr>
          <w:sz w:val="20"/>
          <w:szCs w:val="20"/>
        </w:rPr>
        <w:t>e</w:t>
      </w:r>
      <w:r>
        <w:rPr>
          <w:sz w:val="20"/>
          <w:szCs w:val="20"/>
        </w:rPr>
        <w:t xml:space="preserve"> had $53.0 million in cash and cash equivalents and $50.9 million in marketable securities, consisting of corporate bonds and U.S</w:t>
      </w:r>
      <w:r>
        <w:rPr>
          <w:sz w:val="20"/>
          <w:szCs w:val="20"/>
        </w:rPr>
        <w:t>. government agency securities, as of September 30, 202</w:t>
      </w:r>
      <w:r>
        <w:rPr>
          <w:sz w:val="20"/>
          <w:szCs w:val="20"/>
        </w:rPr>
        <w:t>0</w:t>
      </w:r>
      <w:r>
        <w:rPr>
          <w:sz w:val="20"/>
          <w:szCs w:val="20"/>
        </w:rPr>
        <w:t>. W</w:t>
      </w:r>
      <w:r>
        <w:rPr>
          <w:sz w:val="20"/>
          <w:szCs w:val="20"/>
        </w:rPr>
        <w:t>e</w:t>
      </w:r>
      <w:r>
        <w:rPr>
          <w:sz w:val="20"/>
          <w:szCs w:val="20"/>
        </w:rPr>
        <w:t xml:space="preserve"> had $12.0 million in cash and cash equivalents and $58.3 million in marketable securities, consisting of corporate bonds, as of</w:t>
      </w:r>
      <w:r>
        <w:rPr>
          <w:sz w:val="20"/>
          <w:szCs w:val="20"/>
        </w:rPr>
        <w:t xml:space="preserve"> </w:t>
      </w:r>
      <w:r>
        <w:rPr>
          <w:sz w:val="20"/>
          <w:szCs w:val="20"/>
        </w:rPr>
        <w:t>December 31, 2019.</w:t>
      </w:r>
    </w:p>
    <w:p w:rsidR="00000000" w:rsidRDefault="00406BD4">
      <w:pPr>
        <w:pStyle w:val="a3"/>
        <w:spacing w:before="240" w:beforeAutospacing="0" w:after="0" w:afterAutospacing="0"/>
        <w:ind w:firstLine="556"/>
        <w:rPr>
          <w:color w:val="000000"/>
          <w:sz w:val="20"/>
          <w:szCs w:val="20"/>
        </w:rPr>
      </w:pPr>
      <w:bookmarkStart w:id="32" w:name="_DV_C1484"/>
      <w:bookmarkStart w:id="33" w:name="_dv_c1485_11888976"/>
      <w:bookmarkStart w:id="34" w:name="_dv_x2420_11888976"/>
      <w:bookmarkStart w:id="35" w:name="_dv_c1486_11888976"/>
      <w:bookmarkStart w:id="36" w:name="_dv_c1489_11888976"/>
      <w:bookmarkEnd w:id="32"/>
      <w:r>
        <w:rPr>
          <w:color w:val="000000"/>
          <w:sz w:val="20"/>
          <w:szCs w:val="20"/>
        </w:rPr>
        <w:t>Since commencing operations in May 2012, our ope</w:t>
      </w:r>
      <w:r>
        <w:rPr>
          <w:color w:val="000000"/>
          <w:sz w:val="20"/>
          <w:szCs w:val="20"/>
        </w:rPr>
        <w:t>rations have been financed primarily by our founder,</w:t>
      </w:r>
      <w:bookmarkEnd w:id="33"/>
      <w:bookmarkEnd w:id="34"/>
      <w:bookmarkEnd w:id="35"/>
      <w:bookmarkEnd w:id="36"/>
      <w:r>
        <w:rPr>
          <w:color w:val="000000"/>
          <w:sz w:val="20"/>
          <w:szCs w:val="20"/>
        </w:rPr>
        <w:t xml:space="preserve"> Chief Executive Officer and Chairman of our board of directors, Ming Hsieh, and in more recent periods, by cash from our operations and equity financings.</w:t>
      </w:r>
    </w:p>
    <w:p w:rsidR="00000000" w:rsidRDefault="00406BD4">
      <w:pPr>
        <w:pStyle w:val="a3"/>
        <w:spacing w:before="240" w:beforeAutospacing="0" w:after="0" w:afterAutospacing="0"/>
        <w:ind w:firstLine="556"/>
        <w:rPr>
          <w:color w:val="000000"/>
          <w:sz w:val="20"/>
          <w:szCs w:val="20"/>
        </w:rPr>
      </w:pPr>
      <w:bookmarkStart w:id="37" w:name="_DV_C1485"/>
      <w:bookmarkStart w:id="38" w:name="_dv_c1490_11888976"/>
      <w:bookmarkStart w:id="39" w:name="_dv_c1491_11888976"/>
      <w:bookmarkEnd w:id="37"/>
      <w:r>
        <w:rPr>
          <w:color w:val="000000"/>
          <w:sz w:val="20"/>
          <w:szCs w:val="20"/>
        </w:rPr>
        <w:t>Our primary uses of cash are to fund our operati</w:t>
      </w:r>
      <w:r>
        <w:rPr>
          <w:color w:val="000000"/>
          <w:sz w:val="20"/>
          <w:szCs w:val="20"/>
        </w:rPr>
        <w:t>ons as we continue to invest in and seek to grow our business. Cash used to fund operating expenses is impacted by the timing of our expense payments, as reflected in the changes in our outstanding accounts payable and accrued expenses. In addition, in con</w:t>
      </w:r>
      <w:r>
        <w:rPr>
          <w:color w:val="000000"/>
          <w:sz w:val="20"/>
          <w:szCs w:val="20"/>
        </w:rPr>
        <w:t>nection with the establishment of FF Gene Biotech, we became obligated to contribute to FF Gene Biotech genetic sequencing and other equipment with a total cost of 60,000,000 RMB, over a five-year period. To date, we have purchased and contributed to FF Ge</w:t>
      </w:r>
      <w:r>
        <w:rPr>
          <w:color w:val="000000"/>
          <w:sz w:val="20"/>
          <w:szCs w:val="20"/>
        </w:rPr>
        <w:t>ne Biotech equipment with an aggregate fair value of $4.5 million, and as of September 30, 2020, 29,700,000 RMB (or approximately $4.4 million U.S. dollars) of our total contribution obligations remain to be satisfied. Depending on the performance of FF Ge</w:t>
      </w:r>
      <w:r>
        <w:rPr>
          <w:color w:val="000000"/>
          <w:sz w:val="20"/>
          <w:szCs w:val="20"/>
        </w:rPr>
        <w:t>ne Biotech, this joint venture may never produce sufficient revenue to us to recover these capital and other investments, and could cause our revenue to decrease if any of our direct customers in Asia choose to order genetic tests from FF Gene Biotech inst</w:t>
      </w:r>
      <w:r>
        <w:rPr>
          <w:color w:val="000000"/>
          <w:sz w:val="20"/>
          <w:szCs w:val="20"/>
        </w:rPr>
        <w:t>ead of from us, any of which could negatively affect</w:t>
      </w:r>
      <w:bookmarkEnd w:id="38"/>
      <w:bookmarkEnd w:id="39"/>
      <w:r>
        <w:rPr>
          <w:color w:val="000000"/>
          <w:sz w:val="20"/>
          <w:szCs w:val="20"/>
        </w:rPr>
        <w:t xml:space="preserve"> our liquidity and cash flows. In addition, although we have in the past made cash distributions for tax and other purposes to the equity holders of our predecessor, we do not expect to use our cash to ma</w:t>
      </w:r>
      <w:r>
        <w:rPr>
          <w:color w:val="000000"/>
          <w:sz w:val="20"/>
          <w:szCs w:val="20"/>
        </w:rPr>
        <w:t>ke these or any other types of distributions or dividends in the foreseeable future.</w:t>
      </w:r>
    </w:p>
    <w:p w:rsidR="00000000" w:rsidRDefault="00406BD4">
      <w:pPr>
        <w:pStyle w:val="a3"/>
        <w:spacing w:before="240" w:beforeAutospacing="0" w:after="0" w:afterAutospacing="0"/>
        <w:ind w:firstLine="556"/>
        <w:rPr>
          <w:color w:val="000000"/>
          <w:sz w:val="20"/>
          <w:szCs w:val="20"/>
        </w:rPr>
      </w:pPr>
      <w:r>
        <w:rPr>
          <w:color w:val="000000"/>
          <w:sz w:val="20"/>
          <w:szCs w:val="20"/>
        </w:rPr>
        <w:t>On August 30, 2019, we entered into the Equity Distribution Agreement, with Piper, as sales agent, which was subsequently amended on August 4, 2020. Pursuant to the Equity</w:t>
      </w:r>
      <w:r>
        <w:rPr>
          <w:color w:val="000000"/>
          <w:sz w:val="20"/>
          <w:szCs w:val="20"/>
        </w:rPr>
        <w:t xml:space="preserve"> Distribution Agreement, we offered and sold, from time to time, through Piper shares of our common stock with an aggregate offering price of $44.9 million. During the three months ended September 30, 2020, the Company sold an aggregate of 1,107,884 shares</w:t>
      </w:r>
      <w:r>
        <w:rPr>
          <w:color w:val="000000"/>
          <w:sz w:val="20"/>
          <w:szCs w:val="20"/>
        </w:rPr>
        <w:t xml:space="preserve"> of our common stock pursuant to the Equity Distribution Agreement at a weighted-average selling price of $38.50 per share, which resulted in $42.7 million of net proceeds to the Company. Shares sold under the Equity Distribution Agreement are offered and </w:t>
      </w:r>
      <w:r>
        <w:rPr>
          <w:color w:val="000000"/>
          <w:sz w:val="20"/>
          <w:szCs w:val="20"/>
        </w:rPr>
        <w:t>sold pursuant to the Company’s registration statement on Form S-3 (File No. 333-233227) filed with the SEC on August 12, 2019 and declared effective on August 23, 2019, and prospectus supplements and accompanying base prospectus filed with the Securities a</w:t>
      </w:r>
      <w:r>
        <w:rPr>
          <w:color w:val="000000"/>
          <w:sz w:val="20"/>
          <w:szCs w:val="20"/>
        </w:rPr>
        <w:t>nd Exchange Commission on August 30, 2019, May 6, 2020 and August 5, 2020.</w:t>
      </w:r>
    </w:p>
    <w:p w:rsidR="00000000" w:rsidRDefault="00406BD4">
      <w:pPr>
        <w:pStyle w:val="a3"/>
        <w:spacing w:before="240" w:beforeAutospacing="0" w:after="0" w:afterAutospacing="0"/>
        <w:jc w:val="center"/>
        <w:rPr>
          <w:sz w:val="20"/>
          <w:szCs w:val="20"/>
        </w:rPr>
      </w:pPr>
      <w:r>
        <w:rPr>
          <w:sz w:val="20"/>
          <w:szCs w:val="20"/>
        </w:rPr>
        <w:t>26</w:t>
      </w:r>
    </w:p>
    <w:p w:rsidR="00000000" w:rsidRDefault="00406BD4">
      <w:pPr>
        <w:rPr>
          <w:rFonts w:eastAsia="Times New Roman"/>
        </w:rPr>
      </w:pPr>
      <w:r>
        <w:rPr>
          <w:rFonts w:eastAsia="Times New Roman"/>
        </w:rPr>
        <w:pict>
          <v:rect id="_x0000_i1052"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240" w:beforeAutospacing="0" w:after="0" w:afterAutospacing="0"/>
        <w:ind w:firstLine="556"/>
        <w:rPr>
          <w:color w:val="000000"/>
          <w:sz w:val="20"/>
          <w:szCs w:val="20"/>
        </w:rPr>
      </w:pPr>
      <w:r>
        <w:rPr>
          <w:color w:val="000000"/>
          <w:sz w:val="20"/>
          <w:szCs w:val="20"/>
        </w:rPr>
        <w:t>On November 13, 2019, we entered into a Purchase Agreement with Piper, as representative of the several underwriters, pursuant to which we sold 2,673,750 shares of our common stock at a price of $10.51875 per share, with a public offering price of $11.25 p</w:t>
      </w:r>
      <w:r>
        <w:rPr>
          <w:color w:val="000000"/>
          <w:sz w:val="20"/>
          <w:szCs w:val="20"/>
        </w:rPr>
        <w:t>er share. We received net proceeds of approximately $27.6 million, after deducting underwriting discounts and commissions and offering expenses paid or payable by us of approximately $2.4 million. The shares issued and sold in the underwritten offering wer</w:t>
      </w:r>
      <w:r>
        <w:rPr>
          <w:color w:val="000000"/>
          <w:sz w:val="20"/>
          <w:szCs w:val="20"/>
        </w:rPr>
        <w:t>e sold pursuant to the Company’s registration statement on Form S-3 (File No. 333-233227), and a prospectus supplement and accompanying base prospectus filed with the Securities and Exchange Commission on November 13, 2019.</w:t>
      </w:r>
    </w:p>
    <w:p w:rsidR="00000000" w:rsidRDefault="00406BD4">
      <w:pPr>
        <w:pStyle w:val="a3"/>
        <w:spacing w:before="240" w:beforeAutospacing="0" w:after="0" w:afterAutospacing="0"/>
        <w:ind w:firstLine="556"/>
        <w:rPr>
          <w:color w:val="000000"/>
          <w:sz w:val="20"/>
          <w:szCs w:val="20"/>
        </w:rPr>
      </w:pPr>
      <w:bookmarkStart w:id="40" w:name="_DV_C1491"/>
      <w:r>
        <w:rPr>
          <w:color w:val="000000"/>
          <w:sz w:val="20"/>
          <w:szCs w:val="20"/>
        </w:rPr>
        <w:t>In September 2020, we entered in</w:t>
      </w:r>
      <w:r>
        <w:rPr>
          <w:color w:val="000000"/>
          <w:sz w:val="20"/>
          <w:szCs w:val="20"/>
        </w:rPr>
        <w:t>to the 2020 Equity Distribution Agreement, with Piper as sales agent, pursuant to which we may offer and sell, from time to time through Piper, shares of our common stock having an aggregate offering price of up to $125.0 million. Piper may receive a commi</w:t>
      </w:r>
      <w:r>
        <w:rPr>
          <w:color w:val="000000"/>
          <w:sz w:val="20"/>
          <w:szCs w:val="20"/>
        </w:rPr>
        <w:t>ssion of up to 3% of the gross proceeds received by the Company for sales pursuant to the 2020 Equity Distribution Agreement. During the three months ended September 30, 2020 sold an aggregate of 200,000 shares of our</w:t>
      </w:r>
      <w:bookmarkEnd w:id="40"/>
      <w:r>
        <w:rPr>
          <w:color w:val="000000"/>
          <w:sz w:val="20"/>
          <w:szCs w:val="20"/>
        </w:rPr>
        <w:t xml:space="preserve"> common stock pursuant to the 2020 Equi</w:t>
      </w:r>
      <w:r>
        <w:rPr>
          <w:color w:val="000000"/>
          <w:sz w:val="20"/>
          <w:szCs w:val="20"/>
        </w:rPr>
        <w:t>ty Distribution Agreement at a weighted-average selling price of $39.24 per share, which resulted in $7.8 million of net proceeds to the Company. Shares sold under the 2020 Equity Distribution Agreement were offered and sold pursuant to the Company’s regis</w:t>
      </w:r>
      <w:r>
        <w:rPr>
          <w:color w:val="000000"/>
          <w:sz w:val="20"/>
          <w:szCs w:val="20"/>
        </w:rPr>
        <w:t>tration statement on Form S-3 (File No. 333-239964) filed with the SEC on July 21, 2020, as amended on August 5, 2020, and declared effective on August 12, 2020, and prospectus supplement and accompanying base prospectus filed with the Securities and Excha</w:t>
      </w:r>
      <w:r>
        <w:rPr>
          <w:color w:val="000000"/>
          <w:sz w:val="20"/>
          <w:szCs w:val="20"/>
        </w:rPr>
        <w:t>nge Commission on September 25, 2020.</w:t>
      </w:r>
    </w:p>
    <w:p w:rsidR="00000000" w:rsidRDefault="00406BD4">
      <w:pPr>
        <w:pStyle w:val="a3"/>
        <w:spacing w:before="240" w:beforeAutospacing="0" w:after="0" w:afterAutospacing="0"/>
        <w:ind w:firstLine="556"/>
        <w:rPr>
          <w:color w:val="000000"/>
          <w:sz w:val="20"/>
          <w:szCs w:val="20"/>
        </w:rPr>
      </w:pPr>
      <w:r>
        <w:rPr>
          <w:color w:val="000000"/>
          <w:sz w:val="20"/>
          <w:szCs w:val="20"/>
        </w:rPr>
        <w:t>We believe our existing cash, along with proceeds from our equity financings, will be sufficient to meet our anticipated cash requirements for at least the next 12 months. Much of the losses we have incurred in certain</w:t>
      </w:r>
      <w:r>
        <w:rPr>
          <w:color w:val="000000"/>
          <w:sz w:val="20"/>
          <w:szCs w:val="20"/>
        </w:rPr>
        <w:t xml:space="preserve"> prior periods were attributable to a variety of non-cash charges, including equity-based compensation expenses. As a result, in spite of the losses we recorded during these periods, cash provided by continuing operations has been mostly positive since 201</w:t>
      </w:r>
      <w:r>
        <w:rPr>
          <w:color w:val="000000"/>
          <w:sz w:val="20"/>
          <w:szCs w:val="20"/>
        </w:rPr>
        <w:t>5 and has significantly contributed to our ability to meet our liquidity needs, including paying for capital expenditures. Additionally, if our business continues to grow and we are able to achieve increased efficiencies and economies of scale in line with</w:t>
      </w:r>
      <w:r>
        <w:rPr>
          <w:color w:val="000000"/>
          <w:sz w:val="20"/>
          <w:szCs w:val="20"/>
        </w:rPr>
        <w:t xml:space="preserve"> this growth, we expect increased revenue levels would increase our ability to rely on cash from our operations to support our business in future periods, even if our expenses also increase as a result of the growth of our business. Based on these factors,</w:t>
      </w:r>
      <w:r>
        <w:rPr>
          <w:color w:val="000000"/>
          <w:sz w:val="20"/>
          <w:szCs w:val="20"/>
        </w:rPr>
        <w:t xml:space="preserve"> we anticipate that cash from our operations will continue to play a meaningful role in our ability to meet our liquidity requirements and pursue our business plans and strategies in the next 12 months and in the longer term.</w:t>
      </w:r>
    </w:p>
    <w:p w:rsidR="00000000" w:rsidRDefault="00406BD4">
      <w:pPr>
        <w:pStyle w:val="a3"/>
        <w:spacing w:before="240" w:beforeAutospacing="0" w:after="0" w:afterAutospacing="0"/>
        <w:ind w:firstLine="556"/>
        <w:rPr>
          <w:color w:val="000000"/>
          <w:sz w:val="20"/>
          <w:szCs w:val="20"/>
        </w:rPr>
      </w:pPr>
      <w:r>
        <w:rPr>
          <w:color w:val="000000"/>
          <w:sz w:val="20"/>
          <w:szCs w:val="20"/>
        </w:rPr>
        <w:t>However, our expectations rega</w:t>
      </w:r>
      <w:r>
        <w:rPr>
          <w:color w:val="000000"/>
          <w:sz w:val="20"/>
          <w:szCs w:val="20"/>
        </w:rPr>
        <w:t>rding the cash that may be provided by our operations and our cash needs in future periods could turn out to be wrong, in which case we may require additional financing to support our operations, as we do not presently have any commitments for future capit</w:t>
      </w:r>
      <w:r>
        <w:rPr>
          <w:color w:val="000000"/>
          <w:sz w:val="20"/>
          <w:szCs w:val="20"/>
        </w:rPr>
        <w:t>al. For instance, cash provided by our operations has in the past experienced fluctuations from period to period, which we expect may continue in the future. These fluctuations can occur because of a variety of factors, including, among others, factors rel</w:t>
      </w:r>
      <w:r>
        <w:rPr>
          <w:color w:val="000000"/>
          <w:sz w:val="20"/>
          <w:szCs w:val="20"/>
        </w:rPr>
        <w:t>ating to the ongoing COVID-19 pandemic, the amount and timing of sales of billable tests, the prices we charge for our tests due to changes in product mix, customer mix, general price degradation for tests or other factors, the rate and timing of our billi</w:t>
      </w:r>
      <w:r>
        <w:rPr>
          <w:color w:val="000000"/>
          <w:sz w:val="20"/>
          <w:szCs w:val="20"/>
        </w:rPr>
        <w:t>ng and collections cycles and the timing and amount of our commitments and other payments. Moreover, even if our liquidity expectations are correct, we may still seek to raise additional capital through securities offerings, credit facilities or other debt</w:t>
      </w:r>
      <w:r>
        <w:rPr>
          <w:color w:val="000000"/>
          <w:sz w:val="20"/>
          <w:szCs w:val="20"/>
        </w:rPr>
        <w:t xml:space="preserve"> financings, asset sales or collaborations or licensing arrangements.</w:t>
      </w:r>
    </w:p>
    <w:p w:rsidR="00000000" w:rsidRDefault="00406BD4">
      <w:pPr>
        <w:pStyle w:val="a3"/>
        <w:spacing w:before="240" w:beforeAutospacing="0" w:after="0" w:afterAutospacing="0"/>
        <w:ind w:firstLine="556"/>
        <w:rPr>
          <w:color w:val="000000"/>
          <w:sz w:val="20"/>
          <w:szCs w:val="20"/>
        </w:rPr>
      </w:pPr>
      <w:r>
        <w:rPr>
          <w:color w:val="000000"/>
          <w:sz w:val="20"/>
          <w:szCs w:val="20"/>
        </w:rPr>
        <w:t>If we raise funds by issuing equity securities, our existing stockholders could experience substantial dilution. Additionally, any preferred stock we issue could provide for rights, pref</w:t>
      </w:r>
      <w:r>
        <w:rPr>
          <w:color w:val="000000"/>
          <w:sz w:val="20"/>
          <w:szCs w:val="20"/>
        </w:rPr>
        <w:t xml:space="preserve">erences or privileges senior to those of our common stock, and our issuance of any additional equity securities, or the possibility of such an issuance, could cause the market price of our common stock to decline. The terms of any debt securities we issue </w:t>
      </w:r>
      <w:r>
        <w:rPr>
          <w:color w:val="000000"/>
          <w:sz w:val="20"/>
          <w:szCs w:val="20"/>
        </w:rPr>
        <w:t>or borrowings we incur, if available, could impose significant restrictions on our operations, such as limitations on our ability to incur additional debt or issue additional equity or other restrictions that could adversely affect our ability to conduct o</w:t>
      </w:r>
      <w:r>
        <w:rPr>
          <w:color w:val="000000"/>
          <w:sz w:val="20"/>
          <w:szCs w:val="20"/>
        </w:rPr>
        <w:t>ur business, and would result in increased fixed payment obligations. If we seek to sell assets or enter into collaborations or licensing arrangements to raise capital, we may be required to accept unfavorable terms or relinquish or license to a third part</w:t>
      </w:r>
      <w:r>
        <w:rPr>
          <w:color w:val="000000"/>
          <w:sz w:val="20"/>
          <w:szCs w:val="20"/>
        </w:rPr>
        <w:t xml:space="preserve">y our rights to important or valuable technologies or tests we may otherwise seek to develop ourselves. Moreover, we may incur substantial costs in pursuing future capital, including investment banking, legal and accounting fees, printing and distribution </w:t>
      </w:r>
      <w:r>
        <w:rPr>
          <w:color w:val="000000"/>
          <w:sz w:val="20"/>
          <w:szCs w:val="20"/>
        </w:rPr>
        <w:t xml:space="preserve">expenses and other similar costs. Additional funding may not be available to us when needed, on acceptable terms or at all. For example, the COVID-19 pandemic has recently caused extreme disruption and volatility in the global capital markets, which could </w:t>
      </w:r>
      <w:r>
        <w:rPr>
          <w:color w:val="000000"/>
          <w:sz w:val="20"/>
          <w:szCs w:val="20"/>
        </w:rPr>
        <w:t>reduce our ability to access capital. If we are not able to secure funding if and when needed and on reasonable terms, we may be forced to delay, reduce the scope of or eliminate one or more sales and marketing initiatives, research and development program</w:t>
      </w:r>
      <w:r>
        <w:rPr>
          <w:color w:val="000000"/>
          <w:sz w:val="20"/>
          <w:szCs w:val="20"/>
        </w:rPr>
        <w:t>s or other growth plans or strategies. In addition, we may be forced to work with a partner on one or more aspects of our tests or market development programs or initiatives, which could lower the economic value to us of these tests, programs or initiative</w:t>
      </w:r>
      <w:r>
        <w:rPr>
          <w:color w:val="000000"/>
          <w:sz w:val="20"/>
          <w:szCs w:val="20"/>
        </w:rPr>
        <w:t>s. Any such outcome could significantly harm our business, performance and prospects.</w:t>
      </w:r>
    </w:p>
    <w:p w:rsidR="00000000" w:rsidRDefault="00406BD4">
      <w:pPr>
        <w:pStyle w:val="a3"/>
        <w:spacing w:before="240" w:beforeAutospacing="0" w:after="0" w:afterAutospacing="0"/>
        <w:jc w:val="center"/>
        <w:rPr>
          <w:sz w:val="20"/>
          <w:szCs w:val="20"/>
        </w:rPr>
      </w:pPr>
      <w:r>
        <w:rPr>
          <w:sz w:val="20"/>
          <w:szCs w:val="20"/>
        </w:rPr>
        <w:t>27</w:t>
      </w:r>
    </w:p>
    <w:p w:rsidR="00000000" w:rsidRDefault="00406BD4">
      <w:pPr>
        <w:rPr>
          <w:rFonts w:eastAsia="Times New Roman"/>
        </w:rPr>
      </w:pPr>
      <w:r>
        <w:rPr>
          <w:rFonts w:eastAsia="Times New Roman"/>
        </w:rPr>
        <w:pict>
          <v:rect id="_x0000_i1053"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360" w:beforeAutospacing="0" w:after="0" w:afterAutospacing="0"/>
        <w:rPr>
          <w:b/>
          <w:bCs/>
          <w:sz w:val="20"/>
          <w:szCs w:val="20"/>
        </w:rPr>
      </w:pPr>
      <w:r>
        <w:rPr>
          <w:b/>
          <w:bCs/>
          <w:sz w:val="20"/>
          <w:szCs w:val="20"/>
        </w:rPr>
        <w:t>Cash Flows</w:t>
      </w:r>
    </w:p>
    <w:p w:rsidR="00000000" w:rsidRDefault="00406BD4">
      <w:pPr>
        <w:pStyle w:val="a3"/>
        <w:spacing w:before="120" w:beforeAutospacing="0" w:after="0" w:afterAutospacing="0"/>
        <w:ind w:firstLine="556"/>
        <w:rPr>
          <w:sz w:val="20"/>
          <w:szCs w:val="20"/>
        </w:rPr>
      </w:pPr>
      <w:r>
        <w:rPr>
          <w:sz w:val="20"/>
          <w:szCs w:val="20"/>
        </w:rPr>
        <w:t>The following table summarizes our cash flows for each of the periods indicated:</w:t>
      </w:r>
    </w:p>
    <w:p w:rsidR="00000000" w:rsidRDefault="00406BD4">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12"/>
        <w:gridCol w:w="115"/>
        <w:gridCol w:w="1378"/>
        <w:gridCol w:w="82"/>
        <w:gridCol w:w="149"/>
        <w:gridCol w:w="115"/>
        <w:gridCol w:w="1382"/>
        <w:gridCol w:w="73"/>
      </w:tblGrid>
      <w:tr w:rsidR="00000000">
        <w:trPr>
          <w:divId w:val="1546258507"/>
          <w:jc w:val="center"/>
        </w:trPr>
        <w:tc>
          <w:tcPr>
            <w:tcW w:w="3023"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sz w:val="20"/>
                <w:szCs w:val="20"/>
              </w:rPr>
            </w:pPr>
            <w:r>
              <w:rPr>
                <w:sz w:val="20"/>
                <w:szCs w:val="20"/>
              </w:rPr>
              <w:t> </w:t>
            </w:r>
          </w:p>
        </w:tc>
        <w:tc>
          <w:tcPr>
            <w:tcW w:w="19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546258507"/>
          <w:jc w:val="center"/>
        </w:trPr>
        <w:tc>
          <w:tcPr>
            <w:tcW w:w="3023"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20"/>
                <w:szCs w:val="20"/>
              </w:rPr>
            </w:pPr>
            <w:r>
              <w:rPr>
                <w:b/>
                <w:bCs/>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c>
          <w:tcPr>
            <w:tcW w:w="102"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546258507"/>
          <w:jc w:val="center"/>
        </w:trPr>
        <w:tc>
          <w:tcPr>
            <w:tcW w:w="3023"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20"/>
                <w:szCs w:val="20"/>
              </w:rPr>
            </w:pPr>
            <w:r>
              <w:rPr>
                <w:b/>
                <w:bCs/>
                <w:color w:val="000000"/>
                <w:sz w:val="20"/>
                <w:szCs w:val="20"/>
              </w:rPr>
              <w:t> </w:t>
            </w:r>
          </w:p>
        </w:tc>
        <w:tc>
          <w:tcPr>
            <w:tcW w:w="1926" w:type="pct"/>
            <w:gridSpan w:val="6"/>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16"/>
                <w:szCs w:val="16"/>
              </w:rPr>
            </w:pPr>
            <w:r>
              <w:rPr>
                <w:b/>
                <w:bCs/>
                <w:color w:val="000000"/>
                <w:sz w:val="16"/>
                <w:szCs w:val="16"/>
              </w:rPr>
              <w:t> </w:t>
            </w:r>
          </w:p>
        </w:tc>
      </w:tr>
      <w:tr w:rsidR="00000000">
        <w:trPr>
          <w:divId w:val="1546258507"/>
          <w:jc w:val="center"/>
        </w:trPr>
        <w:tc>
          <w:tcPr>
            <w:tcW w:w="3023"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Net cash provided by operating activities</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6,372</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5,633</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546258507"/>
          <w:jc w:val="center"/>
        </w:trPr>
        <w:tc>
          <w:tcPr>
            <w:tcW w:w="3023"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Net cash (used in) provided by investing activities</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(7,671</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102"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7,033</w:t>
            </w:r>
          </w:p>
        </w:tc>
        <w:tc>
          <w:tcPr>
            <w:tcW w:w="50" w:type="pct"/>
            <w:shd w:val="clear" w:color="auto" w:fill="FFFFFF"/>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r>
      <w:tr w:rsidR="00000000">
        <w:trPr>
          <w:divId w:val="1546258507"/>
          <w:jc w:val="center"/>
        </w:trPr>
        <w:tc>
          <w:tcPr>
            <w:tcW w:w="3023" w:type="pct"/>
            <w:shd w:val="clear" w:color="auto" w:fill="CFF0FC"/>
            <w:tcMar>
              <w:top w:w="15" w:type="dxa"/>
              <w:left w:w="0" w:type="dxa"/>
              <w:bottom w:w="0" w:type="dxa"/>
              <w:right w:w="15" w:type="dxa"/>
            </w:tcMar>
            <w:hideMark/>
          </w:tcPr>
          <w:p w:rsidR="00000000" w:rsidRDefault="00406BD4">
            <w:pPr>
              <w:pStyle w:val="a3"/>
              <w:spacing w:before="0" w:beforeAutospacing="0" w:after="0" w:afterAutospacing="0"/>
              <w:rPr>
                <w:color w:val="000000"/>
                <w:sz w:val="20"/>
                <w:szCs w:val="20"/>
              </w:rPr>
            </w:pPr>
            <w:r>
              <w:rPr>
                <w:color w:val="000000"/>
                <w:sz w:val="20"/>
                <w:szCs w:val="20"/>
              </w:rPr>
              <w:t>Net cash provided by financing activities</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42,348</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jc w:val="right"/>
              <w:rPr>
                <w:color w:val="000000"/>
                <w:sz w:val="20"/>
                <w:szCs w:val="20"/>
              </w:rPr>
            </w:pPr>
            <w:r>
              <w:rPr>
                <w:color w:val="000000"/>
                <w:sz w:val="20"/>
                <w:szCs w:val="20"/>
              </w:rPr>
              <w:t>1,136</w:t>
            </w:r>
          </w:p>
        </w:tc>
        <w:tc>
          <w:tcPr>
            <w:tcW w:w="50" w:type="pct"/>
            <w:shd w:val="clear" w:color="auto" w:fill="CFF0FC"/>
            <w:noWrap/>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
                <w:szCs w:val="2"/>
              </w:rPr>
            </w:pPr>
            <w:r>
              <w:rPr>
                <w:color w:val="000000"/>
                <w:sz w:val="2"/>
                <w:szCs w:val="2"/>
              </w:rPr>
              <w:t> </w:t>
            </w:r>
          </w:p>
        </w:tc>
      </w:tr>
    </w:tbl>
    <w:p w:rsidR="00000000" w:rsidRDefault="00406BD4">
      <w:pPr>
        <w:pStyle w:val="a3"/>
        <w:spacing w:before="0" w:beforeAutospacing="0" w:after="0" w:afterAutospacing="0"/>
      </w:pPr>
      <w:r>
        <w:t> </w:t>
      </w:r>
    </w:p>
    <w:p w:rsidR="00000000" w:rsidRDefault="00406BD4">
      <w:pPr>
        <w:pStyle w:val="a3"/>
        <w:spacing w:before="120" w:beforeAutospacing="0" w:after="0" w:afterAutospacing="0"/>
        <w:rPr>
          <w:i/>
          <w:iCs/>
          <w:sz w:val="20"/>
          <w:szCs w:val="20"/>
        </w:rPr>
      </w:pPr>
      <w:r>
        <w:rPr>
          <w:i/>
          <w:iCs/>
          <w:sz w:val="20"/>
          <w:szCs w:val="20"/>
        </w:rPr>
        <w:t>Operating Activities</w:t>
      </w:r>
    </w:p>
    <w:p w:rsidR="00000000" w:rsidRDefault="00406BD4">
      <w:pPr>
        <w:pStyle w:val="a3"/>
        <w:spacing w:before="120" w:beforeAutospacing="0" w:after="0" w:afterAutospacing="0"/>
        <w:ind w:firstLine="556"/>
        <w:rPr>
          <w:sz w:val="20"/>
          <w:szCs w:val="20"/>
        </w:rPr>
      </w:pPr>
      <w:r>
        <w:rPr>
          <w:sz w:val="20"/>
          <w:szCs w:val="20"/>
        </w:rPr>
        <w:t xml:space="preserve">Cash provided by operating activities in </w:t>
      </w:r>
      <w:r>
        <w:rPr>
          <w:color w:val="000000"/>
          <w:sz w:val="20"/>
          <w:szCs w:val="20"/>
        </w:rPr>
        <w:t xml:space="preserve">the nine months ended September 30, 2020 </w:t>
      </w:r>
      <w:r>
        <w:rPr>
          <w:sz w:val="20"/>
          <w:szCs w:val="20"/>
        </w:rPr>
        <w:t>was $6.4 million. The difference between net income and cash provided by operating activities for the period and the increase between periods of cash provided by operating ac</w:t>
      </w:r>
      <w:r>
        <w:rPr>
          <w:sz w:val="20"/>
          <w:szCs w:val="20"/>
        </w:rPr>
        <w:t>tivities was primarily due to increases of $84.6 million in accounts receivable mainly due to timing of collections from customers and increased revenue and $19.2 million in other current assets related to purchases of an increased amount of reagents and s</w:t>
      </w:r>
      <w:r>
        <w:rPr>
          <w:sz w:val="20"/>
          <w:szCs w:val="20"/>
        </w:rPr>
        <w:t xml:space="preserve">upplies, $1.1 million in deferred tax related to the reduction in the valuation allowance, partially offset by increases of $22.2 million in accrued and other liabilities related to contract liabilities, $14.7 million in accounts payable due to the timing </w:t>
      </w:r>
      <w:r>
        <w:rPr>
          <w:sz w:val="20"/>
          <w:szCs w:val="20"/>
        </w:rPr>
        <w:t>of payments, $14.6 million in income tax payable related to increased net income, and the effects of $5.2 million in equity-based compensation expenses, $2.6 million in impairment loss in equity-method investment related to BostonMolecules, $1.8 million in</w:t>
      </w:r>
      <w:r>
        <w:rPr>
          <w:sz w:val="20"/>
          <w:szCs w:val="20"/>
        </w:rPr>
        <w:t xml:space="preserve"> the depreciation of assets, and $631,000 in equity loss in investee.</w:t>
      </w:r>
    </w:p>
    <w:p w:rsidR="00000000" w:rsidRDefault="00406BD4">
      <w:pPr>
        <w:pStyle w:val="a3"/>
        <w:spacing w:before="240" w:beforeAutospacing="0" w:after="0" w:afterAutospacing="0"/>
        <w:ind w:firstLine="556"/>
        <w:rPr>
          <w:color w:val="000000"/>
          <w:sz w:val="20"/>
          <w:szCs w:val="20"/>
        </w:rPr>
      </w:pPr>
      <w:r>
        <w:rPr>
          <w:color w:val="000000"/>
          <w:sz w:val="20"/>
          <w:szCs w:val="20"/>
        </w:rPr>
        <w:t>Cash provided by operating activities in the nine months ended September 30, 2019 was $5.6 million. The difference between net loss and cash provided by operating activities for the peri</w:t>
      </w:r>
      <w:r>
        <w:rPr>
          <w:color w:val="000000"/>
          <w:sz w:val="20"/>
          <w:szCs w:val="20"/>
        </w:rPr>
        <w:t xml:space="preserve">od was primarily due to the effects of $2.3 million in equity-based compensation expenses, $1.5 million in the depreciation of assets and $603,000 in equity loss in investee. Cash provided by operating activities increased between periods primarily due to </w:t>
      </w:r>
      <w:r>
        <w:rPr>
          <w:color w:val="000000"/>
          <w:sz w:val="20"/>
          <w:szCs w:val="20"/>
        </w:rPr>
        <w:t>a $588,000 decrease in accounts receivable mainly due to timing of collections from customers.</w:t>
      </w:r>
    </w:p>
    <w:p w:rsidR="00000000" w:rsidRDefault="00406BD4">
      <w:pPr>
        <w:pStyle w:val="a3"/>
        <w:spacing w:before="360" w:beforeAutospacing="0" w:after="0" w:afterAutospacing="0"/>
        <w:rPr>
          <w:i/>
          <w:iCs/>
          <w:sz w:val="20"/>
          <w:szCs w:val="20"/>
        </w:rPr>
      </w:pPr>
      <w:r>
        <w:rPr>
          <w:i/>
          <w:iCs/>
          <w:sz w:val="20"/>
          <w:szCs w:val="20"/>
        </w:rPr>
        <w:t>Investing Activities</w:t>
      </w:r>
    </w:p>
    <w:p w:rsidR="00000000" w:rsidRDefault="00406BD4">
      <w:pPr>
        <w:pStyle w:val="a3"/>
        <w:spacing w:before="120" w:beforeAutospacing="0" w:after="0" w:afterAutospacing="0"/>
        <w:ind w:firstLine="556"/>
        <w:rPr>
          <w:sz w:val="20"/>
          <w:szCs w:val="20"/>
        </w:rPr>
      </w:pPr>
      <w:r>
        <w:rPr>
          <w:sz w:val="20"/>
          <w:szCs w:val="20"/>
        </w:rPr>
        <w:t>Cash used in investing activities in the n</w:t>
      </w:r>
      <w:r>
        <w:rPr>
          <w:color w:val="000000"/>
          <w:sz w:val="20"/>
          <w:szCs w:val="20"/>
        </w:rPr>
        <w:t>ine months ended September 30, 2020 was $7.7 million</w:t>
      </w:r>
      <w:r>
        <w:rPr>
          <w:sz w:val="20"/>
          <w:szCs w:val="20"/>
        </w:rPr>
        <w:t>, which is primarily related to purchases of $</w:t>
      </w:r>
      <w:r>
        <w:rPr>
          <w:sz w:val="20"/>
          <w:szCs w:val="20"/>
        </w:rPr>
        <w:t>13.6 million of marketable securities and $11.3 million of fixed assets consisting mainly of a 2008 Cessna Citation Sovereign aircraft, medical laboratory equipment, leasehold improvements, and computer hardware, $2.6 million in investment in BostonMolecul</w:t>
      </w:r>
      <w:r>
        <w:rPr>
          <w:sz w:val="20"/>
          <w:szCs w:val="20"/>
        </w:rPr>
        <w:t>es and direct costs associates with the investment, purchase of $1.4 million of equipment contributed to FF Gene, partially offset by proceeds of $13.1 million</w:t>
      </w:r>
      <w:r>
        <w:rPr>
          <w:color w:val="000000"/>
          <w:sz w:val="20"/>
          <w:szCs w:val="20"/>
        </w:rPr>
        <w:t xml:space="preserve"> related to maturities</w:t>
      </w:r>
      <w:r>
        <w:rPr>
          <w:sz w:val="20"/>
          <w:szCs w:val="20"/>
        </w:rPr>
        <w:t xml:space="preserve"> of </w:t>
      </w:r>
      <w:r>
        <w:rPr>
          <w:color w:val="000000"/>
          <w:sz w:val="20"/>
          <w:szCs w:val="20"/>
        </w:rPr>
        <w:t>marketable securities and $8.1 million related to sales of marketable s</w:t>
      </w:r>
      <w:r>
        <w:rPr>
          <w:color w:val="000000"/>
          <w:sz w:val="20"/>
          <w:szCs w:val="20"/>
        </w:rPr>
        <w:t>ecurities</w:t>
      </w:r>
      <w:r>
        <w:rPr>
          <w:sz w:val="20"/>
          <w:szCs w:val="20"/>
        </w:rPr>
        <w:t>.</w:t>
      </w:r>
    </w:p>
    <w:p w:rsidR="00000000" w:rsidRDefault="00406BD4">
      <w:pPr>
        <w:pStyle w:val="a3"/>
        <w:spacing w:before="240" w:beforeAutospacing="0" w:after="0" w:afterAutospacing="0"/>
        <w:ind w:firstLine="556"/>
        <w:rPr>
          <w:sz w:val="20"/>
          <w:szCs w:val="20"/>
        </w:rPr>
      </w:pPr>
      <w:r>
        <w:rPr>
          <w:sz w:val="20"/>
          <w:szCs w:val="20"/>
        </w:rPr>
        <w:t xml:space="preserve">Cash </w:t>
      </w:r>
      <w:r>
        <w:rPr>
          <w:color w:val="000000"/>
          <w:sz w:val="20"/>
          <w:szCs w:val="20"/>
        </w:rPr>
        <w:t>provided by investing activities in the nine months ended September 30, 2019 was $7.0 million, which primarily related to proceeds of $19.6 million related to maturities of marketable securities, partially offset by purchase of $11.8 millio</w:t>
      </w:r>
      <w:r>
        <w:rPr>
          <w:color w:val="000000"/>
          <w:sz w:val="20"/>
          <w:szCs w:val="20"/>
        </w:rPr>
        <w:t>n marketable securities and purchase of $721,000 fixed assets consisting mainly of medical laboratory equipment, leasehold improvements, and computer hardware.</w:t>
      </w:r>
    </w:p>
    <w:p w:rsidR="00000000" w:rsidRDefault="00406BD4">
      <w:pPr>
        <w:pStyle w:val="a3"/>
        <w:spacing w:before="360" w:beforeAutospacing="0" w:after="0" w:afterAutospacing="0"/>
        <w:rPr>
          <w:i/>
          <w:iCs/>
          <w:color w:val="000000"/>
          <w:sz w:val="20"/>
          <w:szCs w:val="20"/>
        </w:rPr>
      </w:pPr>
      <w:r>
        <w:rPr>
          <w:i/>
          <w:iCs/>
          <w:color w:val="000000"/>
          <w:sz w:val="20"/>
          <w:szCs w:val="20"/>
        </w:rPr>
        <w:t>Financing Activities</w:t>
      </w:r>
    </w:p>
    <w:p w:rsidR="00000000" w:rsidRDefault="00406BD4">
      <w:pPr>
        <w:pStyle w:val="a3"/>
        <w:spacing w:before="120" w:beforeAutospacing="0" w:after="0" w:afterAutospacing="0"/>
        <w:ind w:firstLine="556"/>
        <w:rPr>
          <w:color w:val="000000"/>
          <w:sz w:val="20"/>
          <w:szCs w:val="20"/>
        </w:rPr>
      </w:pPr>
      <w:r>
        <w:rPr>
          <w:color w:val="000000"/>
          <w:sz w:val="20"/>
          <w:szCs w:val="20"/>
        </w:rPr>
        <w:t>Cash provided by financing activities in the nine months ended September 30</w:t>
      </w:r>
      <w:r>
        <w:rPr>
          <w:color w:val="000000"/>
          <w:sz w:val="20"/>
          <w:szCs w:val="20"/>
        </w:rPr>
        <w:t>, 2020 was $42.3 million, which primarily represents net proceeds from the Equity Distribution Agreement and the 2020 Equity Distribution Agreement. Cash provided by financing activities in the nine months ended September 30, 2019 was $1.1 million, which p</w:t>
      </w:r>
      <w:r>
        <w:rPr>
          <w:color w:val="000000"/>
          <w:sz w:val="20"/>
          <w:szCs w:val="20"/>
        </w:rPr>
        <w:t>rimarily represents net proceeds from sales pursuant to the Equity Distribution Agreement.</w:t>
      </w:r>
    </w:p>
    <w:p w:rsidR="00000000" w:rsidRDefault="00406BD4">
      <w:pPr>
        <w:pStyle w:val="a3"/>
        <w:spacing w:before="240" w:beforeAutospacing="0" w:after="0" w:afterAutospacing="0"/>
        <w:jc w:val="center"/>
        <w:rPr>
          <w:sz w:val="20"/>
          <w:szCs w:val="20"/>
        </w:rPr>
      </w:pPr>
      <w:r>
        <w:rPr>
          <w:sz w:val="20"/>
          <w:szCs w:val="20"/>
        </w:rPr>
        <w:t>28</w:t>
      </w:r>
    </w:p>
    <w:p w:rsidR="00000000" w:rsidRDefault="00406BD4">
      <w:pPr>
        <w:rPr>
          <w:rFonts w:eastAsia="Times New Roman"/>
        </w:rPr>
      </w:pPr>
      <w:r>
        <w:rPr>
          <w:rFonts w:eastAsia="Times New Roman"/>
        </w:rPr>
        <w:pict>
          <v:rect id="_x0000_i1054"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360" w:beforeAutospacing="0" w:after="0" w:afterAutospacing="0"/>
        <w:jc w:val="center"/>
        <w:rPr>
          <w:b/>
          <w:bCs/>
          <w:sz w:val="20"/>
          <w:szCs w:val="20"/>
        </w:rPr>
      </w:pPr>
      <w:r>
        <w:rPr>
          <w:b/>
          <w:bCs/>
          <w:sz w:val="20"/>
          <w:szCs w:val="20"/>
        </w:rPr>
        <w:t>Critical Accounting Policies and Use of Estimates</w:t>
      </w:r>
    </w:p>
    <w:p w:rsidR="00000000" w:rsidRDefault="00406BD4">
      <w:pPr>
        <w:pStyle w:val="a3"/>
        <w:spacing w:before="240" w:beforeAutospacing="0" w:after="0" w:afterAutospacing="0"/>
        <w:ind w:firstLine="556"/>
        <w:rPr>
          <w:sz w:val="20"/>
          <w:szCs w:val="20"/>
        </w:rPr>
      </w:pPr>
      <w:r>
        <w:rPr>
          <w:sz w:val="20"/>
          <w:szCs w:val="20"/>
        </w:rPr>
        <w:t>This discussion and analysis is based on our condensed consolidated financial statements included in this report, which have been prepared in accordance with U.S. GAAP.</w:t>
      </w:r>
      <w:r>
        <w:rPr>
          <w:sz w:val="20"/>
          <w:szCs w:val="20"/>
        </w:rPr>
        <w:t xml:space="preserve"> The preparation of consolidated financial statements in accordance with U.S. GAAP requires management to make certain estimates, judgments and assumptions and decisions that affect the reported amounts and related disclosures, including the selection of a</w:t>
      </w:r>
      <w:r>
        <w:rPr>
          <w:sz w:val="20"/>
          <w:szCs w:val="20"/>
        </w:rPr>
        <w:t xml:space="preserve">ppropriate accounting principles and the assumptions on which to base accounting estimates. In making these estimates and assumptions and reaching these decisions, we apply judgment based on our understanding and analysis of the relevant </w:t>
      </w:r>
      <w:r>
        <w:rPr>
          <w:color w:val="000000"/>
          <w:sz w:val="20"/>
          <w:szCs w:val="20"/>
        </w:rPr>
        <w:t>circumstances</w:t>
      </w:r>
      <w:r>
        <w:rPr>
          <w:sz w:val="20"/>
          <w:szCs w:val="20"/>
        </w:rPr>
        <w:t>, inc</w:t>
      </w:r>
      <w:r>
        <w:rPr>
          <w:sz w:val="20"/>
          <w:szCs w:val="20"/>
        </w:rPr>
        <w:t>luding historical data and experience available at the date of the consolidated financial statements, as well as various other factors management believes to be reasonable under the circumstances,</w:t>
      </w:r>
      <w:r>
        <w:rPr>
          <w:color w:val="000000"/>
          <w:sz w:val="20"/>
          <w:szCs w:val="20"/>
          <w:shd w:val="clear" w:color="auto" w:fill="FFFFFF"/>
        </w:rPr>
        <w:t xml:space="preserve"> including but not limited to the potential impacts arising </w:t>
      </w:r>
      <w:r>
        <w:rPr>
          <w:color w:val="000000"/>
          <w:sz w:val="20"/>
          <w:szCs w:val="20"/>
          <w:shd w:val="clear" w:color="auto" w:fill="FFFFFF"/>
        </w:rPr>
        <w:t>from the recent global pandemic related to COVID-19. As the extent and duration of the impacts from COVID-19 remain unclear, the Company’s estimates and assumptions may evolve as conditions change.</w:t>
      </w:r>
      <w:r>
        <w:rPr>
          <w:color w:val="000000"/>
          <w:sz w:val="20"/>
          <w:szCs w:val="20"/>
        </w:rPr>
        <w:t xml:space="preserve"> Actual results could differ from </w:t>
      </w:r>
      <w:r>
        <w:rPr>
          <w:sz w:val="20"/>
          <w:szCs w:val="20"/>
        </w:rPr>
        <w:t>our</w:t>
      </w:r>
      <w:r>
        <w:rPr>
          <w:color w:val="000000"/>
          <w:sz w:val="20"/>
          <w:szCs w:val="20"/>
        </w:rPr>
        <w:t xml:space="preserve"> estimates.</w:t>
      </w:r>
      <w:r>
        <w:rPr>
          <w:sz w:val="20"/>
          <w:szCs w:val="20"/>
        </w:rPr>
        <w:t xml:space="preserve"> We are com</w:t>
      </w:r>
      <w:r>
        <w:rPr>
          <w:sz w:val="20"/>
          <w:szCs w:val="20"/>
        </w:rPr>
        <w:t>mitted</w:t>
      </w:r>
      <w:r>
        <w:rPr>
          <w:color w:val="000000"/>
          <w:sz w:val="20"/>
          <w:szCs w:val="20"/>
        </w:rPr>
        <w:t xml:space="preserve"> to</w:t>
      </w:r>
      <w:r>
        <w:rPr>
          <w:sz w:val="20"/>
          <w:szCs w:val="20"/>
        </w:rPr>
        <w:t xml:space="preserve"> incorporating accounting principles,</w:t>
      </w:r>
      <w:r>
        <w:rPr>
          <w:color w:val="000000"/>
          <w:sz w:val="20"/>
          <w:szCs w:val="20"/>
        </w:rPr>
        <w:t xml:space="preserve"> assumptions </w:t>
      </w:r>
      <w:r>
        <w:rPr>
          <w:sz w:val="20"/>
          <w:szCs w:val="20"/>
        </w:rPr>
        <w:t xml:space="preserve">and estimates that promote the representational faithfulness, verifiability, neutrality and transparency of the accounting information included in our consolidated financial statements. </w:t>
      </w:r>
    </w:p>
    <w:p w:rsidR="00000000" w:rsidRDefault="00406BD4">
      <w:pPr>
        <w:pStyle w:val="a3"/>
        <w:spacing w:before="240" w:beforeAutospacing="0" w:after="0" w:afterAutospacing="0"/>
        <w:ind w:firstLine="556"/>
        <w:rPr>
          <w:sz w:val="20"/>
          <w:szCs w:val="20"/>
        </w:rPr>
      </w:pPr>
      <w:r>
        <w:rPr>
          <w:sz w:val="20"/>
          <w:szCs w:val="20"/>
        </w:rPr>
        <w:t xml:space="preserve">Except as </w:t>
      </w:r>
      <w:r>
        <w:rPr>
          <w:sz w:val="20"/>
          <w:szCs w:val="20"/>
        </w:rPr>
        <w:t>set forth in Note 2 (Summary of Significant Accounting Policies) to our condensed consolidated financial statements included in this report, there have been no significant changes to our critical accounting policies and estimates as described in the 2019 A</w:t>
      </w:r>
      <w:r>
        <w:rPr>
          <w:sz w:val="20"/>
          <w:szCs w:val="20"/>
        </w:rPr>
        <w:t>nnual Report.</w:t>
      </w:r>
    </w:p>
    <w:p w:rsidR="00000000" w:rsidRDefault="00406BD4">
      <w:pPr>
        <w:pStyle w:val="a3"/>
        <w:spacing w:before="360" w:beforeAutospacing="0" w:after="0" w:afterAutospacing="0"/>
        <w:jc w:val="center"/>
        <w:rPr>
          <w:b/>
          <w:bCs/>
          <w:sz w:val="20"/>
          <w:szCs w:val="20"/>
        </w:rPr>
      </w:pPr>
      <w:r>
        <w:rPr>
          <w:b/>
          <w:bCs/>
          <w:sz w:val="20"/>
          <w:szCs w:val="20"/>
        </w:rPr>
        <w:t>The JOBS Act</w:t>
      </w:r>
    </w:p>
    <w:p w:rsidR="00000000" w:rsidRDefault="00406BD4">
      <w:pPr>
        <w:pStyle w:val="a3"/>
        <w:spacing w:before="240" w:beforeAutospacing="0" w:after="0" w:afterAutospacing="0"/>
        <w:ind w:firstLine="556"/>
        <w:rPr>
          <w:color w:val="000000"/>
          <w:sz w:val="20"/>
          <w:szCs w:val="20"/>
        </w:rPr>
      </w:pPr>
      <w:bookmarkStart w:id="41" w:name="_dv_c1757_12795621"/>
      <w:r>
        <w:rPr>
          <w:color w:val="000000"/>
          <w:sz w:val="20"/>
          <w:szCs w:val="20"/>
        </w:rPr>
        <w:t>We qualify as an “emerging growth company” as defined in the Jumpstart Our Business Startups Act of 2012, as amended, or JOBS Act. As an emerging growth company, we may take advantage of specified reduced disclosure and other req</w:t>
      </w:r>
      <w:r>
        <w:rPr>
          <w:color w:val="000000"/>
          <w:sz w:val="20"/>
          <w:szCs w:val="20"/>
        </w:rPr>
        <w:t>uirements that are otherwise applicable to public companies that are not emerging growth companies, including an extended transition period to comply with new or revised accounting standards applicable to public companies. We have chosen to “opt out” of th</w:t>
      </w:r>
      <w:r>
        <w:rPr>
          <w:color w:val="000000"/>
          <w:sz w:val="20"/>
          <w:szCs w:val="20"/>
        </w:rPr>
        <w:t>is extended transition period and, as a result, we will comply with new or revised accounting standards as required when they are adopted. This decision to opt out of the extended transition period under the JOBS Act is irrevocable. We will remain an emerg</w:t>
      </w:r>
      <w:r>
        <w:rPr>
          <w:color w:val="000000"/>
          <w:sz w:val="20"/>
          <w:szCs w:val="20"/>
        </w:rPr>
        <w:t xml:space="preserve">ing growth company until December 31, 2021, unless our gross revenue exceeds $1.07 billion in any fiscal year before that date, we issue more than $1.0 billion of non-convertible debt in any three-year period before that date or the </w:t>
      </w:r>
      <w:bookmarkEnd w:id="41"/>
      <w:r>
        <w:rPr>
          <w:color w:val="000000"/>
          <w:sz w:val="20"/>
          <w:szCs w:val="20"/>
        </w:rPr>
        <w:t>market value of our com</w:t>
      </w:r>
      <w:r>
        <w:rPr>
          <w:color w:val="000000"/>
          <w:sz w:val="20"/>
          <w:szCs w:val="20"/>
        </w:rPr>
        <w:t>mon stock held by non-affiliates exceeds $700.0 million as of the last business day of the second fiscal quarter of any fiscal year before that date.</w:t>
      </w:r>
    </w:p>
    <w:p w:rsidR="00000000" w:rsidRDefault="00406BD4">
      <w:pPr>
        <w:pStyle w:val="a3"/>
        <w:spacing w:before="360" w:beforeAutospacing="0" w:after="0" w:afterAutospacing="0"/>
        <w:jc w:val="center"/>
        <w:rPr>
          <w:b/>
          <w:bCs/>
          <w:sz w:val="20"/>
          <w:szCs w:val="20"/>
        </w:rPr>
      </w:pPr>
      <w:r>
        <w:rPr>
          <w:b/>
          <w:bCs/>
          <w:sz w:val="20"/>
          <w:szCs w:val="20"/>
        </w:rPr>
        <w:t>Off-Balance Sheet Arrangements</w:t>
      </w:r>
    </w:p>
    <w:p w:rsidR="00000000" w:rsidRDefault="00406BD4">
      <w:pPr>
        <w:pStyle w:val="a3"/>
        <w:spacing w:before="240" w:beforeAutospacing="0" w:after="0" w:afterAutospacing="0"/>
        <w:ind w:firstLine="556"/>
        <w:rPr>
          <w:sz w:val="20"/>
          <w:szCs w:val="20"/>
        </w:rPr>
      </w:pPr>
      <w:r>
        <w:rPr>
          <w:sz w:val="20"/>
          <w:szCs w:val="20"/>
        </w:rPr>
        <w:t>We did not have during the periods presented, and we do not currently have,</w:t>
      </w:r>
      <w:r>
        <w:rPr>
          <w:sz w:val="20"/>
          <w:szCs w:val="20"/>
        </w:rPr>
        <w:t xml:space="preserve"> any off-balance sheet arrangements, as defined in the rules and regulations of the SEC, that have or are reasonably likely to have a current or future effect on our financial condition, changes in financial condition, revenue or expenses, results of opera</w:t>
      </w:r>
      <w:r>
        <w:rPr>
          <w:sz w:val="20"/>
          <w:szCs w:val="20"/>
        </w:rPr>
        <w:t>tions, liquidity, capital expenditures or capital resources that is material to investors.</w:t>
      </w:r>
    </w:p>
    <w:p w:rsidR="00000000" w:rsidRDefault="00406BD4">
      <w:pPr>
        <w:pStyle w:val="a3"/>
        <w:spacing w:before="240" w:beforeAutospacing="0" w:after="0" w:afterAutospacing="0"/>
        <w:jc w:val="center"/>
        <w:rPr>
          <w:sz w:val="20"/>
          <w:szCs w:val="20"/>
        </w:rPr>
      </w:pPr>
      <w:r>
        <w:rPr>
          <w:sz w:val="20"/>
          <w:szCs w:val="20"/>
        </w:rPr>
        <w:t>29</w:t>
      </w:r>
    </w:p>
    <w:p w:rsidR="00000000" w:rsidRDefault="00406BD4">
      <w:pPr>
        <w:rPr>
          <w:rFonts w:eastAsia="Times New Roman"/>
        </w:rPr>
      </w:pPr>
      <w:r>
        <w:rPr>
          <w:rFonts w:eastAsia="Times New Roman"/>
        </w:rPr>
        <w:pict>
          <v:rect id="_x0000_i1055"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0" w:beforeAutospacing="0" w:after="0" w:afterAutospacing="0"/>
        <w:rPr>
          <w:b/>
          <w:bCs/>
          <w:sz w:val="20"/>
          <w:szCs w:val="20"/>
        </w:rPr>
      </w:pPr>
      <w:bookmarkStart w:id="42" w:name="ITEM_3_QUANTITATIVE_QUALITATIVE_DISCLOSU"/>
      <w:bookmarkEnd w:id="42"/>
      <w:r>
        <w:rPr>
          <w:b/>
          <w:bCs/>
          <w:sz w:val="20"/>
          <w:szCs w:val="20"/>
        </w:rPr>
        <w:t>Item 3. Quantitative and Qualitative Disclosures About Market Risk.</w:t>
      </w:r>
    </w:p>
    <w:p w:rsidR="00000000" w:rsidRDefault="00406BD4">
      <w:pPr>
        <w:pStyle w:val="a3"/>
        <w:spacing w:before="120" w:beforeAutospacing="0" w:after="0" w:afterAutospacing="0"/>
        <w:ind w:firstLine="556"/>
        <w:rPr>
          <w:sz w:val="20"/>
          <w:szCs w:val="20"/>
        </w:rPr>
      </w:pPr>
      <w:bookmarkStart w:id="43" w:name="_DV_C1761"/>
      <w:bookmarkEnd w:id="43"/>
      <w:r>
        <w:rPr>
          <w:sz w:val="20"/>
          <w:szCs w:val="20"/>
        </w:rPr>
        <w:t xml:space="preserve">Not applicable. </w:t>
      </w:r>
    </w:p>
    <w:p w:rsidR="00000000" w:rsidRDefault="00406BD4">
      <w:pPr>
        <w:pStyle w:val="a3"/>
        <w:spacing w:before="360" w:beforeAutospacing="0" w:after="0" w:afterAutospacing="0"/>
        <w:rPr>
          <w:b/>
          <w:bCs/>
          <w:sz w:val="20"/>
          <w:szCs w:val="20"/>
        </w:rPr>
      </w:pPr>
      <w:bookmarkStart w:id="44" w:name="ITEM_4_CONTROLS_PROCEDURES"/>
      <w:bookmarkEnd w:id="44"/>
      <w:r>
        <w:rPr>
          <w:b/>
          <w:bCs/>
          <w:sz w:val="20"/>
          <w:szCs w:val="20"/>
        </w:rPr>
        <w:t>Item 4. Controls and Procedures.</w:t>
      </w:r>
    </w:p>
    <w:p w:rsidR="00000000" w:rsidRDefault="00406BD4">
      <w:pPr>
        <w:pStyle w:val="a3"/>
        <w:spacing w:before="240" w:beforeAutospacing="0" w:after="0" w:afterAutospacing="0"/>
        <w:jc w:val="center"/>
        <w:rPr>
          <w:b/>
          <w:bCs/>
          <w:sz w:val="20"/>
          <w:szCs w:val="20"/>
        </w:rPr>
      </w:pPr>
      <w:r>
        <w:rPr>
          <w:b/>
          <w:bCs/>
          <w:sz w:val="20"/>
          <w:szCs w:val="20"/>
        </w:rPr>
        <w:t>Evaluation of Disclosure Controls and Procedures</w:t>
      </w:r>
    </w:p>
    <w:p w:rsidR="00000000" w:rsidRDefault="00406BD4">
      <w:pPr>
        <w:pStyle w:val="a3"/>
        <w:spacing w:before="240" w:beforeAutospacing="0" w:after="0" w:afterAutospacing="0"/>
        <w:ind w:firstLine="556"/>
        <w:rPr>
          <w:color w:val="000000"/>
          <w:sz w:val="20"/>
          <w:szCs w:val="20"/>
        </w:rPr>
      </w:pPr>
      <w:r>
        <w:rPr>
          <w:color w:val="000000"/>
          <w:sz w:val="20"/>
          <w:szCs w:val="20"/>
        </w:rPr>
        <w:t>Disclosure controls and procedures are controls and other procedures of a company that are designed to ensure that information required to be disclosed by the company in the reports that it files or submits under the Exchange Act is recorded, processed, su</w:t>
      </w:r>
      <w:r>
        <w:rPr>
          <w:color w:val="000000"/>
          <w:sz w:val="20"/>
          <w:szCs w:val="20"/>
        </w:rPr>
        <w:t>mmarized and reported within the time periods specified in the SEC’s rules and forms. Disclosure controls and procedures include, without limitation, controls and procedures designed to ensure that information required to be disclosed by a company in the r</w:t>
      </w:r>
      <w:r>
        <w:rPr>
          <w:color w:val="000000"/>
          <w:sz w:val="20"/>
          <w:szCs w:val="20"/>
        </w:rPr>
        <w:t xml:space="preserve">eports that it files or submits under the Exchange Act is accumulated and communicated to the company’s management, including its principal executive and principal financial officers, or persons performing similar functions, as appropriate to allow timely </w:t>
      </w:r>
      <w:r>
        <w:rPr>
          <w:color w:val="000000"/>
          <w:sz w:val="20"/>
          <w:szCs w:val="20"/>
        </w:rPr>
        <w:t>decisions regarding required disclosure. As required by Rule 13a-15(b) under the Exchange Act, our management, with the participation of our Chief Executive Officer and Chief Financial Officer, conducted an evaluation of the effectiveness of our disclosure</w:t>
      </w:r>
      <w:r>
        <w:rPr>
          <w:color w:val="000000"/>
          <w:sz w:val="20"/>
          <w:szCs w:val="20"/>
        </w:rPr>
        <w:t xml:space="preserve"> controls and procedures as of September 30, 2020. Based on this evaluation, our Chief Executive Officer and Chief Financial Officer concluded that our disclosure controls and procedures were effective as of September 30, 2020.</w:t>
      </w:r>
    </w:p>
    <w:p w:rsidR="00000000" w:rsidRDefault="00406BD4">
      <w:pPr>
        <w:pStyle w:val="a3"/>
        <w:spacing w:before="360" w:beforeAutospacing="0" w:after="0" w:afterAutospacing="0"/>
        <w:jc w:val="center"/>
        <w:rPr>
          <w:b/>
          <w:bCs/>
          <w:sz w:val="20"/>
          <w:szCs w:val="20"/>
        </w:rPr>
      </w:pPr>
      <w:r>
        <w:rPr>
          <w:b/>
          <w:bCs/>
          <w:sz w:val="20"/>
          <w:szCs w:val="20"/>
        </w:rPr>
        <w:t xml:space="preserve">Changes in Internal Control </w:t>
      </w:r>
      <w:r>
        <w:rPr>
          <w:b/>
          <w:bCs/>
          <w:sz w:val="20"/>
          <w:szCs w:val="20"/>
        </w:rPr>
        <w:t>over Financial Reporting</w:t>
      </w:r>
    </w:p>
    <w:p w:rsidR="00000000" w:rsidRDefault="00406BD4">
      <w:pPr>
        <w:pStyle w:val="a3"/>
        <w:spacing w:before="240" w:beforeAutospacing="0" w:after="0" w:afterAutospacing="0"/>
        <w:ind w:firstLine="556"/>
        <w:rPr>
          <w:sz w:val="20"/>
          <w:szCs w:val="20"/>
        </w:rPr>
      </w:pPr>
      <w:r>
        <w:rPr>
          <w:sz w:val="20"/>
          <w:szCs w:val="20"/>
        </w:rPr>
        <w:t>There have not been any changes in our internal control (as required by Rule 13a-15(b) under the Exchange Act) over the financial reporting during the three months ended September 30, 2020 that have materially affected or are reaso</w:t>
      </w:r>
      <w:r>
        <w:rPr>
          <w:sz w:val="20"/>
          <w:szCs w:val="20"/>
        </w:rPr>
        <w:t xml:space="preserve">nably likely to materially affect our internal control over financial reporting. </w:t>
      </w:r>
    </w:p>
    <w:p w:rsidR="00000000" w:rsidRDefault="00406BD4">
      <w:pPr>
        <w:pStyle w:val="a3"/>
        <w:spacing w:before="360" w:beforeAutospacing="0" w:after="0" w:afterAutospacing="0"/>
        <w:jc w:val="center"/>
        <w:rPr>
          <w:b/>
          <w:bCs/>
          <w:sz w:val="20"/>
          <w:szCs w:val="20"/>
        </w:rPr>
      </w:pPr>
      <w:r>
        <w:rPr>
          <w:b/>
          <w:bCs/>
          <w:sz w:val="20"/>
          <w:szCs w:val="20"/>
        </w:rPr>
        <w:t>Inherent Limitations on Disclosure Controls and Procedures and Internal Control over Financial Reporting</w:t>
      </w:r>
    </w:p>
    <w:p w:rsidR="00000000" w:rsidRDefault="00406BD4">
      <w:pPr>
        <w:pStyle w:val="a3"/>
        <w:spacing w:before="240" w:beforeAutospacing="0" w:after="0" w:afterAutospacing="0"/>
        <w:ind w:firstLine="556"/>
        <w:rPr>
          <w:sz w:val="20"/>
          <w:szCs w:val="20"/>
        </w:rPr>
      </w:pPr>
      <w:r>
        <w:rPr>
          <w:sz w:val="20"/>
          <w:szCs w:val="20"/>
        </w:rPr>
        <w:t>Management recognizes that any controls and procedures, no matter how</w:t>
      </w:r>
      <w:r>
        <w:rPr>
          <w:sz w:val="20"/>
          <w:szCs w:val="20"/>
        </w:rPr>
        <w:t xml:space="preserve"> well-designed and operated, can provide only reasonable assurance of achieving their objectives, and management necessarily applies its judgment in evaluating the benefits of possible controls and procedures relative to their costs. Because of these inher</w:t>
      </w:r>
      <w:r>
        <w:rPr>
          <w:sz w:val="20"/>
          <w:szCs w:val="20"/>
        </w:rPr>
        <w:t>ent limitations, our disclosure and internal controls may not prevent or detect all instances of fraud, misstatements or other control issues. In addition, projections of any evaluation of the effectiveness of disclosure or internal controls to future peri</w:t>
      </w:r>
      <w:r>
        <w:rPr>
          <w:sz w:val="20"/>
          <w:szCs w:val="20"/>
        </w:rPr>
        <w:t>ods are subject to risks, including, among others, that controls may become inadequate because of changes in conditions or that the degree of compliance with policies or procedures may deteriorate.</w: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240" w:beforeAutospacing="0" w:after="0" w:afterAutospacing="0"/>
        <w:jc w:val="center"/>
        <w:rPr>
          <w:sz w:val="20"/>
          <w:szCs w:val="20"/>
        </w:rPr>
      </w:pPr>
      <w:r>
        <w:rPr>
          <w:sz w:val="20"/>
          <w:szCs w:val="20"/>
        </w:rPr>
        <w:t>30</w:t>
      </w:r>
    </w:p>
    <w:p w:rsidR="00000000" w:rsidRDefault="00406BD4">
      <w:pPr>
        <w:rPr>
          <w:rFonts w:eastAsia="Times New Roman"/>
        </w:rPr>
      </w:pPr>
      <w:r>
        <w:rPr>
          <w:rFonts w:eastAsia="Times New Roman"/>
        </w:rPr>
        <w:pict>
          <v:rect id="_x0000_i1056"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0" w:beforeAutospacing="0" w:after="0" w:afterAutospacing="0"/>
        <w:jc w:val="center"/>
        <w:rPr>
          <w:b/>
          <w:bCs/>
          <w:sz w:val="20"/>
          <w:szCs w:val="20"/>
        </w:rPr>
      </w:pPr>
      <w:bookmarkStart w:id="45" w:name="PART_IIOR_INFORMATION"/>
      <w:r>
        <w:rPr>
          <w:b/>
          <w:bCs/>
          <w:sz w:val="20"/>
          <w:szCs w:val="20"/>
        </w:rPr>
        <w:t>PART II</w:t>
      </w:r>
      <w:bookmarkEnd w:id="45"/>
      <w:r>
        <w:rPr>
          <w:b/>
          <w:bCs/>
          <w:sz w:val="20"/>
          <w:szCs w:val="20"/>
        </w:rPr>
        <w:t>—OTHER INFORMATION</w:t>
      </w:r>
    </w:p>
    <w:p w:rsidR="00000000" w:rsidRDefault="00406BD4">
      <w:pPr>
        <w:pStyle w:val="a3"/>
        <w:spacing w:before="240" w:beforeAutospacing="0" w:after="0" w:afterAutospacing="0"/>
        <w:rPr>
          <w:b/>
          <w:bCs/>
          <w:sz w:val="20"/>
          <w:szCs w:val="20"/>
        </w:rPr>
      </w:pPr>
      <w:bookmarkStart w:id="46" w:name="ITEM_1_LEGAL_PROCEEDINGS"/>
      <w:bookmarkEnd w:id="46"/>
      <w:r>
        <w:rPr>
          <w:b/>
          <w:bCs/>
          <w:sz w:val="20"/>
          <w:szCs w:val="20"/>
        </w:rPr>
        <w:t>Item 1. Legal Proceedings.</w:t>
      </w:r>
    </w:p>
    <w:p w:rsidR="00000000" w:rsidRDefault="00406BD4">
      <w:pPr>
        <w:pStyle w:val="a3"/>
        <w:spacing w:before="120" w:beforeAutospacing="0" w:after="0" w:afterAutospacing="0"/>
        <w:ind w:firstLine="556"/>
        <w:rPr>
          <w:sz w:val="20"/>
          <w:szCs w:val="20"/>
        </w:rPr>
      </w:pPr>
      <w:bookmarkStart w:id="47" w:name="_DV_C505"/>
      <w:bookmarkEnd w:id="47"/>
      <w:r>
        <w:rPr>
          <w:sz w:val="20"/>
          <w:szCs w:val="20"/>
        </w:rPr>
        <w:t>From time to time, we may be involved in legal proceedings arising in t</w:t>
      </w:r>
      <w:r>
        <w:rPr>
          <w:sz w:val="20"/>
          <w:szCs w:val="20"/>
        </w:rPr>
        <w:t>he ordinary course of our business. We are not presently a party, and our properties are not presently subject, to any legal proceedings that, in the opinion of management, would have a material effect on our business. Regardless of outcome, litigation can</w:t>
      </w:r>
      <w:r>
        <w:rPr>
          <w:sz w:val="20"/>
          <w:szCs w:val="20"/>
        </w:rPr>
        <w:t xml:space="preserve"> have an adverse impact on us due to defense and settlement costs, diversion of management resources, negative publicity and reputational harm, among other factors.</w:t>
      </w:r>
    </w:p>
    <w:p w:rsidR="00000000" w:rsidRDefault="00406BD4">
      <w:pPr>
        <w:pStyle w:val="a3"/>
        <w:spacing w:before="360" w:beforeAutospacing="0" w:after="0" w:afterAutospacing="0"/>
        <w:rPr>
          <w:b/>
          <w:bCs/>
          <w:sz w:val="20"/>
          <w:szCs w:val="20"/>
        </w:rPr>
      </w:pPr>
      <w:bookmarkStart w:id="48" w:name="ITEM_1A_RISK_FACTORS"/>
      <w:bookmarkEnd w:id="48"/>
      <w:r>
        <w:rPr>
          <w:b/>
          <w:bCs/>
          <w:sz w:val="20"/>
          <w:szCs w:val="20"/>
        </w:rPr>
        <w:t>Item 1A. Risk Factors.</w:t>
      </w:r>
    </w:p>
    <w:p w:rsidR="00000000" w:rsidRDefault="00406BD4">
      <w:pPr>
        <w:pStyle w:val="a3"/>
        <w:spacing w:before="120" w:beforeAutospacing="0" w:after="0" w:afterAutospacing="0"/>
        <w:ind w:firstLine="556"/>
        <w:rPr>
          <w:i/>
          <w:iCs/>
          <w:sz w:val="20"/>
          <w:szCs w:val="20"/>
        </w:rPr>
      </w:pPr>
      <w:r>
        <w:rPr>
          <w:i/>
          <w:iCs/>
          <w:sz w:val="20"/>
          <w:szCs w:val="20"/>
        </w:rPr>
        <w:t>Investing in our common stock involves a high degree of risk. Before making any investment decision with respect to our common stock, you should carefully consider the risks described below and all of the other information included in this report and the o</w:t>
      </w:r>
      <w:r>
        <w:rPr>
          <w:i/>
          <w:iCs/>
          <w:sz w:val="20"/>
          <w:szCs w:val="20"/>
        </w:rPr>
        <w:t>ther filings we make with the SEC. We believe the risks and uncertainties described below are the most significant we face; and the occurrence of any of these risks could harm our business, financial condition, results of operations, prospects and reputati</w:t>
      </w:r>
      <w:r>
        <w:rPr>
          <w:i/>
          <w:iCs/>
          <w:sz w:val="20"/>
          <w:szCs w:val="20"/>
        </w:rPr>
        <w:t>on and could cause the trading price of our common stock to decline. Additional risks and uncertainties not presently known to us or that we currently deem immaterial may also impair our business.</w:t>
      </w:r>
    </w:p>
    <w:p w:rsidR="00000000" w:rsidRDefault="00406BD4">
      <w:pPr>
        <w:pStyle w:val="a3"/>
        <w:spacing w:before="360" w:beforeAutospacing="0" w:after="0" w:afterAutospacing="0"/>
        <w:jc w:val="center"/>
        <w:rPr>
          <w:b/>
          <w:bCs/>
          <w:sz w:val="20"/>
          <w:szCs w:val="20"/>
        </w:rPr>
      </w:pPr>
      <w:r>
        <w:rPr>
          <w:b/>
          <w:bCs/>
          <w:sz w:val="20"/>
          <w:szCs w:val="20"/>
        </w:rPr>
        <w:t>Business and Strategy Risks</w:t>
      </w:r>
    </w:p>
    <w:p w:rsidR="00000000" w:rsidRDefault="00406BD4">
      <w:pPr>
        <w:pStyle w:val="a3"/>
        <w:spacing w:before="240" w:beforeAutospacing="0" w:after="0" w:afterAutospacing="0"/>
        <w:rPr>
          <w:b/>
          <w:bCs/>
          <w:sz w:val="20"/>
          <w:szCs w:val="20"/>
        </w:rPr>
      </w:pPr>
      <w:r>
        <w:rPr>
          <w:b/>
          <w:bCs/>
          <w:sz w:val="20"/>
          <w:szCs w:val="20"/>
        </w:rPr>
        <w:t>Our results of operations may fluctuate significantly from period to period and can be difficult to predict.</w:t>
      </w:r>
    </w:p>
    <w:p w:rsidR="00000000" w:rsidRDefault="00406BD4">
      <w:pPr>
        <w:pStyle w:val="a3"/>
        <w:spacing w:before="120" w:beforeAutospacing="0" w:after="0" w:afterAutospacing="0"/>
        <w:ind w:firstLine="556"/>
        <w:rPr>
          <w:sz w:val="20"/>
          <w:szCs w:val="20"/>
        </w:rPr>
      </w:pPr>
      <w:r>
        <w:rPr>
          <w:sz w:val="20"/>
          <w:szCs w:val="20"/>
        </w:rPr>
        <w:t>Our results of operations have experienced fluctuations from period to period, which we expect may continue in the future. These fluctuations can o</w:t>
      </w:r>
      <w:r>
        <w:rPr>
          <w:sz w:val="20"/>
          <w:szCs w:val="20"/>
        </w:rPr>
        <w:t>ccur because of a variety of factors, including, among others, the amount and timing of sales of billable tests; the prices we charge for our tests due to changes in product, customer or payor mix, general price degradation for genetic tests or other compe</w:t>
      </w:r>
      <w:r>
        <w:rPr>
          <w:sz w:val="20"/>
          <w:szCs w:val="20"/>
        </w:rPr>
        <w:t>titive factors, global health crises and pandemics which may generate demand for our tests, such as the ongoing pandemic related to COVID-19, the disease caused by the novel coronavirus since named SARS-CoV-2, the rate and timing of our billings and collec</w:t>
      </w:r>
      <w:r>
        <w:rPr>
          <w:sz w:val="20"/>
          <w:szCs w:val="20"/>
        </w:rPr>
        <w:t>tions and the timing and amount of our commitments and other payments, as well as the other risk factors discussed in this report. Our results have been, and may in the future be, impacted by events that may not recur regularly, in the same amounts or at a</w:t>
      </w:r>
      <w:r>
        <w:rPr>
          <w:sz w:val="20"/>
          <w:szCs w:val="20"/>
        </w:rPr>
        <w:t>ll in the future. In 2020, we developed and began offering a series of COVID-19 tests, but the pricing and margins from these tests continue to evolve. For the nine months ended September 30, 2020, we experienced substantial revenue growth due primarily to</w:t>
      </w:r>
      <w:r>
        <w:rPr>
          <w:sz w:val="20"/>
          <w:szCs w:val="20"/>
        </w:rPr>
        <w:t xml:space="preserve"> recent sales of, and growing demand, for these COVID-19 tests. While we believe there will be a continued demand for our COVID-19 tests in the near term, the future outcome and circumstances of the COVID-19 pandemic continue to rapidly evolve and remain u</w:t>
      </w:r>
      <w:r>
        <w:rPr>
          <w:sz w:val="20"/>
          <w:szCs w:val="20"/>
        </w:rPr>
        <w:t>ncertain. There can be no assurance our COVID-19 related growth or other growth we may experience will continue. This recent growth and other fluctuations in our operating results may render period-to-period comparisons less meaningful, and investors shoul</w:t>
      </w:r>
      <w:r>
        <w:rPr>
          <w:sz w:val="20"/>
          <w:szCs w:val="20"/>
        </w:rPr>
        <w:t>d not rely on the results of any one period as an indicator of future performance. These fluctuations in our operating results could cause our performance in any particular period to fall below the expectations of securities analysts or investors or guidan</w:t>
      </w:r>
      <w:r>
        <w:rPr>
          <w:sz w:val="20"/>
          <w:szCs w:val="20"/>
        </w:rPr>
        <w:t>ce we have provided to the public, which could negatively affect the price of our common stock. Moreover, our limited operating history may make it difficult to determine if fluctuations in our performance reflect seasonality, pandemic-related demand or ot</w:t>
      </w:r>
      <w:r>
        <w:rPr>
          <w:sz w:val="20"/>
          <w:szCs w:val="20"/>
        </w:rPr>
        <w:t>her trends or if these fluctuations are the result of other factors or events.</w:t>
      </w:r>
    </w:p>
    <w:p w:rsidR="00000000" w:rsidRDefault="00406BD4">
      <w:pPr>
        <w:pStyle w:val="a3"/>
        <w:shd w:val="clear" w:color="auto" w:fill="FFFFFF"/>
        <w:spacing w:before="360" w:beforeAutospacing="0" w:after="0" w:afterAutospacing="0"/>
        <w:rPr>
          <w:b/>
          <w:bCs/>
          <w:color w:val="000000"/>
          <w:sz w:val="20"/>
          <w:szCs w:val="20"/>
        </w:rPr>
      </w:pPr>
      <w:r>
        <w:rPr>
          <w:b/>
          <w:bCs/>
          <w:color w:val="000000"/>
          <w:sz w:val="20"/>
          <w:szCs w:val="20"/>
        </w:rPr>
        <w:t>The expansion of our COVID-19 testing business has resulted in a substantial change in our business that presents important challenges to our ability to manage our rapidly expan</w:t>
      </w:r>
      <w:r>
        <w:rPr>
          <w:b/>
          <w:bCs/>
          <w:color w:val="000000"/>
          <w:sz w:val="20"/>
          <w:szCs w:val="20"/>
        </w:rPr>
        <w:t>ding business, and we anticipate that this business will eventually decrease after the development and widespread deployment of an effective vaccine.</w:t>
      </w:r>
    </w:p>
    <w:p w:rsidR="00000000" w:rsidRDefault="00406BD4">
      <w:pPr>
        <w:pStyle w:val="a3"/>
        <w:spacing w:before="120" w:beforeAutospacing="0" w:after="0" w:afterAutospacing="0"/>
        <w:ind w:firstLine="556"/>
        <w:rPr>
          <w:color w:val="000000"/>
          <w:sz w:val="20"/>
          <w:szCs w:val="20"/>
        </w:rPr>
      </w:pPr>
      <w:r>
        <w:rPr>
          <w:color w:val="000000"/>
          <w:sz w:val="20"/>
          <w:szCs w:val="20"/>
        </w:rPr>
        <w:t>Since March 2020, we have commercially launched several COVID-19 tests, for the detection of SARS-CoV-2, t</w:t>
      </w:r>
      <w:r>
        <w:rPr>
          <w:color w:val="000000"/>
          <w:sz w:val="20"/>
          <w:szCs w:val="20"/>
        </w:rPr>
        <w:t>he virus that causes COVID-19, including NGS and RT-PCR-based tests. We have received EUAs from the FDA for the RT-PCR-based tests for the detection of SARS-CoV-2 using upper respiratory specimens (nasal, nasopharyngeal, and oropharyngeal swabs) and for ou</w:t>
      </w:r>
      <w:r>
        <w:rPr>
          <w:color w:val="000000"/>
          <w:sz w:val="20"/>
          <w:szCs w:val="20"/>
        </w:rPr>
        <w:t>r at-home COVID-19 testing service through Picture Genetics. Our at-home testing service for COVID-19 and RT-PCR-based tests have been granted EUAs by the FDA only for the detection of nucleic acid from SARS-CoV-2, not for any other viruses or pathogens. W</w:t>
      </w:r>
      <w:r>
        <w:rPr>
          <w:color w:val="000000"/>
          <w:sz w:val="20"/>
          <w:szCs w:val="20"/>
        </w:rPr>
        <w:t>e are currently accepting patient samples directly to our Biosafety Level 2, or BSL-2, certified laboratories in Temple City, California and Houston, Texas where we have the capacity to accept and process thousands of samples per day with a typical turn-ar</w:t>
      </w:r>
      <w:r>
        <w:rPr>
          <w:color w:val="000000"/>
          <w:sz w:val="20"/>
          <w:szCs w:val="20"/>
        </w:rPr>
        <w:t>ound time of 24-48 hours from the time the sample was received and accepted. To date, we have processed orders for our COVID-19 tests from a variety of customers, including governmental bodies, municipalities, and large corporations. Due to the significant</w:t>
      </w:r>
      <w:r>
        <w:rPr>
          <w:color w:val="000000"/>
          <w:sz w:val="20"/>
          <w:szCs w:val="20"/>
        </w:rPr>
        <w:t xml:space="preserve"> demand for COVID-19 testing services, our business has expanded rapidly since March 2020. This expansion has necessitated a very significant increase in our total headcount from 154 in March 2020 to 473 in September, and the volume of tests we perform on </w:t>
      </w:r>
      <w:r>
        <w:rPr>
          <w:color w:val="000000"/>
          <w:sz w:val="20"/>
          <w:szCs w:val="20"/>
        </w:rPr>
        <w:t>a daily basis has increased by more than 6,000% in that time. In addition, while most of our genetics testing business relied upon direct payments from hospitals, medical institutions and other laboratories, the majority of our revenues from our COVID-19 t</w:t>
      </w:r>
      <w:r>
        <w:rPr>
          <w:color w:val="000000"/>
          <w:sz w:val="20"/>
          <w:szCs w:val="20"/>
        </w:rPr>
        <w:t xml:space="preserve">esting business result from reimbursements from third party payors, including insurance providers and Medicare. To meet the demand for COVID-19 testing, we </w:t>
      </w:r>
    </w:p>
    <w:p w:rsidR="00000000" w:rsidRDefault="00406BD4">
      <w:pPr>
        <w:pStyle w:val="a3"/>
        <w:spacing w:before="240" w:beforeAutospacing="0" w:after="0" w:afterAutospacing="0"/>
        <w:jc w:val="center"/>
        <w:rPr>
          <w:sz w:val="20"/>
          <w:szCs w:val="20"/>
        </w:rPr>
      </w:pPr>
      <w:r>
        <w:rPr>
          <w:sz w:val="20"/>
          <w:szCs w:val="20"/>
        </w:rPr>
        <w:t>31</w:t>
      </w:r>
    </w:p>
    <w:p w:rsidR="00000000" w:rsidRDefault="00406BD4">
      <w:pPr>
        <w:rPr>
          <w:rFonts w:eastAsia="Times New Roman"/>
        </w:rPr>
      </w:pPr>
      <w:r>
        <w:rPr>
          <w:rFonts w:eastAsia="Times New Roman"/>
        </w:rPr>
        <w:pict>
          <v:rect id="_x0000_i1057"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120" w:beforeAutospacing="0" w:after="0" w:afterAutospacing="0"/>
        <w:rPr>
          <w:color w:val="000000"/>
          <w:sz w:val="20"/>
          <w:szCs w:val="20"/>
        </w:rPr>
      </w:pPr>
      <w:r>
        <w:rPr>
          <w:color w:val="000000"/>
          <w:sz w:val="20"/>
          <w:szCs w:val="20"/>
        </w:rPr>
        <w:t>have increased the number of shifts at our main laboratory in Temple City, California and established a new laboratory in Houston, Texas. This substantial increase in all</w:t>
      </w:r>
      <w:r>
        <w:rPr>
          <w:color w:val="000000"/>
          <w:sz w:val="20"/>
          <w:szCs w:val="20"/>
        </w:rPr>
        <w:t xml:space="preserve"> of our activities has caused significant changes in our business and a dramatic increase in our revenues and operating results. Each of these developments presents new challenges for our company and management team, and we cannot provide assurance that we</w:t>
      </w:r>
      <w:r>
        <w:rPr>
          <w:color w:val="000000"/>
          <w:sz w:val="20"/>
          <w:szCs w:val="20"/>
        </w:rPr>
        <w:t xml:space="preserve"> will continue to be able to manage those challenges effectively. Our management team has not previously managed a business through such a dramatic acceleration, and the impacts of any failures, mistakes or missed opportunities could be magnified by our cu</w:t>
      </w:r>
      <w:r>
        <w:rPr>
          <w:color w:val="000000"/>
          <w:sz w:val="20"/>
          <w:szCs w:val="20"/>
        </w:rPr>
        <w:t xml:space="preserve">rrent rate of growth. The continued success of this business will depend upon our ability to rapidly deliver accurate results, and any failure, or perceived failure, in meeting these objectives could cause our COVID-19 testing business to decline rapidly. </w:t>
      </w:r>
      <w:r>
        <w:rPr>
          <w:color w:val="000000"/>
          <w:sz w:val="20"/>
          <w:szCs w:val="20"/>
        </w:rPr>
        <w:t xml:space="preserve">In addition, there are many new entrants to this market, and these competitors may cause price declines or reduced market share for us. The increase of our business with third party payors increases the regulatory scrutiny and risks that we face. While we </w:t>
      </w:r>
      <w:r>
        <w:rPr>
          <w:color w:val="000000"/>
          <w:sz w:val="20"/>
          <w:szCs w:val="20"/>
        </w:rPr>
        <w:t>anticipate that demand for COVID-19 will eventually decrease once an effective vaccine is developed and widely deployed, we are continuing to invest in expanding our capacity to meet the increasing demand that we anticipate over at least the next two quart</w:t>
      </w:r>
      <w:r>
        <w:rPr>
          <w:color w:val="000000"/>
          <w:sz w:val="20"/>
          <w:szCs w:val="20"/>
        </w:rPr>
        <w:t>ers. There can be no assurance that our increased investments in our COVID-19 testing capacity and capabilities will result in desirable returns, and if our operating results decline as a result of decreased demand, whether before or after the deployment o</w:t>
      </w:r>
      <w:r>
        <w:rPr>
          <w:color w:val="000000"/>
          <w:sz w:val="20"/>
          <w:szCs w:val="20"/>
        </w:rPr>
        <w:t>f an effective vaccine, our stock price could decline.</w:t>
      </w:r>
    </w:p>
    <w:p w:rsidR="00000000" w:rsidRDefault="00406BD4">
      <w:pPr>
        <w:pStyle w:val="a3"/>
        <w:spacing w:before="360" w:beforeAutospacing="0" w:after="0" w:afterAutospacing="0"/>
        <w:rPr>
          <w:b/>
          <w:bCs/>
          <w:sz w:val="20"/>
          <w:szCs w:val="20"/>
        </w:rPr>
      </w:pPr>
      <w:r>
        <w:rPr>
          <w:b/>
          <w:bCs/>
          <w:sz w:val="20"/>
          <w:szCs w:val="20"/>
        </w:rPr>
        <w:t>We have a history of losses, and we may not be able to achieve or sustain profitability.</w:t>
      </w:r>
    </w:p>
    <w:p w:rsidR="00000000" w:rsidRDefault="00406BD4">
      <w:pPr>
        <w:pStyle w:val="a3"/>
        <w:spacing w:before="120" w:beforeAutospacing="0" w:after="0" w:afterAutospacing="0"/>
        <w:ind w:firstLine="556"/>
        <w:rPr>
          <w:sz w:val="20"/>
          <w:szCs w:val="20"/>
        </w:rPr>
      </w:pPr>
      <w:r>
        <w:rPr>
          <w:sz w:val="20"/>
          <w:szCs w:val="20"/>
        </w:rPr>
        <w:t xml:space="preserve">We have a history of losses. Although we achieved profitability in the first half of 2017, </w:t>
      </w:r>
      <w:r>
        <w:rPr>
          <w:color w:val="000000"/>
          <w:sz w:val="20"/>
          <w:szCs w:val="20"/>
        </w:rPr>
        <w:t xml:space="preserve">the second and third </w:t>
      </w:r>
      <w:r>
        <w:rPr>
          <w:color w:val="000000"/>
          <w:sz w:val="20"/>
          <w:szCs w:val="20"/>
        </w:rPr>
        <w:t xml:space="preserve">quarters of </w:t>
      </w:r>
      <w:r>
        <w:rPr>
          <w:sz w:val="20"/>
          <w:szCs w:val="20"/>
        </w:rPr>
        <w:t>2019 and the second and third quarters of 2020, we recorded losses in all other periods since our inception. We may not be able to maintain profitability in future periods. Further, our revenue levels may not grow at historical rates or at all,</w:t>
      </w:r>
      <w:r>
        <w:rPr>
          <w:sz w:val="20"/>
          <w:szCs w:val="20"/>
        </w:rPr>
        <w:t xml:space="preserve"> and we may not be able to achieve additional profitability or sustain profitability. We may incur additional losses in the future, particularly as we focus on investing in and growing our business and operations in response to recent demand for our COVID-</w:t>
      </w:r>
      <w:r>
        <w:rPr>
          <w:sz w:val="20"/>
          <w:szCs w:val="20"/>
        </w:rPr>
        <w:t>19 tests. Our prior losses have had and any future losses will continue to have an adverse effect on our stockholders’ equity and working capital, which could negatively impact our operations and your investment in our company. Any failure to sustain or gr</w:t>
      </w:r>
      <w:r>
        <w:rPr>
          <w:sz w:val="20"/>
          <w:szCs w:val="20"/>
        </w:rPr>
        <w:t>ow our revenue levels and achieve or maintain profitability would negatively affect our business, financial condition, results of operations and cash flows, and could cause the market price of our common stock to decline.</w:t>
      </w:r>
    </w:p>
    <w:p w:rsidR="00000000" w:rsidRDefault="00406BD4">
      <w:pPr>
        <w:pStyle w:val="a3"/>
        <w:spacing w:before="360" w:beforeAutospacing="0" w:after="0" w:afterAutospacing="0"/>
        <w:rPr>
          <w:b/>
          <w:bCs/>
          <w:sz w:val="20"/>
          <w:szCs w:val="20"/>
        </w:rPr>
      </w:pPr>
      <w:r>
        <w:rPr>
          <w:b/>
          <w:bCs/>
          <w:sz w:val="20"/>
          <w:szCs w:val="20"/>
        </w:rPr>
        <w:t>We are an early-stage company with</w:t>
      </w:r>
      <w:r>
        <w:rPr>
          <w:b/>
          <w:bCs/>
          <w:sz w:val="20"/>
          <w:szCs w:val="20"/>
        </w:rPr>
        <w:t xml:space="preserve"> a limited operating history, which could expose us to enhanced risks and increase the difficulty of evaluating our business and prospects.</w:t>
      </w:r>
    </w:p>
    <w:p w:rsidR="00000000" w:rsidRDefault="00406BD4">
      <w:pPr>
        <w:pStyle w:val="a3"/>
        <w:spacing w:before="120" w:beforeAutospacing="0" w:after="0" w:afterAutospacing="0"/>
        <w:ind w:firstLine="556"/>
        <w:rPr>
          <w:sz w:val="20"/>
          <w:szCs w:val="20"/>
        </w:rPr>
      </w:pPr>
      <w:r>
        <w:rPr>
          <w:sz w:val="20"/>
          <w:szCs w:val="20"/>
        </w:rPr>
        <w:t>We began operations in May 2012 and commercially launched our first genetic tests in 2013. As a result, we have only</w:t>
      </w:r>
      <w:r>
        <w:rPr>
          <w:sz w:val="20"/>
          <w:szCs w:val="20"/>
        </w:rPr>
        <w:t xml:space="preserve"> a limited operating history upon which you can evaluate our business and prospects. Our limited operating history makes it difficult to evaluate our current business and hinders our ability to reliably forecast our future operating results, including reve</w:t>
      </w:r>
      <w:r>
        <w:rPr>
          <w:sz w:val="20"/>
          <w:szCs w:val="20"/>
        </w:rPr>
        <w:t>nue, cash flows and movement toward sustained profitability. Our revenue levels may not continue to grow at historical rates or at all, and we may not be able to achieve or sustain profitability. We have encountered and will continue to encounter risks and</w:t>
      </w:r>
      <w:r>
        <w:rPr>
          <w:sz w:val="20"/>
          <w:szCs w:val="20"/>
        </w:rPr>
        <w:t xml:space="preserve"> uncertainties frequently experienced by growing companies in the life sciences and technology industries, such as risks related to an evolving and unpredictable industry and business model, management of growth and the other uncertainties described in thi</w:t>
      </w:r>
      <w:r>
        <w:rPr>
          <w:sz w:val="20"/>
          <w:szCs w:val="20"/>
        </w:rPr>
        <w:t>s report. If our assumptions regarding these risks and uncertainties are incorrect or these risks and uncertainties change due to fluctuations in our markets, or if we do not address these risks successfully, our operating and financial results could diffe</w:t>
      </w:r>
      <w:r>
        <w:rPr>
          <w:sz w:val="20"/>
          <w:szCs w:val="20"/>
        </w:rPr>
        <w:t>r materially from our expectations and our business could suffer.</w:t>
      </w:r>
    </w:p>
    <w:p w:rsidR="00000000" w:rsidRDefault="00406BD4">
      <w:pPr>
        <w:pStyle w:val="a3"/>
        <w:spacing w:before="360" w:beforeAutospacing="0" w:after="0" w:afterAutospacing="0"/>
        <w:rPr>
          <w:b/>
          <w:bCs/>
          <w:sz w:val="20"/>
          <w:szCs w:val="20"/>
        </w:rPr>
      </w:pPr>
      <w:r>
        <w:rPr>
          <w:b/>
          <w:bCs/>
          <w:sz w:val="20"/>
          <w:szCs w:val="20"/>
        </w:rPr>
        <w:t>Our industry is subject to rapidly changing technology and new and increasing amounts of scientific data, and if we fail to keep pace with these technological advances, we may be unable to c</w:t>
      </w:r>
      <w:r>
        <w:rPr>
          <w:b/>
          <w:bCs/>
          <w:sz w:val="20"/>
          <w:szCs w:val="20"/>
        </w:rPr>
        <w:t>ompete effectively and our business and prospects could suffer.</w:t>
      </w:r>
    </w:p>
    <w:p w:rsidR="00000000" w:rsidRDefault="00406BD4">
      <w:pPr>
        <w:pStyle w:val="a3"/>
        <w:spacing w:before="120" w:beforeAutospacing="0" w:after="0" w:afterAutospacing="0"/>
        <w:ind w:firstLine="556"/>
        <w:rPr>
          <w:sz w:val="20"/>
          <w:szCs w:val="20"/>
        </w:rPr>
      </w:pPr>
      <w:r>
        <w:rPr>
          <w:sz w:val="20"/>
          <w:szCs w:val="20"/>
        </w:rPr>
        <w:t>In recent years, there have been numerous advances in the ability to analyze large amounts of genomic information and the role of genetics and gene variants in disease diagnosis and treatment.</w:t>
      </w:r>
      <w:r>
        <w:rPr>
          <w:sz w:val="20"/>
          <w:szCs w:val="20"/>
        </w:rPr>
        <w:t xml:space="preserve"> Our industry has been, and we believe will continue to be, characterized by rapid technological change, increasing amounts of data, frequent introductions of new genetic tests and evolving industry standards, all of which could make our tests obsolete if </w:t>
      </w:r>
      <w:r>
        <w:rPr>
          <w:sz w:val="20"/>
          <w:szCs w:val="20"/>
        </w:rPr>
        <w:t>we are not able to enhance our technologies and tests faster and better than our competitors. We believe our future success will depend in part on our ability to keep pace with the evolving needs of our customers in a timely and cost-effective manner and t</w:t>
      </w:r>
      <w:r>
        <w:rPr>
          <w:sz w:val="20"/>
          <w:szCs w:val="20"/>
        </w:rPr>
        <w:t>o pursue new market opportunities that develop as a result of technological and scientific advances. If we are not able to keep pace with these advances and increased customer expectations that develop as a result of these advances, we may be unable to sus</w:t>
      </w:r>
      <w:r>
        <w:rPr>
          <w:sz w:val="20"/>
          <w:szCs w:val="20"/>
        </w:rPr>
        <w:t>tain or grow our business and our future operations and prospects could suffer.</w:t>
      </w:r>
    </w:p>
    <w:p w:rsidR="00000000" w:rsidRDefault="00406BD4">
      <w:pPr>
        <w:pStyle w:val="a3"/>
        <w:spacing w:before="240" w:beforeAutospacing="0" w:after="0" w:afterAutospacing="0"/>
        <w:jc w:val="center"/>
        <w:rPr>
          <w:sz w:val="20"/>
          <w:szCs w:val="20"/>
        </w:rPr>
      </w:pPr>
      <w:r>
        <w:rPr>
          <w:sz w:val="20"/>
          <w:szCs w:val="20"/>
        </w:rPr>
        <w:t>32</w:t>
      </w:r>
    </w:p>
    <w:p w:rsidR="00000000" w:rsidRDefault="00406BD4">
      <w:pPr>
        <w:rPr>
          <w:rFonts w:eastAsia="Times New Roman"/>
        </w:rPr>
      </w:pPr>
      <w:r>
        <w:rPr>
          <w:rFonts w:eastAsia="Times New Roman"/>
        </w:rPr>
        <w:pict>
          <v:rect id="_x0000_i1058"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360" w:beforeAutospacing="0" w:after="0" w:afterAutospacing="0"/>
        <w:rPr>
          <w:b/>
          <w:bCs/>
          <w:sz w:val="20"/>
          <w:szCs w:val="20"/>
        </w:rPr>
      </w:pPr>
      <w:bookmarkStart w:id="49" w:name="_DV_C507"/>
      <w:bookmarkEnd w:id="49"/>
      <w:r>
        <w:rPr>
          <w:b/>
          <w:bCs/>
          <w:sz w:val="20"/>
          <w:szCs w:val="20"/>
        </w:rPr>
        <w:t>Our mix of customers can fluctuate from period to period and our revenue may be con</w:t>
      </w:r>
      <w:r>
        <w:rPr>
          <w:b/>
          <w:bCs/>
          <w:sz w:val="20"/>
          <w:szCs w:val="20"/>
        </w:rPr>
        <w:t>centrated among only a small number of customers, and the loss of or a reduction in sales to any of our customers could materially harm our business.</w:t>
      </w:r>
    </w:p>
    <w:p w:rsidR="00000000" w:rsidRDefault="00406BD4">
      <w:pPr>
        <w:pStyle w:val="a3"/>
        <w:spacing w:before="120" w:beforeAutospacing="0" w:after="0" w:afterAutospacing="0"/>
        <w:ind w:firstLine="556"/>
        <w:rPr>
          <w:sz w:val="20"/>
          <w:szCs w:val="20"/>
        </w:rPr>
      </w:pPr>
      <w:r>
        <w:rPr>
          <w:sz w:val="20"/>
          <w:szCs w:val="20"/>
        </w:rPr>
        <w:t>The composition and concentration of our customer base can fluctuate from period to period, and in certain</w:t>
      </w:r>
      <w:r>
        <w:rPr>
          <w:sz w:val="20"/>
          <w:szCs w:val="20"/>
        </w:rPr>
        <w:t xml:space="preserve"> prior periods, a small number of customers accounted for a significant portion of our revenue. When customers who, to our knowledge, are under common control or otherwise affiliated with each other are aggregated, one customer contributed 37% and 35% of o</w:t>
      </w:r>
      <w:r>
        <w:rPr>
          <w:sz w:val="20"/>
          <w:szCs w:val="20"/>
        </w:rPr>
        <w:t xml:space="preserve">ur total revenue in </w:t>
      </w:r>
      <w:r>
        <w:rPr>
          <w:color w:val="000000"/>
          <w:sz w:val="20"/>
          <w:szCs w:val="20"/>
        </w:rPr>
        <w:t>the three and nine months ended September 30, 2020, respectively.</w:t>
      </w:r>
      <w:r>
        <w:rPr>
          <w:sz w:val="20"/>
          <w:szCs w:val="20"/>
        </w:rPr>
        <w:t xml:space="preserve"> For these customers and for customers generally, tests are purchased on a test-by-test basis and not pursuant to any long-term purchasing arrangements. As a result, any o</w:t>
      </w:r>
      <w:r>
        <w:rPr>
          <w:sz w:val="20"/>
          <w:szCs w:val="20"/>
        </w:rPr>
        <w:t>r all of our customers, including affiliated customers or customers under common control who purchase large quantities of billable tests, could decide at any time to decrease, delay or discontinue their orders from us which could adversely affect our reven</w:t>
      </w:r>
      <w:r>
        <w:rPr>
          <w:sz w:val="20"/>
          <w:szCs w:val="20"/>
        </w:rPr>
        <w:t>ue. Although we believe some of these fluctuations in customer demand may be attributable, in part, to the nature of our business, in which our customers can experience significant volatility in their genetic testing demand from period to period in the ord</w:t>
      </w:r>
      <w:r>
        <w:rPr>
          <w:sz w:val="20"/>
          <w:szCs w:val="20"/>
        </w:rPr>
        <w:t>inary course of their operations, these demand fluctuations, particularly for any key customers, can have a significant impact on our period-to-period performance regardless of their cause. In addition, the failure of any one of our customers or their payo</w:t>
      </w:r>
      <w:r>
        <w:rPr>
          <w:sz w:val="20"/>
          <w:szCs w:val="20"/>
        </w:rPr>
        <w:t>rs to pay on a timely basis would negatively impact our results and cash flows. Our ability to maintain or increase sales to our existing customers depends on a variety of factors, including the other risk factors discussed in this report, many of which ar</w:t>
      </w:r>
      <w:r>
        <w:rPr>
          <w:sz w:val="20"/>
          <w:szCs w:val="20"/>
        </w:rPr>
        <w:t>e beyond our control. Because of these and other factors, sales to any of our customers, including any key, affiliated or commonly controlled customers, may not continue in the amounts or at the rates as they have in the past, and such sales may never reac</w:t>
      </w:r>
      <w:r>
        <w:rPr>
          <w:sz w:val="20"/>
          <w:szCs w:val="20"/>
        </w:rPr>
        <w:t>h or exceed historical levels in any future period. The loss of any of our customers, or a reduction in orders or difficulties collecting payments for tests ordered by any of them, could significantly reduce our revenue and adversely affect our operating r</w:t>
      </w:r>
      <w:r>
        <w:rPr>
          <w:sz w:val="20"/>
          <w:szCs w:val="20"/>
        </w:rPr>
        <w:t xml:space="preserve">esults. </w:t>
      </w:r>
    </w:p>
    <w:p w:rsidR="00000000" w:rsidRDefault="00406BD4">
      <w:pPr>
        <w:pStyle w:val="a3"/>
        <w:spacing w:before="360" w:beforeAutospacing="0" w:after="0" w:afterAutospacing="0"/>
        <w:rPr>
          <w:b/>
          <w:bCs/>
          <w:sz w:val="20"/>
          <w:szCs w:val="20"/>
        </w:rPr>
      </w:pPr>
      <w:r>
        <w:rPr>
          <w:b/>
          <w:bCs/>
          <w:sz w:val="20"/>
          <w:szCs w:val="20"/>
        </w:rPr>
        <w:t>If we are not able to grow and diversify our customer base and increase demand for our tests from existing and new customers, our potential for growth could be limited.</w:t>
      </w:r>
    </w:p>
    <w:p w:rsidR="00000000" w:rsidRDefault="00406BD4">
      <w:pPr>
        <w:pStyle w:val="a3"/>
        <w:spacing w:before="120" w:beforeAutospacing="0" w:after="0" w:afterAutospacing="0"/>
        <w:ind w:firstLine="556"/>
        <w:rPr>
          <w:sz w:val="20"/>
          <w:szCs w:val="20"/>
        </w:rPr>
      </w:pPr>
      <w:r>
        <w:rPr>
          <w:sz w:val="20"/>
          <w:szCs w:val="20"/>
        </w:rPr>
        <w:t>To achieve our desired revenue growth, we must increase test volume by further</w:t>
      </w:r>
      <w:r>
        <w:rPr>
          <w:sz w:val="20"/>
          <w:szCs w:val="20"/>
        </w:rPr>
        <w:t xml:space="preserve"> penetrating our existing hospital and medical institution customers and by expanding sales of our COVID-19 tests to additional governmental bodies, municipalities and large corporations in need of regular COVID-19 testing for large populations. In additio</w:t>
      </w:r>
      <w:r>
        <w:rPr>
          <w:sz w:val="20"/>
          <w:szCs w:val="20"/>
        </w:rPr>
        <w:t>n, we must grow our customer base beyond hospitals, medical institutions and other laboratories and into additional customer groups, such as individual physicians, other practitioners and research institutions. To this end, we are making efforts to diversi</w:t>
      </w:r>
      <w:r>
        <w:rPr>
          <w:sz w:val="20"/>
          <w:szCs w:val="20"/>
        </w:rPr>
        <w:t>fy our customer market, including building relationships with research institutions and other similar institutional customers, national clinical laboratories, governmental bodies, municipalities and large corporations in need of regular COVID-19 testing fo</w:t>
      </w:r>
      <w:r>
        <w:rPr>
          <w:sz w:val="20"/>
          <w:szCs w:val="20"/>
        </w:rPr>
        <w:t xml:space="preserve">r large populations and various other organizations to facilitate access to physicians, practitioners and other new customer groups, including certain U.S. government agencies. We are also pursuing relationships with payors, including Medicare, some state </w:t>
      </w:r>
      <w:r>
        <w:rPr>
          <w:sz w:val="20"/>
          <w:szCs w:val="20"/>
        </w:rPr>
        <w:t>Medicaid programs and commercial payors, in an effort to obtain coverage and reimbursement for our tests to make them accessible to more individual physicians. Generally, when we establish these new customer relationships, we agree with the applicable payo</w:t>
      </w:r>
      <w:r>
        <w:rPr>
          <w:sz w:val="20"/>
          <w:szCs w:val="20"/>
        </w:rPr>
        <w:t>r, laboratory or other customer to provide certain of our tests at negotiated rates, but, subject to limited exceptions, most of these relationships do not obligate any party to order our tests at any agreed volume or frequency or at all. Further, any rela</w:t>
      </w:r>
      <w:r>
        <w:rPr>
          <w:sz w:val="20"/>
          <w:szCs w:val="20"/>
        </w:rPr>
        <w:t>tionships we may develop with any government agencies are subject to unique risks associated with government contracts, including cancellation if adequate appropriations for subsequent performance periods are not made and modification or termination at the</w:t>
      </w:r>
      <w:r>
        <w:rPr>
          <w:sz w:val="20"/>
          <w:szCs w:val="20"/>
        </w:rPr>
        <w:t xml:space="preserve"> government’s convenience and without prior notice. Our efforts to pursue individual consumers under our Picture Genetics platform, new payor or institutional customers, new COVID-19 testing customers or other new customer markets could fail, and even if w</w:t>
      </w:r>
      <w:r>
        <w:rPr>
          <w:sz w:val="20"/>
          <w:szCs w:val="20"/>
        </w:rPr>
        <w:t>e are able to develop relationships with new customers in these or any other new customer groups, these relationships may not lead to meaningful or any increases in our customer base, the number of billable tests we deliver or our revenue, and may not impr</w:t>
      </w:r>
      <w:r>
        <w:rPr>
          <w:sz w:val="20"/>
          <w:szCs w:val="20"/>
        </w:rPr>
        <w:t>ove our ability to achieve or sustain profitability.</w:t>
      </w:r>
    </w:p>
    <w:p w:rsidR="00000000" w:rsidRDefault="00406BD4">
      <w:pPr>
        <w:pStyle w:val="a3"/>
        <w:spacing w:before="240" w:beforeAutospacing="0" w:after="0" w:afterAutospacing="0"/>
        <w:ind w:firstLine="556"/>
        <w:rPr>
          <w:sz w:val="20"/>
          <w:szCs w:val="20"/>
        </w:rPr>
      </w:pPr>
      <w:r>
        <w:rPr>
          <w:sz w:val="20"/>
          <w:szCs w:val="20"/>
        </w:rPr>
        <w:t>We may fail to obtain the customer growth needed to grow volumes and revenue levels as desired or anticipated or at all, which could occur for a variety of reasons, including, among others: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120" w:beforeAutospacing="0" w:after="0" w:afterAutospacing="0"/>
              <w:rPr>
                <w:sz w:val="20"/>
                <w:szCs w:val="20"/>
              </w:rPr>
            </w:pPr>
            <w:r>
              <w:rPr>
                <w:sz w:val="20"/>
                <w:szCs w:val="20"/>
              </w:rPr>
              <w:t> </w:t>
            </w:r>
          </w:p>
        </w:tc>
        <w:tc>
          <w:tcPr>
            <w:tcW w:w="227" w:type="pct"/>
            <w:noWrap/>
            <w:hideMark/>
          </w:tcPr>
          <w:p w:rsidR="00000000" w:rsidRDefault="00406BD4">
            <w:pPr>
              <w:pStyle w:val="a3"/>
              <w:spacing w:before="120" w:beforeAutospacing="0" w:after="0" w:afterAutospacing="0"/>
              <w:rPr>
                <w:sz w:val="20"/>
                <w:szCs w:val="20"/>
              </w:rPr>
            </w:pPr>
            <w:r>
              <w:rPr>
                <w:sz w:val="20"/>
                <w:szCs w:val="20"/>
              </w:rPr>
              <w:t>•</w:t>
            </w:r>
          </w:p>
        </w:tc>
        <w:tc>
          <w:tcPr>
            <w:tcW w:w="0" w:type="auto"/>
            <w:hideMark/>
          </w:tcPr>
          <w:p w:rsidR="00000000" w:rsidRDefault="00406BD4">
            <w:pPr>
              <w:pStyle w:val="a3"/>
              <w:spacing w:before="120" w:beforeAutospacing="0" w:after="0" w:afterAutospacing="0"/>
              <w:rPr>
                <w:sz w:val="20"/>
                <w:szCs w:val="20"/>
              </w:rPr>
            </w:pPr>
            <w:r>
              <w:rPr>
                <w:sz w:val="20"/>
                <w:szCs w:val="20"/>
              </w:rPr>
              <w:t>the genet</w:t>
            </w:r>
            <w:r>
              <w:rPr>
                <w:sz w:val="20"/>
                <w:szCs w:val="20"/>
              </w:rPr>
              <w:t>ic testing market generally, and particularly the market for next generation sequencing, or NGS, genetic tests and our COVID-19 tests, is relatively new and may not grow as predicted or may decline;</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our efforts to improve our existing tests and deve</w:t>
            </w:r>
            <w:r>
              <w:rPr>
                <w:sz w:val="20"/>
                <w:szCs w:val="20"/>
              </w:rPr>
              <w:t>lop and launch new tests may be unsuccessful;</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we may not be able to convince additional hospitals, medical institutions and other laboratories or additional customer groups of the utility of our tests and their potential advantages over existing and new alternatives;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our investments in our sale</w:t>
            </w:r>
            <w:r>
              <w:rPr>
                <w:sz w:val="20"/>
                <w:szCs w:val="20"/>
              </w:rPr>
              <w:t>s and marketing functions, including our efforts to increase and restructure our sales force and re-focus and expand our marketing initiatives and strategies, may fail;</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 xml:space="preserve">we may be unsuccessful in convincing customers of the benefits of our broad and </w:t>
            </w:r>
            <w:r>
              <w:rPr>
                <w:sz w:val="20"/>
                <w:szCs w:val="20"/>
              </w:rPr>
              <w:t>customizable test menu;</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genetic testing is expensive and many existing and potential new customers may be sensitive to pricing, particularly if we are not able to maintain low prices relative to our competitors;</w:t>
            </w:r>
          </w:p>
        </w:tc>
      </w:tr>
    </w:tbl>
    <w:p w:rsidR="00000000" w:rsidRDefault="00406BD4">
      <w:pPr>
        <w:pStyle w:val="a3"/>
        <w:spacing w:before="240" w:beforeAutospacing="0" w:after="0" w:afterAutospacing="0"/>
        <w:jc w:val="center"/>
        <w:rPr>
          <w:sz w:val="20"/>
          <w:szCs w:val="20"/>
        </w:rPr>
      </w:pPr>
      <w:r>
        <w:rPr>
          <w:sz w:val="20"/>
          <w:szCs w:val="20"/>
        </w:rPr>
        <w:t>33</w:t>
      </w:r>
    </w:p>
    <w:p w:rsidR="00000000" w:rsidRDefault="00406BD4">
      <w:pPr>
        <w:rPr>
          <w:rFonts w:eastAsia="Times New Roman"/>
        </w:rPr>
      </w:pPr>
      <w:r>
        <w:rPr>
          <w:rFonts w:eastAsia="Times New Roman"/>
        </w:rPr>
        <w:pict>
          <v:rect id="_x0000_i1059"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potential new customers, particularly individual physicians and othe</w:t>
            </w:r>
            <w:r>
              <w:rPr>
                <w:sz w:val="20"/>
                <w:szCs w:val="20"/>
              </w:rPr>
              <w:t>r practitioners, may not adopt our tests if coverage and adequate reimbursement are not available;</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negative publicity or regulatory investigations into the actions of companies in our industry could raise doubts about the legitimacy of diagnostic te</w:t>
            </w:r>
            <w:r>
              <w:rPr>
                <w:sz w:val="20"/>
                <w:szCs w:val="20"/>
              </w:rPr>
              <w:t>chnologies generally, and could result in scrutiny of diagnostic activities by the U.S. Food and Drug Administration, or FDA, or other applicable government agencies; and</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our competitors could introduce new tests that cover more genes or that provid</w:t>
            </w:r>
            <w:r>
              <w:rPr>
                <w:sz w:val="20"/>
                <w:szCs w:val="20"/>
              </w:rPr>
              <w:t>e more accurate, reliable or rapid results.</w:t>
            </w:r>
          </w:p>
        </w:tc>
      </w:tr>
    </w:tbl>
    <w:p w:rsidR="00000000" w:rsidRDefault="00406BD4">
      <w:pPr>
        <w:pStyle w:val="a3"/>
        <w:spacing w:before="240" w:beforeAutospacing="0" w:after="0" w:afterAutospacing="0"/>
        <w:ind w:firstLine="556"/>
        <w:rPr>
          <w:sz w:val="20"/>
          <w:szCs w:val="20"/>
        </w:rPr>
      </w:pPr>
      <w:r>
        <w:rPr>
          <w:sz w:val="20"/>
          <w:szCs w:val="20"/>
        </w:rPr>
        <w:t>If we are unable to address these and other risks associated with growing our customer base and deepening our relationships with existing customers, we may not achieve our desired growth in billable tests and re</w:t>
      </w:r>
      <w:r>
        <w:rPr>
          <w:sz w:val="20"/>
          <w:szCs w:val="20"/>
        </w:rPr>
        <w:t>venue, and our results of operations could be adversely impacted.</w:t>
      </w:r>
    </w:p>
    <w:p w:rsidR="00000000" w:rsidRDefault="00406BD4">
      <w:pPr>
        <w:pStyle w:val="a3"/>
        <w:spacing w:before="360" w:beforeAutospacing="0" w:after="0" w:afterAutospacing="0"/>
        <w:rPr>
          <w:b/>
          <w:bCs/>
          <w:sz w:val="20"/>
          <w:szCs w:val="20"/>
        </w:rPr>
      </w:pPr>
      <w:r>
        <w:rPr>
          <w:b/>
          <w:bCs/>
          <w:sz w:val="20"/>
          <w:szCs w:val="20"/>
        </w:rPr>
        <w:t>We face intense competition, which could intensify further in the future, and we may fail to maintain or increase our revenue levels, maintain the current prices and margins for our billable tests, or achieve or sustain profitability if we cannot compete s</w:t>
      </w:r>
      <w:r>
        <w:rPr>
          <w:b/>
          <w:bCs/>
          <w:sz w:val="20"/>
          <w:szCs w:val="20"/>
        </w:rPr>
        <w:t>uccessfully.</w:t>
      </w:r>
    </w:p>
    <w:p w:rsidR="00000000" w:rsidRDefault="00406BD4">
      <w:pPr>
        <w:pStyle w:val="a3"/>
        <w:spacing w:before="120" w:beforeAutospacing="0" w:after="0" w:afterAutospacing="0"/>
        <w:ind w:firstLine="556"/>
        <w:rPr>
          <w:sz w:val="20"/>
          <w:szCs w:val="20"/>
        </w:rPr>
      </w:pPr>
      <w:r>
        <w:rPr>
          <w:sz w:val="20"/>
          <w:szCs w:val="20"/>
        </w:rPr>
        <w:t>With the development of NGS, the clinical genetic testing market has become increasingly competitive, and as the COVID-19 pandemic continues, potentially competitive COVID-19 tests have entered and may continue to enter the market. We expect t</w:t>
      </w:r>
      <w:r>
        <w:rPr>
          <w:sz w:val="20"/>
          <w:szCs w:val="20"/>
        </w:rPr>
        <w:t xml:space="preserve">his competition to intensify in the future. We face competition from a variety of sources, including, among others, an increasing number of companies seeking to develop and commercialize, or who have developed and commercialized, COVID-19 tests, dozens of </w:t>
      </w:r>
      <w:r>
        <w:rPr>
          <w:sz w:val="20"/>
          <w:szCs w:val="20"/>
        </w:rPr>
        <w:t>companies focused on molecular genetic testing services, such as specialty and reference laboratories that offer traditional single-gene and multi-gene tests, and established and emerging healthcare, information technology and service companies that may de</w:t>
      </w:r>
      <w:r>
        <w:rPr>
          <w:sz w:val="20"/>
          <w:szCs w:val="20"/>
        </w:rPr>
        <w:t>velop and sell competitive products or services, which may include informatics, analysis, integrated genetic tools and services for health and wellness.</w:t>
      </w:r>
    </w:p>
    <w:p w:rsidR="00000000" w:rsidRDefault="00406BD4">
      <w:pPr>
        <w:pStyle w:val="a3"/>
        <w:spacing w:before="240" w:beforeAutospacing="0" w:after="0" w:afterAutospacing="0"/>
        <w:ind w:firstLine="561"/>
        <w:rPr>
          <w:sz w:val="20"/>
          <w:szCs w:val="20"/>
        </w:rPr>
      </w:pPr>
      <w:r>
        <w:rPr>
          <w:sz w:val="20"/>
          <w:szCs w:val="20"/>
        </w:rPr>
        <w:t>Additionally, participants in closely related markets, such as prenatal testing and clinical trial or c</w:t>
      </w:r>
      <w:r>
        <w:rPr>
          <w:sz w:val="20"/>
          <w:szCs w:val="20"/>
        </w:rPr>
        <w:t>ompanion diagnostic testing, could converge on offerings that are competitive with the type of tests we perform. Instances where potential competitors are aligned with key suppliers or are themselves suppliers could provide these potential competitors with</w:t>
      </w:r>
      <w:r>
        <w:rPr>
          <w:sz w:val="20"/>
          <w:szCs w:val="20"/>
        </w:rPr>
        <w:t xml:space="preserve"> significant advantages. Further, hospitals, research institutions, individual physicians and other practitioners, governmental bodies, municipalities and corporations may also seek to perform testing, including rapid COVID-19 testing, at their own facilit</w:t>
      </w:r>
      <w:r>
        <w:rPr>
          <w:sz w:val="20"/>
          <w:szCs w:val="20"/>
        </w:rPr>
        <w:t>ies rather than use our services. In this regard, access to these on site or point-of-care testing solutions and the continued development of, and associated decreases in the cost of, equipment, reagents and other materials and databases and genetic data i</w:t>
      </w:r>
      <w:r>
        <w:rPr>
          <w:sz w:val="20"/>
          <w:szCs w:val="20"/>
        </w:rPr>
        <w:t>nterpretation services may enable broader direct participation in genetic testing and analysis and drive down the use of third-party testing companies such as ours. Moreover, the biotechnology and genetic testing fields continue to undergo significant cons</w:t>
      </w:r>
      <w:r>
        <w:rPr>
          <w:sz w:val="20"/>
          <w:szCs w:val="20"/>
        </w:rPr>
        <w:t>olidation, permitting larger clinical laboratory service providers to increase cost efficiencies and service levels, resulting in more intense competition.</w:t>
      </w:r>
    </w:p>
    <w:p w:rsidR="00000000" w:rsidRDefault="00406BD4">
      <w:pPr>
        <w:pStyle w:val="a3"/>
        <w:spacing w:before="240" w:beforeAutospacing="0" w:after="0" w:afterAutospacing="0"/>
        <w:ind w:firstLine="561"/>
        <w:rPr>
          <w:sz w:val="20"/>
          <w:szCs w:val="20"/>
        </w:rPr>
      </w:pPr>
      <w:r>
        <w:rPr>
          <w:sz w:val="20"/>
          <w:szCs w:val="20"/>
        </w:rPr>
        <w:t>Many of our existing and potential future competitors have longer operating histories, larger custom</w:t>
      </w:r>
      <w:r>
        <w:rPr>
          <w:sz w:val="20"/>
          <w:szCs w:val="20"/>
        </w:rPr>
        <w:t>er bases, more expansive brand recognition and deeper market penetration, substantially greater financial, technological and research and development resources and selling and marketing capabilities, and considerably more experience dealing with third-part</w:t>
      </w:r>
      <w:r>
        <w:rPr>
          <w:sz w:val="20"/>
          <w:szCs w:val="20"/>
        </w:rPr>
        <w:t>y payors. As a result, they may be able to respond more quickly to changes in customer requirements or preferences, develop faster, better and more expansive advancements for their technologies and tests, create and implement more successful strategies for</w:t>
      </w:r>
      <w:r>
        <w:rPr>
          <w:sz w:val="20"/>
          <w:szCs w:val="20"/>
        </w:rPr>
        <w:t xml:space="preserve"> the promotion and sale of their tests, obtain more favorable results from third-party payors regarding coverage and reimbursement for their offerings, adopt more aggressive pricing and/or price reduction policies for their tests, secure supplies from vend</w:t>
      </w:r>
      <w:r>
        <w:rPr>
          <w:sz w:val="20"/>
          <w:szCs w:val="20"/>
        </w:rPr>
        <w:t>ors on more favorable terms or devote substantially more resources to infrastructure and systems development. We may not be able to compete effectively against these organizations.</w:t>
      </w:r>
    </w:p>
    <w:p w:rsidR="00000000" w:rsidRDefault="00406BD4">
      <w:pPr>
        <w:pStyle w:val="a3"/>
        <w:spacing w:before="240" w:beforeAutospacing="0" w:after="0" w:afterAutospacing="0"/>
        <w:ind w:firstLine="561"/>
        <w:rPr>
          <w:sz w:val="20"/>
          <w:szCs w:val="20"/>
        </w:rPr>
      </w:pPr>
      <w:r>
        <w:rPr>
          <w:sz w:val="20"/>
          <w:szCs w:val="20"/>
        </w:rPr>
        <w:t>Additionally, increased competition and cost-saving initiatives on the part</w:t>
      </w:r>
      <w:r>
        <w:rPr>
          <w:sz w:val="20"/>
          <w:szCs w:val="20"/>
        </w:rPr>
        <w:t xml:space="preserve"> of government entities and other third-party payors could result in downward pressure on the price for our testing services and genetic analysis and interpretation generally, which could harm our revenue levels and sales volume and our ability to gain mar</w:t>
      </w:r>
      <w:r>
        <w:rPr>
          <w:sz w:val="20"/>
          <w:szCs w:val="20"/>
        </w:rPr>
        <w:t>ket share. This downward pricing pressure could intensify in future periods as adoption of genetic and COVID-19 testing becomes more widespread, and we may not be able to maintain acceptable margins on our sales if we are forced to reduce prices for our te</w:t>
      </w:r>
      <w:r>
        <w:rPr>
          <w:sz w:val="20"/>
          <w:szCs w:val="20"/>
        </w:rPr>
        <w:t>sts to try to remain competitive, especially if we are also experiencing increasing expenses as we make efforts to grow our business or otherwise meet customer demands. The occurrence of these risks could materially harm our ability to achieve or sustain p</w:t>
      </w:r>
      <w:r>
        <w:rPr>
          <w:sz w:val="20"/>
          <w:szCs w:val="20"/>
        </w:rPr>
        <w:t>rofitability. In addition, competitors may be acquired by, receive investments from or enter into other commercial relationships with larger, well-established and well-financed companies. Further, companies or governments that effectively control access to</w:t>
      </w:r>
      <w:r>
        <w:rPr>
          <w:sz w:val="20"/>
          <w:szCs w:val="20"/>
        </w:rPr>
        <w:t xml:space="preserve"> testing through umbrella contracts or regional preferences could promote our competitors or prevent us from performing certain tests in certain territories. If we are unable to compete successfully against current and future competitors for these or any o</w:t>
      </w:r>
      <w:r>
        <w:rPr>
          <w:sz w:val="20"/>
          <w:szCs w:val="20"/>
        </w:rPr>
        <w:t>ther reasons, we may be unable to increase market acceptance and sales volume of our tests, which could prevent us from maintaining or increasing our revenue levels or achieving or sustaining profitability or could otherwise negatively affect our performan</w:t>
      </w:r>
      <w:r>
        <w:rPr>
          <w:sz w:val="20"/>
          <w:szCs w:val="20"/>
        </w:rPr>
        <w:t>ce.</w:t>
      </w:r>
    </w:p>
    <w:p w:rsidR="00000000" w:rsidRDefault="00406BD4">
      <w:pPr>
        <w:pStyle w:val="a3"/>
        <w:spacing w:before="240" w:beforeAutospacing="0" w:after="0" w:afterAutospacing="0"/>
        <w:jc w:val="center"/>
        <w:rPr>
          <w:sz w:val="20"/>
          <w:szCs w:val="20"/>
        </w:rPr>
      </w:pPr>
      <w:r>
        <w:rPr>
          <w:sz w:val="20"/>
          <w:szCs w:val="20"/>
        </w:rPr>
        <w:t>34</w:t>
      </w:r>
    </w:p>
    <w:p w:rsidR="00000000" w:rsidRDefault="00406BD4">
      <w:pPr>
        <w:rPr>
          <w:rFonts w:eastAsia="Times New Roman"/>
        </w:rPr>
      </w:pPr>
      <w:r>
        <w:rPr>
          <w:rFonts w:eastAsia="Times New Roman"/>
        </w:rPr>
        <w:pict>
          <v:rect id="_x0000_i1060"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360" w:beforeAutospacing="0" w:after="0" w:afterAutospacing="0"/>
        <w:rPr>
          <w:b/>
          <w:bCs/>
          <w:sz w:val="20"/>
          <w:szCs w:val="20"/>
        </w:rPr>
      </w:pPr>
      <w:r>
        <w:rPr>
          <w:b/>
          <w:bCs/>
          <w:sz w:val="20"/>
          <w:szCs w:val="20"/>
        </w:rPr>
        <w:t>Our level of commercial success will depend in part on our ability</w:t>
      </w:r>
      <w:r>
        <w:rPr>
          <w:b/>
          <w:bCs/>
          <w:sz w:val="20"/>
          <w:szCs w:val="20"/>
        </w:rPr>
        <w:t xml:space="preserve"> to generate and grow sales with our sales and marketing team, strategies and partnerships, and we may be unsuccessful in these efforts.</w:t>
      </w:r>
    </w:p>
    <w:p w:rsidR="00000000" w:rsidRDefault="00406BD4">
      <w:pPr>
        <w:pStyle w:val="a3"/>
        <w:spacing w:before="120" w:beforeAutospacing="0" w:after="0" w:afterAutospacing="0"/>
        <w:ind w:firstLine="556"/>
        <w:rPr>
          <w:sz w:val="20"/>
          <w:szCs w:val="20"/>
        </w:rPr>
      </w:pPr>
      <w:r>
        <w:rPr>
          <w:sz w:val="20"/>
          <w:szCs w:val="20"/>
        </w:rPr>
        <w:t>We may not be able to market or sell our existing tests or any tests we may develop in the future in order to drive dem</w:t>
      </w:r>
      <w:r>
        <w:rPr>
          <w:sz w:val="20"/>
          <w:szCs w:val="20"/>
        </w:rPr>
        <w:t>and sufficiently to support our desired growth. We currently sell our tests through a small internal sales force and a number of contractors who serve as independent sales representatives. Although we have made efforts to enhance and improve our internal s</w:t>
      </w:r>
      <w:r>
        <w:rPr>
          <w:sz w:val="20"/>
          <w:szCs w:val="20"/>
        </w:rPr>
        <w:t>ales department, it remains significantly smaller than many of our competitors’ sales teams. We have historically relied significantly on organic growth and word-of-mouth among our customers to generate interest in our tests, but our ability to rely on thi</w:t>
      </w:r>
      <w:r>
        <w:rPr>
          <w:sz w:val="20"/>
          <w:szCs w:val="20"/>
        </w:rPr>
        <w:t>s type of interest in future periods is uncertain.</w:t>
      </w:r>
    </w:p>
    <w:p w:rsidR="00000000" w:rsidRDefault="00406BD4">
      <w:pPr>
        <w:pStyle w:val="a3"/>
        <w:spacing w:before="240" w:beforeAutospacing="0" w:after="0" w:afterAutospacing="0"/>
        <w:ind w:firstLine="556"/>
        <w:rPr>
          <w:sz w:val="20"/>
          <w:szCs w:val="20"/>
        </w:rPr>
      </w:pPr>
      <w:r>
        <w:rPr>
          <w:sz w:val="20"/>
          <w:szCs w:val="20"/>
        </w:rPr>
        <w:t>We believe our ability to maintain and grow sales volume in the future will depend in large part on our ability to further develop our sales team and create and implement effective sales and marketing stra</w:t>
      </w:r>
      <w:r>
        <w:rPr>
          <w:sz w:val="20"/>
          <w:szCs w:val="20"/>
        </w:rPr>
        <w:t>tegies. We have been focused on these objectives and have taken steps to pursue them in recent periods, including hiring new key members and restructuring the organization of our sales and marketing team, re-focusing our sales and marketing initiatives and</w:t>
      </w:r>
      <w:r>
        <w:rPr>
          <w:sz w:val="20"/>
          <w:szCs w:val="20"/>
        </w:rPr>
        <w:t xml:space="preserve"> strategies and increasing the overall scope of our marketing activities. These efforts have required and will continue to involve significant time and expense. Moreover, these efforts may be unsuccessful. For instance, we may not be able to attract and hi</w:t>
      </w:r>
      <w:r>
        <w:rPr>
          <w:sz w:val="20"/>
          <w:szCs w:val="20"/>
        </w:rPr>
        <w:t xml:space="preserve">re the qualified personnel we need to grow or otherwise improve our sales and marketing team as quickly or as successfully as we would like for various reasons, including intense competition in our industry for qualified personnel and our relative lack of </w:t>
      </w:r>
      <w:r>
        <w:rPr>
          <w:sz w:val="20"/>
          <w:szCs w:val="20"/>
        </w:rPr>
        <w:t>experience selling and marketing our tests. Even if we are able to further develop our sales and marketing team and strategy, we may not be successful in growing our customer base or increasing order volumes from our existing customers. Further, our relian</w:t>
      </w:r>
      <w:r>
        <w:rPr>
          <w:sz w:val="20"/>
          <w:szCs w:val="20"/>
        </w:rPr>
        <w:t>ce on independent sales representatives subjects us to risks, as we have very little control over their activities and they are generally free to market and sell other, potentially competing, products. As a result, these independent sales representatives c</w:t>
      </w:r>
      <w:r>
        <w:rPr>
          <w:sz w:val="20"/>
          <w:szCs w:val="20"/>
        </w:rPr>
        <w:t>ould devote insufficient time or resources to marketing and selling our tests, could market them in an ineffective manner or could otherwise be unsuccessful in selling adequate or expected quantities of our tests.</w:t>
      </w:r>
    </w:p>
    <w:p w:rsidR="00000000" w:rsidRDefault="00406BD4">
      <w:pPr>
        <w:pStyle w:val="a3"/>
        <w:spacing w:before="240" w:beforeAutospacing="0" w:after="0" w:afterAutospacing="0"/>
        <w:ind w:firstLine="556"/>
        <w:rPr>
          <w:sz w:val="20"/>
          <w:szCs w:val="20"/>
        </w:rPr>
      </w:pPr>
      <w:r>
        <w:rPr>
          <w:sz w:val="20"/>
          <w:szCs w:val="20"/>
        </w:rPr>
        <w:t xml:space="preserve">In addition, our future sales levels will </w:t>
      </w:r>
      <w:r>
        <w:rPr>
          <w:sz w:val="20"/>
          <w:szCs w:val="20"/>
        </w:rPr>
        <w:t>depend in large part on the effectiveness of our sales and marketing strategies, including our ability to expand our brand awareness by providing education about the benefits and full scale of our offering to the medical community in general and to our tar</w:t>
      </w:r>
      <w:r>
        <w:rPr>
          <w:sz w:val="20"/>
          <w:szCs w:val="20"/>
        </w:rPr>
        <w:t xml:space="preserve">geted geographic and customer markets. We also intend to continue to pursue targeted marketing initiatives, including working with medical professional societies to promote awareness of the benefits of our tests and genetic testing in general, pursuing or </w:t>
      </w:r>
      <w:r>
        <w:rPr>
          <w:sz w:val="20"/>
          <w:szCs w:val="20"/>
        </w:rPr>
        <w:t>supporting scientific studies of our tests and publication of results in medical or scientific journals and making presentations at medical, scientific or industry conferences and trade shows. We may not be successful in implementing these initiatives or o</w:t>
      </w:r>
      <w:r>
        <w:rPr>
          <w:sz w:val="20"/>
          <w:szCs w:val="20"/>
        </w:rPr>
        <w:t>ther marketing strategies we may develop and pursue. If we are not able to drive sufficient revenue using our sales and marketing strategies to support our planned growth, our business and results of operations would be negatively affected.</w:t>
      </w:r>
    </w:p>
    <w:p w:rsidR="00000000" w:rsidRDefault="00406BD4">
      <w:pPr>
        <w:pStyle w:val="a3"/>
        <w:spacing w:before="240" w:beforeAutospacing="0" w:after="0" w:afterAutospacing="0"/>
        <w:ind w:firstLine="556"/>
        <w:rPr>
          <w:sz w:val="20"/>
          <w:szCs w:val="20"/>
        </w:rPr>
      </w:pPr>
      <w:r>
        <w:rPr>
          <w:sz w:val="20"/>
          <w:szCs w:val="20"/>
        </w:rPr>
        <w:t>Our sales and m</w:t>
      </w:r>
      <w:r>
        <w:rPr>
          <w:sz w:val="20"/>
          <w:szCs w:val="20"/>
        </w:rPr>
        <w:t>arketing strategies also include a continued focus on growing our international sales and customer base, which we plan to pursue through our direct sales team, a number of independent contractor sales representatives, and, if opportunities arise, by engagi</w:t>
      </w:r>
      <w:r>
        <w:rPr>
          <w:sz w:val="20"/>
          <w:szCs w:val="20"/>
        </w:rPr>
        <w:t>ng distributors or establishing other types of arrangements, such as joint ventures or other relationships, to manage or assist with sales, logistics, education or customer support in certain territories. To this end, we have worked with Xi Long USA, Inc.,</w:t>
      </w:r>
      <w:r>
        <w:rPr>
          <w:sz w:val="20"/>
          <w:szCs w:val="20"/>
        </w:rPr>
        <w:t xml:space="preserve"> or Xi Long, to form a joint venture in the second quarter of 2017, which we refer to as FF Gene Biotech, to offer genetic testing to customers in the People’s Republic of China, or PRC. Although we believe this joint venture could result in expanded long-</w:t>
      </w:r>
      <w:r>
        <w:rPr>
          <w:sz w:val="20"/>
          <w:szCs w:val="20"/>
        </w:rPr>
        <w:t>term opportunities to address the genetic testing market in Asia, these expectations could turn out to be wrong and we may never realize the benefits we anticipate from this joint venture. While it may become necessary to identify, qualify and engage other</w:t>
      </w:r>
      <w:r>
        <w:rPr>
          <w:sz w:val="20"/>
          <w:szCs w:val="20"/>
        </w:rPr>
        <w:t xml:space="preserve"> commercial partners or distributors with local industry experience and knowledge in order to effectively market and sell our tests outside the United States, we have established some relationships to cover any non-U.S. territories including this joint ven</w:t>
      </w:r>
      <w:r>
        <w:rPr>
          <w:sz w:val="20"/>
          <w:szCs w:val="20"/>
        </w:rPr>
        <w:t>ture in the PRC and other distribution relationships. As a result, we may not be successful in finding, attracting and retaining qualified distributors or other commercial partners or we may not be able to enter into arrangements covering desired territori</w:t>
      </w:r>
      <w:r>
        <w:rPr>
          <w:sz w:val="20"/>
          <w:szCs w:val="20"/>
        </w:rPr>
        <w:t>es on favorable terms. In addition, sales practices utilized by distributors or other commercial partners that are locally acceptable may not comply with sales practices or standards required under U.S. laws that apply to us, which could subject us to addi</w:t>
      </w:r>
      <w:r>
        <w:rPr>
          <w:sz w:val="20"/>
          <w:szCs w:val="20"/>
        </w:rPr>
        <w:t>tional compliance risks. If our sales and marketing efforts outside the United States are not successful, we may not achieve significant acceptance for our tests in international markets, which could materially and adversely impact our business operations.</w:t>
      </w:r>
    </w:p>
    <w:p w:rsidR="00000000" w:rsidRDefault="00406BD4">
      <w:pPr>
        <w:pStyle w:val="a3"/>
        <w:spacing w:before="360" w:beforeAutospacing="0" w:after="0" w:afterAutospacing="0"/>
        <w:rPr>
          <w:b/>
          <w:bCs/>
          <w:sz w:val="20"/>
          <w:szCs w:val="20"/>
        </w:rPr>
      </w:pPr>
      <w:r>
        <w:rPr>
          <w:b/>
          <w:bCs/>
          <w:sz w:val="20"/>
          <w:szCs w:val="20"/>
        </w:rPr>
        <w:t>We will need to invest in and expand our infrastructure and hire additional skilled personnel in order to support our desired growth, and our failure to effectively manage any future growth could jeopardize our business.</w:t>
      </w:r>
    </w:p>
    <w:p w:rsidR="00000000" w:rsidRDefault="00406BD4">
      <w:pPr>
        <w:pStyle w:val="a3"/>
        <w:spacing w:before="120" w:beforeAutospacing="0" w:after="0" w:afterAutospacing="0"/>
        <w:ind w:firstLine="556"/>
        <w:rPr>
          <w:sz w:val="20"/>
          <w:szCs w:val="20"/>
        </w:rPr>
      </w:pPr>
      <w:r>
        <w:rPr>
          <w:sz w:val="20"/>
          <w:szCs w:val="20"/>
        </w:rPr>
        <w:t>To continue to increase the volume</w:t>
      </w:r>
      <w:r>
        <w:rPr>
          <w:sz w:val="20"/>
          <w:szCs w:val="20"/>
        </w:rPr>
        <w:t xml:space="preserve"> of tests we offer and deliver, we must make substantial investments in our infrastructure, including our testing capacity, laboratory capacity, information systems, enterprise software systems, customer service, billing and collections systems and process</w:t>
      </w:r>
      <w:r>
        <w:rPr>
          <w:sz w:val="20"/>
          <w:szCs w:val="20"/>
        </w:rPr>
        <w:t xml:space="preserve">es and internal quality assurance programs. We will also need to invest in our workforce by hiring additional skilled personnel, including biostatisticians, geneticists, software engineers, laboratory directors and specialists, sales and marketing experts </w:t>
      </w:r>
      <w:r>
        <w:rPr>
          <w:sz w:val="20"/>
          <w:szCs w:val="20"/>
        </w:rPr>
        <w:t xml:space="preserve">and other scientific, technical and managerial personnel to market, process, interpret and validate the quality of results of our genetic tests and otherwise manage our operations. For example, before we deliver a report for any of our tests, </w:t>
      </w:r>
    </w:p>
    <w:p w:rsidR="00000000" w:rsidRDefault="00406BD4">
      <w:pPr>
        <w:pStyle w:val="a3"/>
        <w:spacing w:before="240" w:beforeAutospacing="0" w:after="0" w:afterAutospacing="0"/>
        <w:jc w:val="center"/>
        <w:rPr>
          <w:sz w:val="20"/>
          <w:szCs w:val="20"/>
        </w:rPr>
      </w:pPr>
      <w:r>
        <w:rPr>
          <w:sz w:val="20"/>
          <w:szCs w:val="20"/>
        </w:rPr>
        <w:t>35</w:t>
      </w:r>
    </w:p>
    <w:p w:rsidR="00000000" w:rsidRDefault="00406BD4">
      <w:pPr>
        <w:rPr>
          <w:rFonts w:eastAsia="Times New Roman"/>
        </w:rPr>
      </w:pPr>
      <w:r>
        <w:rPr>
          <w:rFonts w:eastAsia="Times New Roman"/>
        </w:rPr>
        <w:pict>
          <v:rect id="_x0000_i1061"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120" w:beforeAutospacing="0" w:after="0" w:afterAutospacing="0"/>
        <w:rPr>
          <w:sz w:val="20"/>
          <w:szCs w:val="20"/>
        </w:rPr>
      </w:pPr>
      <w:r>
        <w:rPr>
          <w:sz w:val="20"/>
          <w:szCs w:val="20"/>
        </w:rPr>
        <w:t>including our COVID-19 tests, the results summarized in the report must be reviewe</w:t>
      </w:r>
      <w:r>
        <w:rPr>
          <w:sz w:val="20"/>
          <w:szCs w:val="20"/>
        </w:rPr>
        <w:t xml:space="preserve">d and approved by a licensed and qualified laboratory director. We currently have four laboratory directors with all of the required licenses, including Dr. Han Lin Gao. We may need to hire additional licensed laboratory directors in the future to further </w:t>
      </w:r>
      <w:r>
        <w:rPr>
          <w:sz w:val="20"/>
          <w:szCs w:val="20"/>
        </w:rPr>
        <w:t>scale our business. If we fail to hire additional qualified personnel when needed or otherwise develop our infrastructure sufficiently in advance of demand or if we fail to generate demand commensurate with our level of investment in our infrastructure, ou</w:t>
      </w:r>
      <w:r>
        <w:rPr>
          <w:sz w:val="20"/>
          <w:szCs w:val="20"/>
        </w:rPr>
        <w:t>r business, prospects, financial condition and results of operations could be adversely affected. We are expanding our existing laboratory space, and we may acquire new laboratory space, which would involve significant costs and attention from our manageme</w:t>
      </w:r>
      <w:r>
        <w:rPr>
          <w:sz w:val="20"/>
          <w:szCs w:val="20"/>
        </w:rPr>
        <w:t xml:space="preserve">nt. </w:t>
      </w:r>
    </w:p>
    <w:p w:rsidR="00000000" w:rsidRDefault="00406BD4">
      <w:pPr>
        <w:pStyle w:val="a3"/>
        <w:spacing w:before="240" w:beforeAutospacing="0" w:after="0" w:afterAutospacing="0"/>
        <w:ind w:firstLine="556"/>
        <w:rPr>
          <w:sz w:val="20"/>
          <w:szCs w:val="20"/>
        </w:rPr>
      </w:pPr>
      <w:r>
        <w:rPr>
          <w:sz w:val="20"/>
          <w:szCs w:val="20"/>
        </w:rPr>
        <w:t>The time and resources required to implement new systems, to add and train new skilled personnel and to expand or acquire new laboratory space as needed are uncertain. Any future growth we may experience could create a strain on our organizational, ad</w:t>
      </w:r>
      <w:r>
        <w:rPr>
          <w:sz w:val="20"/>
          <w:szCs w:val="20"/>
        </w:rPr>
        <w:t>ministrative and operational infrastructure, including laboratory operations, quality control, customer service, sales and marketing and management. We may not be able to maintain the quality of or expected turnaround times for our tests or satisfy custome</w:t>
      </w:r>
      <w:r>
        <w:rPr>
          <w:sz w:val="20"/>
          <w:szCs w:val="20"/>
        </w:rPr>
        <w:t>r demand if and when it grows. Our ability to effectively manage any growth we experience will also require us to continue to improve our laboratory and other operational, financial and management systems and controls and our reporting processes and proced</w:t>
      </w:r>
      <w:r>
        <w:rPr>
          <w:sz w:val="20"/>
          <w:szCs w:val="20"/>
        </w:rPr>
        <w:t>ures, which may involve significant time and costs and which we may not be able to do successfully.</w:t>
      </w:r>
    </w:p>
    <w:p w:rsidR="00000000" w:rsidRDefault="00406BD4">
      <w:pPr>
        <w:pStyle w:val="a3"/>
        <w:spacing w:before="360" w:beforeAutospacing="0" w:after="0" w:afterAutospacing="0"/>
        <w:rPr>
          <w:b/>
          <w:bCs/>
          <w:sz w:val="20"/>
          <w:szCs w:val="20"/>
        </w:rPr>
      </w:pPr>
      <w:r>
        <w:rPr>
          <w:b/>
          <w:bCs/>
          <w:sz w:val="20"/>
          <w:szCs w:val="20"/>
        </w:rPr>
        <w:t>Our ability to achieve or sustain profitability depends on our collection of payment for the tests we deliver, which we may not be able to do successfully.</w:t>
      </w:r>
    </w:p>
    <w:p w:rsidR="00000000" w:rsidRDefault="00406BD4">
      <w:pPr>
        <w:pStyle w:val="a3"/>
        <w:spacing w:before="120" w:beforeAutospacing="0" w:after="0" w:afterAutospacing="0"/>
        <w:ind w:firstLine="556"/>
        <w:rPr>
          <w:sz w:val="20"/>
          <w:szCs w:val="20"/>
        </w:rPr>
      </w:pPr>
      <w:bookmarkStart w:id="50" w:name="_Hlk46261083"/>
      <w:r>
        <w:rPr>
          <w:sz w:val="20"/>
          <w:szCs w:val="20"/>
        </w:rPr>
        <w:t>Since starting our genetic testing business, we have historically been focused primarily on providin</w:t>
      </w:r>
      <w:r>
        <w:rPr>
          <w:sz w:val="20"/>
          <w:szCs w:val="20"/>
        </w:rPr>
        <w:t xml:space="preserve">g our tests to hospitals, medical institutions and other laboratories, our traditional genetic testing customer base. These customers typically pay for the cost of our tests using funds reimbursed in connection with a patient’s diagnosis related group, or </w:t>
      </w:r>
      <w:r>
        <w:rPr>
          <w:sz w:val="20"/>
          <w:szCs w:val="20"/>
        </w:rPr>
        <w:t>DRG. Our cus</w:t>
      </w:r>
      <w:bookmarkEnd w:id="50"/>
      <w:r>
        <w:rPr>
          <w:sz w:val="20"/>
          <w:szCs w:val="20"/>
        </w:rPr>
        <w:t>tomer base for our COVID-19 tests is principally comprised of governmental bodies, municipalities, and large corporations, who pay us directly, or through third-party payors, for our COVID-19 tests. In March 2020, the Coronavirus Aid, Relief, a</w:t>
      </w:r>
      <w:r>
        <w:rPr>
          <w:sz w:val="20"/>
          <w:szCs w:val="20"/>
        </w:rPr>
        <w:t>nd Economic Security Act, or the CARES Act, was effected providing reimbursement to healthcare providers for the COVID-19 testing of uninsured individuals subject to continued available funding. In recent months, this reimbursement has accounted for a sign</w:t>
      </w:r>
      <w:r>
        <w:rPr>
          <w:sz w:val="20"/>
          <w:szCs w:val="20"/>
        </w:rPr>
        <w:t>ificant portion of our revenue. Should reimbursement under the CARES Act cease to be available for any reason, our ability to collect payment would be adversely affected. Further, healthcare policy changes that influence the way healthcare is financed or o</w:t>
      </w:r>
      <w:r>
        <w:rPr>
          <w:sz w:val="20"/>
          <w:szCs w:val="20"/>
        </w:rPr>
        <w:t>ther changes in the market that impact payment rates by institutional or non-institutional customers could also affect our collection rates. In addition, because reimbursement under a DRG is typically provided at a fixed amount intended to cover all servic</w:t>
      </w:r>
      <w:r>
        <w:rPr>
          <w:sz w:val="20"/>
          <w:szCs w:val="20"/>
        </w:rPr>
        <w:t>es provided to the patient, the cost of our tests provided to hospitals, medical institutions and laboratories may be viewed to limit the profitability of the billing institution. If we are unable to convince hospitals, medical institutions and other labor</w:t>
      </w:r>
      <w:r>
        <w:rPr>
          <w:sz w:val="20"/>
          <w:szCs w:val="20"/>
        </w:rPr>
        <w:t xml:space="preserve">atories of the value and benefit provided by our tests, or if the amount reimbursed under these DRG codes is decreased, these customers may slow, or stop altogether, their purchases of our tests. Moreover, our ability to collect payment for our tests in a </w:t>
      </w:r>
      <w:r>
        <w:rPr>
          <w:sz w:val="20"/>
          <w:szCs w:val="20"/>
        </w:rPr>
        <w:t>timely manner or at all from our healthcare provider customers may decline to the extent we expand our business into new healthcare provider customer groups, including individual physicians and other practitioners, from which collection rates are often sig</w:t>
      </w:r>
      <w:r>
        <w:rPr>
          <w:sz w:val="20"/>
          <w:szCs w:val="20"/>
        </w:rPr>
        <w:t>nificantly lower than hospitals, medical institutions and other laboratories and which involve substantial additional risks that are discussed in these risk factors below. Our collection risks also include the potential for default or bankruptcy by the par</w:t>
      </w:r>
      <w:r>
        <w:rPr>
          <w:sz w:val="20"/>
          <w:szCs w:val="20"/>
        </w:rPr>
        <w:t>ty responsible for payment and other risks associated with payment collection generally. Any inability to maintain our past payment collection levels could cause our revenue and ability to achieve profitability to decline and adversely affect our business,</w:t>
      </w:r>
      <w:r>
        <w:rPr>
          <w:sz w:val="20"/>
          <w:szCs w:val="20"/>
        </w:rPr>
        <w:t xml:space="preserve"> prospects and financial condition.</w:t>
      </w:r>
    </w:p>
    <w:p w:rsidR="00000000" w:rsidRDefault="00406BD4">
      <w:pPr>
        <w:pStyle w:val="a3"/>
        <w:spacing w:before="360" w:beforeAutospacing="0" w:after="0" w:afterAutospacing="0"/>
        <w:rPr>
          <w:b/>
          <w:bCs/>
          <w:sz w:val="20"/>
          <w:szCs w:val="20"/>
        </w:rPr>
      </w:pPr>
      <w:r>
        <w:rPr>
          <w:b/>
          <w:bCs/>
          <w:sz w:val="20"/>
          <w:szCs w:val="20"/>
        </w:rPr>
        <w:t>If third-party payors do not provide coverage and adequate reimbursement for our tests, our potential for growth could be limited.</w:t>
      </w:r>
    </w:p>
    <w:p w:rsidR="00000000" w:rsidRDefault="00406BD4">
      <w:pPr>
        <w:pStyle w:val="a3"/>
        <w:spacing w:before="120" w:beforeAutospacing="0" w:after="0" w:afterAutospacing="0"/>
        <w:ind w:firstLine="556"/>
        <w:rPr>
          <w:sz w:val="20"/>
          <w:szCs w:val="20"/>
        </w:rPr>
      </w:pPr>
      <w:r>
        <w:rPr>
          <w:sz w:val="20"/>
          <w:szCs w:val="20"/>
        </w:rPr>
        <w:t>Coverage and reimbursement by third-party payors, including managed care organizations, p</w:t>
      </w:r>
      <w:r>
        <w:rPr>
          <w:sz w:val="20"/>
          <w:szCs w:val="20"/>
        </w:rPr>
        <w:t>rivate health insurers and government healthcare programs, such as Medicare and Medicaid, for the types of genetic tests we perform can be limited and uncertain. Although our existing customer base consists primarily of hospitals, medical institutions, mun</w:t>
      </w:r>
      <w:r>
        <w:rPr>
          <w:sz w:val="20"/>
          <w:szCs w:val="20"/>
        </w:rPr>
        <w:t>icipalities, governmental bodies, large corporations and other laboratories, from which we typically receive direct payment for ordered tests, including our COVID-19 tests, we believe our potential for future growth is dependent on our ability to attract n</w:t>
      </w:r>
      <w:r>
        <w:rPr>
          <w:sz w:val="20"/>
          <w:szCs w:val="20"/>
        </w:rPr>
        <w:t>ew customer groups, including individual physicians and other practitioners. Our healthcare provider customers and laboratories may not order our tests unless third-party payors cover and provide adequate reimbursement for a substantial portion of the pric</w:t>
      </w:r>
      <w:r>
        <w:rPr>
          <w:sz w:val="20"/>
          <w:szCs w:val="20"/>
        </w:rPr>
        <w:t>e of the tests. If we are not able to obtain coverage and an acceptable level of reimbursement for our tests from third-party payors, there would typically be a greater co-insurance or co-payment requirement from the patient for whom the test is ordered or</w:t>
      </w:r>
      <w:r>
        <w:rPr>
          <w:sz w:val="20"/>
          <w:szCs w:val="20"/>
        </w:rPr>
        <w:t xml:space="preserve"> the patient may be forced to pay the entire cost of the test out-of-pocket, which could dissuade practitioners from ordering our tests and, if ordered, could result in a delay in or decreased likelihood of collecting payment, whether from patients or from</w:t>
      </w:r>
      <w:r>
        <w:rPr>
          <w:sz w:val="20"/>
          <w:szCs w:val="20"/>
        </w:rPr>
        <w:t xml:space="preserve"> third-party payors. We believe our ability to increase the number of tests we sell to our healthcare provider customers and any corresponding revenue will depend in part on our ability to achieve broad coverage and reimbursement for our tests from third-p</w:t>
      </w:r>
      <w:r>
        <w:rPr>
          <w:sz w:val="20"/>
          <w:szCs w:val="20"/>
        </w:rPr>
        <w:t>arty payors.</w:t>
      </w:r>
    </w:p>
    <w:p w:rsidR="00000000" w:rsidRDefault="00406BD4">
      <w:pPr>
        <w:pStyle w:val="a3"/>
        <w:spacing w:before="240" w:beforeAutospacing="0" w:after="0" w:afterAutospacing="0"/>
        <w:jc w:val="center"/>
        <w:rPr>
          <w:sz w:val="20"/>
          <w:szCs w:val="20"/>
        </w:rPr>
      </w:pPr>
      <w:r>
        <w:rPr>
          <w:sz w:val="20"/>
          <w:szCs w:val="20"/>
        </w:rPr>
        <w:t>36</w:t>
      </w:r>
    </w:p>
    <w:p w:rsidR="00000000" w:rsidRDefault="00406BD4">
      <w:pPr>
        <w:rPr>
          <w:rFonts w:eastAsia="Times New Roman"/>
        </w:rPr>
      </w:pPr>
      <w:r>
        <w:rPr>
          <w:rFonts w:eastAsia="Times New Roman"/>
        </w:rPr>
        <w:pict>
          <v:rect id="_x0000_i1062"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240" w:beforeAutospacing="0" w:after="0" w:afterAutospacing="0"/>
        <w:ind w:firstLine="556"/>
        <w:rPr>
          <w:sz w:val="20"/>
          <w:szCs w:val="20"/>
        </w:rPr>
      </w:pPr>
      <w:r>
        <w:rPr>
          <w:sz w:val="20"/>
          <w:szCs w:val="20"/>
        </w:rPr>
        <w:t>Coverage and reimbursement by a third-party payor may depend on a number of factors, including a payor’s determination that a test is appropriate, medically necessary and cost-effect</w:t>
      </w:r>
      <w:r>
        <w:rPr>
          <w:sz w:val="20"/>
          <w:szCs w:val="20"/>
        </w:rPr>
        <w:t>ive. Each payor makes its own decision as to whether to establish a policy or enter into a contract to cover our tests and the amount it will reimburse for each test, and any determination by a payor regarding coverage and amount of reimbursement for our t</w:t>
      </w:r>
      <w:r>
        <w:rPr>
          <w:sz w:val="20"/>
          <w:szCs w:val="20"/>
        </w:rPr>
        <w:t>ests would likely be made on an indication-by-indication basis. Even if a test has been approved for reimbursement for any particular indication or in any particular jurisdiction, there is no guarantee this test will remain approved for reimbursement or th</w:t>
      </w:r>
      <w:r>
        <w:rPr>
          <w:sz w:val="20"/>
          <w:szCs w:val="20"/>
        </w:rPr>
        <w:t>at any similar or additional tests will be approved for reimbursement in the future. Moreover, there can be no assurance that any new tests we launch will be reimbursed or reimbursed at rates comparable to the rates of any previously reimbursed tests if re</w:t>
      </w:r>
      <w:r>
        <w:rPr>
          <w:sz w:val="20"/>
          <w:szCs w:val="20"/>
        </w:rPr>
        <w:t>imbursement is available at all. In addition, the coding procedure used by all third-party payors with respect to establishing payment rates for various procedures, including our tests, is complex, does not currently adapt well to the genetic tests we perf</w:t>
      </w:r>
      <w:r>
        <w:rPr>
          <w:sz w:val="20"/>
          <w:szCs w:val="20"/>
        </w:rPr>
        <w:t>orm and may not enable coverage and adequate reimbursement rates for our tests. If physicians fail to provide appropriate codes for desired tests, we may not be reimbursed for our tests. Additionally, if we are not able to obtain sufficient clinical inform</w:t>
      </w:r>
      <w:r>
        <w:rPr>
          <w:sz w:val="20"/>
          <w:szCs w:val="20"/>
        </w:rPr>
        <w:t>ation in support of our tests, third-party payors could designate our tests as experimental or investigational and decline to cover and reimburse our tests because of this designation. As a result of these factors, obtaining approvals from third-party payo</w:t>
      </w:r>
      <w:r>
        <w:rPr>
          <w:sz w:val="20"/>
          <w:szCs w:val="20"/>
        </w:rPr>
        <w:t>rs to cover our tests and establishing adequate reimbursement levels is an unpredictable, challenging, time-consuming and costly process, and we may never be successful.</w:t>
      </w:r>
    </w:p>
    <w:p w:rsidR="00000000" w:rsidRDefault="00406BD4">
      <w:pPr>
        <w:pStyle w:val="a3"/>
        <w:spacing w:before="240" w:beforeAutospacing="0" w:after="0" w:afterAutospacing="0"/>
        <w:ind w:firstLine="556"/>
        <w:rPr>
          <w:sz w:val="20"/>
          <w:szCs w:val="20"/>
        </w:rPr>
      </w:pPr>
      <w:r>
        <w:rPr>
          <w:sz w:val="20"/>
          <w:szCs w:val="20"/>
        </w:rPr>
        <w:t>To date, we have contracted directly with national health insurance companies to becom</w:t>
      </w:r>
      <w:r>
        <w:rPr>
          <w:sz w:val="20"/>
          <w:szCs w:val="20"/>
        </w:rPr>
        <w:t>e an in-network provider and enrolled as a supplier in the Medicare program and some state Medicaid programs, and we have also received payment for our tests from other third-party payors as an out-of-network provider. Although becoming an in-network provi</w:t>
      </w:r>
      <w:r>
        <w:rPr>
          <w:sz w:val="20"/>
          <w:szCs w:val="20"/>
        </w:rPr>
        <w:t>der or enrolling as a supplier means that we have agreed with these payors to provide certain of our tests at negotiated rates, it does not obligate any physicians or other practitioners to order our tests or guarantee that we will receive reimbursement fo</w:t>
      </w:r>
      <w:r>
        <w:rPr>
          <w:sz w:val="20"/>
          <w:szCs w:val="20"/>
        </w:rPr>
        <w:t>r our tests from these or any other payors at adequate levels. As a result, these payor relationships, any other similar relationships we may establish in the future, or any additional payments we may receive from other payors as an out-of-network provider</w:t>
      </w:r>
      <w:r>
        <w:rPr>
          <w:sz w:val="20"/>
          <w:szCs w:val="20"/>
        </w:rPr>
        <w:t>, may not amount to acceptable levels of reimbursement for our tests or meaningful or any increases in our physician customer base or the number of billable tests we sell to physicians. We expect to focus on increasing coverage and reimbursement for our cu</w:t>
      </w:r>
      <w:r>
        <w:rPr>
          <w:sz w:val="20"/>
          <w:szCs w:val="20"/>
        </w:rPr>
        <w:t>rrent tests and any future tests we may develop, but we cannot predict whether, under what circumstances, or at what payment levels payors will cover and reimburse us for our tests. Further, even if we are successful, we believe it could take several years</w:t>
      </w:r>
      <w:r>
        <w:rPr>
          <w:sz w:val="20"/>
          <w:szCs w:val="20"/>
        </w:rPr>
        <w:t xml:space="preserve"> to achieve coverage and adequate contracted reimbursement with third-party payors. If we fail to establish and maintain broad coverage and reimbursement for our tests, our ability to maintain or grow our test volume, customer base, collectability rates an</w:t>
      </w:r>
      <w:r>
        <w:rPr>
          <w:sz w:val="20"/>
          <w:szCs w:val="20"/>
        </w:rPr>
        <w:t>d revenue levels could be limited and our future prospects and our business could suffer.</w: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160" w:beforeAutospacing="0" w:after="0" w:afterAutospacing="0"/>
        <w:rPr>
          <w:b/>
          <w:bCs/>
          <w:sz w:val="20"/>
          <w:szCs w:val="20"/>
        </w:rPr>
      </w:pPr>
      <w:r>
        <w:rPr>
          <w:b/>
          <w:bCs/>
          <w:sz w:val="20"/>
          <w:szCs w:val="20"/>
        </w:rPr>
        <w:t>Failure to comply with government laws and regulations related to submission of claims for our services could result in significant monetary damages and penalties a</w:t>
      </w:r>
      <w:r>
        <w:rPr>
          <w:b/>
          <w:bCs/>
          <w:sz w:val="20"/>
          <w:szCs w:val="20"/>
        </w:rPr>
        <w:t xml:space="preserve">nd exclusion from the Medicare and Medicaid programs and corresponding foreign reimbursement programs. </w:t>
      </w:r>
    </w:p>
    <w:p w:rsidR="00000000" w:rsidRDefault="00406BD4">
      <w:pPr>
        <w:pStyle w:val="a3"/>
        <w:spacing w:before="120" w:beforeAutospacing="0" w:after="0" w:afterAutospacing="0"/>
        <w:ind w:firstLine="556"/>
        <w:rPr>
          <w:sz w:val="20"/>
          <w:szCs w:val="20"/>
        </w:rPr>
      </w:pPr>
      <w:r>
        <w:rPr>
          <w:sz w:val="20"/>
          <w:szCs w:val="20"/>
        </w:rPr>
        <w:t>We are subject to laws and regulations governing the submission of claims for payment for our services, such as those relating to: coverage of our servi</w:t>
      </w:r>
      <w:r>
        <w:rPr>
          <w:sz w:val="20"/>
          <w:szCs w:val="20"/>
        </w:rPr>
        <w:t xml:space="preserve">ces under Medicare, Medicaid and other state, federal and foreign health care programs; the amounts that we may bill for our services; and the party to which we must submit claims. Our failure to comply with applicable laws and regulations could result in </w:t>
      </w:r>
      <w:r>
        <w:rPr>
          <w:sz w:val="20"/>
          <w:szCs w:val="20"/>
        </w:rPr>
        <w:t>our inability to receive payment for our services or in attempts by state and federal healthcare programs, such as Medicare and Medicaid, to recover payments already made. Submission of claims in violation of these laws and regulations can result in recoup</w:t>
      </w:r>
      <w:r>
        <w:rPr>
          <w:sz w:val="20"/>
          <w:szCs w:val="20"/>
        </w:rPr>
        <w:t>ment of payments already received, substantial civil monetary penalties, and exclusion from state and federal health care programs, and can subject us to liability under the federal False Claims Act and similar laws. The failure to report and return an ove</w:t>
      </w:r>
      <w:r>
        <w:rPr>
          <w:sz w:val="20"/>
          <w:szCs w:val="20"/>
        </w:rPr>
        <w:t>rpayment to the Medicare or Medicaid program within 60 days of identifying its existence can give rise to liability under the False Claims Act. Further, a government agency could attempt to hold us liable for causing the improper submission of claims by an</w:t>
      </w:r>
      <w:r>
        <w:rPr>
          <w:sz w:val="20"/>
          <w:szCs w:val="20"/>
        </w:rPr>
        <w:t>other entity for services that we performed if we were found to have knowingly participated in the arrangement at issue.</w:t>
      </w:r>
    </w:p>
    <w:p w:rsidR="00000000" w:rsidRDefault="00406BD4">
      <w:pPr>
        <w:pStyle w:val="a3"/>
        <w:spacing w:before="160" w:beforeAutospacing="0" w:after="0" w:afterAutospacing="0"/>
        <w:rPr>
          <w:sz w:val="20"/>
          <w:szCs w:val="20"/>
        </w:rPr>
      </w:pPr>
      <w:r>
        <w:rPr>
          <w:sz w:val="20"/>
          <w:szCs w:val="20"/>
        </w:rPr>
        <w:t> </w:t>
      </w:r>
    </w:p>
    <w:p w:rsidR="00000000" w:rsidRDefault="00406BD4">
      <w:pPr>
        <w:pStyle w:val="a3"/>
        <w:spacing w:before="0" w:beforeAutospacing="0" w:after="0" w:afterAutospacing="0"/>
        <w:rPr>
          <w:b/>
          <w:bCs/>
          <w:sz w:val="20"/>
          <w:szCs w:val="20"/>
        </w:rPr>
      </w:pPr>
      <w:r>
        <w:rPr>
          <w:b/>
          <w:bCs/>
          <w:sz w:val="20"/>
          <w:szCs w:val="20"/>
        </w:rPr>
        <w:t>We may not be successful in developing and marketing new tests, which could negatively impact our performance and prospects.</w:t>
      </w:r>
    </w:p>
    <w:p w:rsidR="00000000" w:rsidRDefault="00406BD4">
      <w:pPr>
        <w:pStyle w:val="a3"/>
        <w:spacing w:before="120" w:beforeAutospacing="0" w:after="0" w:afterAutospacing="0"/>
        <w:ind w:firstLine="556"/>
        <w:rPr>
          <w:sz w:val="20"/>
          <w:szCs w:val="20"/>
        </w:rPr>
      </w:pPr>
      <w:r>
        <w:rPr>
          <w:sz w:val="20"/>
          <w:szCs w:val="20"/>
        </w:rPr>
        <w:t>We belie</w:t>
      </w:r>
      <w:r>
        <w:rPr>
          <w:sz w:val="20"/>
          <w:szCs w:val="20"/>
        </w:rPr>
        <w:t>ve our future success will depend in part on our ability to continue to expand our test offerings and develop and sell new tests. We may not be successful in launching or marketing any new tests we may develop, including our recently launched COVID</w:t>
      </w:r>
      <w:r>
        <w:rPr>
          <w:sz w:val="20"/>
          <w:szCs w:val="20"/>
        </w:rPr>
        <w:noBreakHyphen/>
        <w:t>19 test</w:t>
      </w:r>
      <w:r>
        <w:rPr>
          <w:sz w:val="20"/>
          <w:szCs w:val="20"/>
        </w:rPr>
        <w:t>ing and Picture Genetics offerings, and, even if we are successful, the demand for our other tests could decrease or may not continue to increase at historical rates due to sales of the new tests. Our pipeline of new tests is in various stages of developme</w:t>
      </w:r>
      <w:r>
        <w:rPr>
          <w:sz w:val="20"/>
          <w:szCs w:val="20"/>
        </w:rPr>
        <w:t>nt and will be time-consuming and costly to fully develop and introduce, as development and marketing of new tests requires us to conduct research and development activities regarding the new tests and to further scale our laboratory processes and infrastr</w:t>
      </w:r>
      <w:r>
        <w:rPr>
          <w:sz w:val="20"/>
          <w:szCs w:val="20"/>
        </w:rPr>
        <w:t>ucture to be able to analyze increasing amounts of more diverse data. Further, we may be unable to discover or develop and launch new tests for a variety of reasons, including failure of any proposed test to perform as expected, lack of validation or refer</w:t>
      </w:r>
      <w:r>
        <w:rPr>
          <w:sz w:val="20"/>
          <w:szCs w:val="20"/>
        </w:rPr>
        <w:t>ence data for the test or failure to demonstrate the utility of the test. Further, any new test we are able to discover and develop may not be launched in a timely manner, meet applicable regulatory standards, successfully compete with other technologies a</w:t>
      </w:r>
      <w:r>
        <w:rPr>
          <w:sz w:val="20"/>
          <w:szCs w:val="20"/>
        </w:rPr>
        <w:t>nd available tests, avoid infringing the proprietary rights of others, achieve coverage and adequate reimbursement from third-party payors, be capable of performance at commercial levels and at reasonable costs, be successfully marketed or achieve sufficie</w:t>
      </w:r>
      <w:r>
        <w:rPr>
          <w:sz w:val="20"/>
          <w:szCs w:val="20"/>
        </w:rPr>
        <w:t>nt market acceptance for us to recoup our time and capital investment in the development of the test. Any failure to successfully develop, market and sell new tests could negatively impact our ability to attract and retain customers and our revenue and pro</w:t>
      </w:r>
      <w:r>
        <w:rPr>
          <w:sz w:val="20"/>
          <w:szCs w:val="20"/>
        </w:rPr>
        <w:t>spects.</w:t>
      </w:r>
    </w:p>
    <w:p w:rsidR="00000000" w:rsidRDefault="00406BD4">
      <w:pPr>
        <w:pStyle w:val="a3"/>
        <w:spacing w:before="240" w:beforeAutospacing="0" w:after="0" w:afterAutospacing="0"/>
        <w:jc w:val="center"/>
        <w:rPr>
          <w:sz w:val="20"/>
          <w:szCs w:val="20"/>
        </w:rPr>
      </w:pPr>
      <w:r>
        <w:rPr>
          <w:sz w:val="20"/>
          <w:szCs w:val="20"/>
        </w:rPr>
        <w:t>37</w:t>
      </w:r>
    </w:p>
    <w:p w:rsidR="00000000" w:rsidRDefault="00406BD4">
      <w:pPr>
        <w:rPr>
          <w:rFonts w:eastAsia="Times New Roman"/>
        </w:rPr>
      </w:pPr>
      <w:r>
        <w:rPr>
          <w:rFonts w:eastAsia="Times New Roman"/>
        </w:rPr>
        <w:pict>
          <v:rect id="_x0000_i1063"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360" w:beforeAutospacing="0" w:after="0" w:afterAutospacing="0"/>
        <w:rPr>
          <w:b/>
          <w:bCs/>
          <w:sz w:val="20"/>
          <w:szCs w:val="20"/>
        </w:rPr>
      </w:pPr>
      <w:r>
        <w:rPr>
          <w:b/>
          <w:bCs/>
          <w:sz w:val="20"/>
          <w:szCs w:val="20"/>
        </w:rPr>
        <w:t xml:space="preserve">We are exposed to additional business, regulatory, political, </w:t>
      </w:r>
      <w:r>
        <w:rPr>
          <w:b/>
          <w:bCs/>
          <w:sz w:val="20"/>
          <w:szCs w:val="20"/>
        </w:rPr>
        <w:t>operational, financial and economic risks related to our international operations.</w:t>
      </w:r>
    </w:p>
    <w:p w:rsidR="00000000" w:rsidRDefault="00406BD4">
      <w:pPr>
        <w:pStyle w:val="a3"/>
        <w:spacing w:before="120" w:beforeAutospacing="0" w:after="0" w:afterAutospacing="0"/>
        <w:ind w:firstLine="556"/>
        <w:rPr>
          <w:sz w:val="20"/>
          <w:szCs w:val="20"/>
        </w:rPr>
      </w:pPr>
      <w:r>
        <w:rPr>
          <w:sz w:val="20"/>
          <w:szCs w:val="20"/>
        </w:rPr>
        <w:t>Our existing customer base includes international customers from a variety of geographic markets. In addition, we have established FF Gene Biotech to offer genetic testing t</w:t>
      </w:r>
      <w:r>
        <w:rPr>
          <w:sz w:val="20"/>
          <w:szCs w:val="20"/>
        </w:rPr>
        <w:t>o customers in the PRC. As part of our strategy, we aim to increase our volume of direct sales to international customers in a variety of markets by conducting targeted marketing outreach activities and, if opportunities arise, engaging distributors or est</w:t>
      </w:r>
      <w:r>
        <w:rPr>
          <w:sz w:val="20"/>
          <w:szCs w:val="20"/>
        </w:rPr>
        <w:t>ablishing other types of arrangements, such as joint ventures or other relationships. However, we may never be successful in achieving these objectives, and even if we are successful, these strategies may not result in meaningful or any increases in our cu</w:t>
      </w:r>
      <w:r>
        <w:rPr>
          <w:sz w:val="20"/>
          <w:szCs w:val="20"/>
        </w:rPr>
        <w:t>stomer base, test volumes or revenue.</w:t>
      </w:r>
    </w:p>
    <w:p w:rsidR="00000000" w:rsidRDefault="00406BD4">
      <w:pPr>
        <w:pStyle w:val="a3"/>
        <w:spacing w:before="240" w:beforeAutospacing="0" w:after="0" w:afterAutospacing="0"/>
        <w:ind w:firstLine="556"/>
        <w:rPr>
          <w:sz w:val="20"/>
          <w:szCs w:val="20"/>
        </w:rPr>
      </w:pPr>
      <w:r>
        <w:rPr>
          <w:sz w:val="20"/>
          <w:szCs w:val="20"/>
        </w:rPr>
        <w:t>Doing business internationally involves a number of risks, including, among others:</w:t>
      </w:r>
    </w:p>
    <w:p w:rsidR="00000000" w:rsidRDefault="00406BD4">
      <w:pPr>
        <w:pStyle w:val="a3"/>
        <w:spacing w:before="0" w:beforeAutospacing="0" w:after="0" w:afterAutospacing="0"/>
        <w:ind w:firstLine="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compliance with the laws and regulations of multiple jurisdictions, which may be conflicting or subject to increasing stringency or other changes, including privacy regulations, tax laws, employment laws, healthcare regulatory requirements and other relate</w:t>
            </w:r>
            <w:r>
              <w:rPr>
                <w:sz w:val="20"/>
                <w:szCs w:val="20"/>
              </w:rPr>
              <w:t>d approvals, including permitting and licensing requirements;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logistics associated with the shipment of blood or other tissue specimens, including infrastructure conditions, transportation delays and the impact of U.S. and local laws and regulations</w:t>
            </w:r>
            <w:r>
              <w:rPr>
                <w:sz w:val="20"/>
                <w:szCs w:val="20"/>
              </w:rPr>
              <w:t>, such as export and import restrictions, tariffs or other charges and other trade barriers, all of which involve increased risk related to the trade policies of the current administration, which may threaten existing and proposed trade agreements and impo</w:t>
            </w:r>
            <w:r>
              <w:rPr>
                <w:sz w:val="20"/>
                <w:szCs w:val="20"/>
              </w:rPr>
              <w:t>se more restrictive U.S. export-import regulations that impact our business;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limits on our ability to penetrate international markets, including legal and regulatory requirements that would force us to conduct our tests locally by building additiona</w:t>
            </w:r>
            <w:r>
              <w:rPr>
                <w:sz w:val="20"/>
                <w:szCs w:val="20"/>
              </w:rPr>
              <w:t>l laboratories or engaging in joint ventures or other relationships in order to offer our tests in certain countries, which relationships could involve significant time and resources to establish, deny us control over certain aspects of the foreign operati</w:t>
            </w:r>
            <w:r>
              <w:rPr>
                <w:sz w:val="20"/>
                <w:szCs w:val="20"/>
              </w:rPr>
              <w:t>ons or reduce the economic value to us of these operations;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failure by us, any joint ventures or other arrangements we may establish or any distributors or other commercial partners we may engage to obtain any regulatory approvals required to market, sell and use our tests in various countries;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challenges pr</w:t>
            </w:r>
            <w:r>
              <w:rPr>
                <w:sz w:val="20"/>
                <w:szCs w:val="20"/>
              </w:rPr>
              <w:t>edicting the market for genetic testing generally and tailoring our test menu to meet varying customer expectations in different countries and territories;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difficulties gaining market share in territories in which we do not have a strong physical pr</w:t>
            </w:r>
            <w:r>
              <w:rPr>
                <w:sz w:val="20"/>
                <w:szCs w:val="20"/>
              </w:rPr>
              <w:t>esence or brand awareness;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complexities and difficulties obtaining protection for and enforcing our intellectual property rights;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difficulties in staffing and managing foreign operations;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complexities associated with managing multiple payor coverage and reimbursement regimes, government payors or patient self-pay systems;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financial risks, such as longer payment cycles, difficulty collecting accounts receivable and the impact of local</w:t>
            </w:r>
            <w:r>
              <w:rPr>
                <w:sz w:val="20"/>
                <w:szCs w:val="20"/>
              </w:rPr>
              <w:t xml:space="preserve"> and regional financial conditions on demand and payment for our tests;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exposure to foreign currency exchange rate fluctuations, including increased risk with respect to the Canadian dollar after we recently started billing certain of our Canadian h</w:t>
            </w:r>
            <w:r>
              <w:rPr>
                <w:sz w:val="20"/>
                <w:szCs w:val="20"/>
              </w:rPr>
              <w:t>ospital customers in their local currency and with respect to the RMB related to revenue received under our agreements with FF Gene Biotech;</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 xml:space="preserve">risks relating to conversion and repatriation of certain foreign currencies, particularly the RMB, which is </w:t>
            </w:r>
            <w:r>
              <w:rPr>
                <w:sz w:val="20"/>
                <w:szCs w:val="20"/>
              </w:rPr>
              <w:t>subject to legal procedures and restrictions on currency conversion and movement outside the PRC and which could impact our ability to receive the anticipated financial benefits of our FF Gene Biotech joint venture;</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natural disasters, political and economic instability, including wars, terrorism and political unrest, outbreak of disease (e.g. the COVID-19 pandemic), boycotts and other business restrictions; and</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regulatory and compliance risks related to applica</w:t>
            </w:r>
            <w:r>
              <w:rPr>
                <w:sz w:val="20"/>
                <w:szCs w:val="20"/>
              </w:rPr>
              <w:t>ble anti-bribery laws, including requirements to maintain accurate information and control over activities that may fall within the purview of these laws.</w:t>
            </w:r>
          </w:p>
        </w:tc>
      </w:tr>
    </w:tbl>
    <w:p w:rsidR="00000000" w:rsidRDefault="00406BD4">
      <w:pPr>
        <w:pStyle w:val="a3"/>
        <w:spacing w:before="240" w:beforeAutospacing="0" w:after="0" w:afterAutospacing="0"/>
        <w:ind w:firstLine="556"/>
        <w:rPr>
          <w:sz w:val="20"/>
          <w:szCs w:val="20"/>
        </w:rPr>
      </w:pPr>
      <w:r>
        <w:rPr>
          <w:sz w:val="20"/>
          <w:szCs w:val="20"/>
        </w:rPr>
        <w:t>Any of these factors could significantly harm our existing relationships with international customer</w:t>
      </w:r>
      <w:r>
        <w:rPr>
          <w:sz w:val="20"/>
          <w:szCs w:val="20"/>
        </w:rPr>
        <w:t>s or derail our international expansion plans, which would cause our revenue and results of operations to suffer.</w:t>
      </w:r>
    </w:p>
    <w:p w:rsidR="00000000" w:rsidRDefault="00406BD4">
      <w:pPr>
        <w:pStyle w:val="a3"/>
        <w:spacing w:before="240" w:beforeAutospacing="0" w:after="0" w:afterAutospacing="0"/>
        <w:jc w:val="center"/>
        <w:rPr>
          <w:sz w:val="20"/>
          <w:szCs w:val="20"/>
        </w:rPr>
      </w:pPr>
      <w:r>
        <w:rPr>
          <w:sz w:val="20"/>
          <w:szCs w:val="20"/>
        </w:rPr>
        <w:t>38</w:t>
      </w:r>
    </w:p>
    <w:p w:rsidR="00000000" w:rsidRDefault="00406BD4">
      <w:pPr>
        <w:rPr>
          <w:rFonts w:eastAsia="Times New Roman"/>
        </w:rPr>
      </w:pPr>
      <w:r>
        <w:rPr>
          <w:rFonts w:eastAsia="Times New Roman"/>
        </w:rPr>
        <w:pict>
          <v:rect id="_x0000_i1064"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240" w:beforeAutospacing="0" w:after="0" w:afterAutospacing="0"/>
        <w:ind w:firstLine="556"/>
        <w:rPr>
          <w:sz w:val="20"/>
          <w:szCs w:val="20"/>
        </w:rPr>
      </w:pPr>
      <w:r>
        <w:rPr>
          <w:sz w:val="20"/>
          <w:szCs w:val="20"/>
        </w:rPr>
        <w:t>In addition, we are exposed to a number of additional risks and challenges related to our efforts to access customers in the PRC with the formatio</w:t>
      </w:r>
      <w:r>
        <w:rPr>
          <w:sz w:val="20"/>
          <w:szCs w:val="20"/>
        </w:rPr>
        <w:t>n of FF Gene Biotech. These risks include, among others, difficulties predicting the market for genetic testing in Asia; competitive factors in this market, including challenges securing market share; local differences in customer demands and preferences a</w:t>
      </w:r>
      <w:r>
        <w:rPr>
          <w:sz w:val="20"/>
          <w:szCs w:val="20"/>
        </w:rPr>
        <w:t>nd regulatory requirements; our lack of control over FF Gene Biotech due to our non-majority ownership interest; and many of the other risks of doing business internationally that are discussed above. Further, we could experience declines in our direct sal</w:t>
      </w:r>
      <w:r>
        <w:rPr>
          <w:sz w:val="20"/>
          <w:szCs w:val="20"/>
        </w:rPr>
        <w:t>es to, and revenue from, customers in Asia if any of these customers choose to order genetic tests from FF Gene Biotech instead of directly from us. As a result of these risks, although we believe FF Gene Biotech could result in expanded long-term opportun</w:t>
      </w:r>
      <w:r>
        <w:rPr>
          <w:sz w:val="20"/>
          <w:szCs w:val="20"/>
        </w:rPr>
        <w:t>ities to address the genetic testing market in Asia, this belief could turn out to be wrong and we may never realize these or any other benefits we anticipate from this joint venture. Moreover, FF Gene Biotech or any other joint venture we may seek to esta</w:t>
      </w:r>
      <w:r>
        <w:rPr>
          <w:sz w:val="20"/>
          <w:szCs w:val="20"/>
        </w:rPr>
        <w:t>blish may never produce sufficient revenue to us to recover our capital and other investments in the joint venture, and we could become subject to liabilities based on our involvement in the joint venture’s operations. The materialization of any of these r</w:t>
      </w:r>
      <w:r>
        <w:rPr>
          <w:sz w:val="20"/>
          <w:szCs w:val="20"/>
        </w:rPr>
        <w:t>isks related to FF Gene Biotech could materially harm our performance and prospects.</w:t>
      </w:r>
    </w:p>
    <w:p w:rsidR="00000000" w:rsidRDefault="00406BD4">
      <w:pPr>
        <w:pStyle w:val="a3"/>
        <w:spacing w:before="360" w:beforeAutospacing="0" w:after="0" w:afterAutospacing="0"/>
        <w:rPr>
          <w:b/>
          <w:bCs/>
          <w:sz w:val="20"/>
          <w:szCs w:val="20"/>
        </w:rPr>
      </w:pPr>
      <w:r>
        <w:rPr>
          <w:b/>
          <w:bCs/>
          <w:sz w:val="20"/>
          <w:szCs w:val="20"/>
        </w:rPr>
        <w:t>If we are sued for product or professional liability, we could face substantial liabilities that exceed our resources.</w:t>
      </w:r>
    </w:p>
    <w:p w:rsidR="00000000" w:rsidRDefault="00406BD4">
      <w:pPr>
        <w:pStyle w:val="a3"/>
        <w:spacing w:before="120" w:beforeAutospacing="0" w:after="0" w:afterAutospacing="0"/>
        <w:ind w:firstLine="556"/>
        <w:rPr>
          <w:sz w:val="20"/>
          <w:szCs w:val="20"/>
        </w:rPr>
      </w:pPr>
      <w:r>
        <w:rPr>
          <w:sz w:val="20"/>
          <w:szCs w:val="20"/>
        </w:rPr>
        <w:t>Our business depends on our ability to provide relia</w:t>
      </w:r>
      <w:r>
        <w:rPr>
          <w:sz w:val="20"/>
          <w:szCs w:val="20"/>
        </w:rPr>
        <w:t>ble and accurate test results that incorporate rapidly evolving information about the role of genes and gene variants in disease and clinically relevant outcomes associated with these variants. Hundreds of genes can be implicated in some disorders and over</w:t>
      </w:r>
      <w:r>
        <w:rPr>
          <w:sz w:val="20"/>
          <w:szCs w:val="20"/>
        </w:rPr>
        <w:t>lapping networks of genes and symptoms can be implicated in multiple conditions. As a result, substantial judgment is required in order to interpret the results of each test we perform and produce a report summarizing these results. Errors, such as failure</w:t>
      </w:r>
      <w:r>
        <w:rPr>
          <w:sz w:val="20"/>
          <w:szCs w:val="20"/>
        </w:rPr>
        <w:t>s to detect genomic variants with high accuracy, or mistakes, such as failures to completely and correctly identify the significance of gene variants, could subject us to product liability or professional liability claims. Any such claim against us could r</w:t>
      </w:r>
      <w:r>
        <w:rPr>
          <w:sz w:val="20"/>
          <w:szCs w:val="20"/>
        </w:rPr>
        <w:t>esult in substantial damages and be costly and time-consuming to defend. Although we maintain liability insurance, including for errors and omissions, our insurance may not fully protect us from the financial impact of defending against these types of clai</w:t>
      </w:r>
      <w:r>
        <w:rPr>
          <w:sz w:val="20"/>
          <w:szCs w:val="20"/>
        </w:rPr>
        <w:t>ms or any judgments, fines or settlement costs arising out of any such claims. Additionally, any liability claim brought against us, with or without merit, could increase our insurance rates or prevent us from securing adequate insurance coverage in the fu</w:t>
      </w:r>
      <w:r>
        <w:rPr>
          <w:sz w:val="20"/>
          <w:szCs w:val="20"/>
        </w:rPr>
        <w:t>ture. Moreover, any liability lawsuit could damage our reputation or force us to suspend sales of our tests. The occurrence of any of these events could have a material adverse effect on our business, reputation and results of operations.</w:t>
      </w:r>
    </w:p>
    <w:p w:rsidR="00000000" w:rsidRDefault="00406BD4">
      <w:pPr>
        <w:pStyle w:val="a3"/>
        <w:spacing w:before="360" w:beforeAutospacing="0" w:after="0" w:afterAutospacing="0"/>
        <w:rPr>
          <w:b/>
          <w:bCs/>
          <w:sz w:val="20"/>
          <w:szCs w:val="20"/>
        </w:rPr>
      </w:pPr>
      <w:r>
        <w:rPr>
          <w:b/>
          <w:bCs/>
          <w:sz w:val="20"/>
          <w:szCs w:val="20"/>
        </w:rPr>
        <w:t>If our laboratory facilities become inoperable, if we are forced to vacate a facility or if we are unable to obtain additional laboratory space as and when needed, we would be unable to perform our tests and our business would be harmed.</w:t>
      </w:r>
    </w:p>
    <w:p w:rsidR="00000000" w:rsidRDefault="00406BD4">
      <w:pPr>
        <w:pStyle w:val="a3"/>
        <w:spacing w:before="120" w:beforeAutospacing="0" w:after="0" w:afterAutospacing="0"/>
        <w:ind w:firstLine="556"/>
        <w:rPr>
          <w:sz w:val="20"/>
          <w:szCs w:val="20"/>
        </w:rPr>
      </w:pPr>
      <w:r>
        <w:rPr>
          <w:sz w:val="20"/>
          <w:szCs w:val="20"/>
        </w:rPr>
        <w:t xml:space="preserve">We perform all of </w:t>
      </w:r>
      <w:r>
        <w:rPr>
          <w:sz w:val="20"/>
          <w:szCs w:val="20"/>
        </w:rPr>
        <w:t>our tests at our laboratories in Temple City, California and Houston, Texas. Our laboratories and the equipment we use to perform our tests would be costly to replace and could require substantial lead time to replace and qualify for use. This and any othe</w:t>
      </w:r>
      <w:r>
        <w:rPr>
          <w:sz w:val="20"/>
          <w:szCs w:val="20"/>
        </w:rPr>
        <w:t>r laboratory facilities and equipment we may use could be damaged or rendered inoperable by natural or man-made disasters, including earthquakes, floods, fires and power outages, which could render it difficult or impossible for us to perform our tests for</w:t>
      </w:r>
      <w:r>
        <w:rPr>
          <w:sz w:val="20"/>
          <w:szCs w:val="20"/>
        </w:rPr>
        <w:t xml:space="preserve"> some period of time. The inability to perform our tests or the backlog that could develop if a laboratory becomes inoperable for even a short time could result in the loss of customers or harm to our reputation. Although we maintain insurance for damage t</w:t>
      </w:r>
      <w:r>
        <w:rPr>
          <w:sz w:val="20"/>
          <w:szCs w:val="20"/>
        </w:rPr>
        <w:t>o our property and disruption of our business, this insurance may not be sufficient to cover all of our potential losses and may not continue to be available to us on acceptable terms, if at all.</w:t>
      </w:r>
    </w:p>
    <w:p w:rsidR="00000000" w:rsidRDefault="00406BD4">
      <w:pPr>
        <w:pStyle w:val="a3"/>
        <w:spacing w:before="240" w:beforeAutospacing="0" w:after="0" w:afterAutospacing="0"/>
        <w:ind w:firstLine="556"/>
        <w:rPr>
          <w:sz w:val="20"/>
          <w:szCs w:val="20"/>
        </w:rPr>
      </w:pPr>
      <w:r>
        <w:rPr>
          <w:sz w:val="20"/>
          <w:szCs w:val="20"/>
        </w:rPr>
        <w:t>Further, if we need to relocate from one laboratory facility</w:t>
      </w:r>
      <w:r>
        <w:rPr>
          <w:sz w:val="20"/>
          <w:szCs w:val="20"/>
        </w:rPr>
        <w:t xml:space="preserve"> to another laboratory facility or obtain additional laboratory space, we may have difficulty locating suitable space in a timely manner, on reasonable terms or at all, and even if acceptable space was available, it would be challenging, time-consuming and</w:t>
      </w:r>
      <w:r>
        <w:rPr>
          <w:sz w:val="20"/>
          <w:szCs w:val="20"/>
        </w:rPr>
        <w:t xml:space="preserve"> expensive to obtain or transfer the licensure and accreditation required for a commercial laboratory like ours and the equipment we use to perform our tests. These challenges could be amplified if we or our joint ventures or other commercial partners seek</w:t>
      </w:r>
      <w:r>
        <w:rPr>
          <w:sz w:val="20"/>
          <w:szCs w:val="20"/>
        </w:rPr>
        <w:t xml:space="preserve"> to procure and maintain laboratory space outside the United States as we pursue international expansion. If we are unable to obtain or are delayed in obtaining new laboratory space as needed, we may not be able to provide our existing tests or develop and</w:t>
      </w:r>
      <w:r>
        <w:rPr>
          <w:sz w:val="20"/>
          <w:szCs w:val="20"/>
        </w:rPr>
        <w:t xml:space="preserve"> launch new tests, which could result in harm to our business, reputation, financial condition and results of operations.</w:t>
      </w:r>
    </w:p>
    <w:p w:rsidR="00000000" w:rsidRDefault="00406BD4">
      <w:pPr>
        <w:pStyle w:val="a3"/>
        <w:spacing w:before="360" w:beforeAutospacing="0" w:after="0" w:afterAutospacing="0"/>
        <w:rPr>
          <w:b/>
          <w:bCs/>
          <w:sz w:val="20"/>
          <w:szCs w:val="20"/>
        </w:rPr>
      </w:pPr>
      <w:r>
        <w:rPr>
          <w:b/>
          <w:bCs/>
          <w:sz w:val="20"/>
          <w:szCs w:val="20"/>
        </w:rPr>
        <w:t>We face risks related to the impact of the COVID-19 pandemic and the related protective public health measures.</w:t>
      </w:r>
    </w:p>
    <w:p w:rsidR="00000000" w:rsidRDefault="00406BD4">
      <w:pPr>
        <w:pStyle w:val="a3"/>
        <w:spacing w:before="120" w:beforeAutospacing="0" w:after="0" w:afterAutospacing="0"/>
        <w:ind w:firstLine="556"/>
        <w:rPr>
          <w:sz w:val="20"/>
          <w:szCs w:val="20"/>
        </w:rPr>
      </w:pPr>
      <w:r>
        <w:rPr>
          <w:sz w:val="20"/>
          <w:szCs w:val="20"/>
        </w:rPr>
        <w:t>Despite our recent rev</w:t>
      </w:r>
      <w:r>
        <w:rPr>
          <w:sz w:val="20"/>
          <w:szCs w:val="20"/>
        </w:rPr>
        <w:t>enue growth and recent demand for our COVID-19 tests, our business could be materially and adversely affected by the effects of the global pandemic of COVID-19 and the related protective public health measures. Our business depends upon the continuous test</w:t>
      </w:r>
      <w:r>
        <w:rPr>
          <w:sz w:val="20"/>
          <w:szCs w:val="20"/>
        </w:rPr>
        <w:t>ing services that we provide at our laboratory facilities, and our business faces the same risks as are currently prevalent in most of the United States, including the risks that employees could contract COVID-19 which could result in a disruption in our a</w:t>
      </w:r>
      <w:r>
        <w:rPr>
          <w:sz w:val="20"/>
          <w:szCs w:val="20"/>
        </w:rPr>
        <w:t xml:space="preserve">bility to continue to provide testing services. Although we take what we believe are reasonable precautions to prevent the spread of COVID-19, we cannot provide assurance that we will not suffer from an exposure to the SARS CoV2 virus that would require a </w:t>
      </w:r>
      <w:r>
        <w:rPr>
          <w:sz w:val="20"/>
          <w:szCs w:val="20"/>
        </w:rPr>
        <w:t>temporary closure of our laboratory facilities, which would materially adversely affect our operations and financial results. In addition, the responses of the federal, international, state and regional governments to the pandemic, including the shelter in</w:t>
      </w:r>
      <w:r>
        <w:rPr>
          <w:sz w:val="20"/>
          <w:szCs w:val="20"/>
        </w:rPr>
        <w:t xml:space="preserve"> place orders and the allocation of healthcare resources to treating those infected with the virus, has caused and may continue to cause a </w:t>
      </w:r>
    </w:p>
    <w:p w:rsidR="00000000" w:rsidRDefault="00406BD4">
      <w:pPr>
        <w:pStyle w:val="a3"/>
        <w:spacing w:before="240" w:beforeAutospacing="0" w:after="0" w:afterAutospacing="0"/>
        <w:jc w:val="center"/>
        <w:rPr>
          <w:sz w:val="20"/>
          <w:szCs w:val="20"/>
        </w:rPr>
      </w:pPr>
      <w:r>
        <w:rPr>
          <w:sz w:val="20"/>
          <w:szCs w:val="20"/>
        </w:rPr>
        <w:t>39</w:t>
      </w:r>
    </w:p>
    <w:p w:rsidR="00000000" w:rsidRDefault="00406BD4">
      <w:pPr>
        <w:rPr>
          <w:rFonts w:eastAsia="Times New Roman"/>
        </w:rPr>
      </w:pPr>
      <w:r>
        <w:rPr>
          <w:rFonts w:eastAsia="Times New Roman"/>
        </w:rPr>
        <w:pict>
          <v:rect id="_x0000_i1065"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120" w:beforeAutospacing="0" w:after="0" w:afterAutospacing="0"/>
        <w:rPr>
          <w:sz w:val="20"/>
          <w:szCs w:val="20"/>
        </w:rPr>
      </w:pPr>
      <w:r>
        <w:rPr>
          <w:sz w:val="20"/>
          <w:szCs w:val="20"/>
        </w:rPr>
        <w:t>significant decline in sales of our non-COVID-19 tests. Other adverse effects of the pandemic on our business could include disruptions or restrictions on our employees’ ability to trave</w:t>
      </w:r>
      <w:r>
        <w:rPr>
          <w:sz w:val="20"/>
          <w:szCs w:val="20"/>
        </w:rPr>
        <w:t>l, as well as temporary closures of the facilities of our suppliers, third party service providers or customers, which could impact our test volume and results of operations. In addition, a significant outbreak of contagious disease in the human population</w:t>
      </w:r>
      <w:r>
        <w:rPr>
          <w:sz w:val="20"/>
          <w:szCs w:val="20"/>
        </w:rPr>
        <w:t xml:space="preserve"> could result in a widespread health crisis that could adversely affect the economies and financial markets of many countries, resulting in an economic downturn that could affect demand for our tests and impact our results of operations.</w:t>
      </w:r>
    </w:p>
    <w:p w:rsidR="00000000" w:rsidRDefault="00406BD4">
      <w:pPr>
        <w:pStyle w:val="a3"/>
        <w:spacing w:before="360" w:beforeAutospacing="0" w:after="0" w:afterAutospacing="0"/>
        <w:rPr>
          <w:b/>
          <w:bCs/>
          <w:sz w:val="20"/>
          <w:szCs w:val="20"/>
        </w:rPr>
      </w:pPr>
      <w:r>
        <w:rPr>
          <w:b/>
          <w:bCs/>
          <w:sz w:val="20"/>
          <w:szCs w:val="20"/>
        </w:rPr>
        <w:t>We rely on a limit</w:t>
      </w:r>
      <w:r>
        <w:rPr>
          <w:b/>
          <w:bCs/>
          <w:sz w:val="20"/>
          <w:szCs w:val="20"/>
        </w:rPr>
        <w:t>ed number of suppliers and, in some cases, a sole supplier, for certain of our laboratory substances, equipment and other materials, and any delays or difficulties securing these materials could disrupt our laboratory operations and materially harm our bus</w:t>
      </w:r>
      <w:r>
        <w:rPr>
          <w:b/>
          <w:bCs/>
          <w:sz w:val="20"/>
          <w:szCs w:val="20"/>
        </w:rPr>
        <w:t>iness.</w:t>
      </w:r>
    </w:p>
    <w:p w:rsidR="00000000" w:rsidRDefault="00406BD4">
      <w:pPr>
        <w:pStyle w:val="a3"/>
        <w:spacing w:before="120" w:beforeAutospacing="0" w:after="0" w:afterAutospacing="0"/>
        <w:ind w:firstLine="556"/>
        <w:rPr>
          <w:sz w:val="20"/>
          <w:szCs w:val="20"/>
        </w:rPr>
      </w:pPr>
      <w:r>
        <w:rPr>
          <w:sz w:val="20"/>
          <w:szCs w:val="20"/>
        </w:rPr>
        <w:t>We rely on a limited number of suppliers for certain of our laboratory substances, including reagents, as well as for the sequencers and various other equipment and materials we use in our laboratory operations. In particular, we rely on Illumina, I</w:t>
      </w:r>
      <w:r>
        <w:rPr>
          <w:sz w:val="20"/>
          <w:szCs w:val="20"/>
        </w:rPr>
        <w:t>nc. as the sole supplier of the next generation sequencers and associated reagents we use to perform our genetic tests and as the sole provider of maintenance and repair services for these sequencers. We do not have long-term agreements with any of our sup</w:t>
      </w:r>
      <w:r>
        <w:rPr>
          <w:sz w:val="20"/>
          <w:szCs w:val="20"/>
        </w:rPr>
        <w:t>pliers and, as a result, they could cease supplying these materials and equipment to us at any time due to an inability to reach agreement with us on supply terms, disruptions in their operations, a determination to pursue other activities or lines of busi</w:t>
      </w:r>
      <w:r>
        <w:rPr>
          <w:sz w:val="20"/>
          <w:szCs w:val="20"/>
        </w:rPr>
        <w:t>ness or for other reasons, or they could fail to provide us with sufficient quantities of materials that meet our specifications. These suppliers may also themselves be affected by the COVID-19 pandemic or its related effects on the global supply chain. Tr</w:t>
      </w:r>
      <w:r>
        <w:rPr>
          <w:sz w:val="20"/>
          <w:szCs w:val="20"/>
        </w:rPr>
        <w:t>ansitioning to a new supplier or locating a temporary substitute, if any are available, would be time-consuming and expensive, could result in interruptions in or otherwise affect the performance specifications of our laboratory operations or could require</w:t>
      </w:r>
      <w:r>
        <w:rPr>
          <w:sz w:val="20"/>
          <w:szCs w:val="20"/>
        </w:rPr>
        <w:t xml:space="preserve"> that we revalidate our tests. In addition, the use of equipment or materials provided by a replacement supplier could require us to alter our laboratory operations and procedures. Moreover, we believe there are currently only a few manufacturers that are </w:t>
      </w:r>
      <w:r>
        <w:rPr>
          <w:sz w:val="20"/>
          <w:szCs w:val="20"/>
        </w:rPr>
        <w:t>capable of supplying and servicing some of the equipment and other materials necessary for our laboratory operations, including sequencers and various associated reagents. As a result, replacement equipment and materials that meet our quality control and p</w:t>
      </w:r>
      <w:r>
        <w:rPr>
          <w:sz w:val="20"/>
          <w:szCs w:val="20"/>
        </w:rPr>
        <w:t>erformance requirements may not be available on reasonable terms, in a timely manner or at all. If we encounter delays or difficulties securing, reconfiguring or revalidating the equipment, reagents and other materials we require for our tests, including a</w:t>
      </w:r>
      <w:r>
        <w:rPr>
          <w:sz w:val="20"/>
          <w:szCs w:val="20"/>
        </w:rPr>
        <w:t>s a result of the COVID-19 pandemic, our operations could be materially disrupted and our business, financial condition, results of operations and reputation could be adversely affected.</w:t>
      </w:r>
    </w:p>
    <w:p w:rsidR="00000000" w:rsidRDefault="00406BD4">
      <w:pPr>
        <w:pStyle w:val="a3"/>
        <w:spacing w:before="360" w:beforeAutospacing="0" w:after="0" w:afterAutospacing="0"/>
        <w:rPr>
          <w:b/>
          <w:bCs/>
          <w:sz w:val="20"/>
          <w:szCs w:val="20"/>
        </w:rPr>
      </w:pPr>
      <w:r>
        <w:rPr>
          <w:b/>
          <w:bCs/>
          <w:sz w:val="20"/>
          <w:szCs w:val="20"/>
        </w:rPr>
        <w:t>Billing and collections processing for our tests is complex and time-</w:t>
      </w:r>
      <w:r>
        <w:rPr>
          <w:b/>
          <w:bCs/>
          <w:sz w:val="20"/>
          <w:szCs w:val="20"/>
        </w:rPr>
        <w:t>consuming, and any delay in transmitting and collecting claims could have an adverse effect on our revenue.</w:t>
      </w:r>
    </w:p>
    <w:p w:rsidR="00000000" w:rsidRDefault="00406BD4">
      <w:pPr>
        <w:pStyle w:val="a3"/>
        <w:spacing w:before="120" w:beforeAutospacing="0" w:after="0" w:afterAutospacing="0"/>
        <w:ind w:firstLine="556"/>
        <w:rPr>
          <w:sz w:val="20"/>
          <w:szCs w:val="20"/>
        </w:rPr>
      </w:pPr>
      <w:r>
        <w:rPr>
          <w:sz w:val="20"/>
          <w:szCs w:val="20"/>
        </w:rPr>
        <w:t>Billing for our tests is complex, time-consuming and expensive. Depending on the billing arrangement and applicable law, we may bill various differe</w:t>
      </w:r>
      <w:r>
        <w:rPr>
          <w:sz w:val="20"/>
          <w:szCs w:val="20"/>
        </w:rPr>
        <w:t>nt parties for our tests, including customers directly in the case of our hospital and medical institution customers, as well as Medicare, Medicaid, insurance companies and patients, all of which may have different billing requirements. We may face increas</w:t>
      </w:r>
      <w:r>
        <w:rPr>
          <w:sz w:val="20"/>
          <w:szCs w:val="20"/>
        </w:rPr>
        <w:t>ed risk in our collection efforts due to the complexities of these billing requirements, including long collection cycles and lower collection rates, which could adversely affect our business, results of operations and financial condition.</w:t>
      </w:r>
    </w:p>
    <w:p w:rsidR="00000000" w:rsidRDefault="00406BD4">
      <w:pPr>
        <w:pStyle w:val="a3"/>
        <w:spacing w:before="240" w:beforeAutospacing="0" w:after="0" w:afterAutospacing="0"/>
        <w:ind w:firstLine="556"/>
        <w:rPr>
          <w:sz w:val="20"/>
          <w:szCs w:val="20"/>
        </w:rPr>
      </w:pPr>
      <w:r>
        <w:rPr>
          <w:sz w:val="20"/>
          <w:szCs w:val="20"/>
        </w:rPr>
        <w:t xml:space="preserve">Several factors </w:t>
      </w:r>
      <w:r>
        <w:rPr>
          <w:sz w:val="20"/>
          <w:szCs w:val="20"/>
        </w:rPr>
        <w:t>make this billing process complex, including:</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120" w:beforeAutospacing="0" w:after="0" w:afterAutospacing="0"/>
              <w:rPr>
                <w:sz w:val="20"/>
                <w:szCs w:val="20"/>
              </w:rPr>
            </w:pPr>
            <w:r>
              <w:rPr>
                <w:sz w:val="20"/>
                <w:szCs w:val="20"/>
              </w:rPr>
              <w:t> </w:t>
            </w:r>
          </w:p>
        </w:tc>
        <w:tc>
          <w:tcPr>
            <w:tcW w:w="227" w:type="pct"/>
            <w:noWrap/>
            <w:hideMark/>
          </w:tcPr>
          <w:p w:rsidR="00000000" w:rsidRDefault="00406BD4">
            <w:pPr>
              <w:pStyle w:val="a3"/>
              <w:spacing w:before="120" w:beforeAutospacing="0" w:after="0" w:afterAutospacing="0"/>
              <w:rPr>
                <w:sz w:val="20"/>
                <w:szCs w:val="20"/>
              </w:rPr>
            </w:pPr>
            <w:r>
              <w:rPr>
                <w:sz w:val="20"/>
                <w:szCs w:val="20"/>
              </w:rPr>
              <w:t>•</w:t>
            </w:r>
          </w:p>
        </w:tc>
        <w:tc>
          <w:tcPr>
            <w:tcW w:w="0" w:type="auto"/>
            <w:hideMark/>
          </w:tcPr>
          <w:p w:rsidR="00000000" w:rsidRDefault="00406BD4">
            <w:pPr>
              <w:pStyle w:val="a3"/>
              <w:spacing w:before="120" w:beforeAutospacing="0" w:after="0" w:afterAutospacing="0"/>
              <w:rPr>
                <w:sz w:val="20"/>
                <w:szCs w:val="20"/>
              </w:rPr>
            </w:pPr>
            <w:r>
              <w:rPr>
                <w:sz w:val="20"/>
                <w:szCs w:val="20"/>
              </w:rPr>
              <w:t>differences between the list price for our tests and the reimbursement rates of payors;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compliance with complex federal and state regulations related to billing government healthcare programs, including Medicare and Medicaid;</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disputes among payors as to which party is responsible for payment;</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differences in coverage among payors</w:t>
            </w:r>
            <w:r>
              <w:rPr>
                <w:sz w:val="20"/>
                <w:szCs w:val="20"/>
              </w:rPr>
              <w:t xml:space="preserve"> and the effect of patient co-payments or co-insurance;</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differences in information and billing requirements among payors;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incorrect or missing billing information; and</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the resources required to manage the billing and claims appeals process.</w:t>
            </w:r>
          </w:p>
        </w:tc>
      </w:tr>
    </w:tbl>
    <w:p w:rsidR="00000000" w:rsidRDefault="00406BD4">
      <w:pPr>
        <w:pStyle w:val="a3"/>
        <w:spacing w:before="240" w:beforeAutospacing="0" w:after="0" w:afterAutospacing="0"/>
        <w:ind w:firstLine="556"/>
        <w:rPr>
          <w:sz w:val="20"/>
          <w:szCs w:val="20"/>
        </w:rPr>
      </w:pPr>
      <w:r>
        <w:rPr>
          <w:sz w:val="20"/>
          <w:szCs w:val="20"/>
        </w:rPr>
        <w:t xml:space="preserve">We have developed internal systems and procedures to handle these billing and collections functions, but we will need to make significant efforts and expend substantial resources to </w:t>
      </w:r>
      <w:r>
        <w:rPr>
          <w:sz w:val="20"/>
          <w:szCs w:val="20"/>
        </w:rPr>
        <w:t>further develop our systems and procedures to handle these aspects of our business, which could become increasingly important as we focus on increasing test volumes from non-hospital and medical institution customer groups and establishing coverage and rei</w:t>
      </w:r>
      <w:r>
        <w:rPr>
          <w:sz w:val="20"/>
          <w:szCs w:val="20"/>
        </w:rPr>
        <w:t xml:space="preserve">mbursement policies with third-party payors. As a result, these billing complexities, along with the related uncertainty in obtaining payment for our tests, could negatively affect our revenue and cash flow, our ability to achieve or sustain profitability </w:t>
      </w:r>
      <w:r>
        <w:rPr>
          <w:sz w:val="20"/>
          <w:szCs w:val="20"/>
        </w:rPr>
        <w:t>and the consistency and comparability of our results of operations. In addition, if claims for our tests are not submitted to payors on a timely basis, or if we are required to switch to a different provider to handle our processing and collections functio</w:t>
      </w:r>
      <w:r>
        <w:rPr>
          <w:sz w:val="20"/>
          <w:szCs w:val="20"/>
        </w:rPr>
        <w:t>ns, our revenue and our business could be adversely affected.</w:t>
      </w:r>
    </w:p>
    <w:p w:rsidR="00000000" w:rsidRDefault="00406BD4">
      <w:pPr>
        <w:pStyle w:val="a3"/>
        <w:spacing w:before="240" w:beforeAutospacing="0" w:after="0" w:afterAutospacing="0"/>
        <w:jc w:val="center"/>
        <w:rPr>
          <w:sz w:val="20"/>
          <w:szCs w:val="20"/>
        </w:rPr>
      </w:pPr>
      <w:r>
        <w:rPr>
          <w:sz w:val="20"/>
          <w:szCs w:val="20"/>
        </w:rPr>
        <w:t>40</w:t>
      </w:r>
    </w:p>
    <w:p w:rsidR="00000000" w:rsidRDefault="00406BD4">
      <w:pPr>
        <w:rPr>
          <w:rFonts w:eastAsia="Times New Roman"/>
        </w:rPr>
      </w:pPr>
      <w:r>
        <w:rPr>
          <w:rFonts w:eastAsia="Times New Roman"/>
        </w:rPr>
        <w:pict>
          <v:rect id="_x0000_i1066"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360" w:beforeAutospacing="0" w:after="0" w:afterAutospacing="0"/>
        <w:rPr>
          <w:b/>
          <w:bCs/>
          <w:sz w:val="20"/>
          <w:szCs w:val="20"/>
        </w:rPr>
      </w:pPr>
      <w:r>
        <w:rPr>
          <w:b/>
          <w:bCs/>
          <w:sz w:val="20"/>
          <w:szCs w:val="20"/>
        </w:rPr>
        <w:t>Ethical, legal and social concerns related to the use of genetic information could reduce demand for our tests.</w:t>
      </w:r>
    </w:p>
    <w:p w:rsidR="00000000" w:rsidRDefault="00406BD4">
      <w:pPr>
        <w:pStyle w:val="a3"/>
        <w:spacing w:before="120" w:beforeAutospacing="0" w:after="0" w:afterAutospacing="0"/>
        <w:ind w:firstLine="556"/>
        <w:rPr>
          <w:sz w:val="20"/>
          <w:szCs w:val="20"/>
        </w:rPr>
      </w:pPr>
      <w:r>
        <w:rPr>
          <w:sz w:val="20"/>
          <w:szCs w:val="20"/>
        </w:rPr>
        <w:t xml:space="preserve">Genetic testing has raised ethical, legal and social issues regarding privacy and the appropriate uses of the resulting information. Government </w:t>
      </w:r>
      <w:r>
        <w:rPr>
          <w:sz w:val="20"/>
          <w:szCs w:val="20"/>
        </w:rPr>
        <w:t>authorities could, for social or other purposes, limit or regulate the use of genetic information or genetic testing or prohibit testing for genetic predisposition to certain conditions, particularly for those that have no known cure. Similarly, these conc</w:t>
      </w:r>
      <w:r>
        <w:rPr>
          <w:sz w:val="20"/>
          <w:szCs w:val="20"/>
        </w:rPr>
        <w:t>erns may cause patients to refuse to use, or physicians to be reluctant to order, genetic tests such as ours, even if permissible. These and other ethical, legal and social concerns may limit market acceptance and adoption of our tests or reduce the potent</w:t>
      </w:r>
      <w:r>
        <w:rPr>
          <w:sz w:val="20"/>
          <w:szCs w:val="20"/>
        </w:rPr>
        <w:t>ial markets for our tests, any of which could have an adverse effect on our business, financial condition and results of operations.</w:t>
      </w:r>
    </w:p>
    <w:p w:rsidR="00000000" w:rsidRDefault="00406BD4">
      <w:pPr>
        <w:pStyle w:val="a3"/>
        <w:spacing w:before="360" w:beforeAutospacing="0" w:after="0" w:afterAutospacing="0"/>
        <w:rPr>
          <w:b/>
          <w:bCs/>
          <w:sz w:val="20"/>
          <w:szCs w:val="20"/>
        </w:rPr>
      </w:pPr>
      <w:r>
        <w:rPr>
          <w:b/>
          <w:bCs/>
          <w:sz w:val="20"/>
          <w:szCs w:val="20"/>
        </w:rPr>
        <w:t xml:space="preserve">Actual or attempted security breaches, loss of data or other disruptions could compromise sensitive information related to </w:t>
      </w:r>
      <w:r>
        <w:rPr>
          <w:b/>
          <w:bCs/>
          <w:sz w:val="20"/>
          <w:szCs w:val="20"/>
        </w:rPr>
        <w:t>our business or to patients or prevent us from accessing critical information, any of which could expose us to liability and adversely affect our business and our reputation.</w:t>
      </w:r>
    </w:p>
    <w:p w:rsidR="00000000" w:rsidRDefault="00406BD4">
      <w:pPr>
        <w:pStyle w:val="a3"/>
        <w:spacing w:before="120" w:beforeAutospacing="0" w:after="0" w:afterAutospacing="0"/>
        <w:ind w:firstLine="556"/>
        <w:rPr>
          <w:sz w:val="20"/>
          <w:szCs w:val="20"/>
        </w:rPr>
      </w:pPr>
      <w:r>
        <w:rPr>
          <w:sz w:val="20"/>
          <w:szCs w:val="20"/>
        </w:rPr>
        <w:t xml:space="preserve">In the ordinary course of our business, we generate, collect and store sensitive data, including protected health information, or PHI, personally identifiable information, intellectual property and proprietary and other business-critical information, such </w:t>
      </w:r>
      <w:r>
        <w:rPr>
          <w:sz w:val="20"/>
          <w:szCs w:val="20"/>
        </w:rPr>
        <w:t>as research and development data, commercial data and other business and financial information. We manage and maintain the data we generate, collect and store utilizing a combination of on-site systems and managed data center systems. We also communicate s</w:t>
      </w:r>
      <w:r>
        <w:rPr>
          <w:sz w:val="20"/>
          <w:szCs w:val="20"/>
        </w:rPr>
        <w:t>ensitive patient data when we deliver reports summarizing test results to our customers, which we deliver via our online encrypted web portal, encrypted email or fax or overnight courier. We face a number of risks related to protecting this information, in</w:t>
      </w:r>
      <w:r>
        <w:rPr>
          <w:sz w:val="20"/>
          <w:szCs w:val="20"/>
        </w:rPr>
        <w:t>cluding loss of access, unauthorized modification or inappropriate disclosure.</w:t>
      </w:r>
    </w:p>
    <w:p w:rsidR="00000000" w:rsidRDefault="00406BD4">
      <w:pPr>
        <w:pStyle w:val="a3"/>
        <w:spacing w:before="240" w:beforeAutospacing="0" w:after="0" w:afterAutospacing="0"/>
        <w:ind w:firstLine="556"/>
        <w:rPr>
          <w:sz w:val="20"/>
          <w:szCs w:val="20"/>
        </w:rPr>
      </w:pPr>
      <w:r>
        <w:rPr>
          <w:sz w:val="20"/>
          <w:szCs w:val="20"/>
        </w:rPr>
        <w:t>The secure processing, storage, maintenance and transmission of this information is vital to our operations and business strategy, and we devote significant resources to protect</w:t>
      </w:r>
      <w:r>
        <w:rPr>
          <w:sz w:val="20"/>
          <w:szCs w:val="20"/>
        </w:rPr>
        <w:t>ing the confidentiality and integrity of this information. Although we have implemented security measures and other controls designed to protect sensitive information from unauthorized access, use or disclosure, our information technology and infrastructur</w:t>
      </w:r>
      <w:r>
        <w:rPr>
          <w:sz w:val="20"/>
          <w:szCs w:val="20"/>
        </w:rPr>
        <w:t>e could fail, be inadequate or vulnerable to attacks by hackers or viruses or be breached due to employee error, malfeasance or other disruptions. A breach or interruption could compromise our information systems and the information we store could be acces</w:t>
      </w:r>
      <w:r>
        <w:rPr>
          <w:sz w:val="20"/>
          <w:szCs w:val="20"/>
        </w:rPr>
        <w:t>sed by unauthorized parties, manipulated, publicly disclosed, lost or stolen. Any such unauthorized access, manipulation, disclosure or other loss of information could result in legal claims or proceedings and could result in liability or penalties under f</w:t>
      </w:r>
      <w:r>
        <w:rPr>
          <w:sz w:val="20"/>
          <w:szCs w:val="20"/>
        </w:rPr>
        <w:t>ederal, state or foreign laws that protect the privacy of personal information, discussed below under “—We are subject to broad legal requirements regarding the information we test and analyze, and any failure to comply with these requirements could result</w:t>
      </w:r>
      <w:r>
        <w:rPr>
          <w:sz w:val="20"/>
          <w:szCs w:val="20"/>
        </w:rPr>
        <w:t xml:space="preserve"> in harsh penalties, damage our reputation and materially harm our business.” Additionally, unauthorized access, manipulation, loss or dissemination could significantly damage our reputation and disrupt our operations, including our ability to perform our </w:t>
      </w:r>
      <w:r>
        <w:rPr>
          <w:sz w:val="20"/>
          <w:szCs w:val="20"/>
        </w:rPr>
        <w:t>tests, analyze and provide test results, bill customers or other payors, process claims for reimbursement, provide customer service, conduct research and development activities, collect, process, and prepare company financial information, conduct education</w:t>
      </w:r>
      <w:r>
        <w:rPr>
          <w:sz w:val="20"/>
          <w:szCs w:val="20"/>
        </w:rPr>
        <w:t xml:space="preserve"> and outreach activities and manage the administrative aspects of our operations, as described further below under “—We depend on our information technology systems and any failure of these systems, due to hardware or software malfunctions, delays in opera</w:t>
      </w:r>
      <w:r>
        <w:rPr>
          <w:sz w:val="20"/>
          <w:szCs w:val="20"/>
        </w:rPr>
        <w:t>tion, failures to implement new or enhanced systems or cybersecurity breaches, could harm our business.” The occurrence of any of these risks could materially adversely affect our business.</w:t>
      </w:r>
    </w:p>
    <w:p w:rsidR="00000000" w:rsidRDefault="00406BD4">
      <w:pPr>
        <w:pStyle w:val="a3"/>
        <w:spacing w:before="360" w:beforeAutospacing="0" w:after="0" w:afterAutospacing="0"/>
        <w:rPr>
          <w:b/>
          <w:bCs/>
          <w:sz w:val="20"/>
          <w:szCs w:val="20"/>
        </w:rPr>
      </w:pPr>
      <w:r>
        <w:rPr>
          <w:b/>
          <w:bCs/>
          <w:sz w:val="20"/>
          <w:szCs w:val="20"/>
        </w:rPr>
        <w:t>The loss of any member of our senior management team could adverse</w:t>
      </w:r>
      <w:r>
        <w:rPr>
          <w:b/>
          <w:bCs/>
          <w:sz w:val="20"/>
          <w:szCs w:val="20"/>
        </w:rPr>
        <w:t>ly affect our business.</w:t>
      </w:r>
    </w:p>
    <w:p w:rsidR="00000000" w:rsidRDefault="00406BD4">
      <w:pPr>
        <w:pStyle w:val="a3"/>
        <w:spacing w:before="120" w:beforeAutospacing="0" w:after="0" w:afterAutospacing="0"/>
        <w:ind w:firstLine="556"/>
        <w:rPr>
          <w:sz w:val="20"/>
          <w:szCs w:val="20"/>
        </w:rPr>
      </w:pPr>
      <w:r>
        <w:rPr>
          <w:sz w:val="20"/>
          <w:szCs w:val="20"/>
        </w:rPr>
        <w:t>Our success depends in large part on the skills, experience and performance of our executive management team and others in key leadership positions, especially Ming Hsieh, our founder, Chief Executive Officer and Chairman of our boa</w:t>
      </w:r>
      <w:r>
        <w:rPr>
          <w:sz w:val="20"/>
          <w:szCs w:val="20"/>
        </w:rPr>
        <w:t>rd of directors, Paul Kim, our Chief Financial Officer, Dr. Han Lin Gao, our Chief Scientific Officer and Laboratory Director, and Jian Xie, our Chief Operating Officer. The continued efforts of these persons will be critical to us as we continue to develo</w:t>
      </w:r>
      <w:r>
        <w:rPr>
          <w:sz w:val="20"/>
          <w:szCs w:val="20"/>
        </w:rPr>
        <w:t xml:space="preserve">p our technologies and test processes and focus on growing our business. If we lose one or more key executives, we could experience difficulties maintaining our operations, including the ability to deliver reports to customers after review and approval by </w:t>
      </w:r>
      <w:r>
        <w:rPr>
          <w:sz w:val="20"/>
          <w:szCs w:val="20"/>
        </w:rPr>
        <w:t>a licensed and qualified laboratory director, competing effectively, advancing our technologies, developing new tests and implementing our business strategies. All of our executives and employees, including Messrs. Hsieh, Kim and Xie, and Dr. Gao, are at-w</w:t>
      </w:r>
      <w:r>
        <w:rPr>
          <w:sz w:val="20"/>
          <w:szCs w:val="20"/>
        </w:rPr>
        <w:t>ill, which means either we or the executive or employee may terminate their employment at any time. We do not carry key man insurance for any of our executives or other employees. In addition, we do not have long-term retention agreements in place with any</w:t>
      </w:r>
      <w:r>
        <w:rPr>
          <w:sz w:val="20"/>
          <w:szCs w:val="20"/>
        </w:rPr>
        <w:t xml:space="preserve"> of our executives or key employees.</w:t>
      </w:r>
    </w:p>
    <w:p w:rsidR="00000000" w:rsidRDefault="00406BD4">
      <w:pPr>
        <w:pStyle w:val="a3"/>
        <w:spacing w:before="240" w:beforeAutospacing="0" w:after="0" w:afterAutospacing="0"/>
        <w:jc w:val="center"/>
        <w:rPr>
          <w:sz w:val="20"/>
          <w:szCs w:val="20"/>
        </w:rPr>
      </w:pPr>
      <w:r>
        <w:rPr>
          <w:sz w:val="20"/>
          <w:szCs w:val="20"/>
        </w:rPr>
        <w:t>41</w:t>
      </w:r>
    </w:p>
    <w:p w:rsidR="00000000" w:rsidRDefault="00406BD4">
      <w:pPr>
        <w:rPr>
          <w:rFonts w:eastAsia="Times New Roman"/>
        </w:rPr>
      </w:pPr>
      <w:r>
        <w:rPr>
          <w:rFonts w:eastAsia="Times New Roman"/>
        </w:rPr>
        <w:pict>
          <v:rect id="_x0000_i1067"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360" w:beforeAutospacing="0" w:after="0" w:afterAutospacing="0"/>
        <w:rPr>
          <w:b/>
          <w:bCs/>
          <w:sz w:val="20"/>
          <w:szCs w:val="20"/>
        </w:rPr>
      </w:pPr>
      <w:r>
        <w:rPr>
          <w:b/>
          <w:bCs/>
          <w:sz w:val="20"/>
          <w:szCs w:val="20"/>
        </w:rPr>
        <w:t>We rely on highly skilled personne</w:t>
      </w:r>
      <w:r>
        <w:rPr>
          <w:b/>
          <w:bCs/>
          <w:sz w:val="20"/>
          <w:szCs w:val="20"/>
        </w:rPr>
        <w:t>l in a broad array of disciplines, and if we are unable to hire, retain or motivate these individuals, we may not be able to maintain the quality of our tests or grow our business.</w:t>
      </w:r>
    </w:p>
    <w:p w:rsidR="00000000" w:rsidRDefault="00406BD4">
      <w:pPr>
        <w:pStyle w:val="a3"/>
        <w:spacing w:before="120" w:beforeAutospacing="0" w:after="0" w:afterAutospacing="0"/>
        <w:ind w:firstLine="556"/>
        <w:rPr>
          <w:sz w:val="20"/>
          <w:szCs w:val="20"/>
        </w:rPr>
      </w:pPr>
      <w:r>
        <w:rPr>
          <w:sz w:val="20"/>
          <w:szCs w:val="20"/>
        </w:rPr>
        <w:t>Our business, including our research and development programs, laboratory o</w:t>
      </w:r>
      <w:r>
        <w:rPr>
          <w:sz w:val="20"/>
          <w:szCs w:val="20"/>
        </w:rPr>
        <w:t>perations and administrative functions, largely depends on our continued ability to identify, hire, train, motivate and retain highly skilled personnel for all areas of our organization, including biostatisticians, geneticists, software engineers, laborato</w:t>
      </w:r>
      <w:r>
        <w:rPr>
          <w:sz w:val="20"/>
          <w:szCs w:val="20"/>
        </w:rPr>
        <w:t>ry directors and specialists, sales and marketing experts and other scientific, technical and managerial personnel. Competition in our industry for qualified executives and other employees is intense, and we may not be able to attract or retain the qualifi</w:t>
      </w:r>
      <w:r>
        <w:rPr>
          <w:sz w:val="20"/>
          <w:szCs w:val="20"/>
        </w:rPr>
        <w:t>ed personnel we need to execute our business plans due to high levels of competition for these personnel among our competitors, other life science businesses, universities and public and private research institutions. In addition, our compensation arrangem</w:t>
      </w:r>
      <w:r>
        <w:rPr>
          <w:sz w:val="20"/>
          <w:szCs w:val="20"/>
        </w:rPr>
        <w:t>ents may not be successful in attracting new employees and retaining and motivating our existing employees. If we are not able to attract and retain the necessary personnel to accomplish our business objectives, we may experience constraints that could adv</w:t>
      </w:r>
      <w:r>
        <w:rPr>
          <w:sz w:val="20"/>
          <w:szCs w:val="20"/>
        </w:rPr>
        <w:t>ersely affect our ability to expand our business and support our clinical laboratory operations and our sales and marketing and research and development efforts, which would negatively affect our prospects for future growth and success.</w:t>
      </w:r>
    </w:p>
    <w:p w:rsidR="00000000" w:rsidRDefault="00406BD4">
      <w:pPr>
        <w:pStyle w:val="a3"/>
        <w:spacing w:before="360" w:beforeAutospacing="0" w:after="0" w:afterAutospacing="0"/>
        <w:rPr>
          <w:b/>
          <w:bCs/>
          <w:sz w:val="20"/>
          <w:szCs w:val="20"/>
        </w:rPr>
      </w:pPr>
      <w:r>
        <w:rPr>
          <w:b/>
          <w:bCs/>
          <w:sz w:val="20"/>
          <w:szCs w:val="20"/>
        </w:rPr>
        <w:t>Any inability to ob</w:t>
      </w:r>
      <w:r>
        <w:rPr>
          <w:b/>
          <w:bCs/>
          <w:sz w:val="20"/>
          <w:szCs w:val="20"/>
        </w:rPr>
        <w:t>tain additional capital when needed and on acceptable terms may limit our ability to execute our business plans.</w:t>
      </w:r>
    </w:p>
    <w:p w:rsidR="00000000" w:rsidRDefault="00406BD4">
      <w:pPr>
        <w:pStyle w:val="a3"/>
        <w:spacing w:before="120" w:beforeAutospacing="0" w:after="0" w:afterAutospacing="0"/>
        <w:ind w:firstLine="556"/>
        <w:rPr>
          <w:sz w:val="20"/>
          <w:szCs w:val="20"/>
        </w:rPr>
      </w:pPr>
      <w:r>
        <w:rPr>
          <w:sz w:val="20"/>
          <w:szCs w:val="20"/>
        </w:rPr>
        <w:t>We expect our capital expenditures and operating expenses to increase over the next several years as we seek to expand our infrastructure, sale</w:t>
      </w:r>
      <w:r>
        <w:rPr>
          <w:sz w:val="20"/>
          <w:szCs w:val="20"/>
        </w:rPr>
        <w:t>s and marketing and other commercial operations and research and development activities. We may seek to raise additional capital through securities offerings, credit facilities or other debt financings, asset sales or collaborations or licensing arrangemen</w:t>
      </w:r>
      <w:r>
        <w:rPr>
          <w:sz w:val="20"/>
          <w:szCs w:val="20"/>
        </w:rPr>
        <w:t>ts. Additional funding may not be available to us when needed, on acceptable terms or at all. For example, the COVID-19 pandemic has recently caused extreme disruption and volatility in the global capital markets, which could reduce our ability to access c</w:t>
      </w:r>
      <w:r>
        <w:rPr>
          <w:sz w:val="20"/>
          <w:szCs w:val="20"/>
        </w:rPr>
        <w:t>apital.</w:t>
      </w:r>
    </w:p>
    <w:p w:rsidR="00000000" w:rsidRDefault="00406BD4">
      <w:pPr>
        <w:pStyle w:val="a3"/>
        <w:spacing w:before="240" w:beforeAutospacing="0" w:after="0" w:afterAutospacing="0"/>
        <w:ind w:firstLine="556"/>
        <w:rPr>
          <w:sz w:val="20"/>
          <w:szCs w:val="20"/>
        </w:rPr>
      </w:pPr>
      <w:r>
        <w:rPr>
          <w:sz w:val="20"/>
          <w:szCs w:val="20"/>
        </w:rPr>
        <w:t>If we raise funds by issuing equity securities, our existing stockholders could experience substantial dilution. Additionally, any preferred stock we issue could provide for rights, preferences or privileges senior to those of our common stock, and</w:t>
      </w:r>
      <w:r>
        <w:rPr>
          <w:sz w:val="20"/>
          <w:szCs w:val="20"/>
        </w:rPr>
        <w:t xml:space="preserve"> our issuance of any additional equity securities, or the possibility of such an issuance, could cause the market price of our common stock to decline. The terms of any debt securities we issue or borrowings we incur, if available, could impose significant</w:t>
      </w:r>
      <w:r>
        <w:rPr>
          <w:sz w:val="20"/>
          <w:szCs w:val="20"/>
        </w:rPr>
        <w:t xml:space="preserve"> restrictions on our operations, such as limitations on our ability to incur additional debt or issue additional equity or other restrictions that could adversely affect our ability to conduct our business, and would result in increased fixed payment oblig</w:t>
      </w:r>
      <w:r>
        <w:rPr>
          <w:sz w:val="20"/>
          <w:szCs w:val="20"/>
        </w:rPr>
        <w:t>ations. If we seek to sell assets or enter into collaborations or licensing arrangements to raise capital, we may be required to accept unfavorable terms or relinquish or license to a third party our rights to important or valuable technologies or tests we</w:t>
      </w:r>
      <w:r>
        <w:rPr>
          <w:sz w:val="20"/>
          <w:szCs w:val="20"/>
        </w:rPr>
        <w:t xml:space="preserve"> may otherwise seek to develop ourselves. Moreover, we may incur substantial costs in pursuing future capital, including investment banking, legal and accounting fees, printing and distribution expenses and other similar costs. If we are not able to secure</w:t>
      </w:r>
      <w:r>
        <w:rPr>
          <w:sz w:val="20"/>
          <w:szCs w:val="20"/>
        </w:rPr>
        <w:t xml:space="preserve"> funding if and when needed and on reasonable terms, we may be forced to delay, reduce the scope of or eliminate one or more sales and marketing initiatives, research and development programs or other growth plans or strategies. In addition, we may be forc</w:t>
      </w:r>
      <w:r>
        <w:rPr>
          <w:sz w:val="20"/>
          <w:szCs w:val="20"/>
        </w:rPr>
        <w:t>ed to work with a partner on one or more aspects of our tests or market development programs or initiatives, which could lower the economic value to us of these tests, programs or initiatives. Any such outcome could significantly harm our business, perform</w:t>
      </w:r>
      <w:r>
        <w:rPr>
          <w:sz w:val="20"/>
          <w:szCs w:val="20"/>
        </w:rPr>
        <w:t>ance and prospects.</w:t>
      </w:r>
    </w:p>
    <w:p w:rsidR="00000000" w:rsidRDefault="00406BD4">
      <w:pPr>
        <w:pStyle w:val="a3"/>
        <w:spacing w:before="360" w:beforeAutospacing="0" w:after="0" w:afterAutospacing="0"/>
        <w:rPr>
          <w:b/>
          <w:bCs/>
          <w:sz w:val="20"/>
          <w:szCs w:val="20"/>
        </w:rPr>
      </w:pPr>
      <w:r>
        <w:rPr>
          <w:b/>
          <w:bCs/>
          <w:sz w:val="20"/>
          <w:szCs w:val="20"/>
        </w:rPr>
        <w:t>Use of net operating loss carryforwards may be limited and U.S. federal income tax reform could adversely affect us.</w:t>
      </w:r>
    </w:p>
    <w:p w:rsidR="00000000" w:rsidRDefault="00406BD4">
      <w:pPr>
        <w:pStyle w:val="a3"/>
        <w:spacing w:before="120" w:beforeAutospacing="0" w:after="0" w:afterAutospacing="0"/>
        <w:ind w:firstLine="556"/>
        <w:rPr>
          <w:sz w:val="20"/>
          <w:szCs w:val="20"/>
        </w:rPr>
      </w:pPr>
      <w:r>
        <w:rPr>
          <w:sz w:val="20"/>
          <w:szCs w:val="20"/>
        </w:rPr>
        <w:t xml:space="preserve">Our ability to utilize our net operating loss, or NOL, carryforwards and other tax attributes to offset future federal </w:t>
      </w:r>
      <w:r>
        <w:rPr>
          <w:sz w:val="20"/>
          <w:szCs w:val="20"/>
        </w:rPr>
        <w:t>or state taxable income or tax liabilities may be limited as a result of past ownership changes and other equity transactions that may have triggered the application of Sections 382 and 383 of the Internal Revenue Code, resulting in certain annual limitati</w:t>
      </w:r>
      <w:r>
        <w:rPr>
          <w:sz w:val="20"/>
          <w:szCs w:val="20"/>
        </w:rPr>
        <w:t>ons on the utilization of existing federal and state net operating losses and credits.  Such provisions may limit the potential future tax benefit to be realized by the Company from its accumulated net operating losses and credits. We have not determined t</w:t>
      </w:r>
      <w:r>
        <w:rPr>
          <w:sz w:val="20"/>
          <w:szCs w:val="20"/>
        </w:rPr>
        <w:t>he magnitude of the cumulative change in the ownership of our shares resulting from transactions involving our equity or resulting limitations, if any, on our ability to utilize our NOL carryforwards and other tax attributes. Even if there is no limitation</w:t>
      </w:r>
      <w:r>
        <w:rPr>
          <w:sz w:val="20"/>
          <w:szCs w:val="20"/>
        </w:rPr>
        <w:t xml:space="preserve"> on utilization of our NOL carryforwards as the result of an ownership change, the utilization of an NOL originating from a loss incurred in a year after 2017 is limited and may reduce taxable income in any post-2020 year by no more than 80% of the pre-NOL</w:t>
      </w:r>
      <w:r>
        <w:rPr>
          <w:sz w:val="20"/>
          <w:szCs w:val="20"/>
        </w:rPr>
        <w:t xml:space="preserve"> taxable income in such year. If we earn taxable income in a future year, such limitations on utilization of NOL could result in increased future tax liability to us and our future cash flows could be adversely affected. </w:t>
      </w:r>
    </w:p>
    <w:p w:rsidR="00000000" w:rsidRDefault="00406BD4">
      <w:pPr>
        <w:pStyle w:val="a3"/>
        <w:spacing w:before="240" w:beforeAutospacing="0" w:after="0" w:afterAutospacing="0"/>
        <w:jc w:val="center"/>
        <w:rPr>
          <w:sz w:val="20"/>
          <w:szCs w:val="20"/>
        </w:rPr>
      </w:pPr>
      <w:r>
        <w:rPr>
          <w:sz w:val="20"/>
          <w:szCs w:val="20"/>
        </w:rPr>
        <w:t>42</w:t>
      </w:r>
    </w:p>
    <w:p w:rsidR="00000000" w:rsidRDefault="00406BD4">
      <w:pPr>
        <w:rPr>
          <w:rFonts w:eastAsia="Times New Roman"/>
        </w:rPr>
      </w:pPr>
      <w:r>
        <w:rPr>
          <w:rFonts w:eastAsia="Times New Roman"/>
        </w:rPr>
        <w:pict>
          <v:rect id="_x0000_i1068"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240" w:beforeAutospacing="0" w:after="0" w:afterAutospacing="0"/>
        <w:ind w:firstLine="556"/>
        <w:rPr>
          <w:sz w:val="20"/>
          <w:szCs w:val="20"/>
        </w:rPr>
      </w:pPr>
      <w:r>
        <w:rPr>
          <w:sz w:val="20"/>
          <w:szCs w:val="20"/>
        </w:rPr>
        <w:t>New legislation or regulation which could affect our tax burden could be enacted by any governmental aut</w:t>
      </w:r>
      <w:r>
        <w:rPr>
          <w:sz w:val="20"/>
          <w:szCs w:val="20"/>
        </w:rPr>
        <w:t>hority. We cannot predict the timing or extent of such tax-related developments which could have a negative impact on our financial results. U.S. federal legislation affecting the tax laws was enacted in December 2017 (the Tax Cuts and Jobs Act or TCJA); a</w:t>
      </w:r>
      <w:r>
        <w:rPr>
          <w:sz w:val="20"/>
          <w:szCs w:val="20"/>
        </w:rPr>
        <w:t xml:space="preserve">nd twice in March, 2020, first in the Families First Coronavirus Response Act, or FFCR Act, and again in the CARES Act. We cannot estimate how the changes in tax law from this legislation will affect our tax liability in future years, but we have recorded </w:t>
      </w:r>
      <w:r>
        <w:rPr>
          <w:sz w:val="20"/>
          <w:szCs w:val="20"/>
        </w:rPr>
        <w:t>a full valuation allowance related to our NOLs and other deferred tax assets due to the uncertainty of the ultimate realization of the future benefits of those assets.</w:t>
      </w:r>
    </w:p>
    <w:p w:rsidR="00000000" w:rsidRDefault="00406BD4">
      <w:pPr>
        <w:pStyle w:val="a3"/>
        <w:spacing w:before="240" w:beforeAutospacing="0" w:after="0" w:afterAutospacing="0"/>
        <w:ind w:firstLine="556"/>
        <w:rPr>
          <w:sz w:val="20"/>
          <w:szCs w:val="20"/>
        </w:rPr>
      </w:pPr>
      <w:r>
        <w:rPr>
          <w:sz w:val="20"/>
          <w:szCs w:val="20"/>
        </w:rPr>
        <w:t>Additionally, we use our best judgment in attempting to quantify and reserve for these t</w:t>
      </w:r>
      <w:r>
        <w:rPr>
          <w:sz w:val="20"/>
          <w:szCs w:val="20"/>
        </w:rPr>
        <w:t>ax obligations. However, a challenge by a taxing authority, our ability to utilize tax benefits such as carryforwards or tax credits, or a deviation from other tax-related assumptions may cause actual financial results to deviate from previous estimates.</w:t>
      </w:r>
    </w:p>
    <w:p w:rsidR="00000000" w:rsidRDefault="00406BD4">
      <w:pPr>
        <w:pStyle w:val="a3"/>
        <w:spacing w:before="360" w:beforeAutospacing="0" w:after="0" w:afterAutospacing="0"/>
        <w:rPr>
          <w:b/>
          <w:bCs/>
          <w:sz w:val="20"/>
          <w:szCs w:val="20"/>
        </w:rPr>
      </w:pPr>
      <w:r>
        <w:rPr>
          <w:b/>
          <w:bCs/>
          <w:sz w:val="20"/>
          <w:szCs w:val="20"/>
        </w:rPr>
        <w:t>W</w:t>
      </w:r>
      <w:r>
        <w:rPr>
          <w:b/>
          <w:bCs/>
          <w:sz w:val="20"/>
          <w:szCs w:val="20"/>
        </w:rPr>
        <w:t xml:space="preserve">e may acquire businesses or assets, form joint ventures, make investments in other companies or technologies or establish other strategic relationships, any of which could harm our operating results, dilute our stockholders’ ownership or cause us to incur </w:t>
      </w:r>
      <w:r>
        <w:rPr>
          <w:b/>
          <w:bCs/>
          <w:sz w:val="20"/>
          <w:szCs w:val="20"/>
        </w:rPr>
        <w:t>debt or significant expense.</w:t>
      </w:r>
    </w:p>
    <w:p w:rsidR="00000000" w:rsidRDefault="00406BD4">
      <w:pPr>
        <w:pStyle w:val="a3"/>
        <w:spacing w:before="120" w:beforeAutospacing="0" w:after="0" w:afterAutospacing="0"/>
        <w:ind w:firstLine="556"/>
        <w:rPr>
          <w:sz w:val="20"/>
          <w:szCs w:val="20"/>
        </w:rPr>
      </w:pPr>
      <w:r>
        <w:rPr>
          <w:sz w:val="20"/>
          <w:szCs w:val="20"/>
        </w:rPr>
        <w:t>As part of our business strategy, we may pursue acquisitions of complementary businesses or assets, investments in other companies, such as our recent investment in BostonMolecules, technology licensing arrangements, joint vent</w:t>
      </w:r>
      <w:r>
        <w:rPr>
          <w:sz w:val="20"/>
          <w:szCs w:val="20"/>
        </w:rPr>
        <w:t>ures or other strategic relationships. As an organization, we have limited experience with respect to acquisitions, investments or the formation of strategic relationships or joint ventures. If we make acquisitions in the future, we may not be able to succ</w:t>
      </w:r>
      <w:r>
        <w:rPr>
          <w:sz w:val="20"/>
          <w:szCs w:val="20"/>
        </w:rPr>
        <w:t>essfully integrate the acquired businesses or technologies into our existing operations, we could assume unknown or contingent liabilities and we could be forced to record significant write-offs or incur debt as a result of the acquisitions, any of which c</w:t>
      </w:r>
      <w:r>
        <w:rPr>
          <w:sz w:val="20"/>
          <w:szCs w:val="20"/>
        </w:rPr>
        <w:t>ould harm our operating results. Further, integration of an acquired business or technology could involve significant difficulties, and could require management and capital resources that otherwise would be available for ongoing development of our existing</w:t>
      </w:r>
      <w:r>
        <w:rPr>
          <w:sz w:val="20"/>
          <w:szCs w:val="20"/>
        </w:rPr>
        <w:t xml:space="preserve"> business or pursuit of other opportunities. If we pursue relationships with pharmaceutical companies or other strategic relationships, our ability to establish and maintain these relationships could be challenging due to several factors, including competi</w:t>
      </w:r>
      <w:r>
        <w:rPr>
          <w:sz w:val="20"/>
          <w:szCs w:val="20"/>
        </w:rPr>
        <w:t>tion with other genetic testing companies and internal and external constraints placed on pharmaceutical and other organizations that limit the number and type of relationships they can establish with companies like ours. Moreover, we may not be able to id</w:t>
      </w:r>
      <w:r>
        <w:rPr>
          <w:sz w:val="20"/>
          <w:szCs w:val="20"/>
        </w:rPr>
        <w:t xml:space="preserve">entify or complete any acquisition, investment, technology license, joint venture or other strategic relationship in a timely manner, on a cost-effective basis or at all, and we may not realize the anticipated benefits of any such transaction sufficiently </w:t>
      </w:r>
      <w:r>
        <w:rPr>
          <w:sz w:val="20"/>
          <w:szCs w:val="20"/>
        </w:rPr>
        <w:t>to recoup our costs.</w:t>
      </w:r>
    </w:p>
    <w:p w:rsidR="00000000" w:rsidRDefault="00406BD4">
      <w:pPr>
        <w:pStyle w:val="a3"/>
        <w:spacing w:before="240" w:beforeAutospacing="0" w:after="0" w:afterAutospacing="0"/>
        <w:ind w:firstLine="556"/>
        <w:rPr>
          <w:sz w:val="20"/>
          <w:szCs w:val="20"/>
        </w:rPr>
      </w:pPr>
      <w:r>
        <w:rPr>
          <w:sz w:val="20"/>
          <w:szCs w:val="20"/>
        </w:rPr>
        <w:t xml:space="preserve">To finance any acquisitions, investments, joint ventures or other strategic relationships, we may seek to raise additional funds through securities offerings, credit facilities, asset sales or collaborations or licensing arrangements. </w:t>
      </w:r>
      <w:r>
        <w:rPr>
          <w:sz w:val="20"/>
          <w:szCs w:val="20"/>
        </w:rPr>
        <w:t>Each of these methods of fundraising is subject to a variety of risks, including those discussed above under “—Any inability to obtain additional capital when needed and on acceptable terms may limit our ability to execute our business plans.” Further, add</w:t>
      </w:r>
      <w:r>
        <w:rPr>
          <w:sz w:val="20"/>
          <w:szCs w:val="20"/>
        </w:rPr>
        <w:t>itional funds from capital-raising transactions may not be available when needed, on acceptable terms or at all. Any inability to fund any acquisitions, investments or strategic relationships we pursue could cause us to forfeit opportunities we believe are</w:t>
      </w:r>
      <w:r>
        <w:rPr>
          <w:sz w:val="20"/>
          <w:szCs w:val="20"/>
        </w:rPr>
        <w:t xml:space="preserve"> promising or valuable, which could harm our prospects.</w:t>
      </w:r>
    </w:p>
    <w:p w:rsidR="00000000" w:rsidRDefault="00406BD4">
      <w:pPr>
        <w:pStyle w:val="a3"/>
        <w:spacing w:before="360" w:beforeAutospacing="0" w:after="0" w:afterAutospacing="0"/>
        <w:rPr>
          <w:b/>
          <w:bCs/>
          <w:sz w:val="20"/>
          <w:szCs w:val="20"/>
        </w:rPr>
      </w:pPr>
      <w:r>
        <w:rPr>
          <w:b/>
          <w:bCs/>
          <w:sz w:val="20"/>
          <w:szCs w:val="20"/>
        </w:rPr>
        <w:t>We depend on our information technology systems and any failure of these systems, due to hardware or software malfunctions, delays in operation, and/or failures to implement new or enhanced systems or cybersecurity breaches, could harm our business.</w:t>
      </w:r>
    </w:p>
    <w:p w:rsidR="00000000" w:rsidRDefault="00406BD4">
      <w:pPr>
        <w:pStyle w:val="a3"/>
        <w:spacing w:before="120" w:beforeAutospacing="0" w:after="0" w:afterAutospacing="0"/>
        <w:ind w:firstLine="556"/>
        <w:rPr>
          <w:sz w:val="20"/>
          <w:szCs w:val="20"/>
        </w:rPr>
      </w:pPr>
      <w:r>
        <w:rPr>
          <w:sz w:val="20"/>
          <w:szCs w:val="20"/>
        </w:rPr>
        <w:t>We dep</w:t>
      </w:r>
      <w:r>
        <w:rPr>
          <w:sz w:val="20"/>
          <w:szCs w:val="20"/>
        </w:rPr>
        <w:t xml:space="preserve">end on information technology and telecommunications systems for significant elements of our operations, such as our laboratory information management systems, including test validation, specimen tracking and quality control; our bioinformatics analytical </w:t>
      </w:r>
      <w:r>
        <w:rPr>
          <w:sz w:val="20"/>
          <w:szCs w:val="20"/>
        </w:rPr>
        <w:t>software systems; our reference library of information relating to genetic variants and their role in disease; personal information storage, maintenance and transmission; our customer-facing web-based software and customer service functions; our report pro</w:t>
      </w:r>
      <w:r>
        <w:rPr>
          <w:sz w:val="20"/>
          <w:szCs w:val="20"/>
        </w:rPr>
        <w:t>duction systems; our billing and reimbursement procedures; our scientific and medical data analysis and other research and development activities and programs; and our general and administrative activities, including disclosure controls, internal control o</w:t>
      </w:r>
      <w:r>
        <w:rPr>
          <w:sz w:val="20"/>
          <w:szCs w:val="20"/>
        </w:rPr>
        <w:t>ver financial reporting and other public reporting functions. In addition, our third-party service providers depend on technology and telecommunications systems in order to provide contracted services for us. We expect we will need to continue to expand an</w:t>
      </w:r>
      <w:r>
        <w:rPr>
          <w:sz w:val="20"/>
          <w:szCs w:val="20"/>
        </w:rPr>
        <w:t>d strengthen a number of enterprise software systems that affect a broad range of business processes and functions, particularly if and as our operations grow, including, for example, systems handling human resources, financial and other disclosure control</w:t>
      </w:r>
      <w:r>
        <w:rPr>
          <w:sz w:val="20"/>
          <w:szCs w:val="20"/>
        </w:rPr>
        <w:t>s and reporting, customer relationship management, regulatory compliance, security controls and other infrastructure functions.</w:t>
      </w:r>
    </w:p>
    <w:p w:rsidR="00000000" w:rsidRDefault="00406BD4">
      <w:pPr>
        <w:pStyle w:val="a3"/>
        <w:spacing w:before="240" w:beforeAutospacing="0" w:after="0" w:afterAutospacing="0"/>
        <w:jc w:val="center"/>
        <w:rPr>
          <w:sz w:val="20"/>
          <w:szCs w:val="20"/>
        </w:rPr>
      </w:pPr>
      <w:r>
        <w:rPr>
          <w:sz w:val="20"/>
          <w:szCs w:val="20"/>
        </w:rPr>
        <w:t>43</w:t>
      </w:r>
    </w:p>
    <w:p w:rsidR="00000000" w:rsidRDefault="00406BD4">
      <w:pPr>
        <w:rPr>
          <w:rFonts w:eastAsia="Times New Roman"/>
        </w:rPr>
      </w:pPr>
      <w:r>
        <w:rPr>
          <w:rFonts w:eastAsia="Times New Roman"/>
        </w:rPr>
        <w:pict>
          <v:rect id="_x0000_i1069"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240" w:beforeAutospacing="0" w:after="0" w:afterAutospacing="0"/>
        <w:ind w:firstLine="556"/>
        <w:rPr>
          <w:sz w:val="20"/>
          <w:szCs w:val="20"/>
        </w:rPr>
      </w:pPr>
      <w:r>
        <w:rPr>
          <w:sz w:val="20"/>
          <w:szCs w:val="20"/>
        </w:rPr>
        <w:t>Information technology and telecommunications systems are vulnerable to disruption and damage from a variety of sources, including power outages and other telecommunications or network failures, nat</w:t>
      </w:r>
      <w:r>
        <w:rPr>
          <w:sz w:val="20"/>
          <w:szCs w:val="20"/>
        </w:rPr>
        <w:t xml:space="preserve">ural disasters, and the outbreak of war or acts of terrorism. Moreover, despite network security and back-up measures, our servers and other electronic systems are potentially vulnerable to cybersecurity breaches, such as physical or electronic break-ins, </w:t>
      </w:r>
      <w:r>
        <w:rPr>
          <w:sz w:val="20"/>
          <w:szCs w:val="20"/>
        </w:rPr>
        <w:t>computer viruses and similar disruptive events. Despite the precautionary measures we have taken to detect and prevent or solve problems that could affect our information technology and telecommunications systems, there may be significant downtime or failu</w:t>
      </w:r>
      <w:r>
        <w:rPr>
          <w:sz w:val="20"/>
          <w:szCs w:val="20"/>
        </w:rPr>
        <w:t>res of these systems or those used by our third-party service providers. Any such downtime or failure could prevent us from conducting tests, preparing and providing reports to customers, billing payors, responding to customer inquiries, conducting researc</w:t>
      </w:r>
      <w:r>
        <w:rPr>
          <w:sz w:val="20"/>
          <w:szCs w:val="20"/>
        </w:rPr>
        <w:t>h and development activities, maintaining our financial and disclosure controls and other reporting functions and managing the administrative aspects of our business. Moreover, any such downtime or failure could force us to transfer data collection operati</w:t>
      </w:r>
      <w:r>
        <w:rPr>
          <w:sz w:val="20"/>
          <w:szCs w:val="20"/>
        </w:rPr>
        <w:t>ons to an alternate provider of server-hosting services, which could involve significant costs and result in further delays in our ability to conduct tests, deliver reports to our customers and otherwise manage our operations. Further, although we carry pr</w:t>
      </w:r>
      <w:r>
        <w:rPr>
          <w:sz w:val="20"/>
          <w:szCs w:val="20"/>
        </w:rPr>
        <w:t>operty and business interruption insurance, the coverage may not be adequate to compensate for all losses that may occur in the event of system downtime or failure. Any such disruption or loss of information technology or telecommunications systems on whic</w:t>
      </w:r>
      <w:r>
        <w:rPr>
          <w:sz w:val="20"/>
          <w:szCs w:val="20"/>
        </w:rPr>
        <w:t>h critical aspects of our operations depend could have a material adverse effect on our business and our reputation.</w:t>
      </w:r>
    </w:p>
    <w:p w:rsidR="00000000" w:rsidRDefault="00406BD4">
      <w:pPr>
        <w:pStyle w:val="a3"/>
        <w:spacing w:before="240" w:beforeAutospacing="0" w:after="0" w:afterAutospacing="0"/>
        <w:ind w:firstLine="556"/>
        <w:rPr>
          <w:sz w:val="20"/>
          <w:szCs w:val="20"/>
        </w:rPr>
      </w:pPr>
      <w:bookmarkStart w:id="51" w:name="_DV_C37"/>
      <w:bookmarkEnd w:id="51"/>
      <w:r>
        <w:rPr>
          <w:sz w:val="20"/>
          <w:szCs w:val="20"/>
        </w:rPr>
        <w:t xml:space="preserve">Additionally, if and as our business grows, we will need to continually improve and expand the scope of our technology systems in order to </w:t>
      </w:r>
      <w:r>
        <w:rPr>
          <w:sz w:val="20"/>
          <w:szCs w:val="20"/>
        </w:rPr>
        <w:t>maintain their adequacy for the scale of our operations. Any failure to make such improvements or any significant delay in the planned implementation of new or enhanced systems could render our systems obsolete or inadequate, in which case our service to o</w:t>
      </w:r>
      <w:r>
        <w:rPr>
          <w:sz w:val="20"/>
          <w:szCs w:val="20"/>
        </w:rPr>
        <w:t>ur customers and our other business activities could suffer and we could be more vulnerable to electronic breaches from outside sources.</w:t>
      </w:r>
      <w:r>
        <w:rPr>
          <w:color w:val="0000FF"/>
          <w:sz w:val="20"/>
          <w:szCs w:val="20"/>
        </w:rPr>
        <w:t xml:space="preserve"> </w:t>
      </w:r>
    </w:p>
    <w:p w:rsidR="00000000" w:rsidRDefault="00406BD4">
      <w:pPr>
        <w:pStyle w:val="a3"/>
        <w:spacing w:before="360" w:beforeAutospacing="0" w:after="0" w:afterAutospacing="0"/>
        <w:rPr>
          <w:b/>
          <w:bCs/>
          <w:sz w:val="20"/>
          <w:szCs w:val="20"/>
        </w:rPr>
      </w:pPr>
      <w:r>
        <w:rPr>
          <w:b/>
          <w:bCs/>
          <w:sz w:val="20"/>
          <w:szCs w:val="20"/>
        </w:rPr>
        <w:t>We rely on commercial courier delivery services to transport specimens to our laboratory facilities in a timely and co</w:t>
      </w:r>
      <w:r>
        <w:rPr>
          <w:b/>
          <w:bCs/>
          <w:sz w:val="20"/>
          <w:szCs w:val="20"/>
        </w:rPr>
        <w:t>st-efficient manner, and if these delivery services are disrupted, our business would be harmed.</w:t>
      </w:r>
    </w:p>
    <w:p w:rsidR="00000000" w:rsidRDefault="00406BD4">
      <w:pPr>
        <w:pStyle w:val="a3"/>
        <w:spacing w:before="120" w:beforeAutospacing="0" w:after="0" w:afterAutospacing="0"/>
        <w:ind w:firstLine="556"/>
        <w:rPr>
          <w:sz w:val="20"/>
          <w:szCs w:val="20"/>
        </w:rPr>
      </w:pPr>
      <w:r>
        <w:rPr>
          <w:sz w:val="20"/>
          <w:szCs w:val="20"/>
        </w:rPr>
        <w:t>Our business depends on our ability to quickly and reliably deliver test results to our customers. We typically receive specimens from customers within days of</w:t>
      </w:r>
      <w:r>
        <w:rPr>
          <w:sz w:val="20"/>
          <w:szCs w:val="20"/>
        </w:rPr>
        <w:t xml:space="preserve"> shipment, or in some cases overnight, for analysis at our laboratory facilities. Disruptions in delivery service, whether due to labor disruptions, bad weather, natural disasters, pandemics or epidemics, terrorist acts or threats or for other reasons, cou</w:t>
      </w:r>
      <w:r>
        <w:rPr>
          <w:sz w:val="20"/>
          <w:szCs w:val="20"/>
        </w:rPr>
        <w:t>ld adversely affect specimen integrity and our ability to process specimens in a timely manner and otherwise service our customers, and ultimately our reputation and our business. In addition, if we are unable to continue to obtain expedited delivery servi</w:t>
      </w:r>
      <w:r>
        <w:rPr>
          <w:sz w:val="20"/>
          <w:szCs w:val="20"/>
        </w:rPr>
        <w:t>ces on commercially reasonable terms, our operating results may be adversely affected.</w:t>
      </w:r>
    </w:p>
    <w:p w:rsidR="00000000" w:rsidRDefault="00406BD4">
      <w:pPr>
        <w:pStyle w:val="a3"/>
        <w:spacing w:before="360" w:beforeAutospacing="0" w:after="0" w:afterAutospacing="0"/>
        <w:rPr>
          <w:b/>
          <w:bCs/>
          <w:sz w:val="20"/>
          <w:szCs w:val="20"/>
        </w:rPr>
      </w:pPr>
      <w:r>
        <w:rPr>
          <w:b/>
          <w:bCs/>
          <w:sz w:val="20"/>
          <w:szCs w:val="20"/>
        </w:rPr>
        <w:t>If we are unable to maintain effective internal control over financial reporting, investors could lose confidence in the accuracy and completeness of our reported financ</w:t>
      </w:r>
      <w:r>
        <w:rPr>
          <w:b/>
          <w:bCs/>
          <w:sz w:val="20"/>
          <w:szCs w:val="20"/>
        </w:rPr>
        <w:t>ial information and the market price of our common stock could decline.</w:t>
      </w:r>
    </w:p>
    <w:p w:rsidR="00000000" w:rsidRDefault="00406BD4">
      <w:pPr>
        <w:pStyle w:val="a3"/>
        <w:spacing w:before="120" w:beforeAutospacing="0" w:after="0" w:afterAutospacing="0"/>
        <w:ind w:firstLine="556"/>
        <w:rPr>
          <w:sz w:val="20"/>
          <w:szCs w:val="20"/>
        </w:rPr>
      </w:pPr>
      <w:r>
        <w:rPr>
          <w:sz w:val="20"/>
          <w:szCs w:val="20"/>
        </w:rPr>
        <w:t>We are required to maintain internal control over financial reporting and report any material weaknesses in these internal controls. Section 404 of the Sarbanes-Oxley Act requires that</w:t>
      </w:r>
      <w:r>
        <w:rPr>
          <w:sz w:val="20"/>
          <w:szCs w:val="20"/>
        </w:rPr>
        <w:t xml:space="preserve"> we evaluate and determine the effectiveness of our internal control over financial reporting and annually provide a management report on these internal controls. Although we have implemented systems, processes and controls and performed this evaluation as</w:t>
      </w:r>
      <w:r>
        <w:rPr>
          <w:sz w:val="20"/>
          <w:szCs w:val="20"/>
        </w:rPr>
        <w:t xml:space="preserve"> of the end of 2019, we will need to maintain and enhance these controls if and as we grow, and we may need to hire additional personnel and devote more resources to our financial reporting function in order to do so.</w:t>
      </w:r>
    </w:p>
    <w:p w:rsidR="00000000" w:rsidRDefault="00406BD4">
      <w:pPr>
        <w:pStyle w:val="a3"/>
        <w:spacing w:before="240" w:beforeAutospacing="0" w:after="0" w:afterAutospacing="0"/>
        <w:ind w:firstLine="556"/>
        <w:rPr>
          <w:sz w:val="20"/>
          <w:szCs w:val="20"/>
        </w:rPr>
      </w:pPr>
      <w:r>
        <w:rPr>
          <w:sz w:val="20"/>
          <w:szCs w:val="20"/>
        </w:rPr>
        <w:t>If we identify one or more material we</w:t>
      </w:r>
      <w:r>
        <w:rPr>
          <w:sz w:val="20"/>
          <w:szCs w:val="20"/>
        </w:rPr>
        <w:t>aknesses during the process of annually evaluating our internal controls, we may not detect errors on a timely basis and our financial statements may be materially misstated. In addition, in that event, our management would be unable to conclude that our i</w:t>
      </w:r>
      <w:r>
        <w:rPr>
          <w:sz w:val="20"/>
          <w:szCs w:val="20"/>
        </w:rPr>
        <w:t xml:space="preserve">nternal control over financial reporting is effective. Further, when we are no longer an emerging growth company or when and if we become a large accelerated filer or accelerated filer, our independent registered public accounting firm will be required to </w:t>
      </w:r>
      <w:r>
        <w:rPr>
          <w:sz w:val="20"/>
          <w:szCs w:val="20"/>
        </w:rPr>
        <w:t xml:space="preserve">issue an attestation report on the effectiveness of our internal control over financial reporting. When that occurs, our independent registered public accounting firm may conclude that there are material weaknesses in our internal controls or the level at </w:t>
      </w:r>
      <w:r>
        <w:rPr>
          <w:sz w:val="20"/>
          <w:szCs w:val="20"/>
        </w:rPr>
        <w:t>which our internal controls are documented, designed, implemented or reviewed even if our management concludes that our internal control over financial reporting is effective.</w:t>
      </w:r>
    </w:p>
    <w:p w:rsidR="00000000" w:rsidRDefault="00406BD4">
      <w:pPr>
        <w:pStyle w:val="a3"/>
        <w:spacing w:before="240" w:beforeAutospacing="0" w:after="0" w:afterAutospacing="0"/>
        <w:ind w:firstLine="556"/>
        <w:rPr>
          <w:sz w:val="20"/>
          <w:szCs w:val="20"/>
        </w:rPr>
      </w:pPr>
      <w:r>
        <w:rPr>
          <w:sz w:val="20"/>
          <w:szCs w:val="20"/>
        </w:rPr>
        <w:t xml:space="preserve">If we or our auditors were to conclude that our internal control over financial </w:t>
      </w:r>
      <w:r>
        <w:rPr>
          <w:sz w:val="20"/>
          <w:szCs w:val="20"/>
        </w:rPr>
        <w:t>reporting was not effective because one or more material weaknesses had been identified or if internal control deficiencies result in the restatement of our financial results, investors could lose confidence in the accuracy and completeness of our financia</w:t>
      </w:r>
      <w:r>
        <w:rPr>
          <w:sz w:val="20"/>
          <w:szCs w:val="20"/>
        </w:rPr>
        <w:t>l disclosures and the price of our common stock could decline.</w:t>
      </w:r>
    </w:p>
    <w:p w:rsidR="00000000" w:rsidRDefault="00406BD4">
      <w:pPr>
        <w:pStyle w:val="a3"/>
        <w:spacing w:before="240" w:beforeAutospacing="0" w:after="0" w:afterAutospacing="0"/>
        <w:jc w:val="center"/>
        <w:rPr>
          <w:sz w:val="20"/>
          <w:szCs w:val="20"/>
        </w:rPr>
      </w:pPr>
      <w:r>
        <w:rPr>
          <w:sz w:val="20"/>
          <w:szCs w:val="20"/>
        </w:rPr>
        <w:t>44</w:t>
      </w:r>
    </w:p>
    <w:p w:rsidR="00000000" w:rsidRDefault="00406BD4">
      <w:pPr>
        <w:rPr>
          <w:rFonts w:eastAsia="Times New Roman"/>
        </w:rPr>
      </w:pPr>
      <w:r>
        <w:rPr>
          <w:rFonts w:eastAsia="Times New Roman"/>
        </w:rPr>
        <w:pict>
          <v:rect id="_x0000_i1070"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360" w:beforeAutospacing="0" w:after="0" w:afterAutospacing="0"/>
        <w:rPr>
          <w:b/>
          <w:bCs/>
          <w:sz w:val="20"/>
          <w:szCs w:val="20"/>
        </w:rPr>
      </w:pPr>
      <w:r>
        <w:rPr>
          <w:b/>
          <w:bCs/>
          <w:sz w:val="20"/>
          <w:szCs w:val="20"/>
        </w:rPr>
        <w:t>Our disclosure controls and procedures may not prevent or detect all errors or acts of fraud.</w:t>
      </w:r>
    </w:p>
    <w:p w:rsidR="00000000" w:rsidRDefault="00406BD4">
      <w:pPr>
        <w:pStyle w:val="a3"/>
        <w:spacing w:before="120" w:beforeAutospacing="0" w:after="0" w:afterAutospacing="0"/>
        <w:ind w:firstLine="556"/>
        <w:rPr>
          <w:sz w:val="20"/>
          <w:szCs w:val="20"/>
        </w:rPr>
      </w:pPr>
      <w:r>
        <w:rPr>
          <w:sz w:val="20"/>
          <w:szCs w:val="20"/>
        </w:rPr>
        <w:t>We are subject to the periodic reporting and other r</w:t>
      </w:r>
      <w:r>
        <w:rPr>
          <w:sz w:val="20"/>
          <w:szCs w:val="20"/>
        </w:rPr>
        <w:t xml:space="preserve">equirements of the </w:t>
      </w:r>
      <w:r>
        <w:rPr>
          <w:color w:val="000000"/>
          <w:sz w:val="20"/>
          <w:szCs w:val="20"/>
        </w:rPr>
        <w:t xml:space="preserve">Securities Exchange Act of 1934, as amended, or the </w:t>
      </w:r>
      <w:r>
        <w:rPr>
          <w:sz w:val="20"/>
          <w:szCs w:val="20"/>
        </w:rPr>
        <w:t>Exchange Act. We have implemented disclosure controls and procedures designed to provide reasonable assurance that information we must disclose in reports we file or submit under the Ex</w:t>
      </w:r>
      <w:r>
        <w:rPr>
          <w:sz w:val="20"/>
          <w:szCs w:val="20"/>
        </w:rPr>
        <w:t>change Act is accumulated and communicated to management and recorded, processed, summarized and reported within the time periods specified in the rules and forms of the SEC. However, any disclosure controls and procedures, no matter how well-conceived and</w:t>
      </w:r>
      <w:r>
        <w:rPr>
          <w:sz w:val="20"/>
          <w:szCs w:val="20"/>
        </w:rPr>
        <w:t xml:space="preserve"> operated, can provide only reasonable, not absolute, assurance that the objectives of the control system are met. These inherent limitations include the realities that judgments in decision-making can be faulty and that breakdowns can occur because of sim</w:t>
      </w:r>
      <w:r>
        <w:rPr>
          <w:sz w:val="20"/>
          <w:szCs w:val="20"/>
        </w:rPr>
        <w:t xml:space="preserve">ple errors or mistakes. Additionally, controls can be circumvented by the individual acts of some persons, by collusion of two or more people or by an unauthorized override of the controls. As a result, because of these inherent limitations in our control </w:t>
      </w:r>
      <w:r>
        <w:rPr>
          <w:sz w:val="20"/>
          <w:szCs w:val="20"/>
        </w:rPr>
        <w:t>system, misstatements or omissions due to error or fraud may occur and may not be detected, which could result in failures to file required reports in a timely manner and filing reports containing incorrect information. Any of these outcomes could result i</w:t>
      </w:r>
      <w:r>
        <w:rPr>
          <w:sz w:val="20"/>
          <w:szCs w:val="20"/>
        </w:rPr>
        <w:t>n SEC enforcement actions, monetary fines or other penalties, damage to our reputation and harm to our financial condition and stock price.</w:t>
      </w:r>
    </w:p>
    <w:p w:rsidR="00000000" w:rsidRDefault="00406BD4">
      <w:pPr>
        <w:pStyle w:val="a3"/>
        <w:spacing w:before="360" w:beforeAutospacing="0" w:after="0" w:afterAutospacing="0"/>
        <w:rPr>
          <w:b/>
          <w:bCs/>
          <w:sz w:val="20"/>
          <w:szCs w:val="20"/>
        </w:rPr>
      </w:pPr>
      <w:r>
        <w:rPr>
          <w:b/>
          <w:bCs/>
          <w:sz w:val="20"/>
          <w:szCs w:val="20"/>
        </w:rPr>
        <w:t>We may elect to comply with reduced public company reporting requirements available to us because we are an emerging</w:t>
      </w:r>
      <w:r>
        <w:rPr>
          <w:b/>
          <w:bCs/>
          <w:sz w:val="20"/>
          <w:szCs w:val="20"/>
        </w:rPr>
        <w:t xml:space="preserve"> growth company and a smaller reporting company, which could make our common stock less attractive to investors.</w:t>
      </w:r>
    </w:p>
    <w:p w:rsidR="00000000" w:rsidRDefault="00406BD4">
      <w:pPr>
        <w:pStyle w:val="a3"/>
        <w:spacing w:before="120" w:beforeAutospacing="0" w:after="0" w:afterAutospacing="0"/>
        <w:ind w:firstLine="556"/>
        <w:rPr>
          <w:sz w:val="20"/>
          <w:szCs w:val="20"/>
        </w:rPr>
      </w:pPr>
      <w:r>
        <w:rPr>
          <w:sz w:val="20"/>
          <w:szCs w:val="20"/>
        </w:rPr>
        <w:t>We are an emerging growth company, as defined in the Jumpstart Our Business Startups Act of 2012, as amended, or JOBS Act, and we will remain a</w:t>
      </w:r>
      <w:r>
        <w:rPr>
          <w:sz w:val="20"/>
          <w:szCs w:val="20"/>
        </w:rPr>
        <w:t>n emerging growth company until December 31, 2021, unless, before that date, our gross revenue exceeds $1.07 billion in any fiscal year, we issue more than $1.0 billion of non-convertible debt in any three-year period or the market value of our common stoc</w:t>
      </w:r>
      <w:r>
        <w:rPr>
          <w:sz w:val="20"/>
          <w:szCs w:val="20"/>
        </w:rPr>
        <w:t>k held by non-affiliates exceeds $700 million as of the last business day of the second fiscal quarter of any fiscal year. In addition, we are a smaller reporting company, as defined in applicable SEC rules, and we will remain a smaller reporting company u</w:t>
      </w:r>
      <w:r>
        <w:rPr>
          <w:sz w:val="20"/>
          <w:szCs w:val="20"/>
        </w:rPr>
        <w:t>ntil the market value of our common stock held by non-affiliates, or public float, equals or exceeds $250 million. When and if our public float exceeds $250 million, we may still qualify to report as a smaller reporting company provided our public float is</w:t>
      </w:r>
      <w:r>
        <w:rPr>
          <w:sz w:val="20"/>
          <w:szCs w:val="20"/>
        </w:rPr>
        <w:t xml:space="preserve"> less than $700 million and our annual revenues are less than $100 million for the year preceding the date of determination. As an emerging growth company and smaller reporting company, we are eligible for exemptions from certain reporting requirements app</w:t>
      </w:r>
      <w:r>
        <w:rPr>
          <w:sz w:val="20"/>
          <w:szCs w:val="20"/>
        </w:rPr>
        <w:t>licable to other public companies, including, reduced financial statement and other financial disclosure requirements in registration statements and periodic reports we file, reduced disclosure obligations regarding executive compensation and, so long as w</w:t>
      </w:r>
      <w:r>
        <w:rPr>
          <w:sz w:val="20"/>
          <w:szCs w:val="20"/>
        </w:rPr>
        <w:t>e remain an emerging growth company, an exemption from the auditor attestation requirements of Section 404 of the Sarbanes-Oxley Act, exemption from the requirements to hold non-binding advisory votes on executive compensation and exemption from the requir</w:t>
      </w:r>
      <w:r>
        <w:rPr>
          <w:sz w:val="20"/>
          <w:szCs w:val="20"/>
        </w:rPr>
        <w:t>ements to obtain stockholder approval for any golden parachute payments not previously approved. We have relied on many of these exemptions in periodic reports to date, and investors may find our common stock less attractive if we choose to continue to rel</w:t>
      </w:r>
      <w:r>
        <w:rPr>
          <w:sz w:val="20"/>
          <w:szCs w:val="20"/>
        </w:rPr>
        <w:t>y on these exemptions, in which case there may be a less active trading market for our common stock and our stock price may be more volatile.</w:t>
      </w:r>
    </w:p>
    <w:p w:rsidR="00000000" w:rsidRDefault="00406BD4">
      <w:pPr>
        <w:pStyle w:val="a3"/>
        <w:spacing w:before="240" w:beforeAutospacing="0" w:after="0" w:afterAutospacing="0"/>
        <w:ind w:firstLine="556"/>
        <w:rPr>
          <w:sz w:val="20"/>
          <w:szCs w:val="20"/>
        </w:rPr>
      </w:pPr>
      <w:r>
        <w:rPr>
          <w:sz w:val="20"/>
          <w:szCs w:val="20"/>
        </w:rPr>
        <w:t xml:space="preserve">Under the </w:t>
      </w:r>
      <w:r>
        <w:rPr>
          <w:color w:val="000000"/>
          <w:sz w:val="20"/>
          <w:szCs w:val="20"/>
        </w:rPr>
        <w:t xml:space="preserve">Securities Act of 1933, as amended, or </w:t>
      </w:r>
      <w:r>
        <w:rPr>
          <w:sz w:val="20"/>
          <w:szCs w:val="20"/>
        </w:rPr>
        <w:t xml:space="preserve">the Securities Act, emerging growth companies can elect to delay </w:t>
      </w:r>
      <w:r>
        <w:rPr>
          <w:sz w:val="20"/>
          <w:szCs w:val="20"/>
        </w:rPr>
        <w:t>adoption of new or revised accounting standards until those standards apply to private companies. We have irrevocably elected not to avail ourselves of this exemption and, as a result, we are subject to the same new or revised accounting standards at the s</w:t>
      </w:r>
      <w:r>
        <w:rPr>
          <w:sz w:val="20"/>
          <w:szCs w:val="20"/>
        </w:rPr>
        <w:t>ame time as other public companies that are not emerging growth companies.</w:t>
      </w:r>
    </w:p>
    <w:p w:rsidR="00000000" w:rsidRDefault="00406BD4">
      <w:pPr>
        <w:pStyle w:val="a3"/>
        <w:spacing w:before="360" w:beforeAutospacing="0" w:after="0" w:afterAutospacing="0"/>
        <w:rPr>
          <w:b/>
          <w:bCs/>
          <w:color w:val="000000"/>
          <w:sz w:val="20"/>
          <w:szCs w:val="20"/>
        </w:rPr>
      </w:pPr>
      <w:r>
        <w:rPr>
          <w:b/>
          <w:bCs/>
          <w:color w:val="000000"/>
          <w:sz w:val="20"/>
          <w:szCs w:val="20"/>
        </w:rPr>
        <w:t xml:space="preserve">The auditor for our joint venture in China, like other independent registered public accounting firms operating in China, is not permitted to be subject to inspection by the Public </w:t>
      </w:r>
      <w:r>
        <w:rPr>
          <w:b/>
          <w:bCs/>
          <w:color w:val="000000"/>
          <w:sz w:val="20"/>
          <w:szCs w:val="20"/>
        </w:rPr>
        <w:t>Company Accounting Oversight Board, and as such, investors may be deprived of the benefits of such inspection.</w:t>
      </w:r>
    </w:p>
    <w:p w:rsidR="00000000" w:rsidRDefault="00406BD4">
      <w:pPr>
        <w:pStyle w:val="a3"/>
        <w:spacing w:before="0" w:beforeAutospacing="0" w:after="0" w:afterAutospacing="0"/>
        <w:rPr>
          <w:b/>
          <w:bCs/>
          <w:sz w:val="12"/>
          <w:szCs w:val="12"/>
        </w:rPr>
      </w:pPr>
      <w:r>
        <w:rPr>
          <w:b/>
          <w:bCs/>
          <w:sz w:val="12"/>
          <w:szCs w:val="12"/>
        </w:rPr>
        <w:t> </w:t>
      </w:r>
    </w:p>
    <w:p w:rsidR="00000000" w:rsidRDefault="00406BD4">
      <w:pPr>
        <w:pStyle w:val="a3"/>
        <w:spacing w:before="0" w:beforeAutospacing="0" w:after="0" w:afterAutospacing="0"/>
        <w:ind w:firstLine="556"/>
        <w:rPr>
          <w:color w:val="000000"/>
          <w:sz w:val="20"/>
          <w:szCs w:val="20"/>
        </w:rPr>
      </w:pPr>
      <w:r>
        <w:rPr>
          <w:color w:val="000000"/>
          <w:sz w:val="20"/>
          <w:szCs w:val="20"/>
        </w:rPr>
        <w:t>The independent registered public accounting firm that issues the audit reports for our joint venture in China, FF Gene Biotech, included in our reports filed with the SEC, as an auditor of companies that are traded publicly in the United States and a firm</w:t>
      </w:r>
      <w:r>
        <w:rPr>
          <w:color w:val="000000"/>
          <w:sz w:val="20"/>
          <w:szCs w:val="20"/>
        </w:rPr>
        <w:t xml:space="preserve"> registered with the Public Company Accounting Oversight Board (United States), or PCAOB, is required by the laws of the United States to undergo regular inspections by PCAOB to assess its compliance with the laws of the United States and professional stan</w:t>
      </w:r>
      <w:r>
        <w:rPr>
          <w:color w:val="000000"/>
          <w:sz w:val="20"/>
          <w:szCs w:val="20"/>
        </w:rPr>
        <w:t>dards. On May 24, 2013, the PCAOB announced that it had signed a Memorandum of Understanding, or MOU, with Chinese securities regulators that would enable the PCAOB under certain circumstances to obtain audit work papers of China-based audit firms. The MOU</w:t>
      </w:r>
      <w:r>
        <w:rPr>
          <w:color w:val="000000"/>
          <w:sz w:val="20"/>
          <w:szCs w:val="20"/>
        </w:rPr>
        <w:t xml:space="preserve"> establishes a framework under which the PCAOB can request and obtain audit papers and permits the PCAOB to share the work papers it obtains with the SEC, subject to certain requirements. But the MOU, which is non-binding, is also limited by its own terms.</w:t>
      </w:r>
      <w:r>
        <w:rPr>
          <w:color w:val="000000"/>
          <w:sz w:val="20"/>
          <w:szCs w:val="20"/>
        </w:rPr>
        <w:t xml:space="preserve"> For instance, Chinese regulators may refuse to produce documents in specified circumstances, including where production would violate Chinese law or run contrary to the public interest. Moreover, the MOU does not provide the PCAOB with the ability to cond</w:t>
      </w:r>
      <w:r>
        <w:rPr>
          <w:color w:val="000000"/>
          <w:sz w:val="20"/>
          <w:szCs w:val="20"/>
        </w:rPr>
        <w:t>uct on-the-ground inspections of auditors in China, an important part of the PCAOB’s oversight function. As a result, our auditor, like other independent registered public accounting firms operating in China, is currently not inspected by PCAOB in the same</w:t>
      </w:r>
      <w:r>
        <w:rPr>
          <w:color w:val="000000"/>
          <w:sz w:val="20"/>
          <w:szCs w:val="20"/>
        </w:rPr>
        <w:t xml:space="preserve"> way that PCAOB inspects independent registered public accounting firms operating outside China. Inspections of other firms that PCAOB has conducted outside of China have identified deficiencies in those firms’ audit procedures and quality control procedur</w:t>
      </w:r>
      <w:r>
        <w:rPr>
          <w:color w:val="000000"/>
          <w:sz w:val="20"/>
          <w:szCs w:val="20"/>
        </w:rPr>
        <w:t>es, which may be addressed as part of the inspection process to improve future audit quality. The inability of PCAOB to conduct regular inspections of independent registered public accounting firms operating in China makes it more difficult to evaluate the</w:t>
      </w:r>
      <w:r>
        <w:rPr>
          <w:color w:val="000000"/>
          <w:sz w:val="20"/>
          <w:szCs w:val="20"/>
        </w:rPr>
        <w:t xml:space="preserve"> effectiveness of our auditor’s audit procedures or quality control procedures. As a result, investors may be deprived of the benefits of PCAOB regular inspections.</w:t>
      </w:r>
    </w:p>
    <w:p w:rsidR="00000000" w:rsidRDefault="00406BD4">
      <w:pPr>
        <w:pStyle w:val="a3"/>
        <w:spacing w:before="240" w:beforeAutospacing="0" w:after="0" w:afterAutospacing="0"/>
        <w:jc w:val="center"/>
        <w:rPr>
          <w:sz w:val="20"/>
          <w:szCs w:val="20"/>
        </w:rPr>
      </w:pPr>
      <w:r>
        <w:rPr>
          <w:sz w:val="20"/>
          <w:szCs w:val="20"/>
        </w:rPr>
        <w:t>45</w:t>
      </w:r>
    </w:p>
    <w:p w:rsidR="00000000" w:rsidRDefault="00406BD4">
      <w:pPr>
        <w:rPr>
          <w:rFonts w:eastAsia="Times New Roman"/>
        </w:rPr>
      </w:pPr>
      <w:r>
        <w:rPr>
          <w:rFonts w:eastAsia="Times New Roman"/>
        </w:rPr>
        <w:pict>
          <v:rect id="_x0000_i1071"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360" w:beforeAutospacing="0" w:after="0" w:afterAutospacing="0"/>
        <w:jc w:val="center"/>
        <w:rPr>
          <w:b/>
          <w:bCs/>
          <w:sz w:val="20"/>
          <w:szCs w:val="20"/>
        </w:rPr>
      </w:pPr>
      <w:bookmarkStart w:id="52" w:name="_dv_c37_11888976"/>
      <w:bookmarkEnd w:id="52"/>
      <w:r>
        <w:rPr>
          <w:b/>
          <w:bCs/>
          <w:sz w:val="20"/>
          <w:szCs w:val="20"/>
        </w:rPr>
        <w:t>Regulatory Risks</w:t>
      </w:r>
    </w:p>
    <w:p w:rsidR="00000000" w:rsidRDefault="00406BD4">
      <w:pPr>
        <w:pStyle w:val="a3"/>
        <w:spacing w:before="240" w:beforeAutospacing="0" w:after="0" w:afterAutospacing="0"/>
        <w:rPr>
          <w:b/>
          <w:bCs/>
          <w:sz w:val="20"/>
          <w:szCs w:val="20"/>
        </w:rPr>
      </w:pPr>
      <w:r>
        <w:rPr>
          <w:b/>
          <w:bCs/>
          <w:sz w:val="20"/>
          <w:szCs w:val="20"/>
        </w:rPr>
        <w:t xml:space="preserve">Any changes in laws, regulations or the enforcement discretion of the FDA with respect to the marketing of diagnostic products, or violations of </w:t>
      </w:r>
      <w:r>
        <w:rPr>
          <w:b/>
          <w:bCs/>
          <w:sz w:val="20"/>
          <w:szCs w:val="20"/>
        </w:rPr>
        <w:t>laws or regulations by us, could adversely affect our business, prospects, results of operations or financial condition.</w:t>
      </w:r>
    </w:p>
    <w:p w:rsidR="00000000" w:rsidRDefault="00406BD4">
      <w:pPr>
        <w:pStyle w:val="a3"/>
        <w:spacing w:before="120" w:beforeAutospacing="0" w:after="0" w:afterAutospacing="0"/>
        <w:ind w:firstLine="556"/>
        <w:rPr>
          <w:sz w:val="20"/>
          <w:szCs w:val="20"/>
        </w:rPr>
      </w:pPr>
      <w:r>
        <w:rPr>
          <w:sz w:val="20"/>
          <w:szCs w:val="20"/>
        </w:rPr>
        <w:t>The laws and regulations governing the marketing of diagnostic products are evolving, extremely complex and in many instances, there ar</w:t>
      </w:r>
      <w:r>
        <w:rPr>
          <w:sz w:val="20"/>
          <w:szCs w:val="20"/>
        </w:rPr>
        <w:t xml:space="preserve">e no significant regulatory or judicial interpretations of these laws and regulations. Pursuant to its authority under the federal Food, Drug, and Cosmetic Act, or FDC Act, the FDA has jurisdiction over medical devices, including in vitro diagnostics and, </w:t>
      </w:r>
      <w:r>
        <w:rPr>
          <w:sz w:val="20"/>
          <w:szCs w:val="20"/>
        </w:rPr>
        <w:t>therefore, potentially our clinical laboratory tests. Among other things, pursuant to the FDC Act and its implementing regulations, the FDA regulates the research, testing, manufacturing, safety, labeling, storage, recordkeeping, premarket clearance or app</w:t>
      </w:r>
      <w:r>
        <w:rPr>
          <w:sz w:val="20"/>
          <w:szCs w:val="20"/>
        </w:rPr>
        <w:t>roval, marketing and promotion, and sales and distribution of medical devices in the United States to ensure that medical products distributed domestically are safe and effective for their intended uses. In addition, the FDA regulates the import and export</w:t>
      </w:r>
      <w:r>
        <w:rPr>
          <w:sz w:val="20"/>
          <w:szCs w:val="20"/>
        </w:rPr>
        <w:t xml:space="preserve"> of medical devices.</w:t>
      </w:r>
    </w:p>
    <w:p w:rsidR="00000000" w:rsidRDefault="00406BD4">
      <w:pPr>
        <w:pStyle w:val="a3"/>
        <w:spacing w:before="240" w:beforeAutospacing="0" w:after="0" w:afterAutospacing="0"/>
        <w:ind w:firstLine="556"/>
        <w:rPr>
          <w:spacing w:val="-2"/>
          <w:sz w:val="20"/>
          <w:szCs w:val="20"/>
        </w:rPr>
      </w:pPr>
      <w:r>
        <w:rPr>
          <w:spacing w:val="-2"/>
          <w:sz w:val="20"/>
          <w:szCs w:val="20"/>
        </w:rPr>
        <w:t>Although the FDA has statutory authority to assure that medical devices and in vitro diagnostics, including potentially our tests, are safe and effective for their intended uses, the FDA has historically exercised its enforcement discr</w:t>
      </w:r>
      <w:r>
        <w:rPr>
          <w:spacing w:val="-2"/>
          <w:sz w:val="20"/>
          <w:szCs w:val="20"/>
        </w:rPr>
        <w:t>etion and not enforced applicable provisions of the FDC Act and regulations with respect to laboratory developed tests, or LDTs, which are a particular type of medical device. We believe our tests are LDTs. As a result, we believe our tests are not current</w:t>
      </w:r>
      <w:r>
        <w:rPr>
          <w:spacing w:val="-2"/>
          <w:sz w:val="20"/>
          <w:szCs w:val="20"/>
        </w:rPr>
        <w:t>ly subject to the FDA’s enforcement of its medical device regulations and the applicable FDC Act provisions.</w:t>
      </w:r>
    </w:p>
    <w:p w:rsidR="00000000" w:rsidRDefault="00406BD4">
      <w:pPr>
        <w:pStyle w:val="a3"/>
        <w:spacing w:before="240" w:beforeAutospacing="0" w:after="0" w:afterAutospacing="0"/>
        <w:ind w:firstLine="556"/>
        <w:rPr>
          <w:sz w:val="20"/>
          <w:szCs w:val="20"/>
        </w:rPr>
      </w:pPr>
      <w:r>
        <w:rPr>
          <w:sz w:val="20"/>
          <w:szCs w:val="20"/>
        </w:rPr>
        <w:t xml:space="preserve">Even though we commercialize our tests as LDTs, our tests may in the future become subject to more onerous regulation by the FDA. For example, the </w:t>
      </w:r>
      <w:r>
        <w:rPr>
          <w:sz w:val="20"/>
          <w:szCs w:val="20"/>
        </w:rPr>
        <w:t xml:space="preserve">FDA may disagree with our assessment that our tests fall within the definition of an LDT and seek to regulate our tests as medical devices. Moreover, the FDA issued draft guidance and a 2017 Discussion Paper to allow for further public discussion about an </w:t>
      </w:r>
      <w:r>
        <w:rPr>
          <w:sz w:val="20"/>
          <w:szCs w:val="20"/>
        </w:rPr>
        <w:t>appropriate LDT oversight approach and to give congressional committees the opportunity to develop a legislative solution. The FDA also solicited public input and published two final guidance documents in April 2018 relating to FDA oversight of NGS-based t</w:t>
      </w:r>
      <w:r>
        <w:rPr>
          <w:sz w:val="20"/>
          <w:szCs w:val="20"/>
        </w:rPr>
        <w:t xml:space="preserve">ests. These two guidance documents describe the FDA’s thinking and recommendations regarding test developer’s use of FDA-recognized standards to support analytical validity, and public human genetic variant databases to support clinical validity, of these </w:t>
      </w:r>
      <w:r>
        <w:rPr>
          <w:sz w:val="20"/>
          <w:szCs w:val="20"/>
        </w:rPr>
        <w:t xml:space="preserve">tests. </w:t>
      </w:r>
    </w:p>
    <w:p w:rsidR="00000000" w:rsidRDefault="00406BD4">
      <w:pPr>
        <w:pStyle w:val="a3"/>
        <w:spacing w:before="240" w:beforeAutospacing="0" w:after="0" w:afterAutospacing="0"/>
        <w:ind w:firstLine="556"/>
        <w:rPr>
          <w:sz w:val="20"/>
          <w:szCs w:val="20"/>
        </w:rPr>
      </w:pPr>
      <w:r>
        <w:rPr>
          <w:sz w:val="20"/>
          <w:szCs w:val="20"/>
        </w:rPr>
        <w:t xml:space="preserve">On August 19, 2020, the United States Department of Health and Human Services, or HHS, published a policy announcement that FDA must go through the formal notice-and-comment rulemaking process before requiring pre-market review of LDTs rather than </w:t>
      </w:r>
      <w:r>
        <w:rPr>
          <w:sz w:val="20"/>
          <w:szCs w:val="20"/>
        </w:rPr>
        <w:t>making such changes through guidance documents, compliance manuals, or other informal policy statements. However, laboratories may still voluntarily submit LDTs to FDA for pre-market review. Although the ultimate impact of HHS’s policy statement on FDA’s p</w:t>
      </w:r>
      <w:r>
        <w:rPr>
          <w:sz w:val="20"/>
          <w:szCs w:val="20"/>
        </w:rPr>
        <w:t>lans for regulating LDTs and its current thinking relating to such testing products is unclear, the announcement appears to confirm that laboratories may commercialize LDTs for clinical use without submitting such tests for FDA review and marketing authori</w:t>
      </w:r>
      <w:r>
        <w:rPr>
          <w:sz w:val="20"/>
          <w:szCs w:val="20"/>
        </w:rPr>
        <w:t>zation, including emergency use authorization, or EUA. HHS’s policy statement does not affect proposed legislation for the regulation of LDTs, which is discussed below.</w:t>
      </w:r>
    </w:p>
    <w:p w:rsidR="00000000" w:rsidRDefault="00406BD4">
      <w:pPr>
        <w:pStyle w:val="a3"/>
        <w:spacing w:before="240" w:beforeAutospacing="0" w:after="0" w:afterAutospacing="0"/>
        <w:ind w:firstLine="556"/>
        <w:rPr>
          <w:sz w:val="20"/>
          <w:szCs w:val="20"/>
        </w:rPr>
      </w:pPr>
      <w:r>
        <w:rPr>
          <w:sz w:val="20"/>
          <w:szCs w:val="20"/>
        </w:rPr>
        <w:t xml:space="preserve">On August 19, 2020, the United States Department of Health and Human Services, or HHS, </w:t>
      </w:r>
      <w:r>
        <w:rPr>
          <w:sz w:val="20"/>
          <w:szCs w:val="20"/>
        </w:rPr>
        <w:t>published a policy announcement that FDA must go through the formal notice-and-comment rulemaking process before requiring pre-market review of LDTs rather than making such changes through guidance documents, compliance manuals, or other informal policy st</w:t>
      </w:r>
      <w:r>
        <w:rPr>
          <w:sz w:val="20"/>
          <w:szCs w:val="20"/>
        </w:rPr>
        <w:t>atements. However, laboratories may still voluntarily submit LDTs to FDA for pre-market review. Although the ultimate impact of HHS’s policy statement on FDA’s plans for regulating LDTs and its current thinking relating to such testing products is unclear,</w:t>
      </w:r>
      <w:r>
        <w:rPr>
          <w:sz w:val="20"/>
          <w:szCs w:val="20"/>
        </w:rPr>
        <w:t xml:space="preserve"> the announcement appears to confirm that laboratories may commercialize LDTs for clinical use without submitting such tests for FDA review and marketing authorization, including emergency use authorization, or EUA. HHS’s policy statement does not affect p</w:t>
      </w:r>
      <w:r>
        <w:rPr>
          <w:sz w:val="20"/>
          <w:szCs w:val="20"/>
        </w:rPr>
        <w:t>roposed legislation for the regulation of LDTs, which is discussed below.</w:t>
      </w:r>
    </w:p>
    <w:p w:rsidR="00000000" w:rsidRDefault="00406BD4">
      <w:pPr>
        <w:pStyle w:val="a3"/>
        <w:spacing w:before="240" w:beforeAutospacing="0" w:after="0" w:afterAutospacing="0"/>
        <w:ind w:firstLine="556"/>
        <w:rPr>
          <w:sz w:val="20"/>
          <w:szCs w:val="20"/>
        </w:rPr>
      </w:pPr>
      <w:bookmarkStart w:id="53" w:name="_DV_C651"/>
      <w:bookmarkEnd w:id="53"/>
      <w:r>
        <w:rPr>
          <w:sz w:val="20"/>
          <w:szCs w:val="20"/>
        </w:rPr>
        <w:t xml:space="preserve">In December 2018, members of Congress released a discussion draft of a possible bill to regulate in vitro clinical tests including LDTs, </w:t>
      </w:r>
      <w:r>
        <w:rPr>
          <w:color w:val="231F20"/>
          <w:sz w:val="20"/>
          <w:szCs w:val="20"/>
        </w:rPr>
        <w:t>and provided opportunities for additional sta</w:t>
      </w:r>
      <w:r>
        <w:rPr>
          <w:color w:val="231F20"/>
          <w:sz w:val="20"/>
          <w:szCs w:val="20"/>
        </w:rPr>
        <w:t xml:space="preserve">keholders to also provide input on the proposed reform legislation. On March 5, 2020, U.S. Representatives Diana DeGette (D-CO) and Dr. Larry Bucshon (R-IN) formally introduced the long-awaited legislation, </w:t>
      </w:r>
      <w:r>
        <w:rPr>
          <w:sz w:val="20"/>
          <w:szCs w:val="20"/>
        </w:rPr>
        <w:t xml:space="preserve">called the Verifying Accurate, Leading-edge IVCT </w:t>
      </w:r>
      <w:r>
        <w:rPr>
          <w:sz w:val="20"/>
          <w:szCs w:val="20"/>
        </w:rPr>
        <w:t xml:space="preserve">Development (VALID) Act. </w:t>
      </w:r>
      <w:r>
        <w:rPr>
          <w:color w:val="231F20"/>
          <w:sz w:val="20"/>
          <w:szCs w:val="20"/>
        </w:rPr>
        <w:t xml:space="preserve">An identical version of the bill was also introduced in the Senate and is sponsored by U.S. Senators Michael Bennet (D-CO) and Richard Burr (R-NC), demonstrating both bicameral and bipartisan support for the effort to overhaul how </w:t>
      </w:r>
      <w:r>
        <w:rPr>
          <w:color w:val="231F20"/>
          <w:sz w:val="20"/>
          <w:szCs w:val="20"/>
        </w:rPr>
        <w:t>the FDA reviews and approves diagnostic tests going forward. The VALID Act</w:t>
      </w:r>
      <w:r>
        <w:rPr>
          <w:sz w:val="20"/>
          <w:szCs w:val="20"/>
        </w:rPr>
        <w:t xml:space="preserve"> would codify into law the term “in vitro clinical test” (IVCT) to create a new medical product category separate from medical devices that includes products currently regulated as i</w:t>
      </w:r>
      <w:r>
        <w:rPr>
          <w:sz w:val="20"/>
          <w:szCs w:val="20"/>
        </w:rPr>
        <w:t xml:space="preserve">n vitro diagnostics, or IVDs, as well as LDTs. </w:t>
      </w:r>
      <w:r>
        <w:rPr>
          <w:color w:val="231F20"/>
          <w:sz w:val="20"/>
          <w:szCs w:val="20"/>
        </w:rPr>
        <w:t>The VALID Act would also create a new system for labs and hospitals to use to submit their tests electronically to the FDA for approval, which is aimed at reducing the amount of time it takes for the agency to</w:t>
      </w:r>
      <w:r>
        <w:rPr>
          <w:color w:val="231F20"/>
          <w:sz w:val="20"/>
          <w:szCs w:val="20"/>
        </w:rPr>
        <w:t xml:space="preserve"> approve such tests, and establish a new program to expedite the development of diagnostic tests that can be used to address a current unmet need for patients.</w:t>
      </w:r>
    </w:p>
    <w:p w:rsidR="00000000" w:rsidRDefault="00406BD4">
      <w:pPr>
        <w:pStyle w:val="a3"/>
        <w:spacing w:before="240" w:beforeAutospacing="0" w:after="0" w:afterAutospacing="0"/>
        <w:jc w:val="center"/>
        <w:rPr>
          <w:sz w:val="20"/>
          <w:szCs w:val="20"/>
        </w:rPr>
      </w:pPr>
      <w:r>
        <w:rPr>
          <w:sz w:val="20"/>
          <w:szCs w:val="20"/>
        </w:rPr>
        <w:t>46</w:t>
      </w:r>
    </w:p>
    <w:p w:rsidR="00000000" w:rsidRDefault="00406BD4">
      <w:pPr>
        <w:rPr>
          <w:rFonts w:eastAsia="Times New Roman"/>
        </w:rPr>
      </w:pPr>
      <w:r>
        <w:rPr>
          <w:rFonts w:eastAsia="Times New Roman"/>
        </w:rPr>
        <w:pict>
          <v:rect id="_x0000_i1072"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240" w:beforeAutospacing="0" w:after="0" w:afterAutospacing="0"/>
        <w:ind w:firstLine="556"/>
        <w:rPr>
          <w:color w:val="231F20"/>
          <w:sz w:val="20"/>
          <w:szCs w:val="20"/>
        </w:rPr>
      </w:pPr>
      <w:r>
        <w:rPr>
          <w:color w:val="231F20"/>
          <w:sz w:val="20"/>
          <w:szCs w:val="20"/>
        </w:rPr>
        <w:t xml:space="preserve">It is unclear whether the VALID Act would be passed by Congress in its current form or signed into law by the President. </w:t>
      </w:r>
      <w:r>
        <w:rPr>
          <w:color w:val="000000"/>
          <w:sz w:val="20"/>
          <w:szCs w:val="20"/>
        </w:rPr>
        <w:t xml:space="preserve">Until the FDA finalizes its regulatory position regarding LDTs, or </w:t>
      </w:r>
      <w:r>
        <w:rPr>
          <w:color w:val="231F20"/>
          <w:sz w:val="20"/>
          <w:szCs w:val="20"/>
        </w:rPr>
        <w:t xml:space="preserve">the VALID Act or other </w:t>
      </w:r>
      <w:r>
        <w:rPr>
          <w:color w:val="000000"/>
          <w:sz w:val="20"/>
          <w:szCs w:val="20"/>
        </w:rPr>
        <w:t xml:space="preserve">legislation is passed </w:t>
      </w:r>
      <w:r>
        <w:rPr>
          <w:color w:val="231F20"/>
          <w:sz w:val="20"/>
          <w:szCs w:val="20"/>
        </w:rPr>
        <w:t>reforming the federal g</w:t>
      </w:r>
      <w:r>
        <w:rPr>
          <w:color w:val="231F20"/>
          <w:sz w:val="20"/>
          <w:szCs w:val="20"/>
        </w:rPr>
        <w:t>overnment’s</w:t>
      </w:r>
      <w:r>
        <w:rPr>
          <w:color w:val="000000"/>
          <w:sz w:val="20"/>
          <w:szCs w:val="20"/>
        </w:rPr>
        <w:t xml:space="preserve"> regulation of LDTs, it is unknown how the FDA may regulate our tests in the future and what testing and data may be required to support any required clearance or approval.</w:t>
      </w:r>
    </w:p>
    <w:p w:rsidR="00000000" w:rsidRDefault="00406BD4">
      <w:pPr>
        <w:pStyle w:val="a3"/>
        <w:spacing w:before="240" w:beforeAutospacing="0" w:after="0" w:afterAutospacing="0"/>
        <w:ind w:firstLine="556"/>
        <w:rPr>
          <w:sz w:val="20"/>
          <w:szCs w:val="20"/>
        </w:rPr>
      </w:pPr>
      <w:r>
        <w:rPr>
          <w:sz w:val="20"/>
          <w:szCs w:val="20"/>
        </w:rPr>
        <w:t>If the FDA creates a new regulation to enforce its medical device requir</w:t>
      </w:r>
      <w:r>
        <w:rPr>
          <w:sz w:val="20"/>
          <w:szCs w:val="20"/>
        </w:rPr>
        <w:t>ements for LDTs or if the FDA disagrees with our assessment that our tests are LDTs, we could for the first time be subject to enforcement of a variety of regulatory requirements, including registration and listing, medical device reporting and quality con</w:t>
      </w:r>
      <w:r>
        <w:rPr>
          <w:sz w:val="20"/>
          <w:szCs w:val="20"/>
        </w:rPr>
        <w:t>trol, and we could be required to obtain premarket clearance or approval for our existing tests and any new tests we may develop, which may force us to cease marketing our tests until we obtain the required clearance or approval. The premarket review proce</w:t>
      </w:r>
      <w:r>
        <w:rPr>
          <w:sz w:val="20"/>
          <w:szCs w:val="20"/>
        </w:rPr>
        <w:t>ss can be lengthy, expensive, time-consuming and unpredictable. Further, obtaining pre-market clearance may involve, among other things, successfully completing clinical trials. Clinical trials require significant time and cash resources and are subject to</w:t>
      </w:r>
      <w:r>
        <w:rPr>
          <w:sz w:val="20"/>
          <w:szCs w:val="20"/>
        </w:rPr>
        <w:t xml:space="preserve"> a high degree of risk, including risks of experiencing delays, failing to complete the trial or obtaining unexpected or negative results. If we are required to obtain premarket clearance or approval and/or conduct premarket clinical trials, our developmen</w:t>
      </w:r>
      <w:r>
        <w:rPr>
          <w:sz w:val="20"/>
          <w:szCs w:val="20"/>
        </w:rPr>
        <w:t>t costs could significantly increase, our introduction of any new tests we may develop may be delayed and sales of our existing tests could be interrupted or stopped. Any of these outcomes could reduce our revenue or increase our costs and materially adver</w:t>
      </w:r>
      <w:r>
        <w:rPr>
          <w:sz w:val="20"/>
          <w:szCs w:val="20"/>
        </w:rPr>
        <w:t>sely affect our business, prospects, results of operations or financial condition. Moreover, any cleared or approved labeling claims may not be consistent with our current claims or adequate to support continued adoption of and reimbursement for our tests.</w:t>
      </w:r>
      <w:r>
        <w:rPr>
          <w:sz w:val="20"/>
          <w:szCs w:val="20"/>
        </w:rPr>
        <w:t xml:space="preserve"> For instance, if we are required by the FDA to label our tests as investigational, or if labeling claims the FDA allows us to make are limited, order levels may decline and reimbursement may be adversely affected. As a result, we could experience signific</w:t>
      </w:r>
      <w:r>
        <w:rPr>
          <w:sz w:val="20"/>
          <w:szCs w:val="20"/>
        </w:rPr>
        <w:t>antly increased development costs and a delay in generating additional revenue from our existing tests or from tests we may develop.</w:t>
      </w:r>
    </w:p>
    <w:p w:rsidR="00000000" w:rsidRDefault="00406BD4">
      <w:pPr>
        <w:pStyle w:val="a3"/>
        <w:spacing w:before="240" w:beforeAutospacing="0" w:after="0" w:afterAutospacing="0"/>
        <w:ind w:firstLine="556"/>
        <w:rPr>
          <w:sz w:val="20"/>
          <w:szCs w:val="20"/>
        </w:rPr>
      </w:pPr>
      <w:bookmarkStart w:id="54" w:name="_DV_C139"/>
      <w:bookmarkStart w:id="55" w:name="_DV_X697"/>
      <w:bookmarkStart w:id="56" w:name="_DV_C140"/>
      <w:r>
        <w:rPr>
          <w:sz w:val="20"/>
          <w:szCs w:val="20"/>
        </w:rPr>
        <w:t>In addition, while we</w:t>
      </w:r>
      <w:bookmarkEnd w:id="54"/>
      <w:r>
        <w:rPr>
          <w:sz w:val="20"/>
          <w:szCs w:val="20"/>
        </w:rPr>
        <w:t xml:space="preserve"> </w:t>
      </w:r>
      <w:r>
        <w:rPr>
          <w:sz w:val="20"/>
          <w:szCs w:val="20"/>
        </w:rPr>
        <w:t>qualify all materials used in our products in accordance with the regulations and guidelines of the Cl</w:t>
      </w:r>
      <w:bookmarkEnd w:id="55"/>
      <w:bookmarkEnd w:id="56"/>
      <w:r>
        <w:rPr>
          <w:sz w:val="20"/>
          <w:szCs w:val="20"/>
        </w:rPr>
        <w:t>inical Laboratory Improvement Amendments of 1988, or CLIA, the FDA could promulgate regulations or guidance documents impacting our ability to purchase ma</w:t>
      </w:r>
      <w:r>
        <w:rPr>
          <w:sz w:val="20"/>
          <w:szCs w:val="20"/>
        </w:rPr>
        <w:t>terials necessary for the performance of our tests. If any of the reagents we obtain from suppliers and use in our tests are affected by future regulatory actions, our business could be adversely affected, including by increasing the cost of testing or del</w:t>
      </w:r>
      <w:r>
        <w:rPr>
          <w:sz w:val="20"/>
          <w:szCs w:val="20"/>
        </w:rPr>
        <w:t>aying, limiting or prohibiting the purchase of reagents necessary to perform testing with our products.</w:t>
      </w:r>
    </w:p>
    <w:p w:rsidR="00000000" w:rsidRDefault="00406BD4">
      <w:pPr>
        <w:pStyle w:val="a3"/>
        <w:spacing w:before="240" w:beforeAutospacing="0" w:after="0" w:afterAutospacing="0"/>
        <w:ind w:firstLine="556"/>
        <w:rPr>
          <w:sz w:val="20"/>
          <w:szCs w:val="20"/>
        </w:rPr>
      </w:pPr>
      <w:r>
        <w:rPr>
          <w:sz w:val="20"/>
          <w:szCs w:val="20"/>
        </w:rPr>
        <w:t>Failure to comply with any applicable FDA requirements could trigger a range of enforcement actions by the FDA, including warning letters, civil monetar</w:t>
      </w:r>
      <w:r>
        <w:rPr>
          <w:sz w:val="20"/>
          <w:szCs w:val="20"/>
        </w:rPr>
        <w:t>y penalties, injunctions, criminal prosecution, recall or seizure, operating restrictions, partial suspension or total shutdown of operations and denial of or challenges to applications for clearance or approval, as well as significant adverse publicity.</w:t>
      </w:r>
    </w:p>
    <w:p w:rsidR="00000000" w:rsidRDefault="00406BD4">
      <w:pPr>
        <w:pStyle w:val="a3"/>
        <w:spacing w:before="360" w:beforeAutospacing="0" w:after="0" w:afterAutospacing="0"/>
        <w:rPr>
          <w:b/>
          <w:bCs/>
          <w:sz w:val="20"/>
          <w:szCs w:val="20"/>
        </w:rPr>
      </w:pPr>
      <w:r>
        <w:rPr>
          <w:b/>
          <w:bCs/>
          <w:sz w:val="20"/>
          <w:szCs w:val="20"/>
        </w:rPr>
        <w:t>I</w:t>
      </w:r>
      <w:r>
        <w:rPr>
          <w:b/>
          <w:bCs/>
          <w:sz w:val="20"/>
          <w:szCs w:val="20"/>
        </w:rPr>
        <w:t>f we fail to comply with applicable federal, state, local and foreign laboratory licensing requirements, we could lose the ability to perform our tests or experience disruptions to our business.</w:t>
      </w:r>
    </w:p>
    <w:p w:rsidR="00000000" w:rsidRDefault="00406BD4">
      <w:pPr>
        <w:pStyle w:val="a3"/>
        <w:spacing w:before="120" w:beforeAutospacing="0" w:after="0" w:afterAutospacing="0"/>
        <w:ind w:firstLine="556"/>
        <w:rPr>
          <w:sz w:val="20"/>
          <w:szCs w:val="20"/>
        </w:rPr>
      </w:pPr>
      <w:r>
        <w:rPr>
          <w:sz w:val="20"/>
          <w:szCs w:val="20"/>
        </w:rPr>
        <w:t>We are subject to CLIA, a federal law that establishes qualit</w:t>
      </w:r>
      <w:r>
        <w:rPr>
          <w:sz w:val="20"/>
          <w:szCs w:val="20"/>
        </w:rPr>
        <w:t>y standards for all laboratory testing and is intended to ensure the accuracy, reliability and timeliness of patient results. CLIA requires that we hold a certificate specific to the laboratory examinations we perform and that we comply with various standa</w:t>
      </w:r>
      <w:r>
        <w:rPr>
          <w:sz w:val="20"/>
          <w:szCs w:val="20"/>
        </w:rPr>
        <w:t>rds with respect to personnel qualifications, facility administration, proficiency testing, quality control, quality assurance and inspections. CLIA certification is required in order for us to be eligible to bill federal and state health care programs, as</w:t>
      </w:r>
      <w:r>
        <w:rPr>
          <w:sz w:val="20"/>
          <w:szCs w:val="20"/>
        </w:rPr>
        <w:t xml:space="preserve"> well as many private third-party payors, for our tests. We have obtained CLIA certification to conduct our tests at our laboratory in Temple City, California. To renew this certification, we are subject to survey and inspection every two years and we may </w:t>
      </w:r>
      <w:r>
        <w:rPr>
          <w:sz w:val="20"/>
          <w:szCs w:val="20"/>
        </w:rPr>
        <w:t xml:space="preserve">be subject to additional unannounced inspections. </w:t>
      </w:r>
    </w:p>
    <w:p w:rsidR="00000000" w:rsidRDefault="00406BD4">
      <w:pPr>
        <w:pStyle w:val="a3"/>
        <w:spacing w:before="240" w:beforeAutospacing="0" w:after="0" w:afterAutospacing="0"/>
        <w:ind w:firstLine="556"/>
        <w:rPr>
          <w:sz w:val="20"/>
          <w:szCs w:val="20"/>
        </w:rPr>
      </w:pPr>
      <w:bookmarkStart w:id="57" w:name="_Hlk16168229"/>
      <w:r>
        <w:rPr>
          <w:sz w:val="20"/>
          <w:szCs w:val="20"/>
        </w:rPr>
        <w:t xml:space="preserve">In addition to CLIA requirements, we elect to participate in the accreditation program of the College of American Pathologists, or CAP. The Centers for Medicare &amp; Medicaid Services, or CMS, has deemed CAP </w:t>
      </w:r>
      <w:r>
        <w:rPr>
          <w:sz w:val="20"/>
          <w:szCs w:val="20"/>
        </w:rPr>
        <w:t>standards to be equally or more stringent than CLIA regulations and has approved CAP as a recognized accrediting organization. Inspection by CAP is performed in lieu of inspection by CMS for CAP-accredited laboratories. Because we are accredited by the CAP</w:t>
      </w:r>
      <w:r>
        <w:rPr>
          <w:sz w:val="20"/>
          <w:szCs w:val="20"/>
        </w:rPr>
        <w:t xml:space="preserve"> Laboratory Accreditation Program, we are deemed to also comply with CLIA. While not required to operate a CLIA-certified laboratory, many private payors require CAP accreditation as a condition to contracting with clinical laboratories to cover their test</w:t>
      </w:r>
      <w:r>
        <w:rPr>
          <w:sz w:val="20"/>
          <w:szCs w:val="20"/>
        </w:rPr>
        <w:t xml:space="preserve">s. In addition, some countries outside the United States require CAP accreditation as a condition to permitting clinical laboratories to test samples taken from their citizens. Failure to maintain CAP accreditation could have a material adverse effect on </w:t>
      </w:r>
      <w:bookmarkEnd w:id="57"/>
      <w:r>
        <w:rPr>
          <w:sz w:val="20"/>
          <w:szCs w:val="20"/>
        </w:rPr>
        <w:t>t</w:t>
      </w:r>
      <w:r>
        <w:rPr>
          <w:sz w:val="20"/>
          <w:szCs w:val="20"/>
        </w:rPr>
        <w:t>he sales of our tests and the results of our operations.</w:t>
      </w:r>
    </w:p>
    <w:p w:rsidR="00000000" w:rsidRDefault="00406BD4">
      <w:pPr>
        <w:pStyle w:val="a3"/>
        <w:spacing w:before="240" w:beforeAutospacing="0" w:after="0" w:afterAutospacing="0"/>
        <w:jc w:val="center"/>
        <w:rPr>
          <w:sz w:val="20"/>
          <w:szCs w:val="20"/>
        </w:rPr>
      </w:pPr>
      <w:r>
        <w:rPr>
          <w:sz w:val="20"/>
          <w:szCs w:val="20"/>
        </w:rPr>
        <w:t>47</w:t>
      </w:r>
    </w:p>
    <w:p w:rsidR="00000000" w:rsidRDefault="00406BD4">
      <w:pPr>
        <w:rPr>
          <w:rFonts w:eastAsia="Times New Roman"/>
        </w:rPr>
      </w:pPr>
      <w:r>
        <w:rPr>
          <w:rFonts w:eastAsia="Times New Roman"/>
        </w:rPr>
        <w:pict>
          <v:rect id="_x0000_i1073"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240" w:beforeAutospacing="0" w:after="0" w:afterAutospacing="0"/>
        <w:ind w:firstLine="556"/>
        <w:rPr>
          <w:sz w:val="20"/>
          <w:szCs w:val="20"/>
        </w:rPr>
      </w:pPr>
      <w:r>
        <w:rPr>
          <w:sz w:val="20"/>
          <w:szCs w:val="20"/>
        </w:rPr>
        <w:t>We are also re</w:t>
      </w:r>
      <w:r>
        <w:rPr>
          <w:sz w:val="20"/>
          <w:szCs w:val="20"/>
        </w:rPr>
        <w:t>quired to maintain a license to conduct testing in the State of California. California laws establish standards for day-to-day operation of our clinical reference laboratory in Temple City, including with respect to the training and skills required of pers</w:t>
      </w:r>
      <w:r>
        <w:rPr>
          <w:sz w:val="20"/>
          <w:szCs w:val="20"/>
        </w:rPr>
        <w:t>onnel, quality control and proficiency testing requirements. In addition, because we receive test specimens originating from New York, we have obtained a state laboratory permit for our Temple City laboratory from the New York Department of Health, or DOH.</w:t>
      </w:r>
      <w:r>
        <w:rPr>
          <w:sz w:val="20"/>
          <w:szCs w:val="20"/>
        </w:rPr>
        <w:t xml:space="preserve"> The New York state laboratory laws, regulations and rules are equal to or more stringent than the CLIA regulations and establish standards for the operation of a clinical laboratory and performance of test services, including education and experience requ</w:t>
      </w:r>
      <w:r>
        <w:rPr>
          <w:sz w:val="20"/>
          <w:szCs w:val="20"/>
        </w:rPr>
        <w:t>irements for laboratory directors and personnel; physical requirements of a laboratory facility; equipment validations; and quality management practices. The laboratory director must maintain a Certificate of Qualification issued by New York’s DOH in permi</w:t>
      </w:r>
      <w:r>
        <w:rPr>
          <w:sz w:val="20"/>
          <w:szCs w:val="20"/>
        </w:rPr>
        <w:t>tted categories. We are subject to on-site routine and complaint-driven inspections under both California and New York state laboratory laws and regulations. If we are found to be out of compliance with either California or New York requirements, the CA De</w:t>
      </w:r>
      <w:r>
        <w:rPr>
          <w:sz w:val="20"/>
          <w:szCs w:val="20"/>
        </w:rPr>
        <w:t>partment of Public Health or New York’s DOH may suspend, restrict or revoke our license or laboratory permit, respectively (and, with respect to California, may exclude persons or entities from owning, operating or directing a laboratory for two years foll</w:t>
      </w:r>
      <w:r>
        <w:rPr>
          <w:sz w:val="20"/>
          <w:szCs w:val="20"/>
        </w:rPr>
        <w:t>owing such license revocation), assess civil monetary penalties, or impose specific corrective action plans, among other sanctions. Any such actions could materially and adversely affect our business by prohibiting or limiting our ability to offer testing.</w:t>
      </w:r>
    </w:p>
    <w:p w:rsidR="00000000" w:rsidRDefault="00406BD4">
      <w:pPr>
        <w:pStyle w:val="a3"/>
        <w:spacing w:before="240" w:beforeAutospacing="0" w:after="0" w:afterAutospacing="0"/>
        <w:ind w:firstLine="556"/>
        <w:rPr>
          <w:sz w:val="20"/>
          <w:szCs w:val="20"/>
        </w:rPr>
      </w:pPr>
      <w:r>
        <w:rPr>
          <w:sz w:val="20"/>
          <w:szCs w:val="20"/>
        </w:rPr>
        <w:t>Moreover, certain other states require us to maintain out-of-state laboratory licenses or obtain approval on a test-specific basis to perform testing on specimens from these states. Additional states could adopt similar licensure requirements in the futur</w:t>
      </w:r>
      <w:r>
        <w:rPr>
          <w:sz w:val="20"/>
          <w:szCs w:val="20"/>
        </w:rPr>
        <w:t>e, which could require us to modify, delay or discontinue our operations in such jurisdictions. We are also subject to regulation in foreign jurisdictions, which we expect will increase as we seek to expand international utilization of our tests or if juri</w:t>
      </w:r>
      <w:r>
        <w:rPr>
          <w:sz w:val="20"/>
          <w:szCs w:val="20"/>
        </w:rPr>
        <w:t xml:space="preserve">sdictions in which we pursue operations adopt new or modified licensure requirements. Foreign licensure requirements could require review and modification of our tests in order to offer them in certain jurisdictions or could impose other limitations, such </w:t>
      </w:r>
      <w:r>
        <w:rPr>
          <w:sz w:val="20"/>
          <w:szCs w:val="20"/>
        </w:rPr>
        <w:t>as restrictions on the transport of human blood or other tissue necessary for us to perform our tests that may limit our ability to make our tests available outside the United States. Additionally, complying with licensure requirements in new jurisdictions</w:t>
      </w:r>
      <w:r>
        <w:rPr>
          <w:sz w:val="20"/>
          <w:szCs w:val="20"/>
        </w:rPr>
        <w:t xml:space="preserve"> may be expensive, time-consuming and subject us to significant and unanticipated delays.</w:t>
      </w:r>
    </w:p>
    <w:p w:rsidR="00000000" w:rsidRDefault="00406BD4">
      <w:pPr>
        <w:pStyle w:val="a3"/>
        <w:spacing w:before="240" w:beforeAutospacing="0" w:after="0" w:afterAutospacing="0"/>
        <w:ind w:firstLine="556"/>
        <w:rPr>
          <w:sz w:val="20"/>
          <w:szCs w:val="20"/>
        </w:rPr>
      </w:pPr>
      <w:r>
        <w:rPr>
          <w:sz w:val="20"/>
          <w:szCs w:val="20"/>
        </w:rPr>
        <w:t xml:space="preserve">Failure to comply with applicable clinical laboratory licensure requirements could result in a range of enforcement actions, including license suspension, limitation </w:t>
      </w:r>
      <w:r>
        <w:rPr>
          <w:sz w:val="20"/>
          <w:szCs w:val="20"/>
        </w:rPr>
        <w:t xml:space="preserve">or revocation, directed plan of correction, onsite monitoring, civil monetary penalties, civil injunctive suits, criminal sanctions and exclusion from the Medicare and Medicaid programs, as well as significant adverse publicity. Any sanction imposed under </w:t>
      </w:r>
      <w:r>
        <w:rPr>
          <w:sz w:val="20"/>
          <w:szCs w:val="20"/>
        </w:rPr>
        <w:t>CLIA, its implementing regulations or state or foreign laws or regulations governing clinical laboratory licensure, or our failure to renew our CLIA certificate or any other required local, state or foreign license or accreditation, could have a material a</w:t>
      </w:r>
      <w:r>
        <w:rPr>
          <w:sz w:val="20"/>
          <w:szCs w:val="20"/>
        </w:rPr>
        <w:t>dverse effect on our business, financial condition and results of operations. In such case, even if we were able to bring our laboratory back into compliance, we could incur significant expenses and lose revenue while doing so.</w:t>
      </w:r>
    </w:p>
    <w:p w:rsidR="00000000" w:rsidRDefault="00406BD4">
      <w:pPr>
        <w:pStyle w:val="a3"/>
        <w:spacing w:before="360" w:beforeAutospacing="0" w:after="0" w:afterAutospacing="0"/>
        <w:rPr>
          <w:b/>
          <w:bCs/>
          <w:sz w:val="20"/>
          <w:szCs w:val="20"/>
        </w:rPr>
      </w:pPr>
      <w:r>
        <w:rPr>
          <w:b/>
          <w:bCs/>
          <w:sz w:val="20"/>
          <w:szCs w:val="20"/>
        </w:rPr>
        <w:t>We are subject to broad lega</w:t>
      </w:r>
      <w:r>
        <w:rPr>
          <w:b/>
          <w:bCs/>
          <w:sz w:val="20"/>
          <w:szCs w:val="20"/>
        </w:rPr>
        <w:t>l requirements regarding the information we test and analyze, and any failure to comply with these requirements could result in harsh penalties, damage our reputation and materially harm our business.</w:t>
      </w:r>
    </w:p>
    <w:p w:rsidR="00000000" w:rsidRDefault="00406BD4">
      <w:pPr>
        <w:pStyle w:val="a3"/>
        <w:spacing w:before="120" w:beforeAutospacing="0" w:after="0" w:afterAutospacing="0"/>
        <w:ind w:firstLine="556"/>
        <w:rPr>
          <w:sz w:val="20"/>
          <w:szCs w:val="20"/>
        </w:rPr>
      </w:pPr>
      <w:r>
        <w:rPr>
          <w:sz w:val="20"/>
          <w:szCs w:val="20"/>
        </w:rPr>
        <w:t xml:space="preserve">Our business is subject to federal and state laws that </w:t>
      </w:r>
      <w:r>
        <w:rPr>
          <w:sz w:val="20"/>
          <w:szCs w:val="20"/>
        </w:rPr>
        <w:t>protect the privacy and security of personal information, including the federal Health Insurance Portability and Accountability Act of 1986, or HIPAA, the federal Health Information Technology for Economic and Clinical Health Act, or HITECH, and similar st</w:t>
      </w:r>
      <w:r>
        <w:rPr>
          <w:sz w:val="20"/>
          <w:szCs w:val="20"/>
        </w:rPr>
        <w:t>ate laws, as well as numerous other federal, state and foreign laws, including consumer protection laws and regulations, that govern the collection, dissemination, use, access to, confidentiality and security of patient health information. In addition, new</w:t>
      </w:r>
      <w:r>
        <w:rPr>
          <w:sz w:val="20"/>
          <w:szCs w:val="20"/>
        </w:rPr>
        <w:t xml:space="preserve"> laws and regulations that further protect the privacy and security of medical records or medical information are regularly considered by federal and state governments. Further, with the recent increase in publicity regarding data breaches resulting in imp</w:t>
      </w:r>
      <w:r>
        <w:rPr>
          <w:sz w:val="20"/>
          <w:szCs w:val="20"/>
        </w:rPr>
        <w:t>roper dissemination of consumer information, federal and state governments have passed or are considering laws regulating the actions that a business must take if it experiences a data breach, such as prompt disclosure to affected customers. The Federal Tr</w:t>
      </w:r>
      <w:r>
        <w:rPr>
          <w:sz w:val="20"/>
          <w:szCs w:val="20"/>
        </w:rPr>
        <w:t>ade Commission and states’ Attorneys General have also brought enforcement actions and prosecuted some data breach cases as unfair and/or deceptive acts or practices under the Federal Trade Commission Act and comparable state laws. In addition to data brea</w:t>
      </w:r>
      <w:r>
        <w:rPr>
          <w:sz w:val="20"/>
          <w:szCs w:val="20"/>
        </w:rPr>
        <w:t xml:space="preserve">ch notification laws, some states have enacted statutes and rules requiring businesses to reasonably protect certain types of personal information they hold or to otherwise comply with certain specified data security requirements for personal information. </w:t>
      </w:r>
      <w:r>
        <w:rPr>
          <w:sz w:val="20"/>
          <w:szCs w:val="20"/>
        </w:rPr>
        <w:t>We intend to continue to comprehensively protect all personal information and to comply with all applicable laws regarding the protection of such information.</w:t>
      </w:r>
    </w:p>
    <w:p w:rsidR="00000000" w:rsidRDefault="00406BD4">
      <w:pPr>
        <w:pStyle w:val="a3"/>
        <w:spacing w:before="240" w:beforeAutospacing="0" w:after="0" w:afterAutospacing="0"/>
        <w:ind w:firstLine="556"/>
        <w:rPr>
          <w:sz w:val="20"/>
          <w:szCs w:val="20"/>
        </w:rPr>
      </w:pPr>
      <w:r>
        <w:rPr>
          <w:sz w:val="20"/>
          <w:szCs w:val="20"/>
        </w:rPr>
        <w:t>Any failure to implement appropriate security measures to protect the confidentiality and integri</w:t>
      </w:r>
      <w:r>
        <w:rPr>
          <w:sz w:val="20"/>
          <w:szCs w:val="20"/>
        </w:rPr>
        <w:t xml:space="preserve">ty of personal information or any breach or other failure of these systems resulting in the unauthorized access, manipulation, disclosure or loss of this information could result in our noncompliance with these laws. Penalties for failure to comply with a </w:t>
      </w:r>
      <w:r>
        <w:rPr>
          <w:sz w:val="20"/>
          <w:szCs w:val="20"/>
        </w:rPr>
        <w:t>requirement of HIPAA and HITECH vary significantly depending on the failure and could include civil monetary or criminal penalties.</w:t>
      </w:r>
    </w:p>
    <w:p w:rsidR="00000000" w:rsidRDefault="00406BD4">
      <w:pPr>
        <w:pStyle w:val="a3"/>
        <w:spacing w:before="240" w:beforeAutospacing="0" w:after="0" w:afterAutospacing="0"/>
        <w:jc w:val="center"/>
        <w:rPr>
          <w:sz w:val="20"/>
          <w:szCs w:val="20"/>
        </w:rPr>
      </w:pPr>
      <w:r>
        <w:rPr>
          <w:sz w:val="20"/>
          <w:szCs w:val="20"/>
        </w:rPr>
        <w:t>48</w:t>
      </w:r>
    </w:p>
    <w:p w:rsidR="00000000" w:rsidRDefault="00406BD4">
      <w:pPr>
        <w:rPr>
          <w:rFonts w:eastAsia="Times New Roman"/>
        </w:rPr>
      </w:pPr>
      <w:r>
        <w:rPr>
          <w:rFonts w:eastAsia="Times New Roman"/>
        </w:rPr>
        <w:pict>
          <v:rect id="_x0000_i1074"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240" w:beforeAutospacing="0" w:after="0" w:afterAutospacing="0"/>
        <w:ind w:firstLine="556"/>
        <w:rPr>
          <w:sz w:val="20"/>
          <w:szCs w:val="20"/>
        </w:rPr>
      </w:pPr>
      <w:r>
        <w:rPr>
          <w:sz w:val="20"/>
          <w:szCs w:val="20"/>
        </w:rPr>
        <w:t>The European Union formally adopted the General Data Protection Regulation, or GDPR, in 2016, which applies to all European Union member states from May 25, 2018 and replaced the European Data P</w:t>
      </w:r>
      <w:r>
        <w:rPr>
          <w:sz w:val="20"/>
          <w:szCs w:val="20"/>
        </w:rPr>
        <w:t>rotection Directive. The GDPR introduced stringent new data protection and operational requirements in the European Union for companies that receive or process personal data of European residents, as well as   substantial fines for breaches of the data pro</w:t>
      </w:r>
      <w:r>
        <w:rPr>
          <w:sz w:val="20"/>
          <w:szCs w:val="20"/>
        </w:rPr>
        <w:t xml:space="preserve">tection rules. It has increased our responsibility and liability in relation to personal data that we process and we are required to maintain additional mechanisms ensuring compliance with the GDPR. The GDPR is a complex law and the regulatory guidance is </w:t>
      </w:r>
      <w:r>
        <w:rPr>
          <w:sz w:val="20"/>
          <w:szCs w:val="20"/>
        </w:rPr>
        <w:t>still evolving, including with respect to how the GDPR should be applied in the context of clinical studies and the collection, processing, and storage of sensitive personal data, including genetic information and testing. Furthermore, many of the countrie</w:t>
      </w:r>
      <w:r>
        <w:rPr>
          <w:sz w:val="20"/>
          <w:szCs w:val="20"/>
        </w:rPr>
        <w:t>s within the European Union are still in the process of drafting supplementary data protection legislation in key fields where the GDPR allows for national variation, including the fields of clinical study and other health-related information. These variat</w:t>
      </w:r>
      <w:r>
        <w:rPr>
          <w:sz w:val="20"/>
          <w:szCs w:val="20"/>
        </w:rPr>
        <w:t xml:space="preserve">ions in the law may raise our costs of compliance and result in greater legal risks. On July 16, 2020, the Court of Justice of the European Union or the CJEU, issued a landmark opinion in the case </w:t>
      </w:r>
      <w:r>
        <w:rPr>
          <w:i/>
          <w:iCs/>
          <w:sz w:val="20"/>
          <w:szCs w:val="20"/>
        </w:rPr>
        <w:t>Maximilian Schrems vs. Facebook</w:t>
      </w:r>
      <w:r>
        <w:rPr>
          <w:sz w:val="20"/>
          <w:szCs w:val="20"/>
        </w:rPr>
        <w:t xml:space="preserve"> (Case C-311/18), called </w:t>
      </w:r>
      <w:r>
        <w:rPr>
          <w:i/>
          <w:iCs/>
          <w:sz w:val="20"/>
          <w:szCs w:val="20"/>
        </w:rPr>
        <w:t>Sch</w:t>
      </w:r>
      <w:r>
        <w:rPr>
          <w:i/>
          <w:iCs/>
          <w:sz w:val="20"/>
          <w:szCs w:val="20"/>
        </w:rPr>
        <w:t>rems II.  </w:t>
      </w:r>
      <w:r>
        <w:rPr>
          <w:sz w:val="20"/>
          <w:szCs w:val="20"/>
        </w:rPr>
        <w:t xml:space="preserve">This decision calls into question certain data transfer mechanisms as between the European Union member states and the US. The CJEU is the highest court in Europe and the </w:t>
      </w:r>
      <w:r>
        <w:rPr>
          <w:i/>
          <w:iCs/>
          <w:sz w:val="20"/>
          <w:szCs w:val="20"/>
        </w:rPr>
        <w:t>Schrems II</w:t>
      </w:r>
      <w:r>
        <w:rPr>
          <w:sz w:val="20"/>
          <w:szCs w:val="20"/>
        </w:rPr>
        <w:t xml:space="preserve"> decision heightens the burden on data importers to assess U.S. n</w:t>
      </w:r>
      <w:r>
        <w:rPr>
          <w:sz w:val="20"/>
          <w:szCs w:val="20"/>
        </w:rPr>
        <w:t>ational security laws on their business, and future actions of European Union data protection authorities are difficult to predict at this early date. Consequently, there is some risk of any such data transfers from the European Union being halted by one o</w:t>
      </w:r>
      <w:r>
        <w:rPr>
          <w:sz w:val="20"/>
          <w:szCs w:val="20"/>
        </w:rPr>
        <w:t xml:space="preserve">r more European Union member states. Any contractual arrangements requiring the transfer of personal data from the European Union to us in the United States will require greater scrutiny and assessments as required under </w:t>
      </w:r>
      <w:r>
        <w:rPr>
          <w:i/>
          <w:iCs/>
          <w:sz w:val="20"/>
          <w:szCs w:val="20"/>
        </w:rPr>
        <w:t xml:space="preserve">Schrems II </w:t>
      </w:r>
      <w:r>
        <w:rPr>
          <w:sz w:val="20"/>
          <w:szCs w:val="20"/>
        </w:rPr>
        <w:t xml:space="preserve">and may have an adverse </w:t>
      </w:r>
      <w:r>
        <w:rPr>
          <w:sz w:val="20"/>
          <w:szCs w:val="20"/>
        </w:rPr>
        <w:t>impact on cross-border transfers of personal data, or increase costs of compliance.</w:t>
      </w:r>
    </w:p>
    <w:p w:rsidR="00000000" w:rsidRDefault="00406BD4">
      <w:pPr>
        <w:pStyle w:val="a3"/>
        <w:spacing w:before="240" w:beforeAutospacing="0" w:after="0" w:afterAutospacing="0"/>
        <w:ind w:firstLine="556"/>
        <w:rPr>
          <w:sz w:val="20"/>
          <w:szCs w:val="20"/>
        </w:rPr>
      </w:pPr>
      <w:r>
        <w:rPr>
          <w:sz w:val="20"/>
          <w:szCs w:val="20"/>
        </w:rPr>
        <w:t>In addition, many states, such as California (where one of our clinical laboratories is located), have implemented similar privacy laws and regulations, such as the Califor</w:t>
      </w:r>
      <w:r>
        <w:rPr>
          <w:sz w:val="20"/>
          <w:szCs w:val="20"/>
        </w:rPr>
        <w:t>nia Confidentiality of Medical Information Act, that impose restrictive requirements regulating the use and disclosure of patient health information and other personal information. In addition to fines and penalties imposed upon violators, some of these st</w:t>
      </w:r>
      <w:r>
        <w:rPr>
          <w:sz w:val="20"/>
          <w:szCs w:val="20"/>
        </w:rPr>
        <w:t xml:space="preserve">ate laws also afford private rights of action to individuals who believe their personal information has been misused. California’s patient privacy laws, for example, provide for penalties of up to $250,000 and permit injured parties to sue for damages. In </w:t>
      </w:r>
      <w:r>
        <w:rPr>
          <w:sz w:val="20"/>
          <w:szCs w:val="20"/>
        </w:rPr>
        <w:t>addition to the California Confidentiality of Medical Information Act, California also recently enacted the California Consumer Privacy Act of 2018, or CCPA, which became effective on January 1, 2020. The CCPA has been characterized as the first “GDPR-like</w:t>
      </w:r>
      <w:r>
        <w:rPr>
          <w:sz w:val="20"/>
          <w:szCs w:val="20"/>
        </w:rPr>
        <w:t>” privacy statute to be enacted in the United States because it mirrors a number of the key provisions of the GDPR. The CCPA establishes a new privacy framework for covered businesses in the State of California by creating an expanded definition of persona</w:t>
      </w:r>
      <w:r>
        <w:rPr>
          <w:sz w:val="20"/>
          <w:szCs w:val="20"/>
        </w:rPr>
        <w:t>l information, establishing new data privacy rights for California residents, imposing special rules on the collection of personal data from minors, and creating a new and potentially severe statutory damages framework for violations of the CCPA and for bu</w:t>
      </w:r>
      <w:r>
        <w:rPr>
          <w:sz w:val="20"/>
          <w:szCs w:val="20"/>
        </w:rPr>
        <w:t>sinesses that fail to implement reasonable security procedures and practices to prevent data breaches. An initiative which proposes to expand the CCPA called the California Privacy Rights Act, will be voted on in California in November and could impact our</w:t>
      </w:r>
      <w:r>
        <w:rPr>
          <w:sz w:val="20"/>
          <w:szCs w:val="20"/>
        </w:rPr>
        <w:t xml:space="preserve"> operations or that of our collaborators.  Other states have been considering legislation similar to the CCPA, and several federal privacy proposals are under consideration in the current session of Congress.</w:t>
      </w:r>
    </w:p>
    <w:p w:rsidR="00000000" w:rsidRDefault="00406BD4">
      <w:pPr>
        <w:pStyle w:val="a3"/>
        <w:spacing w:before="240" w:beforeAutospacing="0" w:after="0" w:afterAutospacing="0"/>
        <w:ind w:firstLine="556"/>
        <w:rPr>
          <w:sz w:val="20"/>
          <w:szCs w:val="20"/>
        </w:rPr>
      </w:pPr>
      <w:r>
        <w:rPr>
          <w:sz w:val="20"/>
          <w:szCs w:val="20"/>
        </w:rPr>
        <w:t xml:space="preserve">The interplay of federal and state laws may be </w:t>
      </w:r>
      <w:r>
        <w:rPr>
          <w:sz w:val="20"/>
          <w:szCs w:val="20"/>
        </w:rPr>
        <w:t xml:space="preserve">subject to varying interpretations by courts and government agencies, creating complex compliance issues for us and potentially exposing us to additional expense, adverse publicity and liability. Further, as regulatory focus on privacy issues continues to </w:t>
      </w:r>
      <w:r>
        <w:rPr>
          <w:sz w:val="20"/>
          <w:szCs w:val="20"/>
        </w:rPr>
        <w:t>increase and laws and regulations concerning the protection of personal information expand and become more complex, these potential risks to our business could intensify. Additionally, the interpretation, application and interplay of consumer and health-re</w:t>
      </w:r>
      <w:r>
        <w:rPr>
          <w:sz w:val="20"/>
          <w:szCs w:val="20"/>
        </w:rPr>
        <w:t>lated data protection laws in the United States, Europe and elsewhere are often uncertain, contradictory and in flux. As a result, it is possible that laws may be interpreted and applied in a manner that is inconsistent with our current practices. Moreover</w:t>
      </w:r>
      <w:r>
        <w:rPr>
          <w:sz w:val="20"/>
          <w:szCs w:val="20"/>
        </w:rPr>
        <w:t>, these laws and their interpretations are constantly evolving and they may become more stringent over time. Complying with these laws or any new laws or interpretations of their application could involve significant time and substantial costs or require u</w:t>
      </w:r>
      <w:r>
        <w:rPr>
          <w:sz w:val="20"/>
          <w:szCs w:val="20"/>
        </w:rPr>
        <w:t>s to change our business practices and compliance procedures in a manner adverse to our business. We may not be able to obtain or maintain compliance with the diverse privacy and security requirements in all of the jurisdictions in which we currently or pl</w:t>
      </w:r>
      <w:r>
        <w:rPr>
          <w:sz w:val="20"/>
          <w:szCs w:val="20"/>
        </w:rPr>
        <w:t>an to do business, and failure to comply with any of these requirements could result in civil or criminal penalties, harm our reputation and materially adversely affect our business.</w:t>
      </w:r>
    </w:p>
    <w:p w:rsidR="00000000" w:rsidRDefault="00406BD4">
      <w:pPr>
        <w:pStyle w:val="a3"/>
        <w:spacing w:before="360" w:beforeAutospacing="0" w:after="0" w:afterAutospacing="0"/>
        <w:rPr>
          <w:b/>
          <w:bCs/>
          <w:sz w:val="20"/>
          <w:szCs w:val="20"/>
        </w:rPr>
      </w:pPr>
      <w:r>
        <w:rPr>
          <w:b/>
          <w:bCs/>
          <w:sz w:val="20"/>
          <w:szCs w:val="20"/>
        </w:rPr>
        <w:t>We conduct business in a heavily regulated industry. Complying with the n</w:t>
      </w:r>
      <w:r>
        <w:rPr>
          <w:b/>
          <w:bCs/>
          <w:sz w:val="20"/>
          <w:szCs w:val="20"/>
        </w:rPr>
        <w:t>umerous statutes and regulations pertaining to our business is expensive and time-consuming, and any failure by us, our consultants or commercial partners to comply could result in substantial penalties.</w:t>
      </w:r>
    </w:p>
    <w:p w:rsidR="00000000" w:rsidRDefault="00406BD4">
      <w:pPr>
        <w:pStyle w:val="a3"/>
        <w:spacing w:before="120" w:beforeAutospacing="0" w:after="0" w:afterAutospacing="0"/>
        <w:ind w:firstLine="556"/>
        <w:rPr>
          <w:sz w:val="20"/>
          <w:szCs w:val="20"/>
        </w:rPr>
      </w:pPr>
      <w:r>
        <w:rPr>
          <w:sz w:val="20"/>
          <w:szCs w:val="20"/>
        </w:rPr>
        <w:t>Our industry and our operations are heavily regulate</w:t>
      </w:r>
      <w:r>
        <w:rPr>
          <w:sz w:val="20"/>
          <w:szCs w:val="20"/>
        </w:rPr>
        <w:t>d by various federal, state, local and foreign laws and regulations, and the regulatory environment in which we operate could change significantly and adversely in the future. These laws and regulations currently include, among others: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120" w:beforeAutospacing="0" w:after="0" w:afterAutospacing="0"/>
              <w:rPr>
                <w:sz w:val="20"/>
                <w:szCs w:val="20"/>
              </w:rPr>
            </w:pPr>
            <w:r>
              <w:rPr>
                <w:sz w:val="20"/>
                <w:szCs w:val="20"/>
              </w:rPr>
              <w:t> </w:t>
            </w:r>
          </w:p>
        </w:tc>
        <w:tc>
          <w:tcPr>
            <w:tcW w:w="227" w:type="pct"/>
            <w:noWrap/>
            <w:hideMark/>
          </w:tcPr>
          <w:p w:rsidR="00000000" w:rsidRDefault="00406BD4">
            <w:pPr>
              <w:pStyle w:val="a3"/>
              <w:spacing w:before="120" w:beforeAutospacing="0" w:after="0" w:afterAutospacing="0"/>
              <w:rPr>
                <w:sz w:val="20"/>
                <w:szCs w:val="20"/>
              </w:rPr>
            </w:pPr>
            <w:r>
              <w:rPr>
                <w:sz w:val="20"/>
                <w:szCs w:val="20"/>
              </w:rPr>
              <w:t>•</w:t>
            </w:r>
          </w:p>
        </w:tc>
        <w:tc>
          <w:tcPr>
            <w:tcW w:w="0" w:type="auto"/>
            <w:hideMark/>
          </w:tcPr>
          <w:p w:rsidR="00000000" w:rsidRDefault="00406BD4">
            <w:pPr>
              <w:pStyle w:val="a3"/>
              <w:spacing w:before="120" w:beforeAutospacing="0" w:after="0" w:afterAutospacing="0"/>
              <w:rPr>
                <w:sz w:val="20"/>
                <w:szCs w:val="20"/>
              </w:rPr>
            </w:pPr>
            <w:r>
              <w:rPr>
                <w:sz w:val="20"/>
                <w:szCs w:val="20"/>
              </w:rPr>
              <w:t>the FDA’</w:t>
            </w:r>
            <w:r>
              <w:rPr>
                <w:sz w:val="20"/>
                <w:szCs w:val="20"/>
              </w:rPr>
              <w:t>s enforcement discretion policy with respect to LDTs;</w:t>
            </w:r>
          </w:p>
        </w:tc>
      </w:tr>
    </w:tbl>
    <w:p w:rsidR="00000000" w:rsidRDefault="00406BD4">
      <w:pPr>
        <w:pStyle w:val="a3"/>
        <w:spacing w:before="0" w:beforeAutospacing="0" w:after="0" w:afterAutospacing="0"/>
        <w:ind w:left="107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CLIA’s and CAP’s regulation of our laboratory activities;</w:t>
            </w:r>
          </w:p>
        </w:tc>
      </w:tr>
    </w:tbl>
    <w:p w:rsidR="00000000" w:rsidRDefault="00406BD4">
      <w:pPr>
        <w:pStyle w:val="a3"/>
        <w:spacing w:before="0" w:beforeAutospacing="0" w:after="0" w:afterAutospacing="0"/>
        <w:ind w:left="714"/>
        <w:rPr>
          <w:sz w:val="12"/>
          <w:szCs w:val="12"/>
        </w:rPr>
      </w:pPr>
      <w:r>
        <w:rPr>
          <w:sz w:val="12"/>
          <w:szCs w:val="12"/>
        </w:rPr>
        <w:t> </w:t>
      </w:r>
    </w:p>
    <w:p w:rsidR="00000000" w:rsidRDefault="00406BD4">
      <w:pPr>
        <w:pStyle w:val="a3"/>
        <w:spacing w:before="240" w:beforeAutospacing="0" w:after="0" w:afterAutospacing="0"/>
        <w:jc w:val="center"/>
        <w:rPr>
          <w:sz w:val="20"/>
          <w:szCs w:val="20"/>
        </w:rPr>
      </w:pPr>
      <w:r>
        <w:rPr>
          <w:sz w:val="20"/>
          <w:szCs w:val="20"/>
        </w:rPr>
        <w:t>49</w:t>
      </w:r>
    </w:p>
    <w:p w:rsidR="00000000" w:rsidRDefault="00406BD4">
      <w:pPr>
        <w:rPr>
          <w:rFonts w:eastAsia="Times New Roman"/>
        </w:rPr>
      </w:pPr>
      <w:r>
        <w:rPr>
          <w:rFonts w:eastAsia="Times New Roman"/>
        </w:rPr>
        <w:pict>
          <v:rect id="_x0000_i1075"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federal and state laws and standards affecting reimbursement by government payors, including certain coding requirements to obtain reimburseme</w:t>
            </w:r>
            <w:r>
              <w:rPr>
                <w:sz w:val="20"/>
                <w:szCs w:val="20"/>
              </w:rPr>
              <w:t>nt and certain changes to the payment mechanism for clinical laboratory services resulting from the Protecting Access to Medicare Act of 2014, or PAMA;</w:t>
            </w:r>
          </w:p>
        </w:tc>
      </w:tr>
    </w:tbl>
    <w:p w:rsidR="00000000" w:rsidRDefault="00406BD4">
      <w:pPr>
        <w:pStyle w:val="a3"/>
        <w:spacing w:before="0" w:beforeAutospacing="0" w:after="0" w:afterAutospacing="0"/>
        <w:ind w:left="71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HIPAA and HITECH, which establish comprehensive federal standards with respect to the privacy and security of PHI, and requirements for the use of certain standardized electronic transactions with respect to transmission of such information, as well as sim</w:t>
            </w:r>
            <w:r>
              <w:rPr>
                <w:sz w:val="20"/>
                <w:szCs w:val="20"/>
              </w:rPr>
              <w:t>ilar laws protecting other types of personal information;</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 xml:space="preserve">state laws governing the maintenance of personally identifiable information of state residents, including medical information, and which impose varying breach notification requirements, some </w:t>
            </w:r>
            <w:r>
              <w:rPr>
                <w:sz w:val="20"/>
                <w:szCs w:val="20"/>
              </w:rPr>
              <w:t>of which allow private rights of action by individuals for violations and also impose penalties for such violations;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the federal Anti-Kickback Statute, which generally prohibits knowingly and willfully offering, paying, soliciting or receiving remun</w:t>
            </w:r>
            <w:r>
              <w:rPr>
                <w:sz w:val="20"/>
                <w:szCs w:val="20"/>
              </w:rPr>
              <w:t>eration, directly or indirectly, in return for or to induce a person to refer to an individual any good, facility, item or service that is reimbursable under a federal health care program;</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the federal Stark Law, which generally prohibits a physician</w:t>
            </w:r>
            <w:r>
              <w:rPr>
                <w:sz w:val="20"/>
                <w:szCs w:val="20"/>
              </w:rPr>
              <w:t xml:space="preserve"> from making a referral for certain designated health services covered by the Medicare program, including laboratory and pathology services, if the physician or an immediate family member has a financial relationship with the entity providing the designate</w:t>
            </w:r>
            <w:r>
              <w:rPr>
                <w:sz w:val="20"/>
                <w:szCs w:val="20"/>
              </w:rPr>
              <w:t>d health services;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the federal False Claims Act, which imposes civil penalties, and provides for civil whistleblower or qui tam actions, against individuals or entities for knowingly presenting, or causing to be presented, to the federal government, claims for payment that a</w:t>
            </w:r>
            <w:r>
              <w:rPr>
                <w:sz w:val="20"/>
                <w:szCs w:val="20"/>
              </w:rPr>
              <w:t>re false or fraudulent or making a false statement to avoid, decrease or conceal an obligation to pay money to the federal government;</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 xml:space="preserve">the federal Civil Monetary Penalties Law, which generally prohibits, among other things, the offering or transfer </w:t>
            </w:r>
            <w:r>
              <w:rPr>
                <w:sz w:val="20"/>
                <w:szCs w:val="20"/>
              </w:rPr>
              <w:t>of remuneration to a Medicare or Medicaid beneficiary if it is likely to influence the beneficiary’s selection of a particular provider, practitioner or supplier of services reimbursable by Medicare or Medicaid;</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the Affordable Care Act, which, among</w:t>
            </w:r>
            <w:r>
              <w:rPr>
                <w:sz w:val="20"/>
                <w:szCs w:val="20"/>
              </w:rPr>
              <w:t xml:space="preserve"> other things, establishes a requirement for providers and suppliers to report and return any overpayments received from the Medicare and Medicaid programs;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other federal and state fraud and abuse laws, such as anti-kickback laws, prohibitions on se</w:t>
            </w:r>
            <w:r>
              <w:rPr>
                <w:sz w:val="20"/>
                <w:szCs w:val="20"/>
              </w:rPr>
              <w:t>lf-referral, fee-splitting restrictions, insurance fraud laws, anti-markup laws, prohibitions on the provision of tests at no or discounted cost to induce physician or patient adoption and false claims acts, some of which may extend to services reimbursabl</w:t>
            </w:r>
            <w:r>
              <w:rPr>
                <w:sz w:val="20"/>
                <w:szCs w:val="20"/>
              </w:rPr>
              <w:t>e by any third-party payor, including private payors;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the federal Physician Sunshine Payment Act and various state laws on reporting relationships with health care providers and customers, which could be determined to apply to our LDTs;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the prohibition on reassignment of Medicare claims;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state l</w:t>
            </w:r>
            <w:r>
              <w:rPr>
                <w:sz w:val="20"/>
                <w:szCs w:val="20"/>
              </w:rPr>
              <w:t>aws that prohibit other specified healthcare practices, such as billing physicians for tests that they order, waiving coinsurance, copayments, deductibles and other amounts owed by patients, business corporations practicing medicine or employing or engagin</w:t>
            </w:r>
            <w:r>
              <w:rPr>
                <w:sz w:val="20"/>
                <w:szCs w:val="20"/>
              </w:rPr>
              <w:t>g physicians to practice medicine and billing a state Medicaid program at a price that is higher than what is charged to one or more other payors;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the federal Foreign Corrupt Practices Act, or FCPA, and applicable foreign anti-bribery laws;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federal, state and local regulations relating to the handling and disposal of regulated medical waste, hazardous waste and biohazardous waste and workplace safety for healthcare employees;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laws and regulations relating to health and safety, labor an</w:t>
            </w:r>
            <w:r>
              <w:rPr>
                <w:sz w:val="20"/>
                <w:szCs w:val="20"/>
              </w:rPr>
              <w:t>d employment, public reporting, taxation and other areas applicable to businesses generally, all of which are subject to change, including, for example, the significant changes to the taxation of business entities were enacted in December 2017; and</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similar foreign laws and regulations that apply to us in the countries in which we operate or may operate in the future.</w:t>
            </w:r>
          </w:p>
        </w:tc>
      </w:tr>
    </w:tbl>
    <w:p w:rsidR="00000000" w:rsidRDefault="00406BD4">
      <w:pPr>
        <w:pStyle w:val="a3"/>
        <w:spacing w:before="240" w:beforeAutospacing="0" w:after="0" w:afterAutospacing="0"/>
        <w:ind w:firstLine="556"/>
        <w:rPr>
          <w:sz w:val="20"/>
          <w:szCs w:val="20"/>
        </w:rPr>
      </w:pPr>
      <w:r>
        <w:rPr>
          <w:sz w:val="20"/>
          <w:szCs w:val="20"/>
        </w:rPr>
        <w:t>The genetic testing industry is currently under a high degree of government scrutiny. The Office of Inspector General for the Departme</w:t>
      </w:r>
      <w:r>
        <w:rPr>
          <w:sz w:val="20"/>
          <w:szCs w:val="20"/>
        </w:rPr>
        <w:t>nt of Health and Human Services and a variety of State Attorneys General have issued fraud alerts regarding a variety of cancer genetic testing fraud schemes, and the Department of Justice has announced indictments in such fraud schemes involving a variety</w:t>
      </w:r>
      <w:r>
        <w:rPr>
          <w:sz w:val="20"/>
          <w:szCs w:val="20"/>
        </w:rPr>
        <w:t xml:space="preserve"> of individuals and entities, including genetic testing and other laboratories, physicians who order genetic testing for a large volume of patients without treating them, and third parties who arranged for the genetic testing by approaching patients throug</w:t>
      </w:r>
      <w:r>
        <w:rPr>
          <w:sz w:val="20"/>
          <w:szCs w:val="20"/>
        </w:rPr>
        <w:t>h telemarketing calls, booths at public events, health fairs, and door-to-door visits. These individuals then shared the proceeds received from Medicare, TRICARE, and other third-party payors. This increased regulatory scrutiny could decrease demand for ou</w:t>
      </w:r>
      <w:r>
        <w:rPr>
          <w:sz w:val="20"/>
          <w:szCs w:val="20"/>
        </w:rPr>
        <w:t>r testing services or increase our costs of regulatory compliance, either of which could have a material adverse effect on our business.</w:t>
      </w:r>
    </w:p>
    <w:p w:rsidR="00000000" w:rsidRDefault="00406BD4">
      <w:pPr>
        <w:pStyle w:val="a3"/>
        <w:spacing w:before="240" w:beforeAutospacing="0" w:after="0" w:afterAutospacing="0"/>
        <w:jc w:val="center"/>
        <w:rPr>
          <w:sz w:val="20"/>
          <w:szCs w:val="20"/>
        </w:rPr>
      </w:pPr>
      <w:r>
        <w:rPr>
          <w:sz w:val="20"/>
          <w:szCs w:val="20"/>
        </w:rPr>
        <w:t>50</w:t>
      </w:r>
    </w:p>
    <w:p w:rsidR="00000000" w:rsidRDefault="00406BD4">
      <w:pPr>
        <w:rPr>
          <w:rFonts w:eastAsia="Times New Roman"/>
        </w:rPr>
      </w:pPr>
      <w:r>
        <w:rPr>
          <w:rFonts w:eastAsia="Times New Roman"/>
        </w:rPr>
        <w:pict>
          <v:rect id="_x0000_i1076"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240" w:beforeAutospacing="0" w:after="0" w:afterAutospacing="0"/>
        <w:ind w:firstLine="556"/>
        <w:rPr>
          <w:sz w:val="20"/>
          <w:szCs w:val="20"/>
        </w:rPr>
      </w:pPr>
      <w:r>
        <w:rPr>
          <w:sz w:val="20"/>
          <w:szCs w:val="20"/>
        </w:rPr>
        <w:t>Any future growth of our business, including, in particular, growth of our international business and continued reliance on consultants, commercial partners and other third parties, may increase the potential for violating these laws. In some cases, our ri</w:t>
      </w:r>
      <w:r>
        <w:rPr>
          <w:sz w:val="20"/>
          <w:szCs w:val="20"/>
        </w:rPr>
        <w:t>sk of violating these or other laws and regulations is further increased because of the lack of their complete interpretation by applicable regulatory authorities or courts, and their provisions are thus open to a variety of interpretations. Our recently l</w:t>
      </w:r>
      <w:r>
        <w:rPr>
          <w:sz w:val="20"/>
          <w:szCs w:val="20"/>
        </w:rPr>
        <w:t>aunched Picture Genetics line of at-home genetic test offerings are patient-initiated screening tests, which may receive greater scrutiny from regulatory authorities than our traditional testing services that are offered directly to health care providers.</w:t>
      </w:r>
    </w:p>
    <w:p w:rsidR="00000000" w:rsidRDefault="00406BD4">
      <w:pPr>
        <w:pStyle w:val="a3"/>
        <w:spacing w:before="240" w:beforeAutospacing="0" w:after="0" w:afterAutospacing="0"/>
        <w:ind w:firstLine="556"/>
        <w:rPr>
          <w:sz w:val="20"/>
          <w:szCs w:val="20"/>
        </w:rPr>
      </w:pPr>
      <w:bookmarkStart w:id="58" w:name="_DV_C781"/>
      <w:bookmarkStart w:id="59" w:name="_DV_X775"/>
      <w:r>
        <w:rPr>
          <w:sz w:val="20"/>
          <w:szCs w:val="20"/>
        </w:rPr>
        <w:t>We have adopted policies and procedures designed to comply with these laws and regulations and, in the ordinary course of our business, we conduct internal revi</w:t>
      </w:r>
      <w:bookmarkEnd w:id="58"/>
      <w:bookmarkEnd w:id="59"/>
      <w:r>
        <w:rPr>
          <w:sz w:val="20"/>
          <w:szCs w:val="20"/>
        </w:rPr>
        <w:t>ews of our compliance with these laws. Our compliance is also subject to review by applicable go</w:t>
      </w:r>
      <w:r>
        <w:rPr>
          <w:sz w:val="20"/>
          <w:szCs w:val="20"/>
        </w:rPr>
        <w:t>vernment agencies. It is not always possible to identify and deter misconduct by employees, distributors, consultants and commercial partners, and the precautions we take to detect and prevent this activity may not be effective in controlling unknown or un</w:t>
      </w:r>
      <w:r>
        <w:rPr>
          <w:sz w:val="20"/>
          <w:szCs w:val="20"/>
        </w:rPr>
        <w:t>managed risks or losses or in protecting us from government investigations or other actions or lawsuits stemming from a failure to comply with applicable laws or regulations. Additionally, we are subject to the risk that a person or government could allege</w:t>
      </w:r>
      <w:r>
        <w:rPr>
          <w:sz w:val="20"/>
          <w:szCs w:val="20"/>
        </w:rPr>
        <w:t xml:space="preserve"> such fraud or other misconduct, even if none occurred. Any action brought against us for violation of these or other laws or regulations, even if we successfully defend against it, could cause us to incur significant legal expenses, divert our management’</w:t>
      </w:r>
      <w:r>
        <w:rPr>
          <w:sz w:val="20"/>
          <w:szCs w:val="20"/>
        </w:rPr>
        <w:t xml:space="preserve">s attention from the operation of our business and harm our reputation. If our operations, including the conduct of our employees, consultants and commercial partners, are found to be in violation of any of these laws and regulations, we may be subject to </w:t>
      </w:r>
      <w:r>
        <w:rPr>
          <w:sz w:val="20"/>
          <w:szCs w:val="20"/>
        </w:rPr>
        <w:t>applicable penalties associated with the violation, including administrative, civil and criminal penalties, damages, fines, individual imprisonment, exclusion from participation in federal healthcare programs, refunding of payments received by us and curta</w:t>
      </w:r>
      <w:r>
        <w:rPr>
          <w:sz w:val="20"/>
          <w:szCs w:val="20"/>
        </w:rPr>
        <w:t>ilment or cessation of our operations. Any of these consequences could seriously harm our business and our financial results.</w:t>
      </w:r>
    </w:p>
    <w:p w:rsidR="00000000" w:rsidRDefault="00406BD4">
      <w:pPr>
        <w:pStyle w:val="a3"/>
        <w:spacing w:before="360" w:beforeAutospacing="0" w:after="0" w:afterAutospacing="0"/>
        <w:rPr>
          <w:b/>
          <w:bCs/>
          <w:sz w:val="20"/>
          <w:szCs w:val="20"/>
        </w:rPr>
      </w:pPr>
      <w:r>
        <w:rPr>
          <w:b/>
          <w:bCs/>
          <w:sz w:val="20"/>
          <w:szCs w:val="20"/>
        </w:rPr>
        <w:t>Healthcare policy changes, including recently enacted and proposed new legislation reforming the U.S. healthcare system, could cau</w:t>
      </w:r>
      <w:r>
        <w:rPr>
          <w:b/>
          <w:bCs/>
          <w:sz w:val="20"/>
          <w:szCs w:val="20"/>
        </w:rPr>
        <w:t>se significant harm to our business, operations and financial condition.</w:t>
      </w:r>
    </w:p>
    <w:p w:rsidR="00000000" w:rsidRDefault="00406BD4">
      <w:pPr>
        <w:pStyle w:val="a3"/>
        <w:spacing w:before="120" w:beforeAutospacing="0" w:after="0" w:afterAutospacing="0"/>
        <w:ind w:firstLine="556"/>
        <w:rPr>
          <w:sz w:val="20"/>
          <w:szCs w:val="20"/>
        </w:rPr>
      </w:pPr>
      <w:r>
        <w:rPr>
          <w:sz w:val="20"/>
          <w:szCs w:val="20"/>
        </w:rPr>
        <w:t>The Affordable Care Act made a number of substantial changes to the way healthcare is financed both by governmental and private payors. The Affordable Care Act also introduced mechani</w:t>
      </w:r>
      <w:r>
        <w:rPr>
          <w:sz w:val="20"/>
          <w:szCs w:val="20"/>
        </w:rPr>
        <w:t>sms to reduce the per capita rate of growth in Medicare spending if expenditures exceed certain targets. Any such reductions could affect reimbursement payments for our tests. The Affordable Care Act also contains a number of other provisions, including pr</w:t>
      </w:r>
      <w:r>
        <w:rPr>
          <w:sz w:val="20"/>
          <w:szCs w:val="20"/>
        </w:rPr>
        <w:t>ovisions governing enrollment in federal and state healthcare programs, reimbursement matters and fraud and abuse, which we expect will impact our industry and our operations in ways that we cannot currently predict.</w:t>
      </w:r>
    </w:p>
    <w:p w:rsidR="00000000" w:rsidRDefault="00406BD4">
      <w:pPr>
        <w:pStyle w:val="a3"/>
        <w:spacing w:before="240" w:beforeAutospacing="0" w:after="0" w:afterAutospacing="0"/>
        <w:ind w:firstLine="556"/>
        <w:rPr>
          <w:sz w:val="20"/>
          <w:szCs w:val="20"/>
        </w:rPr>
      </w:pPr>
      <w:r>
        <w:rPr>
          <w:sz w:val="20"/>
          <w:szCs w:val="20"/>
        </w:rPr>
        <w:t>In April 2014, Congress passed PAMA, wh</w:t>
      </w:r>
      <w:r>
        <w:rPr>
          <w:sz w:val="20"/>
          <w:szCs w:val="20"/>
        </w:rPr>
        <w:t>ich included substantial changes to the way in which clinical laboratory services will be paid under Medicare. Under PAMA, certain clinical laboratories are required to periodically report to CMS private payor payment rates and volumes for their tests. Lab</w:t>
      </w:r>
      <w:r>
        <w:rPr>
          <w:sz w:val="20"/>
          <w:szCs w:val="20"/>
        </w:rPr>
        <w:t>oratories that fail to report the required payment information may be subject to substantial civil monetary penalties. Further, effective January 1, 2018 under PAMA, Medicare reimbursement for diagnostic tests will be based on the weighted-median of the pa</w:t>
      </w:r>
      <w:r>
        <w:rPr>
          <w:sz w:val="20"/>
          <w:szCs w:val="20"/>
        </w:rPr>
        <w:t>yments made by private payors for these tests, rendering private payor payment levels even more significant. As a result, future Medicare payments may fluctuate more often and become subject to the willingness of private payors to recognize the value of di</w:t>
      </w:r>
      <w:r>
        <w:rPr>
          <w:sz w:val="20"/>
          <w:szCs w:val="20"/>
        </w:rPr>
        <w:t>agnostic tests generally and any given test individually. The impact of this new payment system on rates for our tests, including any current or future tests we may develop, is uncertain.</w:t>
      </w:r>
    </w:p>
    <w:p w:rsidR="00000000" w:rsidRDefault="00406BD4">
      <w:pPr>
        <w:pStyle w:val="a3"/>
        <w:spacing w:before="240" w:beforeAutospacing="0" w:after="0" w:afterAutospacing="0"/>
        <w:ind w:firstLine="556"/>
        <w:rPr>
          <w:sz w:val="20"/>
          <w:szCs w:val="20"/>
        </w:rPr>
      </w:pPr>
      <w:r>
        <w:rPr>
          <w:sz w:val="20"/>
          <w:szCs w:val="20"/>
        </w:rPr>
        <w:t>In March 2020, in response to COVID-19, the CARES Act, was signed in</w:t>
      </w:r>
      <w:r>
        <w:rPr>
          <w:sz w:val="20"/>
          <w:szCs w:val="20"/>
        </w:rPr>
        <w:t>to law. The CARES Act provides numerous tax provisions and other stimulus measures. The CARES Act also includes a number of benefits that are applicable to us and other healthcare providers, including the provision of a one-year reprieve for clinical labor</w:t>
      </w:r>
      <w:r>
        <w:rPr>
          <w:sz w:val="20"/>
          <w:szCs w:val="20"/>
        </w:rPr>
        <w:t>atories from the reporting requirements under PAMA as well as a one-year delay of reimbursement rate reductions for clinical laboratory services provided under Medicare that were scheduled to take place in 2021. Further revisions of the Medicare Clinical L</w:t>
      </w:r>
      <w:r>
        <w:rPr>
          <w:sz w:val="20"/>
          <w:szCs w:val="20"/>
        </w:rPr>
        <w:t>aboratory Fee Schedule for years after 2021 will be based on future surveys of market rates.</w:t>
      </w:r>
    </w:p>
    <w:p w:rsidR="00000000" w:rsidRDefault="00406BD4">
      <w:pPr>
        <w:pStyle w:val="a3"/>
        <w:spacing w:before="240" w:beforeAutospacing="0" w:after="0" w:afterAutospacing="0"/>
        <w:ind w:firstLine="556"/>
        <w:rPr>
          <w:sz w:val="20"/>
          <w:szCs w:val="20"/>
        </w:rPr>
      </w:pPr>
      <w:r>
        <w:rPr>
          <w:sz w:val="20"/>
          <w:szCs w:val="20"/>
        </w:rPr>
        <w:t>We cannot predict whether or when these or other recently enacted healthcare initiatives will be implemented at the federal or state level or how any such legislat</w:t>
      </w:r>
      <w:r>
        <w:rPr>
          <w:sz w:val="20"/>
          <w:szCs w:val="20"/>
        </w:rPr>
        <w:t>ion or regulation may affect us. For instance, the payment reductions imposed by the Affordable Care Act and the changes to reimbursement amounts paid by Medicare for tests such as ours based on the procedure set forth in PAMA, could limit the prices we wi</w:t>
      </w:r>
      <w:r>
        <w:rPr>
          <w:sz w:val="20"/>
          <w:szCs w:val="20"/>
        </w:rPr>
        <w:t>ll be able to charge or the amount of available reimbursement for our tests, which would reduce our revenue. Additionally, these healthcare policy changes could be amended or additional healthcare initiatives could be implemented in the future. For instanc</w:t>
      </w:r>
      <w:r>
        <w:rPr>
          <w:sz w:val="20"/>
          <w:szCs w:val="20"/>
        </w:rPr>
        <w:t>e, there is uncertainty regarding the continued effect of the Affordable Care Act in its current form and in light of the policies of the current administration and members of Congress, which have threatened to repeal, replace or change the Affordable Care</w:t>
      </w:r>
      <w:r>
        <w:rPr>
          <w:sz w:val="20"/>
          <w:szCs w:val="20"/>
        </w:rPr>
        <w:t xml:space="preserve"> Act. President Trump has signed two Executive Orders and other directives designed to delay the implementation of certain provisions of the Affordable Care Act or otherwise circumvent some of the requirements for health insurance mandated by the Affordabl</w:t>
      </w:r>
      <w:r>
        <w:rPr>
          <w:sz w:val="20"/>
          <w:szCs w:val="20"/>
        </w:rPr>
        <w:t>e Care Act. Concurrently, although Congress has not passed comprehensive repeal legislation, at least two bills affecting the implementation of certain taxes under the Affordable Care Act have been signed into law. For example, the Tax Cuts and Jobs Act of</w:t>
      </w:r>
      <w:r>
        <w:rPr>
          <w:sz w:val="20"/>
          <w:szCs w:val="20"/>
        </w:rPr>
        <w:t xml:space="preserve"> 2017 repealed the tax-based shared responsibility payment imposed by the Affordable Care Act on certain individuals who fail to </w:t>
      </w:r>
    </w:p>
    <w:p w:rsidR="00000000" w:rsidRDefault="00406BD4">
      <w:pPr>
        <w:pStyle w:val="a3"/>
        <w:spacing w:before="240" w:beforeAutospacing="0" w:after="0" w:afterAutospacing="0"/>
        <w:jc w:val="center"/>
        <w:rPr>
          <w:sz w:val="20"/>
          <w:szCs w:val="20"/>
        </w:rPr>
      </w:pPr>
      <w:r>
        <w:rPr>
          <w:sz w:val="20"/>
          <w:szCs w:val="20"/>
        </w:rPr>
        <w:t>51</w:t>
      </w:r>
    </w:p>
    <w:p w:rsidR="00000000" w:rsidRDefault="00406BD4">
      <w:pPr>
        <w:rPr>
          <w:rFonts w:eastAsia="Times New Roman"/>
        </w:rPr>
      </w:pPr>
      <w:r>
        <w:rPr>
          <w:rFonts w:eastAsia="Times New Roman"/>
        </w:rPr>
        <w:pict>
          <v:rect id="_x0000_i1077"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240" w:beforeAutospacing="0" w:after="0" w:afterAutospacing="0"/>
        <w:rPr>
          <w:sz w:val="20"/>
          <w:szCs w:val="20"/>
        </w:rPr>
      </w:pPr>
      <w:r>
        <w:rPr>
          <w:sz w:val="20"/>
          <w:szCs w:val="20"/>
        </w:rPr>
        <w:t xml:space="preserve">maintain qualifying health coverage for all or part of a year that is commonly referred to as the “individual </w:t>
      </w:r>
      <w:r>
        <w:rPr>
          <w:sz w:val="20"/>
          <w:szCs w:val="20"/>
        </w:rPr>
        <w:t xml:space="preserve">mandate.” In December 2019, the Fifth Circuit Court of Appeals upheld a district court’s finding that the individual mandate in the Affordable Care Act is unconstitutional following removal of the penalty provision from the law. However, the Fifth Circuit </w:t>
      </w:r>
      <w:r>
        <w:rPr>
          <w:sz w:val="20"/>
          <w:szCs w:val="20"/>
        </w:rPr>
        <w:t>reversed and remanded the case to the district court to determine if other reforms enacted as part of the Affordable Care Act but not specifically related to the individual mandate or health insurance could be severed from the rest of the Affordable Care A</w:t>
      </w:r>
      <w:r>
        <w:rPr>
          <w:sz w:val="20"/>
          <w:szCs w:val="20"/>
        </w:rPr>
        <w:t>ct so as not to have the law declared invalid in its entirety. It is unclear how this decision, subsequent appeals including potentially to the U.S. Supreme Court, and other efforts to repeal and replace the Affordable Care Act will affect the implementati</w:t>
      </w:r>
      <w:r>
        <w:rPr>
          <w:sz w:val="20"/>
          <w:szCs w:val="20"/>
        </w:rPr>
        <w:t xml:space="preserve">on of that law and our business. </w:t>
      </w:r>
    </w:p>
    <w:p w:rsidR="00000000" w:rsidRDefault="00406BD4">
      <w:pPr>
        <w:pStyle w:val="a3"/>
        <w:spacing w:before="240" w:beforeAutospacing="0" w:after="0" w:afterAutospacing="0"/>
        <w:ind w:firstLine="556"/>
        <w:rPr>
          <w:sz w:val="20"/>
          <w:szCs w:val="20"/>
        </w:rPr>
      </w:pPr>
      <w:r>
        <w:rPr>
          <w:sz w:val="20"/>
          <w:szCs w:val="20"/>
        </w:rPr>
        <w:t>Further, the impact on our business of the expansion of the federal and state governments’ role in the U.S. healthcare industry generally, including the social, governmental and other pressures to reduce healthcare costs w</w:t>
      </w:r>
      <w:r>
        <w:rPr>
          <w:sz w:val="20"/>
          <w:szCs w:val="20"/>
        </w:rPr>
        <w:t>hile expanding individual benefits, is uncertain. Any future changes or initiatives could have a materially adverse effect on our business, financial condition, results of operations and cash flows.</w:t>
      </w:r>
    </w:p>
    <w:p w:rsidR="00000000" w:rsidRDefault="00406BD4">
      <w:pPr>
        <w:pStyle w:val="a3"/>
        <w:spacing w:before="360" w:beforeAutospacing="0" w:after="0" w:afterAutospacing="0"/>
        <w:rPr>
          <w:b/>
          <w:bCs/>
          <w:sz w:val="20"/>
          <w:szCs w:val="20"/>
        </w:rPr>
      </w:pPr>
      <w:r>
        <w:rPr>
          <w:b/>
          <w:bCs/>
          <w:sz w:val="20"/>
          <w:szCs w:val="20"/>
        </w:rPr>
        <w:t>Changes in laws and regulations, or in their application,</w:t>
      </w:r>
      <w:r>
        <w:rPr>
          <w:b/>
          <w:bCs/>
          <w:sz w:val="20"/>
          <w:szCs w:val="20"/>
        </w:rPr>
        <w:t xml:space="preserve"> may adversely affect our business, financial condition and results of operations.</w:t>
      </w:r>
    </w:p>
    <w:p w:rsidR="00000000" w:rsidRDefault="00406BD4">
      <w:pPr>
        <w:pStyle w:val="a3"/>
        <w:spacing w:before="120" w:beforeAutospacing="0" w:after="0" w:afterAutospacing="0"/>
        <w:ind w:firstLine="556"/>
        <w:rPr>
          <w:sz w:val="20"/>
          <w:szCs w:val="20"/>
        </w:rPr>
      </w:pPr>
      <w:r>
        <w:rPr>
          <w:sz w:val="20"/>
          <w:szCs w:val="20"/>
        </w:rPr>
        <w:t>The clinical laboratory testing industry is highly regulated, and failure to comply with applicable regulatory, supervisory, accreditation, registration or licensing require</w:t>
      </w:r>
      <w:r>
        <w:rPr>
          <w:sz w:val="20"/>
          <w:szCs w:val="20"/>
        </w:rPr>
        <w:t>ments may adversely affect our business, financial condition and results of operations. In particular, the laws and regulations governing the marketing and research of clinical diagnostic testing are extremely complex, and in many instances there are no cl</w:t>
      </w:r>
      <w:r>
        <w:rPr>
          <w:sz w:val="20"/>
          <w:szCs w:val="20"/>
        </w:rPr>
        <w:t>ear regulatory or judicial interpretations of these laws and regulations, increasing the risk that we may be found to be in violation of these laws.</w:t>
      </w:r>
    </w:p>
    <w:p w:rsidR="00000000" w:rsidRDefault="00406BD4">
      <w:pPr>
        <w:pStyle w:val="a3"/>
        <w:spacing w:before="240" w:beforeAutospacing="0" w:after="0" w:afterAutospacing="0"/>
        <w:ind w:firstLine="556"/>
        <w:rPr>
          <w:sz w:val="20"/>
          <w:szCs w:val="20"/>
        </w:rPr>
      </w:pPr>
      <w:r>
        <w:rPr>
          <w:sz w:val="20"/>
          <w:szCs w:val="20"/>
        </w:rPr>
        <w:t xml:space="preserve">Furthermore, the genetic testing industry as a whole is a growing industry and regulatory agencies such as </w:t>
      </w:r>
      <w:r>
        <w:rPr>
          <w:sz w:val="20"/>
          <w:szCs w:val="20"/>
        </w:rPr>
        <w:t>HHS or FDA may apply heightened scrutiny to new developments in the field, or the U.S. Congress may do so. Since 2017, Congress has been working on legislation to create an LDT and IVD regulatory framework that would be separate and distinct from the exist</w:t>
      </w:r>
      <w:r>
        <w:rPr>
          <w:sz w:val="20"/>
          <w:szCs w:val="20"/>
        </w:rPr>
        <w:t xml:space="preserve">ing medical device regulatory framework. </w:t>
      </w:r>
      <w:r>
        <w:rPr>
          <w:color w:val="231F20"/>
          <w:sz w:val="20"/>
          <w:szCs w:val="20"/>
        </w:rPr>
        <w:t>On March 5, 2020, U.S. Representatives Diana DeGette (D-CO) and Dr. Larry Bucshon (R-IN) formally introduced the VALID Act in the House and an identical version of the bill was introduced in the U.S. Senate by Senat</w:t>
      </w:r>
      <w:r>
        <w:rPr>
          <w:color w:val="231F20"/>
          <w:sz w:val="20"/>
          <w:szCs w:val="20"/>
        </w:rPr>
        <w:t>ors Michael Bennet (D-CO) and Richard Burr (R-NC). As anticipated from a discussion draft of the legislation released for stakeholder comment in December 2018, the VALID Act would codify into law the term “in vitro clinical test” (IVCT) to create a new med</w:t>
      </w:r>
      <w:r>
        <w:rPr>
          <w:color w:val="231F20"/>
          <w:sz w:val="20"/>
          <w:szCs w:val="20"/>
        </w:rPr>
        <w:t xml:space="preserve">ical product category separate from medical devices, and bring all such products within the scope of FDA’s oversight. </w:t>
      </w:r>
      <w:r>
        <w:rPr>
          <w:sz w:val="20"/>
          <w:szCs w:val="20"/>
        </w:rPr>
        <w:t>It is unclear whether the VALID Act would be passed by Congress in its current form or signed into law by the President.</w:t>
      </w:r>
    </w:p>
    <w:p w:rsidR="00000000" w:rsidRDefault="00406BD4">
      <w:pPr>
        <w:pStyle w:val="a3"/>
        <w:spacing w:before="240" w:beforeAutospacing="0" w:after="0" w:afterAutospacing="0"/>
        <w:ind w:firstLine="556"/>
        <w:rPr>
          <w:sz w:val="20"/>
          <w:szCs w:val="20"/>
        </w:rPr>
      </w:pPr>
      <w:r>
        <w:rPr>
          <w:sz w:val="20"/>
          <w:szCs w:val="20"/>
        </w:rPr>
        <w:t>In addition, ther</w:t>
      </w:r>
      <w:r>
        <w:rPr>
          <w:sz w:val="20"/>
          <w:szCs w:val="20"/>
        </w:rPr>
        <w:t>e has been a recent trend of increased U.S. federal and state regulation, scrutiny and enforcement relating to payments made to referral sources, which are governed by laws and regulations including the Stark law, the federal Anti-Kickback Statute, the fed</w:t>
      </w:r>
      <w:r>
        <w:rPr>
          <w:sz w:val="20"/>
          <w:szCs w:val="20"/>
        </w:rPr>
        <w:t>eral False Claims Act, as well as state equivalents of such laws. For example, the Eliminating Kickbacks in Recovery Act of 2018, or EKRA, was passed in October 2018 as part of the Substance Use-Disorder Prevention that Promotes Opioid Recovery and Treatme</w:t>
      </w:r>
      <w:r>
        <w:rPr>
          <w:sz w:val="20"/>
          <w:szCs w:val="20"/>
        </w:rPr>
        <w:t>nt for Patients and Communities Act (referred to as the SUPPORT Act). Similar to the federal Anti-Kickback Statute, EKRA imposes criminal penalties for knowing or willful payment or offer, or solicitation or receipt, of any remuneration, whether directly o</w:t>
      </w:r>
      <w:r>
        <w:rPr>
          <w:sz w:val="20"/>
          <w:szCs w:val="20"/>
        </w:rPr>
        <w:t>r indirectly, overtly or covertly, in cash or in kind, in exchange for the referral or inducement of laboratory testing (among other health care services) unless a specific exception applies. However, unlike the federal Anti-Kickback Statute, EKRA is not l</w:t>
      </w:r>
      <w:r>
        <w:rPr>
          <w:sz w:val="20"/>
          <w:szCs w:val="20"/>
        </w:rPr>
        <w:t>imited to services covered by federal or state health care programs but applies more broadly to services covered by “health care benefit programs,” including commercial insurers. Additionally, because EKRA’s exceptions are not identical to the federal Anti</w:t>
      </w:r>
      <w:r>
        <w:rPr>
          <w:sz w:val="20"/>
          <w:szCs w:val="20"/>
        </w:rPr>
        <w:t>-Kickback Statute’s safe harbors, compliance with a federal Anti-Kickback Statute safe harbor does not guarantee protection under EKRA. As currently drafted, EKRA potentially expands the universe of arrangements that could be subject to government enforcem</w:t>
      </w:r>
      <w:r>
        <w:rPr>
          <w:sz w:val="20"/>
          <w:szCs w:val="20"/>
        </w:rPr>
        <w:t>ent under federal fraud and abuse laws. Because EKRA is a new law, there is no agency guidance or court precedent to indicate how and to what extent it will be applied and enforced. We cannot assure you that our relationships with physicians, sales represe</w:t>
      </w:r>
      <w:r>
        <w:rPr>
          <w:sz w:val="20"/>
          <w:szCs w:val="20"/>
        </w:rPr>
        <w:t>ntatives, hospitals, customers, or any other party will not be subject to scrutiny or will survive regulatory challenge under such laws. If imposed for any reason, sanctions under the EKRA could have a negative effect on our business.</w:t>
      </w:r>
    </w:p>
    <w:p w:rsidR="00000000" w:rsidRDefault="00406BD4">
      <w:pPr>
        <w:pStyle w:val="a3"/>
        <w:spacing w:before="360" w:beforeAutospacing="0" w:after="0" w:afterAutospacing="0"/>
        <w:rPr>
          <w:b/>
          <w:bCs/>
          <w:sz w:val="20"/>
          <w:szCs w:val="20"/>
        </w:rPr>
      </w:pPr>
      <w:r>
        <w:rPr>
          <w:b/>
          <w:bCs/>
          <w:sz w:val="20"/>
          <w:szCs w:val="20"/>
        </w:rPr>
        <w:t>Marketing of our COVI</w:t>
      </w:r>
      <w:r>
        <w:rPr>
          <w:b/>
          <w:bCs/>
          <w:sz w:val="20"/>
          <w:szCs w:val="20"/>
        </w:rPr>
        <w:t>D-19 tests under EUAs from FDA is subject to certain limitations and we are required to maintain compliance with the terms of the EUA, among other things, and the continuance of our EUAs is subject to government discretion.</w:t>
      </w:r>
    </w:p>
    <w:p w:rsidR="00000000" w:rsidRDefault="00406BD4">
      <w:pPr>
        <w:pStyle w:val="a3"/>
        <w:spacing w:before="120" w:beforeAutospacing="0" w:after="0" w:afterAutospacing="0"/>
        <w:ind w:firstLine="556"/>
        <w:rPr>
          <w:sz w:val="20"/>
          <w:szCs w:val="20"/>
        </w:rPr>
      </w:pPr>
      <w:r>
        <w:rPr>
          <w:sz w:val="20"/>
          <w:szCs w:val="20"/>
        </w:rPr>
        <w:t>On February 4, 2020, HHS Secreta</w:t>
      </w:r>
      <w:r>
        <w:rPr>
          <w:sz w:val="20"/>
          <w:szCs w:val="20"/>
        </w:rPr>
        <w:t xml:space="preserve">ry Alex Azar issued a declaration that the threat to public health posed by COVID-19 justifies the emergency use of unapproved in vitro diagnostics for the detection or diagnosis of SARS-CoV-2. Under Section 564 of the FDC Act, because HHS has issued this </w:t>
      </w:r>
      <w:r>
        <w:rPr>
          <w:sz w:val="20"/>
          <w:szCs w:val="20"/>
        </w:rPr>
        <w:t>declaration, the FDA Commissioner is authorized to issue Emergency Use Authorizations, or EUAs, to permit certain developers of SARS-CoV-2 diagnostics to begin offering the tests for detection and diagnosis of COVID-19 without having completed the normally</w:t>
      </w:r>
      <w:r>
        <w:rPr>
          <w:sz w:val="20"/>
          <w:szCs w:val="20"/>
        </w:rPr>
        <w:t xml:space="preserve"> applicable FDA review and clearance or approval process for marketing authorization (with the related standards that would apply to demonstrate safety and effectiveness). The issuance of an EUA reflects an FDA conclusion that based on the totality of scie</w:t>
      </w:r>
      <w:r>
        <w:rPr>
          <w:sz w:val="20"/>
          <w:szCs w:val="20"/>
        </w:rPr>
        <w:t>ntific evidence available to the FDA, it is reasonable to believe that the product may be effective in diagnosing COVID-19, and that the known potential benefits of the product outweigh the known and potential risks, and there is no adequate, approved, and</w:t>
      </w:r>
      <w:r>
        <w:rPr>
          <w:sz w:val="20"/>
          <w:szCs w:val="20"/>
        </w:rPr>
        <w:t xml:space="preserve"> available alternative to the emergency use of the product.</w:t>
      </w:r>
    </w:p>
    <w:p w:rsidR="00000000" w:rsidRDefault="00406BD4">
      <w:pPr>
        <w:pStyle w:val="a3"/>
        <w:spacing w:before="240" w:beforeAutospacing="0" w:after="0" w:afterAutospacing="0"/>
        <w:jc w:val="center"/>
        <w:rPr>
          <w:sz w:val="20"/>
          <w:szCs w:val="20"/>
        </w:rPr>
      </w:pPr>
      <w:r>
        <w:rPr>
          <w:sz w:val="20"/>
          <w:szCs w:val="20"/>
        </w:rPr>
        <w:t>52</w:t>
      </w:r>
    </w:p>
    <w:p w:rsidR="00000000" w:rsidRDefault="00406BD4">
      <w:pPr>
        <w:rPr>
          <w:rFonts w:eastAsia="Times New Roman"/>
        </w:rPr>
      </w:pPr>
      <w:r>
        <w:rPr>
          <w:rFonts w:eastAsia="Times New Roman"/>
        </w:rPr>
        <w:pict>
          <v:rect id="_x0000_i1078"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240" w:beforeAutospacing="0" w:after="0" w:afterAutospacing="0"/>
        <w:ind w:firstLine="556"/>
        <w:rPr>
          <w:sz w:val="20"/>
          <w:szCs w:val="20"/>
        </w:rPr>
      </w:pPr>
      <w:r>
        <w:rPr>
          <w:sz w:val="20"/>
          <w:szCs w:val="20"/>
        </w:rPr>
        <w:t xml:space="preserve">Since </w:t>
      </w:r>
      <w:r>
        <w:rPr>
          <w:sz w:val="20"/>
          <w:szCs w:val="20"/>
        </w:rPr>
        <w:t>March 2020, we have commercially launched several molecular tests for the detection of SARS-CoV-2, the virus that causes COVID-19, including NGS and RT-PCR-based tests as well as related antibody testing options. On May 15, 2020, we were granted an EUA for</w:t>
      </w:r>
      <w:r>
        <w:rPr>
          <w:sz w:val="20"/>
          <w:szCs w:val="20"/>
        </w:rPr>
        <w:t xml:space="preserve"> the RT-PCR-based test for the detection of SARS-CoV-2 using upper and lower respiratory specimens (nasal, nasopharyngeal, and oropharyngeal swabs), which can also be used with our self-collected at-home nasal swab specimen testing kit  through Picture Gen</w:t>
      </w:r>
      <w:r>
        <w:rPr>
          <w:sz w:val="20"/>
          <w:szCs w:val="20"/>
        </w:rPr>
        <w:t xml:space="preserve">etics or a second authorized third-party home collection kit. </w:t>
      </w:r>
    </w:p>
    <w:p w:rsidR="00000000" w:rsidRDefault="00406BD4">
      <w:pPr>
        <w:pStyle w:val="a3"/>
        <w:spacing w:before="240" w:beforeAutospacing="0" w:after="0" w:afterAutospacing="0"/>
        <w:ind w:firstLine="556"/>
        <w:rPr>
          <w:color w:val="000000"/>
          <w:sz w:val="20"/>
          <w:szCs w:val="20"/>
        </w:rPr>
      </w:pPr>
      <w:r>
        <w:rPr>
          <w:color w:val="000000"/>
          <w:sz w:val="20"/>
          <w:szCs w:val="20"/>
        </w:rPr>
        <w:t>Although there are certain regulatory requirements the FDA has waived for the duration of the EUA, we remain subject to specific conditions of the authorizations. As with other FDA-regulated te</w:t>
      </w:r>
      <w:r>
        <w:rPr>
          <w:color w:val="000000"/>
          <w:sz w:val="20"/>
          <w:szCs w:val="20"/>
        </w:rPr>
        <w:t>sts, issues could emerge during the course of the marketing and use of our test under an EUA that could impact our ability to continue the sale and distribution of the authorized test or home collection kit. Factors that may be out of the Company’s control</w:t>
      </w:r>
      <w:r>
        <w:rPr>
          <w:color w:val="000000"/>
          <w:sz w:val="20"/>
          <w:szCs w:val="20"/>
        </w:rPr>
        <w:t xml:space="preserve">, such as the availability of supplies and key personnel, may impact the Company’s ability to maintain testing capacity and test result delivery, and its other responses to the COVID-19 pandemic, and may have an adverse impact on the Company’s operations. </w:t>
      </w:r>
      <w:r>
        <w:rPr>
          <w:color w:val="000000"/>
          <w:sz w:val="20"/>
          <w:szCs w:val="20"/>
        </w:rPr>
        <w:t>Our EUA remains effective only until the HHS declaration is terminated or revoked, and FDA also may revoke an EUA if it determines the criteria for issuance are no longer met or other circumstances make such revocation appropriate to protect the public hea</w:t>
      </w:r>
      <w:r>
        <w:rPr>
          <w:color w:val="000000"/>
          <w:sz w:val="20"/>
          <w:szCs w:val="20"/>
        </w:rPr>
        <w:t xml:space="preserve">lth or safety. However, on August 19, 2020, HHS published a policy announcement that FDA must go through the formal notice-and-comment rulemaking process before requiring pre-market review (including emergency use authorization) of LDTs rather than making </w:t>
      </w:r>
      <w:r>
        <w:rPr>
          <w:color w:val="000000"/>
          <w:sz w:val="20"/>
          <w:szCs w:val="20"/>
        </w:rPr>
        <w:t xml:space="preserve">such changes through guidance documents, compliance manuals, or other informal policy statements. Based on HHS’s policy announcement, which specifically states that LDT developers are not required to obtain an EUA or other marketing authorization from FDA </w:t>
      </w:r>
      <w:r>
        <w:rPr>
          <w:color w:val="000000"/>
          <w:sz w:val="20"/>
          <w:szCs w:val="20"/>
        </w:rPr>
        <w:t xml:space="preserve">prior to commercialization, we believe we may continue to market our COVID-19 tests even if our EUA is terminated or revoked. FDA may seek to establish a new regulation through notice-and-comment rulemaking requiring pre-market review and authorization of </w:t>
      </w:r>
      <w:r>
        <w:rPr>
          <w:color w:val="000000"/>
          <w:sz w:val="20"/>
          <w:szCs w:val="20"/>
        </w:rPr>
        <w:t>LDTs, and if that were to occur and if our EUA is either terminated or revoked, then in order to continue marketing our COVID-19 tests, we could be required to obtain the necessary regulatory clearances or approvals and be subject to the full and usual reg</w:t>
      </w:r>
      <w:r>
        <w:rPr>
          <w:color w:val="000000"/>
          <w:sz w:val="20"/>
          <w:szCs w:val="20"/>
        </w:rPr>
        <w:t>ulatory obligations.</w:t>
      </w:r>
    </w:p>
    <w:p w:rsidR="00000000" w:rsidRDefault="00406BD4">
      <w:pPr>
        <w:pStyle w:val="a3"/>
        <w:spacing w:before="360" w:beforeAutospacing="0" w:after="0" w:afterAutospacing="0"/>
        <w:rPr>
          <w:b/>
          <w:bCs/>
          <w:sz w:val="20"/>
          <w:szCs w:val="20"/>
        </w:rPr>
      </w:pPr>
      <w:r>
        <w:rPr>
          <w:b/>
          <w:bCs/>
          <w:sz w:val="20"/>
          <w:szCs w:val="20"/>
        </w:rPr>
        <w:t>If the hazardous materials we use in our operations cause contamination or injury, we could be liable for resulting damages.</w:t>
      </w:r>
    </w:p>
    <w:p w:rsidR="00000000" w:rsidRDefault="00406BD4">
      <w:pPr>
        <w:pStyle w:val="a3"/>
        <w:spacing w:before="120" w:beforeAutospacing="0" w:after="0" w:afterAutospacing="0"/>
        <w:ind w:firstLine="556"/>
        <w:rPr>
          <w:sz w:val="20"/>
          <w:szCs w:val="20"/>
        </w:rPr>
      </w:pPr>
      <w:r>
        <w:rPr>
          <w:sz w:val="20"/>
          <w:szCs w:val="20"/>
        </w:rPr>
        <w:t>Our operations require the use of regulated medical waste, hazardous waste and biohazardous waste, including c</w:t>
      </w:r>
      <w:r>
        <w:rPr>
          <w:sz w:val="20"/>
          <w:szCs w:val="20"/>
        </w:rPr>
        <w:t>hemicals, biological agents and compounds and blood and other tissue specimens. We are subject on an ongoing basis to federal, state and local laws and regulations governing the use, storage, handling and disposal of these hazardous materials and other spe</w:t>
      </w:r>
      <w:r>
        <w:rPr>
          <w:sz w:val="20"/>
          <w:szCs w:val="20"/>
        </w:rPr>
        <w:t>cified waste products. Although we typically use licensed or otherwise qualified outside vendors to dispose of this waste, applicable laws and regulations could hold us liable for damages and fines if our, or others’, business operations or other actions r</w:t>
      </w:r>
      <w:r>
        <w:rPr>
          <w:sz w:val="20"/>
          <w:szCs w:val="20"/>
        </w:rPr>
        <w:t xml:space="preserve">esult in contamination to the environment or personal injury due to exposure to hazardous materials. We cannot eliminate the risk of contamination or injury, and any liability imposed on us for any resulting damages or injury could exceed our resources or </w:t>
      </w:r>
      <w:r>
        <w:rPr>
          <w:sz w:val="20"/>
          <w:szCs w:val="20"/>
        </w:rPr>
        <w:t>any applicable insurance coverage. The cost to secure such insurance coverage and to comply with these laws and regulations could become more significant in the future, and any failure to comply could result in substantial costs and other business and repu</w:t>
      </w:r>
      <w:r>
        <w:rPr>
          <w:sz w:val="20"/>
          <w:szCs w:val="20"/>
        </w:rPr>
        <w:t>tational consequences, any of which could negatively affect our operating results.</w:t>
      </w:r>
    </w:p>
    <w:p w:rsidR="00000000" w:rsidRDefault="00406BD4">
      <w:pPr>
        <w:pStyle w:val="a3"/>
        <w:spacing w:before="360" w:beforeAutospacing="0" w:after="0" w:afterAutospacing="0"/>
        <w:rPr>
          <w:b/>
          <w:bCs/>
          <w:sz w:val="20"/>
          <w:szCs w:val="20"/>
        </w:rPr>
      </w:pPr>
      <w:r>
        <w:rPr>
          <w:b/>
          <w:bCs/>
          <w:sz w:val="20"/>
          <w:szCs w:val="20"/>
        </w:rPr>
        <w:t>We could be adversely affected by violations of the FCPA and other anti-bribery laws.</w:t>
      </w:r>
    </w:p>
    <w:p w:rsidR="00000000" w:rsidRDefault="00406BD4">
      <w:pPr>
        <w:pStyle w:val="a3"/>
        <w:spacing w:before="120" w:beforeAutospacing="0" w:after="0" w:afterAutospacing="0"/>
        <w:ind w:firstLine="561"/>
        <w:rPr>
          <w:sz w:val="20"/>
          <w:szCs w:val="20"/>
        </w:rPr>
      </w:pPr>
      <w:r>
        <w:rPr>
          <w:sz w:val="20"/>
          <w:szCs w:val="20"/>
        </w:rPr>
        <w:t>Our international operations are subject to various anti-bribery laws, including the FC</w:t>
      </w:r>
      <w:r>
        <w:rPr>
          <w:sz w:val="20"/>
          <w:szCs w:val="20"/>
        </w:rPr>
        <w:t xml:space="preserve">PA and similar anti-bribery laws in the non-U.S. jurisdictions in which we operate. The FCPA prohibits companies and their intermediaries from offering, making, or authorizing improper payments to non-U.S. or foreign officials for the purpose of obtaining </w:t>
      </w:r>
      <w:r>
        <w:rPr>
          <w:sz w:val="20"/>
          <w:szCs w:val="20"/>
        </w:rPr>
        <w:t>or retaining business or securing any other improper advantage. These laws are complex and far-reaching in nature, and we may be required in the future to alter one or more of our practices to be in compliance with these laws or any changes to these laws o</w:t>
      </w:r>
      <w:r>
        <w:rPr>
          <w:sz w:val="20"/>
          <w:szCs w:val="20"/>
        </w:rPr>
        <w:t>r their interpretation.</w:t>
      </w:r>
    </w:p>
    <w:p w:rsidR="00000000" w:rsidRDefault="00406BD4">
      <w:pPr>
        <w:pStyle w:val="a3"/>
        <w:spacing w:before="240" w:beforeAutospacing="0" w:after="0" w:afterAutospacing="0"/>
        <w:ind w:firstLine="561"/>
        <w:rPr>
          <w:sz w:val="20"/>
          <w:szCs w:val="20"/>
        </w:rPr>
      </w:pPr>
      <w:bookmarkStart w:id="60" w:name="_DV_C854"/>
      <w:bookmarkStart w:id="61" w:name="_DV_C855"/>
      <w:bookmarkStart w:id="62" w:name="_DV_X844"/>
      <w:bookmarkStart w:id="63" w:name="_DV_C856"/>
      <w:bookmarkStart w:id="64" w:name="_DV_C857"/>
      <w:bookmarkStart w:id="65" w:name="_DV_X860"/>
      <w:bookmarkStart w:id="66" w:name="_DV_C858"/>
      <w:r>
        <w:rPr>
          <w:sz w:val="20"/>
          <w:szCs w:val="20"/>
        </w:rPr>
        <w:t>We currently engage in significant business outside the United States, and we plan to increase our international operations in the future. These operations could involve dealings with governments, foreign officials and state-owned e</w:t>
      </w:r>
      <w:r>
        <w:rPr>
          <w:sz w:val="20"/>
          <w:szCs w:val="20"/>
        </w:rPr>
        <w:t>ntities, such as government hospitals, outside the United States. In addition, we may engage distributors, other commercial partners or third-party intermediaries, such as representatives or contractors, or establish joint ventures or other arrangements to</w:t>
      </w:r>
      <w:r>
        <w:rPr>
          <w:sz w:val="20"/>
          <w:szCs w:val="20"/>
        </w:rPr>
        <w:t xml:space="preserve"> manage or assist with promotion and sale of our tests abroad and obtaining necessary permits, licenses and other regulatory approvals. Any such third parties could be deemed to be our agents and we could be held responsible for any corrupt or other illega</w:t>
      </w:r>
      <w:r>
        <w:rPr>
          <w:sz w:val="20"/>
          <w:szCs w:val="20"/>
        </w:rPr>
        <w:t>l activities of our employees or these third parties, even if we do not explicitly authorize or have actual knowledge of such activities. We have instituted policies, procedures, and internal controls reasonably designed to promote compliance with the FCPA</w:t>
      </w:r>
      <w:r>
        <w:rPr>
          <w:sz w:val="20"/>
          <w:szCs w:val="20"/>
        </w:rPr>
        <w:t xml:space="preserve"> and other anti-corruption laws and we exercise a high degree of vigilance in maintaining, implementing and enforcing these policies and controls. However, these policies and controls could be circumvented or ignored and they cannot guarantee compliance wi</w:t>
      </w:r>
      <w:r>
        <w:rPr>
          <w:sz w:val="20"/>
          <w:szCs w:val="20"/>
        </w:rPr>
        <w:t>th these laws and regulations. Any violations of these laws or allegations of such violations c</w:t>
      </w:r>
      <w:bookmarkEnd w:id="60"/>
      <w:r>
        <w:rPr>
          <w:sz w:val="20"/>
          <w:szCs w:val="20"/>
        </w:rPr>
        <w:t xml:space="preserve">ould disrupt our operations, involve significant management distraction, involve significant costs and expenses, including legal fees, and </w:t>
      </w:r>
      <w:bookmarkEnd w:id="61"/>
      <w:bookmarkEnd w:id="62"/>
      <w:r>
        <w:rPr>
          <w:sz w:val="20"/>
          <w:szCs w:val="20"/>
        </w:rPr>
        <w:t>harm our reputation. A</w:t>
      </w:r>
      <w:r>
        <w:rPr>
          <w:sz w:val="20"/>
          <w:szCs w:val="20"/>
        </w:rPr>
        <w:t>dditionally, other U.S. companies in the medical device and pharmaceutical fields have faced su</w:t>
      </w:r>
      <w:bookmarkEnd w:id="63"/>
      <w:r>
        <w:rPr>
          <w:sz w:val="20"/>
          <w:szCs w:val="20"/>
        </w:rPr>
        <w:t xml:space="preserve">bstantial fines and criminal penalties </w:t>
      </w:r>
      <w:bookmarkEnd w:id="64"/>
      <w:bookmarkEnd w:id="65"/>
      <w:r>
        <w:rPr>
          <w:sz w:val="20"/>
          <w:szCs w:val="20"/>
        </w:rPr>
        <w:t>in the recent past for violating the FCPA, and we could also incur these types of</w:t>
      </w:r>
      <w:bookmarkEnd w:id="66"/>
      <w:r>
        <w:rPr>
          <w:sz w:val="20"/>
          <w:szCs w:val="20"/>
        </w:rPr>
        <w:t xml:space="preserve"> penalties, including criminal and civil </w:t>
      </w:r>
      <w:r>
        <w:rPr>
          <w:sz w:val="20"/>
          <w:szCs w:val="20"/>
        </w:rPr>
        <w:t>penalties, disgorgement, and other remedial measures, if we violate the FCPA or other applicable anti-bribery laws. Any of these outcomes could result in a material adverse effect on our business, prospects, financial condition, or results of operations.</w:t>
      </w:r>
    </w:p>
    <w:p w:rsidR="00000000" w:rsidRDefault="00406BD4">
      <w:pPr>
        <w:pStyle w:val="a3"/>
        <w:spacing w:before="240" w:beforeAutospacing="0" w:after="0" w:afterAutospacing="0"/>
        <w:jc w:val="center"/>
        <w:rPr>
          <w:sz w:val="20"/>
          <w:szCs w:val="20"/>
        </w:rPr>
      </w:pPr>
      <w:r>
        <w:rPr>
          <w:sz w:val="20"/>
          <w:szCs w:val="20"/>
        </w:rPr>
        <w:t>5</w:t>
      </w:r>
      <w:r>
        <w:rPr>
          <w:sz w:val="20"/>
          <w:szCs w:val="20"/>
        </w:rPr>
        <w:t>3</w:t>
      </w:r>
    </w:p>
    <w:p w:rsidR="00000000" w:rsidRDefault="00406BD4">
      <w:pPr>
        <w:rPr>
          <w:rFonts w:eastAsia="Times New Roman"/>
        </w:rPr>
      </w:pPr>
      <w:r>
        <w:rPr>
          <w:rFonts w:eastAsia="Times New Roman"/>
        </w:rPr>
        <w:pict>
          <v:rect id="_x0000_i1079"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360" w:beforeAutospacing="0" w:after="0" w:afterAutospacing="0"/>
        <w:rPr>
          <w:b/>
          <w:bCs/>
          <w:sz w:val="20"/>
          <w:szCs w:val="20"/>
        </w:rPr>
      </w:pPr>
      <w:r>
        <w:rPr>
          <w:b/>
          <w:bCs/>
          <w:sz w:val="20"/>
          <w:szCs w:val="20"/>
        </w:rPr>
        <w:t>Our services present the potential for embezzlement, identity theft or o</w:t>
      </w:r>
      <w:r>
        <w:rPr>
          <w:b/>
          <w:bCs/>
          <w:sz w:val="20"/>
          <w:szCs w:val="20"/>
        </w:rPr>
        <w:t>ther similar illegal behavior by our employees, consultants, service providers or commercial partners.</w:t>
      </w:r>
    </w:p>
    <w:p w:rsidR="00000000" w:rsidRDefault="00406BD4">
      <w:pPr>
        <w:pStyle w:val="a3"/>
        <w:spacing w:before="120" w:beforeAutospacing="0" w:after="0" w:afterAutospacing="0"/>
        <w:ind w:firstLine="556"/>
        <w:rPr>
          <w:sz w:val="20"/>
          <w:szCs w:val="20"/>
        </w:rPr>
      </w:pPr>
      <w:r>
        <w:rPr>
          <w:sz w:val="20"/>
          <w:szCs w:val="20"/>
        </w:rPr>
        <w:t>Our operations involve the use and disclosure of personal and business information that could be used to impersonate third parties or otherwise gain acce</w:t>
      </w:r>
      <w:r>
        <w:rPr>
          <w:sz w:val="20"/>
          <w:szCs w:val="20"/>
        </w:rPr>
        <w:t xml:space="preserve">ss to their data or funds. If any of our employees, consultants, service providers or commercial partners takes, converts or misuses these funds or data, we could be liable for any resulting damages, which could harm our financial condition and damage our </w:t>
      </w:r>
      <w:r>
        <w:rPr>
          <w:sz w:val="20"/>
          <w:szCs w:val="20"/>
        </w:rPr>
        <w:t>business reputation.</w:t>
      </w:r>
    </w:p>
    <w:p w:rsidR="00000000" w:rsidRDefault="00406BD4">
      <w:pPr>
        <w:pStyle w:val="a3"/>
        <w:spacing w:before="360" w:beforeAutospacing="0" w:after="0" w:afterAutospacing="0"/>
        <w:rPr>
          <w:b/>
          <w:bCs/>
          <w:sz w:val="20"/>
          <w:szCs w:val="20"/>
        </w:rPr>
      </w:pPr>
      <w:r>
        <w:rPr>
          <w:b/>
          <w:bCs/>
          <w:sz w:val="20"/>
          <w:szCs w:val="20"/>
        </w:rPr>
        <w:t>We could be adversely affected by alleged violations of the Federal Trade Commission Act or other truth-in-advertising and consumer protection laws.</w:t>
      </w:r>
    </w:p>
    <w:p w:rsidR="00000000" w:rsidRDefault="00406BD4">
      <w:pPr>
        <w:pStyle w:val="a3"/>
        <w:spacing w:before="120" w:beforeAutospacing="0" w:after="0" w:afterAutospacing="0"/>
        <w:ind w:firstLine="556"/>
        <w:rPr>
          <w:sz w:val="20"/>
          <w:szCs w:val="20"/>
        </w:rPr>
      </w:pPr>
      <w:r>
        <w:rPr>
          <w:sz w:val="20"/>
          <w:szCs w:val="20"/>
        </w:rPr>
        <w:t>Our advertising for laboratory services and tests is subject to federal truth-in-adver</w:t>
      </w:r>
      <w:r>
        <w:rPr>
          <w:sz w:val="20"/>
          <w:szCs w:val="20"/>
        </w:rPr>
        <w:t>tising laws enforced by the Federal Trade Commission, or FTC, as well as comparable state consumer protection laws. Under the Federal Trade Commission Act, or FTC Act, the FTC is empowered, among other things, to (a) prevent unfair methods of competition a</w:t>
      </w:r>
      <w:r>
        <w:rPr>
          <w:sz w:val="20"/>
          <w:szCs w:val="20"/>
        </w:rPr>
        <w:t>nd unfair or deceptive acts or practices in or affecting commerce; (b) seek monetary redress and other relief for conduct injurious to consumers; and (c) gather and compile information and conduct investigations relating to the organization, business, prac</w:t>
      </w:r>
      <w:r>
        <w:rPr>
          <w:sz w:val="20"/>
          <w:szCs w:val="20"/>
        </w:rPr>
        <w:t xml:space="preserve">tices, and management of entities engaged in commerce. The FTC has very broad enforcement authority, and failure to abide by the substantive requirements of the FTC Act and other consumer protection laws can result in administrative or judicial penalties, </w:t>
      </w:r>
      <w:r>
        <w:rPr>
          <w:sz w:val="20"/>
          <w:szCs w:val="20"/>
        </w:rPr>
        <w:t>including civil penalties, injunctions affecting the manner in which we would be able to market services or products in the future, or criminal prosecution. In conjunction with the recent launch of our Picture Genetics line of at-home genetic test offering</w:t>
      </w:r>
      <w:r>
        <w:rPr>
          <w:sz w:val="20"/>
          <w:szCs w:val="20"/>
        </w:rPr>
        <w:t>s that are initiated consumers, we plan to increase our advertising activities that would be subject to these federal and state truth-in-advertising laws. Any actual or perceived non-compliance with those laws could lead to an investigation by the FTC or a</w:t>
      </w:r>
      <w:r>
        <w:rPr>
          <w:sz w:val="20"/>
          <w:szCs w:val="20"/>
        </w:rPr>
        <w:t xml:space="preserve"> comparable state agency, or could lead to allegations of misleading advertising by private plaintiffs. Any such action against us would disrupt our business operations, cause damage to our reputation, and result in a material adverse effects on our busine</w:t>
      </w:r>
      <w:r>
        <w:rPr>
          <w:sz w:val="20"/>
          <w:szCs w:val="20"/>
        </w:rPr>
        <w:t>ss.</w:t>
      </w:r>
    </w:p>
    <w:p w:rsidR="00000000" w:rsidRDefault="00406BD4">
      <w:pPr>
        <w:pStyle w:val="a3"/>
        <w:spacing w:before="360" w:beforeAutospacing="0" w:after="0" w:afterAutospacing="0"/>
        <w:jc w:val="center"/>
        <w:rPr>
          <w:b/>
          <w:bCs/>
          <w:sz w:val="20"/>
          <w:szCs w:val="20"/>
        </w:rPr>
      </w:pPr>
      <w:bookmarkStart w:id="67" w:name="_dv_c139_11888976"/>
      <w:bookmarkStart w:id="68" w:name="_dv_x697_11888976"/>
      <w:bookmarkStart w:id="69" w:name="_dv_c140_11888976"/>
      <w:bookmarkStart w:id="70" w:name="_dv_x773_11888976"/>
      <w:bookmarkStart w:id="71" w:name="_dv_c780_11888976"/>
      <w:bookmarkStart w:id="72" w:name="_dv_x775_11888976"/>
      <w:bookmarkStart w:id="73" w:name="_dv_c781_11888976"/>
      <w:bookmarkStart w:id="74" w:name="_dv_x814_11888976"/>
      <w:bookmarkStart w:id="75" w:name="_dv_c810_11888976"/>
      <w:bookmarkStart w:id="76" w:name="_dv_c811_11888976"/>
      <w:bookmarkStart w:id="77" w:name="_dv_c854_11888976"/>
      <w:bookmarkStart w:id="78" w:name="_dv_x844_11888976"/>
      <w:bookmarkStart w:id="79" w:name="_dv_c855_11888976"/>
      <w:bookmarkStart w:id="80" w:name="_dv_c856_11888976"/>
      <w:bookmarkStart w:id="81" w:name="_dv_x860_11888976"/>
      <w:bookmarkStart w:id="82" w:name="_dv_c857_11888976"/>
      <w:bookmarkStart w:id="83" w:name="_dv_c858_1188897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Pr>
          <w:b/>
          <w:bCs/>
          <w:sz w:val="20"/>
          <w:szCs w:val="20"/>
        </w:rPr>
        <w:t>Intellectual Property Risks</w:t>
      </w:r>
    </w:p>
    <w:p w:rsidR="00000000" w:rsidRDefault="00406BD4">
      <w:pPr>
        <w:pStyle w:val="a3"/>
        <w:spacing w:before="240" w:beforeAutospacing="0" w:after="0" w:afterAutospacing="0"/>
        <w:rPr>
          <w:b/>
          <w:bCs/>
          <w:sz w:val="20"/>
          <w:szCs w:val="20"/>
        </w:rPr>
      </w:pPr>
      <w:r>
        <w:rPr>
          <w:b/>
          <w:bCs/>
          <w:sz w:val="20"/>
          <w:szCs w:val="20"/>
        </w:rPr>
        <w:t>We currently own no patents or patent applications related to our technology platform and rely on trade secret protection, non-disclosure agreements and invention assignment agreements to protect our proprietary information,</w:t>
      </w:r>
      <w:r>
        <w:rPr>
          <w:b/>
          <w:bCs/>
          <w:sz w:val="20"/>
          <w:szCs w:val="20"/>
        </w:rPr>
        <w:t xml:space="preserve"> which may not be effective.</w:t>
      </w:r>
    </w:p>
    <w:p w:rsidR="00000000" w:rsidRDefault="00406BD4">
      <w:pPr>
        <w:pStyle w:val="a3"/>
        <w:spacing w:before="120" w:beforeAutospacing="0" w:after="0" w:afterAutospacing="0"/>
        <w:ind w:firstLine="556"/>
        <w:rPr>
          <w:sz w:val="20"/>
          <w:szCs w:val="20"/>
        </w:rPr>
      </w:pPr>
      <w:r>
        <w:rPr>
          <w:sz w:val="20"/>
          <w:szCs w:val="20"/>
        </w:rPr>
        <w:t>We currently rely on trade secret protection, non-disclosure agreements and invention assignment agreements with our employees, consultants and third-parties to protect our confidential and proprietary information. Although our</w:t>
      </w:r>
      <w:r>
        <w:rPr>
          <w:sz w:val="20"/>
          <w:szCs w:val="20"/>
        </w:rPr>
        <w:t xml:space="preserve"> competitors have utilized and are expected to continue to utilize technologies and methods similar to ours and have aggregated and are expected to continue to aggregate libraries of genetic information similar to ours, we believe our success will depend i</w:t>
      </w:r>
      <w:r>
        <w:rPr>
          <w:sz w:val="20"/>
          <w:szCs w:val="20"/>
        </w:rPr>
        <w:t>n part on our ability to develop proprietary methods and libraries and to defend any advantages afforded to us by these methods and libraries relative to our competitors. If we do not protect our intellectual property and other confidential information ade</w:t>
      </w:r>
      <w:r>
        <w:rPr>
          <w:sz w:val="20"/>
          <w:szCs w:val="20"/>
        </w:rPr>
        <w:t>quately, competitors may be able to use our proprietary technologies and information and thereby erode any competitive advantages they provide us.</w:t>
      </w:r>
    </w:p>
    <w:p w:rsidR="00000000" w:rsidRDefault="00406BD4">
      <w:pPr>
        <w:pStyle w:val="a3"/>
        <w:spacing w:before="240" w:beforeAutospacing="0" w:after="0" w:afterAutospacing="0"/>
        <w:ind w:firstLine="556"/>
        <w:rPr>
          <w:sz w:val="20"/>
          <w:szCs w:val="20"/>
        </w:rPr>
      </w:pPr>
      <w:r>
        <w:rPr>
          <w:sz w:val="20"/>
          <w:szCs w:val="20"/>
        </w:rPr>
        <w:t>We will be able to protect our proprietary rights from unauthorized use by third parties only to the extent these rights are effectively maintained as confidential. We expect to rely primarily on trade secret and contractual protections for our confidentia</w:t>
      </w:r>
      <w:r>
        <w:rPr>
          <w:sz w:val="20"/>
          <w:szCs w:val="20"/>
        </w:rPr>
        <w:t>l and proprietary information and we have taken security measures we believe are appropriate to protect this information. These measures, however, may not provide adequate protection for our trade secrets, know-how or other confidential information. We see</w:t>
      </w:r>
      <w:r>
        <w:rPr>
          <w:sz w:val="20"/>
          <w:szCs w:val="20"/>
        </w:rPr>
        <w:t>k to protect our proprietary information by, among other things, entering into confidentiality agreements with employees, consultants and other third parties. These confidentiality agreements may not sufficiently safeguard our trade secrets and other confi</w:t>
      </w:r>
      <w:r>
        <w:rPr>
          <w:sz w:val="20"/>
          <w:szCs w:val="20"/>
        </w:rPr>
        <w:t>dential information and may not provide adequate remedies in the event of unauthorized use or disclosure of this information. Enforcing a claim that a party illegally disclosed or misappropriated a trade secret or other proprietary information could be dif</w:t>
      </w:r>
      <w:r>
        <w:rPr>
          <w:sz w:val="20"/>
          <w:szCs w:val="20"/>
        </w:rPr>
        <w:t xml:space="preserve">ficult, expensive and time-consuming and the outcome could be unpredictable. In addition, trade secrets or other confidential information could otherwise become known or be independently developed by others in a manner that could prevent legal recourse by </w:t>
      </w:r>
      <w:r>
        <w:rPr>
          <w:sz w:val="20"/>
          <w:szCs w:val="20"/>
        </w:rPr>
        <w:t>us. If any of our trade secrets or other confidential or proprietary information were disclosed or misappropriated or if any such information was independently developed by a competitor, our competitive position could be harmed and our business could suffe</w:t>
      </w:r>
      <w:r>
        <w:rPr>
          <w:sz w:val="20"/>
          <w:szCs w:val="20"/>
        </w:rPr>
        <w:t>r.</w:t>
      </w:r>
    </w:p>
    <w:p w:rsidR="00000000" w:rsidRDefault="00406BD4">
      <w:pPr>
        <w:pStyle w:val="a3"/>
        <w:spacing w:before="240" w:beforeAutospacing="0" w:after="0" w:afterAutospacing="0"/>
        <w:jc w:val="center"/>
        <w:rPr>
          <w:sz w:val="20"/>
          <w:szCs w:val="20"/>
        </w:rPr>
      </w:pPr>
      <w:r>
        <w:rPr>
          <w:sz w:val="20"/>
          <w:szCs w:val="20"/>
        </w:rPr>
        <w:t>54</w:t>
      </w:r>
    </w:p>
    <w:p w:rsidR="00000000" w:rsidRDefault="00406BD4">
      <w:pPr>
        <w:rPr>
          <w:rFonts w:eastAsia="Times New Roman"/>
        </w:rPr>
      </w:pPr>
      <w:r>
        <w:rPr>
          <w:rFonts w:eastAsia="Times New Roman"/>
        </w:rPr>
        <w:pict>
          <v:rect id="_x0000_i1080"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360" w:beforeAutospacing="0" w:after="0" w:afterAutospacing="0"/>
        <w:rPr>
          <w:b/>
          <w:bCs/>
          <w:sz w:val="20"/>
          <w:szCs w:val="20"/>
        </w:rPr>
      </w:pPr>
      <w:r>
        <w:rPr>
          <w:b/>
          <w:bCs/>
          <w:sz w:val="20"/>
          <w:szCs w:val="20"/>
        </w:rPr>
        <w:t>Litigation or other proceedings or third-party claims of intellectual property infringement or misappropriation could require us to spend significant time and money and prevent us fr</w:t>
      </w:r>
      <w:r>
        <w:rPr>
          <w:b/>
          <w:bCs/>
          <w:sz w:val="20"/>
          <w:szCs w:val="20"/>
        </w:rPr>
        <w:t>om selling our tests.</w:t>
      </w:r>
    </w:p>
    <w:p w:rsidR="00000000" w:rsidRDefault="00406BD4">
      <w:pPr>
        <w:pStyle w:val="a3"/>
        <w:spacing w:before="120" w:beforeAutospacing="0" w:after="0" w:afterAutospacing="0"/>
        <w:ind w:firstLine="556"/>
        <w:rPr>
          <w:sz w:val="20"/>
          <w:szCs w:val="20"/>
        </w:rPr>
      </w:pPr>
      <w:r>
        <w:rPr>
          <w:sz w:val="20"/>
          <w:szCs w:val="20"/>
        </w:rPr>
        <w:t>We believe our ability to succeed will depend in part on our avoidance of infringement of patents and other proprietary rights owned by third parties, including the intellectual property rights of competitors. There are numerous third</w:t>
      </w:r>
      <w:r>
        <w:rPr>
          <w:sz w:val="20"/>
          <w:szCs w:val="20"/>
        </w:rPr>
        <w:t>-party-owned U.S. and foreign patents, pending patent applications and other intellectual property rights that cover technologies relevant to genetic testing. We may be unaware of patents or other intellectual property rights that a third-party might asser</w:t>
      </w:r>
      <w:r>
        <w:rPr>
          <w:sz w:val="20"/>
          <w:szCs w:val="20"/>
        </w:rPr>
        <w:t>t are infringed by our business, and there may be pending patent applications that, if issued, could be asserted against us. As a result, our existing or future operations may be alleged or found to infringe existing or future patents or other intellectual</w:t>
      </w:r>
      <w:r>
        <w:rPr>
          <w:sz w:val="20"/>
          <w:szCs w:val="20"/>
        </w:rPr>
        <w:t xml:space="preserve"> property rights of others. Moreover, as we continue to sell our existing tests and if we launch new tests and enter new markets, competitors may claim that our tests infringe or misappropriate their intellectual property rights as part of strategies desig</w:t>
      </w:r>
      <w:r>
        <w:rPr>
          <w:sz w:val="20"/>
          <w:szCs w:val="20"/>
        </w:rPr>
        <w:t>ned to impede our existing operations or our entry into new markets.</w:t>
      </w:r>
    </w:p>
    <w:p w:rsidR="00000000" w:rsidRDefault="00406BD4">
      <w:pPr>
        <w:pStyle w:val="a3"/>
        <w:spacing w:before="240" w:beforeAutospacing="0" w:after="0" w:afterAutospacing="0"/>
        <w:ind w:firstLine="556"/>
        <w:rPr>
          <w:sz w:val="20"/>
          <w:szCs w:val="20"/>
        </w:rPr>
      </w:pPr>
      <w:r>
        <w:rPr>
          <w:sz w:val="20"/>
          <w:szCs w:val="20"/>
        </w:rPr>
        <w:t>If a patent infringement or misappropriation of intellectual property lawsuit was brought against us, we could be forced to discontinue or delay our development or sales of any tests or o</w:t>
      </w:r>
      <w:r>
        <w:rPr>
          <w:sz w:val="20"/>
          <w:szCs w:val="20"/>
        </w:rPr>
        <w:t>ther activities that are the subject of the lawsuit while it is pending, even if it is not ultimately successful. In the event of a successful claim of infringement against us, we could be forced to pay substantial damages, including treble damages and att</w:t>
      </w:r>
      <w:r>
        <w:rPr>
          <w:sz w:val="20"/>
          <w:szCs w:val="20"/>
        </w:rPr>
        <w:t xml:space="preserve">orneys’ fees if we were found to have willfully infringed patents; obtain one or more licenses, which may not be available on commercially reasonable terms when needed or at all; pay royalties, which may be substantial; or redesign any infringing tests or </w:t>
      </w:r>
      <w:r>
        <w:rPr>
          <w:sz w:val="20"/>
          <w:szCs w:val="20"/>
        </w:rPr>
        <w:t>other activities, which may be impossible or require substantial time and expense. In addition, third parties making claims against us for infringement or misappropriation of their patents or other intellectual property rights could seek and obtain injunct</w:t>
      </w:r>
      <w:r>
        <w:rPr>
          <w:sz w:val="20"/>
          <w:szCs w:val="20"/>
        </w:rPr>
        <w:t>ive or other equitable relief, which, if granted, could prohibit us from performing some or all of our tests. Further, defense against these claims, regardless of their merit or success, could cause us to incur substantial expenses, be a substantial divers</w:t>
      </w:r>
      <w:r>
        <w:rPr>
          <w:sz w:val="20"/>
          <w:szCs w:val="20"/>
        </w:rPr>
        <w:t>ion to our management and other employee resources and significantly harm our reputation. Any of these outcomes could delay our introduction of new tests, significantly increase our costs or prevent us from conducting certain of our essential activities, w</w:t>
      </w:r>
      <w:r>
        <w:rPr>
          <w:sz w:val="20"/>
          <w:szCs w:val="20"/>
        </w:rPr>
        <w:t>hich could materially adversely affect our ability to operate and grow our business.</w:t>
      </w:r>
    </w:p>
    <w:p w:rsidR="00000000" w:rsidRDefault="00406BD4">
      <w:pPr>
        <w:pStyle w:val="a3"/>
        <w:spacing w:before="360" w:beforeAutospacing="0" w:after="0" w:afterAutospacing="0"/>
        <w:rPr>
          <w:b/>
          <w:bCs/>
          <w:sz w:val="20"/>
          <w:szCs w:val="20"/>
        </w:rPr>
      </w:pPr>
      <w:r>
        <w:rPr>
          <w:b/>
          <w:bCs/>
          <w:sz w:val="20"/>
          <w:szCs w:val="20"/>
        </w:rPr>
        <w:t>Developments in patent law could have a negative impact on our business.</w:t>
      </w:r>
    </w:p>
    <w:p w:rsidR="00000000" w:rsidRDefault="00406BD4">
      <w:pPr>
        <w:pStyle w:val="a3"/>
        <w:spacing w:before="120" w:beforeAutospacing="0" w:after="0" w:afterAutospacing="0"/>
        <w:ind w:firstLine="556"/>
        <w:rPr>
          <w:sz w:val="20"/>
          <w:szCs w:val="20"/>
        </w:rPr>
      </w:pPr>
      <w:r>
        <w:rPr>
          <w:sz w:val="20"/>
          <w:szCs w:val="20"/>
        </w:rPr>
        <w:t>From time to time, the U.S. Supreme Court, or the Supreme Court, other federal courts, the U.S. Co</w:t>
      </w:r>
      <w:r>
        <w:rPr>
          <w:sz w:val="20"/>
          <w:szCs w:val="20"/>
        </w:rPr>
        <w:t>ngress or the U.S. Patent and Trademark Office, or USPTO, may change the standards of patentability, and any such changes could have a negative impact on our business.</w:t>
      </w:r>
    </w:p>
    <w:p w:rsidR="00000000" w:rsidRDefault="00406BD4">
      <w:pPr>
        <w:pStyle w:val="a3"/>
        <w:spacing w:before="240" w:beforeAutospacing="0" w:after="0" w:afterAutospacing="0"/>
        <w:ind w:firstLine="556"/>
        <w:rPr>
          <w:sz w:val="20"/>
          <w:szCs w:val="20"/>
        </w:rPr>
      </w:pPr>
      <w:r>
        <w:rPr>
          <w:sz w:val="20"/>
          <w:szCs w:val="20"/>
        </w:rPr>
        <w:t>Three cases involving diagnostic method claims and “gene patents” have been decided by t</w:t>
      </w:r>
      <w:r>
        <w:rPr>
          <w:sz w:val="20"/>
          <w:szCs w:val="20"/>
        </w:rPr>
        <w:t xml:space="preserve">he Supreme Court in recent years. In March 2012, the Supreme Court issued a decision in </w:t>
      </w:r>
      <w:r>
        <w:rPr>
          <w:i/>
          <w:iCs/>
          <w:sz w:val="20"/>
          <w:szCs w:val="20"/>
        </w:rPr>
        <w:t>Mayo Collaborative v. Prometheus Laboratories</w:t>
      </w:r>
      <w:r>
        <w:rPr>
          <w:sz w:val="20"/>
          <w:szCs w:val="20"/>
        </w:rPr>
        <w:t>, or Prometheus, a case involving patent claims directed to optimizing the amount of drug administered to a specific patien</w:t>
      </w:r>
      <w:r>
        <w:rPr>
          <w:sz w:val="20"/>
          <w:szCs w:val="20"/>
        </w:rPr>
        <w:t xml:space="preserve">t, holding that the applicable patents’ claims failed to incorporate sufficient inventive content above and beyond mere underlying natural correlations to allow the claimed processes to qualify as patent-eligible processes that apply natural laws. In June </w:t>
      </w:r>
      <w:r>
        <w:rPr>
          <w:sz w:val="20"/>
          <w:szCs w:val="20"/>
        </w:rPr>
        <w:t xml:space="preserve">2013, the Supreme Court decided </w:t>
      </w:r>
      <w:r>
        <w:rPr>
          <w:i/>
          <w:iCs/>
          <w:sz w:val="20"/>
          <w:szCs w:val="20"/>
        </w:rPr>
        <w:t>Association for Molecular Pathology v. Myriad Genetics</w:t>
      </w:r>
      <w:r>
        <w:rPr>
          <w:sz w:val="20"/>
          <w:szCs w:val="20"/>
        </w:rPr>
        <w:t>, or Myriad, a case challenging the validity of patent claims relating to the breast cancer susceptibility genes BRCA1 and BRCA2, holding that isolated genomic DNA that e</w:t>
      </w:r>
      <w:r>
        <w:rPr>
          <w:sz w:val="20"/>
          <w:szCs w:val="20"/>
        </w:rPr>
        <w:t>xists in nature, such as the DNA constituting the BRCA1 and BRCA2 genes, is not patentable subject matter, but that cDNA, which is an artificial construct created from RNA transcripts of genes, may be patent eligible. In June 2014, the Supreme Court decide</w:t>
      </w:r>
      <w:r>
        <w:rPr>
          <w:sz w:val="20"/>
          <w:szCs w:val="20"/>
        </w:rPr>
        <w:t xml:space="preserve">d </w:t>
      </w:r>
      <w:r>
        <w:rPr>
          <w:i/>
          <w:iCs/>
          <w:sz w:val="20"/>
          <w:szCs w:val="20"/>
        </w:rPr>
        <w:t>Alice Corporation Pty. Ltd. v. CLS Bank International</w:t>
      </w:r>
      <w:r>
        <w:rPr>
          <w:sz w:val="20"/>
          <w:szCs w:val="20"/>
        </w:rPr>
        <w:t>, or Alice, which affirmed the Prometheus and Myriad decisions and provided additional interpretation.</w:t>
      </w:r>
    </w:p>
    <w:p w:rsidR="00000000" w:rsidRDefault="00406BD4">
      <w:pPr>
        <w:pStyle w:val="a3"/>
        <w:spacing w:before="240" w:beforeAutospacing="0" w:after="0" w:afterAutospacing="0"/>
        <w:ind w:firstLine="556"/>
        <w:rPr>
          <w:sz w:val="20"/>
          <w:szCs w:val="20"/>
        </w:rPr>
      </w:pPr>
      <w:r>
        <w:rPr>
          <w:sz w:val="20"/>
          <w:szCs w:val="20"/>
        </w:rPr>
        <w:t xml:space="preserve">If we make efforts to seek patent protection for our technologies and tests, these efforts may be </w:t>
      </w:r>
      <w:r>
        <w:rPr>
          <w:sz w:val="20"/>
          <w:szCs w:val="20"/>
        </w:rPr>
        <w:t>negatively impacted by the Prometheus, Myriad and Alice decisions, rulings in other cases or guidance or procedures issued by the USPTO. However, we cannot fully predict the impact of the Prometheus, Myriad and Alice decisions on the ability of genetic tes</w:t>
      </w:r>
      <w:r>
        <w:rPr>
          <w:sz w:val="20"/>
          <w:szCs w:val="20"/>
        </w:rPr>
        <w:t>ting, biopharmaceutical or other companies to obtain or enforce patents relating to DNA, genes or genomic-related discoveries in the future, as the contours of when claims reciting laws of nature, natural phenomena or abstract ideas may meet patent eligibi</w:t>
      </w:r>
      <w:r>
        <w:rPr>
          <w:sz w:val="20"/>
          <w:szCs w:val="20"/>
        </w:rPr>
        <w:t>lity requirements are not clear and may take years to develop via interpretation at the USPTO and in the courts. There are many previously issued patents claiming nucleic acids and diagnostic methods based on natural correlations that issued before these r</w:t>
      </w:r>
      <w:r>
        <w:rPr>
          <w:sz w:val="20"/>
          <w:szCs w:val="20"/>
        </w:rPr>
        <w:t>ecent Supreme Court decisions and, although many of these patents may be invalid under the standards set forth in these decisions, they are presumed valid and enforceable until they are successfully challenged, and third parties holding these patents could</w:t>
      </w:r>
      <w:r>
        <w:rPr>
          <w:sz w:val="20"/>
          <w:szCs w:val="20"/>
        </w:rPr>
        <w:t xml:space="preserve"> allege that we infringe or request that we obtain a license under such patents. Whether based on patents issued before or after these Supreme Court decisions, we could be forced to defend against claims of patent infringement or obtain license rights, if </w:t>
      </w:r>
      <w:r>
        <w:rPr>
          <w:sz w:val="20"/>
          <w:szCs w:val="20"/>
        </w:rPr>
        <w:t>available, under these patents. In particular, although the Supreme Court has held in Myriad that isolated genomic DNA is not patent-eligible subject matter, third parties could allege that our activities infringe other classes of gene-related patent claim</w:t>
      </w:r>
      <w:r>
        <w:rPr>
          <w:sz w:val="20"/>
          <w:szCs w:val="20"/>
        </w:rPr>
        <w:t>s. There are numerous risks associated with any patent infringement claim that may be brought against us, as discussed above under “—Litigation or other proceedings or third-party claims of intellectual property infringement or misappropriation could requi</w:t>
      </w:r>
      <w:r>
        <w:rPr>
          <w:sz w:val="20"/>
          <w:szCs w:val="20"/>
        </w:rPr>
        <w:t>re us to spend significant time and money and prevent us from selling our tests.”</w:t>
      </w:r>
    </w:p>
    <w:p w:rsidR="00000000" w:rsidRDefault="00406BD4">
      <w:pPr>
        <w:pStyle w:val="a3"/>
        <w:spacing w:before="240" w:beforeAutospacing="0" w:after="0" w:afterAutospacing="0"/>
        <w:jc w:val="center"/>
        <w:rPr>
          <w:sz w:val="20"/>
          <w:szCs w:val="20"/>
        </w:rPr>
      </w:pPr>
      <w:r>
        <w:rPr>
          <w:sz w:val="20"/>
          <w:szCs w:val="20"/>
        </w:rPr>
        <w:t>55</w:t>
      </w:r>
    </w:p>
    <w:p w:rsidR="00000000" w:rsidRDefault="00406BD4">
      <w:pPr>
        <w:rPr>
          <w:rFonts w:eastAsia="Times New Roman"/>
        </w:rPr>
      </w:pPr>
      <w:r>
        <w:rPr>
          <w:rFonts w:eastAsia="Times New Roman"/>
        </w:rPr>
        <w:pict>
          <v:rect id="_x0000_i1081"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240" w:beforeAutospacing="0" w:after="0" w:afterAutospacing="0"/>
        <w:ind w:firstLine="556"/>
        <w:rPr>
          <w:sz w:val="20"/>
          <w:szCs w:val="20"/>
        </w:rPr>
      </w:pPr>
      <w:r>
        <w:rPr>
          <w:sz w:val="20"/>
          <w:szCs w:val="20"/>
        </w:rPr>
        <w:t>In addition, the Leahy-Smith America Invents Act, or America Invents Act, which was signed into law in 2011, includes a number of significant changes to U.S. patent law. These changes include a transition from a “first-to-invent” system to a “f</w:t>
      </w:r>
      <w:r>
        <w:rPr>
          <w:sz w:val="20"/>
          <w:szCs w:val="20"/>
        </w:rPr>
        <w:t>irst-to-file” system, changes to the way issued patents are challenged and changes to the way patent applications are disputed during the examination process. These changes may favor larger and more established companies that have greater resources to devo</w:t>
      </w:r>
      <w:r>
        <w:rPr>
          <w:sz w:val="20"/>
          <w:szCs w:val="20"/>
        </w:rPr>
        <w:t>te to patent application filing and prosecution. The USPTO has developed new regulations and procedures to govern the full implementation of the America Invents Act, but the impact of the America Invents Act on the cost of prosecuting any patent applicatio</w:t>
      </w:r>
      <w:r>
        <w:rPr>
          <w:sz w:val="20"/>
          <w:szCs w:val="20"/>
        </w:rPr>
        <w:t>ns we may file, our ability to obtain patents based on our discoveries if we pursue them and our ability to enforce or defend any patents that may issue remains uncertain.</w:t>
      </w:r>
    </w:p>
    <w:p w:rsidR="00000000" w:rsidRDefault="00406BD4">
      <w:pPr>
        <w:pStyle w:val="a3"/>
        <w:spacing w:before="240" w:beforeAutospacing="0" w:after="0" w:afterAutospacing="0"/>
        <w:ind w:firstLine="556"/>
        <w:rPr>
          <w:sz w:val="20"/>
          <w:szCs w:val="20"/>
        </w:rPr>
      </w:pPr>
      <w:r>
        <w:rPr>
          <w:sz w:val="20"/>
          <w:szCs w:val="20"/>
        </w:rPr>
        <w:t>These and other substantive changes to U.S. patent law could affect our susceptibili</w:t>
      </w:r>
      <w:r>
        <w:rPr>
          <w:sz w:val="20"/>
          <w:szCs w:val="20"/>
        </w:rPr>
        <w:t>ty to patent infringement claims and our ability to obtain any patents we may pursue and, if obtained, to enforce or defend them, any of which could have a material adverse effect on our business.</w:t>
      </w:r>
    </w:p>
    <w:p w:rsidR="00000000" w:rsidRDefault="00406BD4">
      <w:pPr>
        <w:pStyle w:val="a3"/>
        <w:spacing w:before="360" w:beforeAutospacing="0" w:after="0" w:afterAutospacing="0"/>
        <w:rPr>
          <w:b/>
          <w:bCs/>
          <w:sz w:val="20"/>
          <w:szCs w:val="20"/>
        </w:rPr>
      </w:pPr>
      <w:r>
        <w:rPr>
          <w:b/>
          <w:bCs/>
          <w:sz w:val="20"/>
          <w:szCs w:val="20"/>
        </w:rPr>
        <w:t>We may not be able to enforce our intellectual property rig</w:t>
      </w:r>
      <w:r>
        <w:rPr>
          <w:b/>
          <w:bCs/>
          <w:sz w:val="20"/>
          <w:szCs w:val="20"/>
        </w:rPr>
        <w:t>hts outside the United States.</w:t>
      </w:r>
    </w:p>
    <w:p w:rsidR="00000000" w:rsidRDefault="00406BD4">
      <w:pPr>
        <w:pStyle w:val="a3"/>
        <w:spacing w:before="120" w:beforeAutospacing="0" w:after="0" w:afterAutospacing="0"/>
        <w:ind w:firstLine="556"/>
        <w:rPr>
          <w:sz w:val="20"/>
          <w:szCs w:val="20"/>
        </w:rPr>
      </w:pPr>
      <w:r>
        <w:rPr>
          <w:sz w:val="20"/>
          <w:szCs w:val="20"/>
        </w:rPr>
        <w:t>The laws of some foreign countries do not protect proprietary rights to the same extent as the laws of the United States, and many companies have encountered significant challenges in establishing and enforcing their propriet</w:t>
      </w:r>
      <w:r>
        <w:rPr>
          <w:sz w:val="20"/>
          <w:szCs w:val="20"/>
        </w:rPr>
        <w:t>ary rights outside the United States. These challenges can be caused by the absence of rules and methods for the establishment and enforcement of intellectual property rights in certain jurisdictions. In addition, the legal systems of some countries, parti</w:t>
      </w:r>
      <w:r>
        <w:rPr>
          <w:sz w:val="20"/>
          <w:szCs w:val="20"/>
        </w:rPr>
        <w:t>cularly developing countries, do not favor the enforcement of certain intellectual property protection, especially relating to healthcare. These aspects of many foreign legal systems could make it difficult for us to prevent or stop the misappropriation of</w:t>
      </w:r>
      <w:r>
        <w:rPr>
          <w:sz w:val="20"/>
          <w:szCs w:val="20"/>
        </w:rPr>
        <w:t xml:space="preserve"> our intellectual property rights in these jurisdictions. Moreover, changes in the law and legal decisions by courts in foreign countries could affect our ability to obtain adequate protection for our technologies and enforce our intellectual property righ</w:t>
      </w:r>
      <w:r>
        <w:rPr>
          <w:sz w:val="20"/>
          <w:szCs w:val="20"/>
        </w:rPr>
        <w:t>ts. As a result, our efforts to protect and enforce our intellectual property rights outside the United States may prove inadequate, in which case our ability to remain competitive and grow our business and revenue could be materially harmed.</w:t>
      </w:r>
    </w:p>
    <w:p w:rsidR="00000000" w:rsidRDefault="00406BD4">
      <w:pPr>
        <w:pStyle w:val="a3"/>
        <w:spacing w:before="360" w:beforeAutospacing="0" w:after="0" w:afterAutospacing="0"/>
        <w:rPr>
          <w:b/>
          <w:bCs/>
          <w:sz w:val="20"/>
          <w:szCs w:val="20"/>
        </w:rPr>
      </w:pPr>
      <w:r>
        <w:rPr>
          <w:b/>
          <w:bCs/>
          <w:sz w:val="20"/>
          <w:szCs w:val="20"/>
        </w:rPr>
        <w:t>Third parties</w:t>
      </w:r>
      <w:r>
        <w:rPr>
          <w:b/>
          <w:bCs/>
          <w:sz w:val="20"/>
          <w:szCs w:val="20"/>
        </w:rPr>
        <w:t xml:space="preserve"> may assert that our employees or consultants have wrongfully used or disclosed confidential information or misappropriated trade secrets.</w:t>
      </w:r>
    </w:p>
    <w:p w:rsidR="00000000" w:rsidRDefault="00406BD4">
      <w:pPr>
        <w:pStyle w:val="a3"/>
        <w:spacing w:before="120" w:beforeAutospacing="0" w:after="0" w:afterAutospacing="0"/>
        <w:ind w:firstLine="556"/>
        <w:rPr>
          <w:sz w:val="20"/>
          <w:szCs w:val="20"/>
        </w:rPr>
      </w:pPr>
      <w:r>
        <w:rPr>
          <w:sz w:val="20"/>
          <w:szCs w:val="20"/>
        </w:rPr>
        <w:t>We employ individuals who were previously employed at universities and biometric solution, genetic testing, diagnosti</w:t>
      </w:r>
      <w:r>
        <w:rPr>
          <w:sz w:val="20"/>
          <w:szCs w:val="20"/>
        </w:rPr>
        <w:t>c or other healthcare companies, including our competitors or potential competitors. Further, we may become subject to ownership disputes in the future arising from, for example, conflicting obligations of consultants or others who are involved in developi</w:t>
      </w:r>
      <w:r>
        <w:rPr>
          <w:sz w:val="20"/>
          <w:szCs w:val="20"/>
        </w:rPr>
        <w:t xml:space="preserve">ng our and other parties’ technologies and intellectual property rights. Although we try to ensure that our employees and consultants do not use the proprietary information or know-how of others in their work for us, we may be subject to claims that we or </w:t>
      </w:r>
      <w:r>
        <w:rPr>
          <w:sz w:val="20"/>
          <w:szCs w:val="20"/>
        </w:rPr>
        <w:t xml:space="preserve">our employees or consultants have inadvertently or otherwise used or disclosed intellectual property rights, including trade secrets or other proprietary information, of a former employer or other third-party. Litigation may be necessary to defend against </w:t>
      </w:r>
      <w:r>
        <w:rPr>
          <w:sz w:val="20"/>
          <w:szCs w:val="20"/>
        </w:rPr>
        <w:t>these claims, should they arise. If we fail in defending against any such claims, we could be subject to monetary damages and the loss of valuable intellectual property rights or personnel. Even if we are successful in defending against any such claims, li</w:t>
      </w:r>
      <w:r>
        <w:rPr>
          <w:sz w:val="20"/>
          <w:szCs w:val="20"/>
        </w:rPr>
        <w:t>tigation could result in substantial costs, distract management and other employees and damage our reputation.</w:t>
      </w:r>
    </w:p>
    <w:p w:rsidR="00000000" w:rsidRDefault="00406BD4">
      <w:pPr>
        <w:pStyle w:val="a3"/>
        <w:spacing w:before="360" w:beforeAutospacing="0" w:after="0" w:afterAutospacing="0"/>
        <w:jc w:val="center"/>
        <w:rPr>
          <w:b/>
          <w:bCs/>
          <w:sz w:val="20"/>
          <w:szCs w:val="20"/>
        </w:rPr>
      </w:pPr>
      <w:r>
        <w:rPr>
          <w:b/>
          <w:bCs/>
          <w:sz w:val="20"/>
          <w:szCs w:val="20"/>
        </w:rPr>
        <w:t>Common Stock Risks</w:t>
      </w:r>
    </w:p>
    <w:p w:rsidR="00000000" w:rsidRDefault="00406BD4">
      <w:pPr>
        <w:pStyle w:val="a3"/>
        <w:spacing w:before="240" w:beforeAutospacing="0" w:after="0" w:afterAutospacing="0"/>
        <w:rPr>
          <w:b/>
          <w:bCs/>
          <w:sz w:val="20"/>
          <w:szCs w:val="20"/>
        </w:rPr>
      </w:pPr>
      <w:r>
        <w:rPr>
          <w:b/>
          <w:bCs/>
          <w:sz w:val="20"/>
          <w:szCs w:val="20"/>
        </w:rPr>
        <w:t>An active, liquid trading market for our common stock may not be sustained, which could make it difficult for stockholders to sell their shares of our common stock.</w:t>
      </w:r>
    </w:p>
    <w:p w:rsidR="00000000" w:rsidRDefault="00406BD4">
      <w:pPr>
        <w:pStyle w:val="a3"/>
        <w:spacing w:before="120" w:beforeAutospacing="0" w:after="0" w:afterAutospacing="0"/>
        <w:ind w:firstLine="556"/>
        <w:rPr>
          <w:sz w:val="20"/>
          <w:szCs w:val="20"/>
        </w:rPr>
      </w:pPr>
      <w:bookmarkStart w:id="84" w:name="_Hlk205608"/>
      <w:bookmarkEnd w:id="84"/>
      <w:r>
        <w:rPr>
          <w:sz w:val="20"/>
          <w:szCs w:val="20"/>
        </w:rPr>
        <w:t>An active trading market for our common stock may not be sustained. Further, Mr. Hsieh, our</w:t>
      </w:r>
      <w:r>
        <w:rPr>
          <w:sz w:val="20"/>
          <w:szCs w:val="20"/>
        </w:rPr>
        <w:t xml:space="preserve"> founder, Chief Executive Officer and Chairman of our board of directors, beneficially owns approximately 34% of our outstanding voting equity as of September 30, 2020. As a result, fewer shares are actively traded in the public market, which reduces the l</w:t>
      </w:r>
      <w:r>
        <w:rPr>
          <w:sz w:val="20"/>
          <w:szCs w:val="20"/>
        </w:rPr>
        <w:t>iquidity of our common stock. The lack of an active trading market could impair our stockholders’ ability to sell their shares at the desired time or at a price considered reasonable. Further, an inactive trading market may impair our ability to raise capi</w:t>
      </w:r>
      <w:r>
        <w:rPr>
          <w:sz w:val="20"/>
          <w:szCs w:val="20"/>
        </w:rPr>
        <w:t>tal by selling shares of our common stock in the future, and may impair our ability to enter into strategic relationships or acquire companies or technologies using shares of our common stock as consideration.</w:t>
      </w:r>
    </w:p>
    <w:p w:rsidR="00000000" w:rsidRDefault="00406BD4">
      <w:pPr>
        <w:pStyle w:val="a3"/>
        <w:spacing w:before="240" w:beforeAutospacing="0" w:after="0" w:afterAutospacing="0"/>
        <w:ind w:firstLine="556"/>
        <w:rPr>
          <w:sz w:val="20"/>
          <w:szCs w:val="20"/>
        </w:rPr>
      </w:pPr>
      <w:r>
        <w:rPr>
          <w:sz w:val="20"/>
          <w:szCs w:val="20"/>
        </w:rPr>
        <w:t>Our common stock is listed on the Nasdaq Globa</w:t>
      </w:r>
      <w:r>
        <w:rPr>
          <w:sz w:val="20"/>
          <w:szCs w:val="20"/>
        </w:rPr>
        <w:t>l Market under the symbol “FLGT.” If we fail to satisfy the continued listing standards of Nasdaq, however, we could be de-listed, which would negatively impact the price and liquidity of our common stock.</w:t>
      </w:r>
    </w:p>
    <w:p w:rsidR="00000000" w:rsidRDefault="00406BD4">
      <w:pPr>
        <w:pStyle w:val="a3"/>
        <w:spacing w:before="240" w:beforeAutospacing="0" w:after="0" w:afterAutospacing="0"/>
        <w:jc w:val="center"/>
        <w:rPr>
          <w:sz w:val="20"/>
          <w:szCs w:val="20"/>
        </w:rPr>
      </w:pPr>
      <w:r>
        <w:rPr>
          <w:sz w:val="20"/>
          <w:szCs w:val="20"/>
        </w:rPr>
        <w:t>56</w:t>
      </w:r>
    </w:p>
    <w:p w:rsidR="00000000" w:rsidRDefault="00406BD4">
      <w:pPr>
        <w:rPr>
          <w:rFonts w:eastAsia="Times New Roman"/>
        </w:rPr>
      </w:pPr>
      <w:r>
        <w:rPr>
          <w:rFonts w:eastAsia="Times New Roman"/>
        </w:rPr>
        <w:pict>
          <v:rect id="_x0000_i1082"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360" w:beforeAutospacing="0" w:after="0" w:afterAutospacing="0"/>
        <w:rPr>
          <w:b/>
          <w:bCs/>
          <w:sz w:val="20"/>
          <w:szCs w:val="20"/>
        </w:rPr>
      </w:pPr>
      <w:r>
        <w:rPr>
          <w:b/>
          <w:bCs/>
          <w:sz w:val="20"/>
          <w:szCs w:val="20"/>
        </w:rPr>
        <w:t>The price of our common stock may be volatile and you could lose all or part of your investment.</w:t>
      </w:r>
    </w:p>
    <w:p w:rsidR="00000000" w:rsidRDefault="00406BD4">
      <w:pPr>
        <w:pStyle w:val="a3"/>
        <w:spacing w:before="120" w:beforeAutospacing="0" w:after="0" w:afterAutospacing="0"/>
        <w:ind w:firstLine="556"/>
        <w:rPr>
          <w:sz w:val="20"/>
          <w:szCs w:val="20"/>
        </w:rPr>
      </w:pPr>
      <w:r>
        <w:rPr>
          <w:sz w:val="20"/>
          <w:szCs w:val="20"/>
        </w:rPr>
        <w:t>The trading price of ou</w:t>
      </w:r>
      <w:r>
        <w:rPr>
          <w:sz w:val="20"/>
          <w:szCs w:val="20"/>
        </w:rPr>
        <w:t>r common stock has experienced, and may continue to experience, wide fluctuations and significant volatility. This volatility may be exacerbated by the relatively small and illiquid market for our common stock. Other factors that may contribute to this vol</w:t>
      </w:r>
      <w:r>
        <w:rPr>
          <w:sz w:val="20"/>
          <w:szCs w:val="20"/>
        </w:rPr>
        <w:t>atility include, among others: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120" w:beforeAutospacing="0" w:after="0" w:afterAutospacing="0"/>
              <w:rPr>
                <w:sz w:val="20"/>
                <w:szCs w:val="20"/>
              </w:rPr>
            </w:pPr>
            <w:r>
              <w:rPr>
                <w:sz w:val="20"/>
                <w:szCs w:val="20"/>
              </w:rPr>
              <w:t> </w:t>
            </w:r>
          </w:p>
        </w:tc>
        <w:tc>
          <w:tcPr>
            <w:tcW w:w="227" w:type="pct"/>
            <w:noWrap/>
            <w:hideMark/>
          </w:tcPr>
          <w:p w:rsidR="00000000" w:rsidRDefault="00406BD4">
            <w:pPr>
              <w:pStyle w:val="a3"/>
              <w:spacing w:before="120" w:beforeAutospacing="0" w:after="0" w:afterAutospacing="0"/>
              <w:rPr>
                <w:sz w:val="20"/>
                <w:szCs w:val="20"/>
              </w:rPr>
            </w:pPr>
            <w:r>
              <w:rPr>
                <w:sz w:val="20"/>
                <w:szCs w:val="20"/>
              </w:rPr>
              <w:t>•</w:t>
            </w:r>
          </w:p>
        </w:tc>
        <w:tc>
          <w:tcPr>
            <w:tcW w:w="0" w:type="auto"/>
            <w:hideMark/>
          </w:tcPr>
          <w:p w:rsidR="00000000" w:rsidRDefault="00406BD4">
            <w:pPr>
              <w:pStyle w:val="a3"/>
              <w:spacing w:before="120" w:beforeAutospacing="0" w:after="0" w:afterAutospacing="0"/>
              <w:rPr>
                <w:sz w:val="20"/>
                <w:szCs w:val="20"/>
              </w:rPr>
            </w:pPr>
            <w:r>
              <w:rPr>
                <w:sz w:val="20"/>
                <w:szCs w:val="20"/>
              </w:rPr>
              <w:t>actual or anticipated fluctuations in our operating results;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competition from existing tests or new tests that may emerge, particularly if competitive factors in our industry, including prices for genetic or other testing, become more acute;</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failures to meet or exceed financial estimates and projections of th</w:t>
            </w:r>
            <w:r>
              <w:rPr>
                <w:sz w:val="20"/>
                <w:szCs w:val="20"/>
              </w:rPr>
              <w:t>e investment community or guidance we have provided to the public;</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issuance of new or updated research or reports by securities analysts or changed recommendations for our common stock;</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announcements by us or our competitors of significant acquisitions, investments, strategic relationships, joint ventures, collaborations or capital commitments;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the timing and amount of our investments in our business and the market’s perception of these investments and their impact on our prospects;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actual or anticipated changes in laws or regulations applicable to our business or our tests;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additio</w:t>
            </w:r>
            <w:r>
              <w:rPr>
                <w:sz w:val="20"/>
                <w:szCs w:val="20"/>
              </w:rPr>
              <w:t>ns or departures of key management or other personnel;</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changes in coverage and reimbursement by current or potential payors;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inability to obtain additional funding as and when needed on reasonable terms;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disputes or other developments with respect to our or others’ intellectual property rights;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product liability claims or other litigation;</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sales of our commo</w:t>
            </w:r>
            <w:r>
              <w:rPr>
                <w:sz w:val="20"/>
                <w:szCs w:val="20"/>
              </w:rPr>
              <w:t>n stock by us or our stockholders;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general economic, political, industry and market conditions, including factors not directly related to our operating performance or the operating performance of our competitors, such as increased uncertainty in the</w:t>
            </w:r>
            <w:r>
              <w:rPr>
                <w:sz w:val="20"/>
                <w:szCs w:val="20"/>
              </w:rPr>
              <w:t xml:space="preserve"> U.S. regulatory environment for healthcare, trade and tax-related matters;</w:t>
            </w:r>
          </w:p>
        </w:tc>
      </w:tr>
    </w:tbl>
    <w:p w:rsidR="00000000" w:rsidRDefault="00406BD4">
      <w:pPr>
        <w:pStyle w:val="a3"/>
        <w:spacing w:before="0" w:beforeAutospacing="0" w:after="0" w:afterAutospacing="0"/>
        <w:ind w:left="71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events that affect, or have the potential to affect, general economic conditions, including but not limited to political unrest, global trade wars, natural disasters, act of war, terrorism, or disease outbreaks (such as the global pandemic related to COVID</w:t>
            </w:r>
            <w:r>
              <w:rPr>
                <w:sz w:val="20"/>
                <w:szCs w:val="20"/>
              </w:rPr>
              <w:t>-19);</w:t>
            </w:r>
          </w:p>
        </w:tc>
      </w:tr>
    </w:tbl>
    <w:p w:rsidR="00000000" w:rsidRDefault="00406BD4">
      <w:pPr>
        <w:pStyle w:val="a3"/>
        <w:spacing w:before="0" w:beforeAutospacing="0" w:after="0" w:afterAutospacing="0"/>
        <w:ind w:left="71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and the other risk factors discussed in this report.</w:t>
            </w:r>
          </w:p>
        </w:tc>
      </w:tr>
    </w:tbl>
    <w:p w:rsidR="00000000" w:rsidRDefault="00406BD4">
      <w:pPr>
        <w:pStyle w:val="a3"/>
        <w:spacing w:before="240" w:beforeAutospacing="0" w:after="0" w:afterAutospacing="0"/>
        <w:ind w:firstLine="556"/>
        <w:rPr>
          <w:sz w:val="20"/>
          <w:szCs w:val="20"/>
        </w:rPr>
      </w:pPr>
      <w:r>
        <w:rPr>
          <w:sz w:val="20"/>
          <w:szCs w:val="20"/>
        </w:rPr>
        <w:t>In addition, the stock market in general, and the market for the stock of companies in the life sciences and technology industries in particular, has experienced extreme price and volume fl</w:t>
      </w:r>
      <w:r>
        <w:rPr>
          <w:sz w:val="20"/>
          <w:szCs w:val="20"/>
        </w:rPr>
        <w:t>uctuations in recent years that have at times been unrelated or disproportionate to the operating performance of specific companies. These broad market and industry factors may negatively affect the market price of our common stock, regardless of our actua</w:t>
      </w:r>
      <w:r>
        <w:rPr>
          <w:sz w:val="20"/>
          <w:szCs w:val="20"/>
        </w:rPr>
        <w:t>l operating performance. In addition, in the past, following periods of volatility in the overall market and the market price of a particular company’s securities, securities class action litigation has often been instituted against such company. This type</w:t>
      </w:r>
      <w:r>
        <w:rPr>
          <w:sz w:val="20"/>
          <w:szCs w:val="20"/>
        </w:rPr>
        <w:t xml:space="preserve"> of litigation, if instituted against us, could result in substantial costs, a diversion of our management’s attention and resources and could damage our reputation.</w:t>
      </w:r>
    </w:p>
    <w:p w:rsidR="00000000" w:rsidRDefault="00406BD4">
      <w:pPr>
        <w:pStyle w:val="a3"/>
        <w:spacing w:before="240" w:beforeAutospacing="0" w:after="0" w:afterAutospacing="0"/>
        <w:jc w:val="center"/>
        <w:rPr>
          <w:sz w:val="20"/>
          <w:szCs w:val="20"/>
        </w:rPr>
      </w:pPr>
      <w:r>
        <w:rPr>
          <w:sz w:val="20"/>
          <w:szCs w:val="20"/>
        </w:rPr>
        <w:t>57</w:t>
      </w:r>
    </w:p>
    <w:p w:rsidR="00000000" w:rsidRDefault="00406BD4">
      <w:pPr>
        <w:rPr>
          <w:rFonts w:eastAsia="Times New Roman"/>
        </w:rPr>
      </w:pPr>
      <w:r>
        <w:rPr>
          <w:rFonts w:eastAsia="Times New Roman"/>
        </w:rPr>
        <w:pict>
          <v:rect id="_x0000_i1083"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360" w:beforeAutospacing="0" w:after="0" w:afterAutospacing="0"/>
        <w:rPr>
          <w:b/>
          <w:bCs/>
          <w:sz w:val="20"/>
          <w:szCs w:val="20"/>
        </w:rPr>
      </w:pPr>
      <w:r>
        <w:rPr>
          <w:b/>
          <w:bCs/>
          <w:sz w:val="20"/>
          <w:szCs w:val="20"/>
        </w:rPr>
        <w:t>Our principal stockholders and management own a significant percentage of our capital stock and are able to exert significant control over matters subject to st</w:t>
      </w:r>
      <w:r>
        <w:rPr>
          <w:b/>
          <w:bCs/>
          <w:sz w:val="20"/>
          <w:szCs w:val="20"/>
        </w:rPr>
        <w:t>ockholder approval.</w:t>
      </w:r>
    </w:p>
    <w:p w:rsidR="00000000" w:rsidRDefault="00406BD4">
      <w:pPr>
        <w:pStyle w:val="a3"/>
        <w:spacing w:before="120" w:beforeAutospacing="0" w:after="0" w:afterAutospacing="0"/>
        <w:ind w:firstLine="556"/>
        <w:rPr>
          <w:sz w:val="20"/>
          <w:szCs w:val="20"/>
        </w:rPr>
      </w:pPr>
      <w:r>
        <w:rPr>
          <w:sz w:val="20"/>
          <w:szCs w:val="20"/>
        </w:rPr>
        <w:t>Our executive officers, directors, beneficial owners of 5% or more of our outstanding voting equity and their respective affiliates collectively beneficially owns approximately 39% of our outstanding voting equity as of September 30, 20</w:t>
      </w:r>
      <w:r>
        <w:rPr>
          <w:sz w:val="20"/>
          <w:szCs w:val="20"/>
        </w:rPr>
        <w:t>20, and of this, Mr. Hsieh, our founder, Chief Executive Officer and Chairman of our board of directors, by himself beneficially owns approximately 34% of our outstanding voting equity as of September 30, 2020. As a result, these stockholders have the abil</w:t>
      </w:r>
      <w:r>
        <w:rPr>
          <w:sz w:val="20"/>
          <w:szCs w:val="20"/>
        </w:rPr>
        <w:t xml:space="preserve">ity to control matters submitted to our stockholders for approval, including elections of directors, amendments to our organizational documents or approval of any merger, sale of assets or other major corporate transaction. This concentration of ownership </w:t>
      </w:r>
      <w:r>
        <w:rPr>
          <w:sz w:val="20"/>
          <w:szCs w:val="20"/>
        </w:rPr>
        <w:t>may prevent or discourage unsolicited acquisition proposals or offers to acquire our common stock that some of our stockholders feel are in their best interests, as the interests of these stockholders may not coincide with the interests of our other stockh</w:t>
      </w:r>
      <w:r>
        <w:rPr>
          <w:sz w:val="20"/>
          <w:szCs w:val="20"/>
        </w:rPr>
        <w:t>olders and they may act in a manner that advances their best interests and not necessarily those of all of our stockholders. Further, this concentration of ownership could adversely affect the prevailing market price for our common stock.</w:t>
      </w:r>
    </w:p>
    <w:p w:rsidR="00000000" w:rsidRDefault="00406BD4">
      <w:pPr>
        <w:pStyle w:val="a3"/>
        <w:spacing w:before="360" w:beforeAutospacing="0" w:after="0" w:afterAutospacing="0"/>
        <w:rPr>
          <w:b/>
          <w:bCs/>
          <w:sz w:val="20"/>
          <w:szCs w:val="20"/>
        </w:rPr>
      </w:pPr>
      <w:r>
        <w:rPr>
          <w:b/>
          <w:bCs/>
          <w:sz w:val="20"/>
          <w:szCs w:val="20"/>
        </w:rPr>
        <w:t>Sales of a substantial number of shares of our common stock in the public market, or the perception that such sales could occur, could cause the price of our common stock to fall.</w:t>
      </w:r>
    </w:p>
    <w:p w:rsidR="00000000" w:rsidRDefault="00406BD4">
      <w:pPr>
        <w:pStyle w:val="a3"/>
        <w:spacing w:before="120" w:beforeAutospacing="0" w:after="0" w:afterAutospacing="0"/>
        <w:ind w:firstLine="556"/>
        <w:rPr>
          <w:sz w:val="20"/>
          <w:szCs w:val="20"/>
        </w:rPr>
      </w:pPr>
      <w:r>
        <w:rPr>
          <w:sz w:val="20"/>
          <w:szCs w:val="20"/>
        </w:rPr>
        <w:t>Sales of a substantial number of shares of our common stock in the public ma</w:t>
      </w:r>
      <w:r>
        <w:rPr>
          <w:sz w:val="20"/>
          <w:szCs w:val="20"/>
        </w:rPr>
        <w:t>rket could occur at any time. Any such sales, or the perception in the market that sales are pending or could occur, could reduce the market price of our common stock. All of the outstanding shares of our common stock are freely tradable without restrictio</w:t>
      </w:r>
      <w:r>
        <w:rPr>
          <w:sz w:val="20"/>
          <w:szCs w:val="20"/>
        </w:rPr>
        <w:t>n in the public market, subject to certain volume and manner of sale limitations applicable to shares held by our affiliates, as that term is defined in the Securities Act. In addition, subject to similar limitations and any other applicable legal and cont</w:t>
      </w:r>
      <w:r>
        <w:rPr>
          <w:sz w:val="20"/>
          <w:szCs w:val="20"/>
        </w:rPr>
        <w:t>ractual limitations, all of the shares of our common stock subject to outstanding equity-based awards or reserved for issuance pursuant to such awards we may grant in the future are registered under the Securities Act or are otherwise eligible under applic</w:t>
      </w:r>
      <w:r>
        <w:rPr>
          <w:sz w:val="20"/>
          <w:szCs w:val="20"/>
        </w:rPr>
        <w:t>able securities laws for free trading in the public market upon their issuance.</w:t>
      </w:r>
    </w:p>
    <w:p w:rsidR="00000000" w:rsidRDefault="00406BD4">
      <w:pPr>
        <w:pStyle w:val="a3"/>
        <w:spacing w:before="360" w:beforeAutospacing="0" w:after="0" w:afterAutospacing="0"/>
        <w:rPr>
          <w:b/>
          <w:bCs/>
          <w:sz w:val="20"/>
          <w:szCs w:val="20"/>
        </w:rPr>
      </w:pPr>
      <w:r>
        <w:rPr>
          <w:b/>
          <w:bCs/>
          <w:sz w:val="20"/>
          <w:szCs w:val="20"/>
        </w:rPr>
        <w:t>Future issuances of our common stock or rights to purchase our common stock, including pursuant to our equity incentive plan, could result in additional dilution to the percent</w:t>
      </w:r>
      <w:r>
        <w:rPr>
          <w:b/>
          <w:bCs/>
          <w:sz w:val="20"/>
          <w:szCs w:val="20"/>
        </w:rPr>
        <w:t>age ownership of our stockholders and could cause the price of our common stock to fall.</w:t>
      </w:r>
    </w:p>
    <w:p w:rsidR="00000000" w:rsidRDefault="00406BD4">
      <w:pPr>
        <w:pStyle w:val="a3"/>
        <w:spacing w:before="120" w:beforeAutospacing="0" w:after="0" w:afterAutospacing="0"/>
        <w:ind w:firstLine="556"/>
        <w:rPr>
          <w:sz w:val="20"/>
          <w:szCs w:val="20"/>
        </w:rPr>
      </w:pPr>
      <w:r>
        <w:rPr>
          <w:sz w:val="20"/>
          <w:szCs w:val="20"/>
        </w:rPr>
        <w:t>To raise capital or for other strategic purposes, we may sell common stock, convertible securities or other equity securities in one or more transactions at prices and</w:t>
      </w:r>
      <w:r>
        <w:rPr>
          <w:sz w:val="20"/>
          <w:szCs w:val="20"/>
        </w:rPr>
        <w:t xml:space="preserve"> in a manner we determine from time to time. In particular and in August 2019, we entered into an Equity Distribution Agreement, or the Equity Distribution Agreement, with Piper as sales agent which was amended on August 4, 2020, pursuant to which we may, </w:t>
      </w:r>
      <w:r>
        <w:rPr>
          <w:sz w:val="20"/>
          <w:szCs w:val="20"/>
        </w:rPr>
        <w:t>from time to time, sell through Piper shares of our common stock with an aggregate purchase price of up to $44.9 million. During the year ended December 31, 2019, we sold an aggregate of 104,390 shares of our common stock pursuant to the Equity Distributio</w:t>
      </w:r>
      <w:r>
        <w:rPr>
          <w:sz w:val="20"/>
          <w:szCs w:val="20"/>
        </w:rPr>
        <w:t>n Agreement at a weighted-average selling price of $12.14 per share. During the three and nine months ended September 30, 2020, we sold an aggregate of 1,107,884 shares of our common stock pursuant to the Equity Distribution Agreement at a weighted-average</w:t>
      </w:r>
      <w:r>
        <w:rPr>
          <w:sz w:val="20"/>
          <w:szCs w:val="20"/>
        </w:rPr>
        <w:t xml:space="preserve"> net selling price of $38.50 per share. In addition, in September 2020 we entered into an Equity Distribution Agreement, or the 2020 Equity Distribution Agreement, with Piper as sales agent, pursuant to which we may, from time to time, sell through Piper s</w:t>
      </w:r>
      <w:r>
        <w:rPr>
          <w:sz w:val="20"/>
          <w:szCs w:val="20"/>
        </w:rPr>
        <w:t>hares of our common stock with an aggregate purchase price of up to $125.0 million. During the three months ended September 30, 2020, we sold an aggregate of 200,000 shares of our common stock pursuant to the 2020 Equity Distribution Agreement at a weighte</w:t>
      </w:r>
      <w:r>
        <w:rPr>
          <w:sz w:val="20"/>
          <w:szCs w:val="20"/>
        </w:rPr>
        <w:t>d-average net selling price of $39.24 per share. We also may issue common stock or grant other equity awards for compensatory purposes under our equity incentive plan. If we issue common stock, convertible securities or other equity securities, including s</w:t>
      </w:r>
      <w:r>
        <w:rPr>
          <w:sz w:val="20"/>
          <w:szCs w:val="20"/>
        </w:rPr>
        <w:t xml:space="preserve">hares pursuant to the Equity Distribution Agreement or equity awards under our equity incentive plan, our then-existing stockholders could be materially diluted by such issuances and, if we otherwise issue preferred stock, new investors could gain rights, </w:t>
      </w:r>
      <w:r>
        <w:rPr>
          <w:sz w:val="20"/>
          <w:szCs w:val="20"/>
        </w:rPr>
        <w:t>preferences and privileges senior to the holders of our common stock, any of which could cause the price of our common stock to decline.</w:t>
      </w:r>
    </w:p>
    <w:p w:rsidR="00000000" w:rsidRDefault="00406BD4">
      <w:pPr>
        <w:pStyle w:val="a3"/>
        <w:spacing w:before="360" w:beforeAutospacing="0" w:after="0" w:afterAutospacing="0"/>
        <w:rPr>
          <w:b/>
          <w:bCs/>
          <w:sz w:val="20"/>
          <w:szCs w:val="20"/>
        </w:rPr>
      </w:pPr>
      <w:r>
        <w:rPr>
          <w:b/>
          <w:bCs/>
          <w:sz w:val="20"/>
          <w:szCs w:val="20"/>
        </w:rPr>
        <w:t>We do not intend to pay dividends on our common stock, so any returns will be limited to the value of our common stock.</w:t>
      </w:r>
    </w:p>
    <w:p w:rsidR="00000000" w:rsidRDefault="00406BD4">
      <w:pPr>
        <w:pStyle w:val="a3"/>
        <w:spacing w:before="120" w:beforeAutospacing="0" w:after="0" w:afterAutospacing="0"/>
        <w:ind w:firstLine="556"/>
        <w:rPr>
          <w:sz w:val="20"/>
          <w:szCs w:val="20"/>
        </w:rPr>
      </w:pPr>
      <w:r>
        <w:rPr>
          <w:sz w:val="20"/>
          <w:szCs w:val="20"/>
        </w:rPr>
        <w:t>We currently anticipate that we will retain any future earnings to finance the continued development, operation and expansion of our business. As a result, we do not anticipate declaring or paying any cash dividends or other distributions in the foreseeab</w:t>
      </w:r>
      <w:r>
        <w:rPr>
          <w:sz w:val="20"/>
          <w:szCs w:val="20"/>
        </w:rPr>
        <w:t>le future. Further, if we were to enter into a credit facility or issue debt securities or preferred stock in the future, we may become contractually restricted from paying dividends. If we do not pay dividends, our common stock may be less valuable becaus</w:t>
      </w:r>
      <w:r>
        <w:rPr>
          <w:sz w:val="20"/>
          <w:szCs w:val="20"/>
        </w:rPr>
        <w:t>e stockholders must rely on sales of their common stock after price appreciation, which may never occur, to realize any gains on their investment.</w:t>
      </w:r>
    </w:p>
    <w:p w:rsidR="00000000" w:rsidRDefault="00406BD4">
      <w:pPr>
        <w:pStyle w:val="a3"/>
        <w:spacing w:before="240" w:beforeAutospacing="0" w:after="0" w:afterAutospacing="0"/>
        <w:jc w:val="center"/>
        <w:rPr>
          <w:sz w:val="20"/>
          <w:szCs w:val="20"/>
        </w:rPr>
      </w:pPr>
      <w:r>
        <w:rPr>
          <w:sz w:val="20"/>
          <w:szCs w:val="20"/>
        </w:rPr>
        <w:t>58</w:t>
      </w:r>
    </w:p>
    <w:p w:rsidR="00000000" w:rsidRDefault="00406BD4">
      <w:pPr>
        <w:rPr>
          <w:rFonts w:eastAsia="Times New Roman"/>
        </w:rPr>
      </w:pPr>
      <w:r>
        <w:rPr>
          <w:rFonts w:eastAsia="Times New Roman"/>
        </w:rPr>
        <w:pict>
          <v:rect id="_x0000_i1084"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360" w:beforeAutospacing="0" w:after="0" w:afterAutospacing="0"/>
        <w:rPr>
          <w:b/>
          <w:bCs/>
          <w:sz w:val="20"/>
          <w:szCs w:val="20"/>
        </w:rPr>
      </w:pPr>
      <w:r>
        <w:rPr>
          <w:b/>
          <w:bCs/>
          <w:sz w:val="20"/>
          <w:szCs w:val="20"/>
        </w:rPr>
        <w:t>If securities or industry analysts do not publish research or reports about our business or if they issue an adverse or misleading opinion regarding our common stock, our stock pri</w:t>
      </w:r>
      <w:r>
        <w:rPr>
          <w:b/>
          <w:bCs/>
          <w:sz w:val="20"/>
          <w:szCs w:val="20"/>
        </w:rPr>
        <w:t>ce and trading volume could decline.</w:t>
      </w:r>
    </w:p>
    <w:p w:rsidR="00000000" w:rsidRDefault="00406BD4">
      <w:pPr>
        <w:pStyle w:val="a3"/>
        <w:spacing w:before="120" w:beforeAutospacing="0" w:after="0" w:afterAutospacing="0"/>
        <w:ind w:firstLine="556"/>
        <w:rPr>
          <w:sz w:val="20"/>
          <w:szCs w:val="20"/>
        </w:rPr>
      </w:pPr>
      <w:r>
        <w:rPr>
          <w:sz w:val="20"/>
          <w:szCs w:val="20"/>
        </w:rPr>
        <w:t>The trading market for our common stock is influenced by the research and reports that industry or securities analysts publish about us or our business. If one or more of these analysts ceases coverage of us or fails to</w:t>
      </w:r>
      <w:r>
        <w:rPr>
          <w:sz w:val="20"/>
          <w:szCs w:val="20"/>
        </w:rPr>
        <w:t xml:space="preserve"> publish reports on us regularly, we could lose visibility in the financial markets, which could cause the price and trading volume of our common stock to decline. Further, if any of these analysts issues an adverse or misleading opinion regarding us, our </w:t>
      </w:r>
      <w:r>
        <w:rPr>
          <w:sz w:val="20"/>
          <w:szCs w:val="20"/>
        </w:rPr>
        <w:t>business model, our industry or our stock performance or if our operating results fail to meet analyst expectations, the price of our common stock could also decline.</w:t>
      </w:r>
    </w:p>
    <w:p w:rsidR="00000000" w:rsidRDefault="00406BD4">
      <w:pPr>
        <w:pStyle w:val="a3"/>
        <w:spacing w:before="360" w:beforeAutospacing="0" w:after="0" w:afterAutospacing="0"/>
        <w:rPr>
          <w:b/>
          <w:bCs/>
          <w:sz w:val="20"/>
          <w:szCs w:val="20"/>
        </w:rPr>
      </w:pPr>
      <w:r>
        <w:rPr>
          <w:b/>
          <w:bCs/>
          <w:sz w:val="20"/>
          <w:szCs w:val="20"/>
        </w:rPr>
        <w:t>Provisions in our charter documents and Delaware law could discourage, delay or prevent a</w:t>
      </w:r>
      <w:r>
        <w:rPr>
          <w:b/>
          <w:bCs/>
          <w:sz w:val="20"/>
          <w:szCs w:val="20"/>
        </w:rPr>
        <w:t xml:space="preserve"> change in control of our company or changes in our management and depress the market price of our common stock.</w:t>
      </w:r>
    </w:p>
    <w:p w:rsidR="00000000" w:rsidRDefault="00406BD4">
      <w:pPr>
        <w:pStyle w:val="a3"/>
        <w:spacing w:before="120" w:beforeAutospacing="0" w:after="0" w:afterAutospacing="0"/>
        <w:ind w:firstLine="556"/>
        <w:rPr>
          <w:sz w:val="20"/>
          <w:szCs w:val="20"/>
        </w:rPr>
      </w:pPr>
      <w:r>
        <w:rPr>
          <w:sz w:val="20"/>
          <w:szCs w:val="20"/>
        </w:rPr>
        <w:t xml:space="preserve">Our certificate of incorporation and bylaws contain provisions that could depress the market price of our common stock by acting to discourage, delay or prevent a change in control of our company or changes in our management that our stockholders may deem </w:t>
      </w:r>
      <w:r>
        <w:rPr>
          <w:sz w:val="20"/>
          <w:szCs w:val="20"/>
        </w:rPr>
        <w:t>advantageous. These provisions, among other things: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120" w:beforeAutospacing="0" w:after="0" w:afterAutospacing="0"/>
              <w:rPr>
                <w:sz w:val="20"/>
                <w:szCs w:val="20"/>
              </w:rPr>
            </w:pPr>
            <w:r>
              <w:rPr>
                <w:sz w:val="20"/>
                <w:szCs w:val="20"/>
              </w:rPr>
              <w:t> </w:t>
            </w:r>
          </w:p>
        </w:tc>
        <w:tc>
          <w:tcPr>
            <w:tcW w:w="227" w:type="pct"/>
            <w:noWrap/>
            <w:hideMark/>
          </w:tcPr>
          <w:p w:rsidR="00000000" w:rsidRDefault="00406BD4">
            <w:pPr>
              <w:pStyle w:val="a3"/>
              <w:spacing w:before="120" w:beforeAutospacing="0" w:after="0" w:afterAutospacing="0"/>
              <w:rPr>
                <w:sz w:val="20"/>
                <w:szCs w:val="20"/>
              </w:rPr>
            </w:pPr>
            <w:r>
              <w:rPr>
                <w:sz w:val="20"/>
                <w:szCs w:val="20"/>
              </w:rPr>
              <w:t>•</w:t>
            </w:r>
          </w:p>
        </w:tc>
        <w:tc>
          <w:tcPr>
            <w:tcW w:w="0" w:type="auto"/>
            <w:hideMark/>
          </w:tcPr>
          <w:p w:rsidR="00000000" w:rsidRDefault="00406BD4">
            <w:pPr>
              <w:pStyle w:val="a3"/>
              <w:spacing w:before="120" w:beforeAutospacing="0" w:after="0" w:afterAutospacing="0"/>
              <w:rPr>
                <w:sz w:val="20"/>
                <w:szCs w:val="20"/>
              </w:rPr>
            </w:pPr>
            <w:r>
              <w:rPr>
                <w:sz w:val="20"/>
                <w:szCs w:val="20"/>
              </w:rPr>
              <w:t>authorize our board of directors to issue, without further action by our stockholders, up to 1,000,000 shares of undesignated or “blank check” preferred stock;</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prohibit stockholder action by written consent, thus requiring all stockholder actions to be taken at a duly noticed and held meeting of our stockholders;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specify that special meetings of our stockholders can be called only by our board of directors</w:t>
            </w:r>
            <w:r>
              <w:rPr>
                <w:sz w:val="20"/>
                <w:szCs w:val="20"/>
              </w:rPr>
              <w:t>, the Chairman of our board of directors or our President, thereby eliminating the ability of our stockholders to call special meetings;</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permit only our board of directors to establish the number of directors and fill vacancies on the board of direc</w:t>
            </w:r>
            <w:r>
              <w:rPr>
                <w:sz w:val="20"/>
                <w:szCs w:val="20"/>
              </w:rPr>
              <w:t>tors, except as may be required by law;</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permit our board of directors to amend our bylaws, subject to the power of our stockholders to repeal any such amendment;</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do not permit cumulative voting by our stockholders on the election of directors; and</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establish advance notice requirements for stockholders to propose nominees for election as directors or matters to be acted upon at annual meetings of stockholders</w:t>
            </w:r>
            <w:r>
              <w:rPr>
                <w:sz w:val="20"/>
                <w:szCs w:val="20"/>
              </w:rPr>
              <w:t>.</w:t>
            </w:r>
          </w:p>
        </w:tc>
      </w:tr>
    </w:tbl>
    <w:p w:rsidR="00000000" w:rsidRDefault="00406BD4">
      <w:pPr>
        <w:pStyle w:val="a3"/>
        <w:spacing w:before="240" w:beforeAutospacing="0" w:after="0" w:afterAutospacing="0"/>
        <w:ind w:firstLine="556"/>
        <w:rPr>
          <w:sz w:val="20"/>
          <w:szCs w:val="20"/>
        </w:rPr>
      </w:pPr>
      <w:r>
        <w:rPr>
          <w:sz w:val="20"/>
          <w:szCs w:val="20"/>
        </w:rPr>
        <w:t>In addition, we are subject to Section 203 of the Delaware General Corporation Law, or DGCL, which imposes certain restrictions on mergers, business combinations and other transactions between us and holders of 15% or more of our common stock. Section 2</w:t>
      </w:r>
      <w:r>
        <w:rPr>
          <w:sz w:val="20"/>
          <w:szCs w:val="20"/>
        </w:rPr>
        <w:t>03 may have the effect of discouraging, delaying or preventing a change in control of our company.</w:t>
      </w:r>
    </w:p>
    <w:p w:rsidR="00000000" w:rsidRDefault="00406BD4">
      <w:pPr>
        <w:pStyle w:val="a3"/>
        <w:spacing w:before="360" w:beforeAutospacing="0" w:after="0" w:afterAutospacing="0"/>
        <w:rPr>
          <w:b/>
          <w:bCs/>
          <w:sz w:val="20"/>
          <w:szCs w:val="20"/>
        </w:rPr>
      </w:pPr>
      <w:r>
        <w:rPr>
          <w:b/>
          <w:bCs/>
          <w:sz w:val="20"/>
          <w:szCs w:val="20"/>
        </w:rPr>
        <w:t>Holders of our common stock could be adversely affected if we issue preferred stock.</w:t>
      </w:r>
    </w:p>
    <w:p w:rsidR="00000000" w:rsidRDefault="00406BD4">
      <w:pPr>
        <w:pStyle w:val="a3"/>
        <w:spacing w:before="120" w:beforeAutospacing="0" w:after="0" w:afterAutospacing="0"/>
        <w:ind w:firstLine="556"/>
        <w:rPr>
          <w:sz w:val="20"/>
          <w:szCs w:val="20"/>
        </w:rPr>
      </w:pPr>
      <w:r>
        <w:rPr>
          <w:sz w:val="20"/>
          <w:szCs w:val="20"/>
        </w:rPr>
        <w:t xml:space="preserve">Pursuant to our certificate of incorporation, our board of directors is </w:t>
      </w:r>
      <w:r>
        <w:rPr>
          <w:sz w:val="20"/>
          <w:szCs w:val="20"/>
        </w:rPr>
        <w:t>authorized to issue up to 1,000,000 shares of preferred stock without any action by our stockholders. Our board of directors also has the power, without stockholder approval, to set the terms of any series of preferred stock that may be issued, among other</w:t>
      </w:r>
      <w:r>
        <w:rPr>
          <w:sz w:val="20"/>
          <w:szCs w:val="20"/>
        </w:rPr>
        <w:t>s, including voting rights, dividend rights and preferences over our common stock with respect to dividends or in the event of a dissolution, liquidation or winding up. If we issue preferred stock in the future that has preferences over our common stock wi</w:t>
      </w:r>
      <w:r>
        <w:rPr>
          <w:sz w:val="20"/>
          <w:szCs w:val="20"/>
        </w:rPr>
        <w:t>th respect to payment of dividends or upon a liquidation, dissolution or winding up, or if we issue preferred stock that is convertible into our common stock at greater than a one-to-one ratio, the voting and other rights of the holders of our common stock</w:t>
      </w:r>
      <w:r>
        <w:rPr>
          <w:sz w:val="20"/>
          <w:szCs w:val="20"/>
        </w:rPr>
        <w:t xml:space="preserve"> and the market price of our common stock could be adversely affected.</w:t>
      </w:r>
    </w:p>
    <w:p w:rsidR="00000000" w:rsidRDefault="00406BD4">
      <w:pPr>
        <w:pStyle w:val="a3"/>
        <w:spacing w:before="360" w:beforeAutospacing="0" w:after="0" w:afterAutospacing="0"/>
        <w:rPr>
          <w:b/>
          <w:bCs/>
          <w:sz w:val="20"/>
          <w:szCs w:val="20"/>
        </w:rPr>
      </w:pPr>
      <w:r>
        <w:rPr>
          <w:b/>
          <w:bCs/>
          <w:sz w:val="20"/>
          <w:szCs w:val="20"/>
        </w:rPr>
        <w:t>Our certificate of incorporation designates the Court of Chancery of the State of Delaware as the sole and exclusive forum for certain types of actions and proceedings that may be initi</w:t>
      </w:r>
      <w:r>
        <w:rPr>
          <w:b/>
          <w:bCs/>
          <w:sz w:val="20"/>
          <w:szCs w:val="20"/>
        </w:rPr>
        <w:t>ated by our stockholders, which could limit our stockholders’ ability to obtain a judicial forum they consider favorable for disputes with us or our directors, officers or other employees.</w:t>
      </w:r>
    </w:p>
    <w:p w:rsidR="00000000" w:rsidRDefault="00406BD4">
      <w:pPr>
        <w:pStyle w:val="a3"/>
        <w:spacing w:before="120" w:beforeAutospacing="0" w:after="0" w:afterAutospacing="0"/>
        <w:ind w:firstLine="556"/>
        <w:rPr>
          <w:sz w:val="20"/>
          <w:szCs w:val="20"/>
        </w:rPr>
      </w:pPr>
      <w:r>
        <w:rPr>
          <w:sz w:val="20"/>
          <w:szCs w:val="20"/>
        </w:rPr>
        <w:t>Our certificate of incorporation and bylaws provide that, unless we</w:t>
      </w:r>
      <w:r>
        <w:rPr>
          <w:sz w:val="20"/>
          <w:szCs w:val="20"/>
        </w:rPr>
        <w:t xml:space="preserve"> consent in writing to the selection of an alternative forum, the Court of Chancery of the State of Delaware shall be the sole and exclusive forum for:</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120" w:beforeAutospacing="0" w:after="0" w:afterAutospacing="0"/>
              <w:rPr>
                <w:sz w:val="20"/>
                <w:szCs w:val="20"/>
              </w:rPr>
            </w:pPr>
            <w:r>
              <w:rPr>
                <w:sz w:val="20"/>
                <w:szCs w:val="20"/>
              </w:rPr>
              <w:t> </w:t>
            </w:r>
          </w:p>
        </w:tc>
        <w:tc>
          <w:tcPr>
            <w:tcW w:w="227" w:type="pct"/>
            <w:noWrap/>
            <w:hideMark/>
          </w:tcPr>
          <w:p w:rsidR="00000000" w:rsidRDefault="00406BD4">
            <w:pPr>
              <w:pStyle w:val="a3"/>
              <w:spacing w:before="120" w:beforeAutospacing="0" w:after="0" w:afterAutospacing="0"/>
              <w:rPr>
                <w:sz w:val="20"/>
                <w:szCs w:val="20"/>
              </w:rPr>
            </w:pPr>
            <w:r>
              <w:rPr>
                <w:sz w:val="20"/>
                <w:szCs w:val="20"/>
              </w:rPr>
              <w:t>•</w:t>
            </w:r>
          </w:p>
        </w:tc>
        <w:tc>
          <w:tcPr>
            <w:tcW w:w="0" w:type="auto"/>
            <w:hideMark/>
          </w:tcPr>
          <w:p w:rsidR="00000000" w:rsidRDefault="00406BD4">
            <w:pPr>
              <w:pStyle w:val="a3"/>
              <w:spacing w:before="120" w:beforeAutospacing="0" w:after="0" w:afterAutospacing="0"/>
              <w:rPr>
                <w:sz w:val="20"/>
                <w:szCs w:val="20"/>
              </w:rPr>
            </w:pPr>
            <w:r>
              <w:rPr>
                <w:sz w:val="20"/>
                <w:szCs w:val="20"/>
              </w:rPr>
              <w:t>any derivative action brought on our behalf;</w:t>
            </w:r>
          </w:p>
        </w:tc>
      </w:tr>
    </w:tbl>
    <w:p w:rsidR="00000000" w:rsidRDefault="00406BD4">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any direct action brought by a stockholder against us or any of our directors, officers or other employees, alleging a breach of a fiduciary duty;</w:t>
            </w:r>
          </w:p>
        </w:tc>
      </w:tr>
    </w:tbl>
    <w:p w:rsidR="00000000" w:rsidRDefault="00406BD4">
      <w:pPr>
        <w:pStyle w:val="a3"/>
        <w:spacing w:before="0" w:beforeAutospacing="0" w:after="0" w:afterAutospacing="0"/>
        <w:ind w:left="1071" w:hanging="556"/>
        <w:rPr>
          <w:sz w:val="12"/>
          <w:szCs w:val="12"/>
        </w:rPr>
      </w:pPr>
      <w:r>
        <w:rPr>
          <w:sz w:val="12"/>
          <w:szCs w:val="12"/>
        </w:rPr>
        <w:t> </w:t>
      </w:r>
    </w:p>
    <w:p w:rsidR="00000000" w:rsidRDefault="00406BD4">
      <w:pPr>
        <w:pStyle w:val="a3"/>
        <w:spacing w:before="240" w:beforeAutospacing="0" w:after="0" w:afterAutospacing="0"/>
        <w:jc w:val="center"/>
        <w:rPr>
          <w:sz w:val="20"/>
          <w:szCs w:val="20"/>
        </w:rPr>
      </w:pPr>
      <w:r>
        <w:rPr>
          <w:sz w:val="20"/>
          <w:szCs w:val="20"/>
        </w:rPr>
        <w:t>59</w:t>
      </w:r>
    </w:p>
    <w:p w:rsidR="00000000" w:rsidRDefault="00406BD4">
      <w:pPr>
        <w:rPr>
          <w:rFonts w:eastAsia="Times New Roman"/>
        </w:rPr>
      </w:pPr>
      <w:r>
        <w:rPr>
          <w:rFonts w:eastAsia="Times New Roman"/>
        </w:rPr>
        <w:pict>
          <v:rect id="_x0000_i1085"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any action brought by a stockholder against us or any of our directors, officers or other employees, alleging a violation of the DGCL, our certificate of incorporation or o</w:t>
            </w:r>
            <w:r>
              <w:rPr>
                <w:sz w:val="20"/>
                <w:szCs w:val="20"/>
              </w:rPr>
              <w:t>ur bylaws; and</w:t>
            </w:r>
          </w:p>
        </w:tc>
      </w:tr>
    </w:tbl>
    <w:p w:rsidR="00000000" w:rsidRDefault="00406BD4">
      <w:pPr>
        <w:pStyle w:val="a3"/>
        <w:spacing w:before="0" w:beforeAutospacing="0" w:after="0" w:afterAutospacing="0"/>
        <w:ind w:left="107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406BD4">
            <w:pPr>
              <w:pStyle w:val="a3"/>
              <w:spacing w:before="0" w:beforeAutospacing="0" w:after="0" w:afterAutospacing="0"/>
              <w:rPr>
                <w:sz w:val="20"/>
                <w:szCs w:val="20"/>
              </w:rPr>
            </w:pPr>
            <w:r>
              <w:rPr>
                <w:sz w:val="20"/>
                <w:szCs w:val="20"/>
              </w:rPr>
              <w:t> </w:t>
            </w:r>
          </w:p>
        </w:tc>
        <w:tc>
          <w:tcPr>
            <w:tcW w:w="227" w:type="pct"/>
            <w:noWrap/>
            <w:hideMark/>
          </w:tcPr>
          <w:p w:rsidR="00000000" w:rsidRDefault="00406BD4">
            <w:pPr>
              <w:pStyle w:val="a3"/>
              <w:spacing w:before="0" w:beforeAutospacing="0" w:after="0" w:afterAutospacing="0"/>
              <w:rPr>
                <w:sz w:val="20"/>
                <w:szCs w:val="20"/>
              </w:rPr>
            </w:pPr>
            <w:r>
              <w:rPr>
                <w:sz w:val="20"/>
                <w:szCs w:val="20"/>
              </w:rPr>
              <w:t>•</w:t>
            </w:r>
          </w:p>
        </w:tc>
        <w:tc>
          <w:tcPr>
            <w:tcW w:w="0" w:type="auto"/>
            <w:hideMark/>
          </w:tcPr>
          <w:p w:rsidR="00000000" w:rsidRDefault="00406BD4">
            <w:pPr>
              <w:pStyle w:val="a3"/>
              <w:spacing w:before="0" w:beforeAutospacing="0" w:after="0" w:afterAutospacing="0"/>
              <w:rPr>
                <w:sz w:val="20"/>
                <w:szCs w:val="20"/>
              </w:rPr>
            </w:pPr>
            <w:r>
              <w:rPr>
                <w:sz w:val="20"/>
                <w:szCs w:val="20"/>
              </w:rPr>
              <w:t>any action brought by a stockholder against us or any of our directors, officers or other employees, asserting a claim against us governed by the internal affairs doctrine.</w:t>
            </w:r>
          </w:p>
        </w:tc>
      </w:tr>
    </w:tbl>
    <w:p w:rsidR="00000000" w:rsidRDefault="00406BD4">
      <w:pPr>
        <w:pStyle w:val="a3"/>
        <w:spacing w:before="240" w:beforeAutospacing="0" w:after="0" w:afterAutospacing="0"/>
        <w:ind w:firstLine="556"/>
        <w:rPr>
          <w:sz w:val="20"/>
          <w:szCs w:val="20"/>
        </w:rPr>
      </w:pPr>
      <w:r>
        <w:rPr>
          <w:sz w:val="20"/>
          <w:szCs w:val="20"/>
        </w:rPr>
        <w:t xml:space="preserve">We </w:t>
      </w:r>
      <w:r>
        <w:rPr>
          <w:color w:val="000000"/>
          <w:sz w:val="20"/>
          <w:szCs w:val="20"/>
          <w:shd w:val="clear" w:color="auto" w:fill="FFFFFF"/>
        </w:rPr>
        <w:t>refer to the forgoing limitations as the Exclusive Forum Provisions. The Exclus</w:t>
      </w:r>
      <w:r>
        <w:rPr>
          <w:color w:val="000000"/>
          <w:sz w:val="20"/>
          <w:szCs w:val="20"/>
          <w:shd w:val="clear" w:color="auto" w:fill="FFFFFF"/>
        </w:rPr>
        <w:t xml:space="preserve">ive Forum Provisions do not apply to (i) actions in which the Court of Chancery in the State of Delaware concludes that an indispensable party is not subject to the jurisdiction of the Delaware courts, and (ii) actions in which a federal court has assumed </w:t>
      </w:r>
      <w:r>
        <w:rPr>
          <w:color w:val="000000"/>
          <w:sz w:val="20"/>
          <w:szCs w:val="20"/>
          <w:shd w:val="clear" w:color="auto" w:fill="FFFFFF"/>
        </w:rPr>
        <w:t>exclusive jurisdiction of a proceeding</w:t>
      </w:r>
      <w:r>
        <w:rPr>
          <w:color w:val="000000"/>
          <w:sz w:val="20"/>
          <w:szCs w:val="20"/>
        </w:rPr>
        <w:t>.</w:t>
      </w:r>
    </w:p>
    <w:p w:rsidR="00000000" w:rsidRDefault="00406BD4">
      <w:pPr>
        <w:pStyle w:val="a3"/>
        <w:spacing w:before="240" w:beforeAutospacing="0" w:after="0" w:afterAutospacing="0"/>
        <w:ind w:firstLine="556"/>
        <w:rPr>
          <w:color w:val="000000"/>
          <w:sz w:val="20"/>
          <w:szCs w:val="20"/>
        </w:rPr>
      </w:pPr>
      <w:r>
        <w:rPr>
          <w:color w:val="000000"/>
          <w:sz w:val="20"/>
          <w:szCs w:val="20"/>
        </w:rPr>
        <w:t>Accordingly, the Exclusive Forum Provisions do not apply to actions brought to enforce a duty or liability created by the Exchange Act or the rules and regulations thereunder, or Exchange Act Claims. Further, the cla</w:t>
      </w:r>
      <w:r>
        <w:rPr>
          <w:color w:val="000000"/>
          <w:sz w:val="20"/>
          <w:szCs w:val="20"/>
        </w:rPr>
        <w:t>use in our certificate of incorporation excepting “actions in which a federal court has assumed exclusive jurisdiction of a proceeding” from the Exclusive Forum Provisions is not intended to mean that a federal court must take any actual or affirmative act</w:t>
      </w:r>
      <w:r>
        <w:rPr>
          <w:color w:val="000000"/>
          <w:sz w:val="20"/>
          <w:szCs w:val="20"/>
        </w:rPr>
        <w:t>ion to assume jurisdiction over an Exchange Act Claim, as Section 27 of the Exchange Act creates exclusive federal jurisdiction over all Exchange Act Claims, regardless of whether a federal court takes any action. The Exclusive Forum Provisions also do not</w:t>
      </w:r>
      <w:r>
        <w:rPr>
          <w:color w:val="000000"/>
          <w:sz w:val="20"/>
          <w:szCs w:val="20"/>
        </w:rPr>
        <w:t xml:space="preserve"> apply to federal and state suits brought to enforce any duty or liability created by the Securities Act or the rules and regulations thereunder, or Securities Act Claims. To the extent applicable or enforceable, the Exclusive Forum Provisions may limit a </w:t>
      </w:r>
      <w:r>
        <w:rPr>
          <w:color w:val="000000"/>
          <w:sz w:val="20"/>
          <w:szCs w:val="20"/>
        </w:rPr>
        <w:t>stockholder’s ability to bring a claim in a judicial forum it finds favorable for disputes with us or our directors, officers or other employees, which may discourage these lawsuits. Alternatively, for Securities Act Claims, Exchange Act Claims or claims f</w:t>
      </w:r>
      <w:r>
        <w:rPr>
          <w:color w:val="000000"/>
          <w:sz w:val="20"/>
          <w:szCs w:val="20"/>
        </w:rPr>
        <w:t>or which a court were to find these Exclusive Forum Provisions inapplicable or unenforceable for one or more of the specified types of actions or proceedings, we may incur additional costs associated with resolving these matters in other jurisdictions, whi</w:t>
      </w:r>
      <w:r>
        <w:rPr>
          <w:color w:val="000000"/>
          <w:sz w:val="20"/>
          <w:szCs w:val="20"/>
        </w:rPr>
        <w:t>ch could adversely affect our business, financial condition or results of operations.</w:t>
      </w:r>
    </w:p>
    <w:p w:rsidR="00000000" w:rsidRDefault="00406BD4">
      <w:pPr>
        <w:pStyle w:val="a3"/>
        <w:spacing w:before="240" w:beforeAutospacing="0" w:after="0" w:afterAutospacing="0"/>
        <w:jc w:val="center"/>
        <w:rPr>
          <w:sz w:val="20"/>
          <w:szCs w:val="20"/>
        </w:rPr>
      </w:pPr>
      <w:r>
        <w:rPr>
          <w:sz w:val="20"/>
          <w:szCs w:val="20"/>
        </w:rPr>
        <w:t>60</w:t>
      </w:r>
    </w:p>
    <w:p w:rsidR="00000000" w:rsidRDefault="00406BD4">
      <w:pPr>
        <w:rPr>
          <w:rFonts w:eastAsia="Times New Roman"/>
        </w:rPr>
      </w:pPr>
      <w:r>
        <w:rPr>
          <w:rFonts w:eastAsia="Times New Roman"/>
        </w:rPr>
        <w:pict>
          <v:rect id="_x0000_i1086"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0" w:beforeAutospacing="0" w:after="0" w:afterAutospacing="0"/>
        <w:rPr>
          <w:b/>
          <w:bCs/>
          <w:sz w:val="20"/>
          <w:szCs w:val="20"/>
        </w:rPr>
      </w:pPr>
      <w:bookmarkStart w:id="85" w:name="ITEM_2_UNREGISTERED_SALES_EQUITY_SECURIT"/>
      <w:bookmarkEnd w:id="85"/>
      <w:r>
        <w:rPr>
          <w:b/>
          <w:bCs/>
          <w:sz w:val="20"/>
          <w:szCs w:val="20"/>
        </w:rPr>
        <w:t>Item 2. Unregistered Sales of Equity Securities and Use of Proceeds.</w:t>
      </w:r>
    </w:p>
    <w:p w:rsidR="00000000" w:rsidRDefault="00406BD4">
      <w:pPr>
        <w:pStyle w:val="a3"/>
        <w:spacing w:before="240" w:beforeAutospacing="0" w:after="0" w:afterAutospacing="0"/>
        <w:jc w:val="center"/>
        <w:rPr>
          <w:b/>
          <w:bCs/>
          <w:sz w:val="20"/>
          <w:szCs w:val="20"/>
        </w:rPr>
      </w:pPr>
      <w:r>
        <w:rPr>
          <w:b/>
          <w:bCs/>
          <w:sz w:val="20"/>
          <w:szCs w:val="20"/>
        </w:rPr>
        <w:t>Use of Proceeds from Registered Securities</w:t>
      </w:r>
    </w:p>
    <w:p w:rsidR="00000000" w:rsidRDefault="00406BD4">
      <w:pPr>
        <w:pStyle w:val="a3"/>
        <w:spacing w:before="240" w:beforeAutospacing="0" w:after="0" w:afterAutospacing="0"/>
        <w:ind w:firstLine="556"/>
        <w:rPr>
          <w:sz w:val="20"/>
          <w:szCs w:val="20"/>
        </w:rPr>
      </w:pPr>
      <w:r>
        <w:rPr>
          <w:sz w:val="20"/>
          <w:szCs w:val="20"/>
        </w:rPr>
        <w:t>On October </w:t>
      </w:r>
      <w:r>
        <w:rPr>
          <w:sz w:val="20"/>
          <w:szCs w:val="20"/>
        </w:rPr>
        <w:t xml:space="preserve">4, 2016, we completed the initial public offering of our common stock, or IPO, in which we issued and sold an aggregate of 4,830,000 shares of common stock (including 630,000 shares issued and sold on October 7, 2016 pursuant to the underwriters’ exercise </w:t>
      </w:r>
      <w:r>
        <w:rPr>
          <w:sz w:val="20"/>
          <w:szCs w:val="20"/>
        </w:rPr>
        <w:t>in full of their option to purchase additional shares) at a public offering price of $9.00 per share. We received net proceeds from the IPO of approximately $36.0 million, after deducting underwriting discounts and commissions and offering expenses paid or</w:t>
      </w:r>
      <w:r>
        <w:rPr>
          <w:sz w:val="20"/>
          <w:szCs w:val="20"/>
        </w:rPr>
        <w:t xml:space="preserve"> payable by us of approximately $4.4 million. The shares issued and sold in the IPO were registered under the Securities Act on a registration statement on Form S-1 (File No. 333-213469), as amended, and the final prospectus dated September 28, 2016 includ</w:t>
      </w:r>
      <w:r>
        <w:rPr>
          <w:sz w:val="20"/>
          <w:szCs w:val="20"/>
        </w:rPr>
        <w:t>ed in such registration statement, or the Prospectus.</w:t>
      </w:r>
    </w:p>
    <w:p w:rsidR="00000000" w:rsidRDefault="00406BD4">
      <w:pPr>
        <w:pStyle w:val="a3"/>
        <w:spacing w:before="240" w:beforeAutospacing="0" w:after="0" w:afterAutospacing="0"/>
        <w:ind w:firstLine="556"/>
        <w:rPr>
          <w:sz w:val="20"/>
          <w:szCs w:val="20"/>
        </w:rPr>
      </w:pPr>
      <w:r>
        <w:rPr>
          <w:sz w:val="20"/>
          <w:szCs w:val="20"/>
        </w:rPr>
        <w:t>To date, we have used $28.8 million of the net proceeds from the IPO, of which, $4.5 million was used for contributions to our joint venture, FF Gene Biotech, in partial satisfaction of our contribution</w:t>
      </w:r>
      <w:r>
        <w:rPr>
          <w:sz w:val="20"/>
          <w:szCs w:val="20"/>
        </w:rPr>
        <w:t xml:space="preserve"> obligations under the cooperation agreement for the joint venture and $24.3 million was used to fund the Company’s operations. All other net proceeds from the IPO are invested in investment-grade and interest-bearing securities, such as money market accou</w:t>
      </w:r>
      <w:r>
        <w:rPr>
          <w:sz w:val="20"/>
          <w:szCs w:val="20"/>
        </w:rPr>
        <w:t>nts, certificates of deposit, commercial paper and guaranteed obligations of the U.S. government. There has been no material change in the planned use of proceeds from the IPO from that described in the Prospectus.</w:t>
      </w:r>
    </w:p>
    <w:p w:rsidR="00000000" w:rsidRDefault="00406BD4">
      <w:pPr>
        <w:pStyle w:val="a3"/>
        <w:spacing w:before="240" w:beforeAutospacing="0" w:after="0" w:afterAutospacing="0"/>
        <w:ind w:firstLine="556"/>
        <w:rPr>
          <w:color w:val="000000"/>
          <w:sz w:val="20"/>
          <w:szCs w:val="20"/>
        </w:rPr>
      </w:pPr>
      <w:r>
        <w:rPr>
          <w:color w:val="000000"/>
          <w:sz w:val="20"/>
          <w:szCs w:val="20"/>
        </w:rPr>
        <w:t>On August 30 2019, we entered into the Eq</w:t>
      </w:r>
      <w:r>
        <w:rPr>
          <w:color w:val="000000"/>
          <w:sz w:val="20"/>
          <w:szCs w:val="20"/>
        </w:rPr>
        <w:t>uity Distribution Agreement with Piper as sales agent, which was amended on August 4, 2020, pursuant to which we offered and sold, from time to time, through Piper shares of our common stock with an aggregate offering price of $44.9 million. During the thr</w:t>
      </w:r>
      <w:r>
        <w:rPr>
          <w:color w:val="000000"/>
          <w:sz w:val="20"/>
          <w:szCs w:val="20"/>
        </w:rPr>
        <w:t>ee months ended September 30, 2019, we sold an aggregate of 104,390 shares of our common stock pursuant to the Equity Distribution Agreement at a weighted-average selling price of $9.37 per share, which resulted in $979,000 of net proceeds. During the thre</w:t>
      </w:r>
      <w:r>
        <w:rPr>
          <w:color w:val="000000"/>
          <w:sz w:val="20"/>
          <w:szCs w:val="20"/>
        </w:rPr>
        <w:t>e months ended September 30, 2020, we sold an aggregate of 1,107,884 shares of our common stock pursuant to the Equity Distribution Agreement at a weighted-average selling price of $38.50 per share, which resulted in $42.7 million of net proceeds to the Co</w:t>
      </w:r>
      <w:r>
        <w:rPr>
          <w:color w:val="000000"/>
          <w:sz w:val="20"/>
          <w:szCs w:val="20"/>
        </w:rPr>
        <w:t xml:space="preserve">mpany. Shares sold under the Equity Distribution Agreement were offered and sold pursuant to our shelf registration statement on Form S-3 (File No. 333-233227) filed with the SEC on August 12, 2019 and declared effective on August 23, 2019, and prospectus </w:t>
      </w:r>
      <w:r>
        <w:rPr>
          <w:color w:val="000000"/>
          <w:sz w:val="20"/>
          <w:szCs w:val="20"/>
        </w:rPr>
        <w:t>supplements and accompanying base prospectus filed with the Securities and Exchange Commission on August 30, 2019, May 6, 2020 and August 5, 2020. There has been no material change in the planned use of proceeds as described in the prospectus supplements a</w:t>
      </w:r>
      <w:r>
        <w:rPr>
          <w:color w:val="000000"/>
          <w:sz w:val="20"/>
          <w:szCs w:val="20"/>
        </w:rPr>
        <w:t>nd accompanying base prospectus.</w:t>
      </w:r>
    </w:p>
    <w:p w:rsidR="00000000" w:rsidRDefault="00406BD4">
      <w:pPr>
        <w:pStyle w:val="a3"/>
        <w:spacing w:before="240" w:beforeAutospacing="0" w:after="0" w:afterAutospacing="0"/>
        <w:ind w:firstLine="556"/>
        <w:rPr>
          <w:color w:val="000000"/>
          <w:sz w:val="20"/>
          <w:szCs w:val="20"/>
        </w:rPr>
      </w:pPr>
      <w:r>
        <w:rPr>
          <w:color w:val="000000"/>
          <w:sz w:val="20"/>
          <w:szCs w:val="20"/>
        </w:rPr>
        <w:t>In addition, on November 13, 2019 we entered into a Purchase Agreement with Piper, as representative of the several underwriters, pursuant to which we sold 2,673,750 shares of our common stock at a price of $10.51875 per sh</w:t>
      </w:r>
      <w:r>
        <w:rPr>
          <w:color w:val="000000"/>
          <w:sz w:val="20"/>
          <w:szCs w:val="20"/>
        </w:rPr>
        <w:t>are, with a public offering price of $11.25 per share. We received net proceeds of approximately $27.6 million, after deducting underwriting discounts and commissions and offering expenses paid or payable by us of approximately $2.4 million. The shares iss</w:t>
      </w:r>
      <w:r>
        <w:rPr>
          <w:color w:val="000000"/>
          <w:sz w:val="20"/>
          <w:szCs w:val="20"/>
        </w:rPr>
        <w:t>ued and sold in the underwritten offering were registered under the Securities Act and sold pursuant to our shelf registration statement on Form S-3 (File No. 333-233227), and a prospectus supplement and accompanying base prospectus filed with the Securiti</w:t>
      </w:r>
      <w:r>
        <w:rPr>
          <w:color w:val="000000"/>
          <w:sz w:val="20"/>
          <w:szCs w:val="20"/>
        </w:rPr>
        <w:t>es and Exchange Commission on November 13, 2019. There has been no material change in the planned use of proceeds as described in the prospectus supplement and accompanying base prospectus.</w:t>
      </w:r>
    </w:p>
    <w:p w:rsidR="00000000" w:rsidRDefault="00406BD4">
      <w:pPr>
        <w:pStyle w:val="a3"/>
        <w:spacing w:before="240" w:beforeAutospacing="0" w:after="0" w:afterAutospacing="0"/>
        <w:ind w:firstLine="556"/>
        <w:rPr>
          <w:color w:val="000000"/>
          <w:sz w:val="20"/>
          <w:szCs w:val="20"/>
        </w:rPr>
      </w:pPr>
      <w:r>
        <w:rPr>
          <w:color w:val="000000"/>
          <w:sz w:val="20"/>
          <w:szCs w:val="20"/>
        </w:rPr>
        <w:t>In September 2020, we entered into an Equity Distribution Agreemen</w:t>
      </w:r>
      <w:r>
        <w:rPr>
          <w:color w:val="000000"/>
          <w:sz w:val="20"/>
          <w:szCs w:val="20"/>
        </w:rPr>
        <w:t>t, or the 2020 Equity Distribution Agreement, with Piper as sales agent, pursuant to which the Company may offer and sell, from time to time through Piper, shares of its common stock having an aggregate offering price of up to $125.0 million. Piper may rec</w:t>
      </w:r>
      <w:r>
        <w:rPr>
          <w:color w:val="000000"/>
          <w:sz w:val="20"/>
          <w:szCs w:val="20"/>
        </w:rPr>
        <w:t xml:space="preserve">eive a commission of up to 3% of the gross proceeds received by the Company for sales pursuant to the 2020 Equity Distribution Agreement. During the three months ended September 30, 2020, the Company sold an aggregate of 200,000 shares of its common stock </w:t>
      </w:r>
      <w:r>
        <w:rPr>
          <w:color w:val="000000"/>
          <w:sz w:val="20"/>
          <w:szCs w:val="20"/>
        </w:rPr>
        <w:t>pursuant to the 2020 Equity Distribution Agreement at a weighted-average selling price of $39.24 per share, which resulted in $7.8 million of net proceeds to the Company. Shares sold under the 2020 Equity Distribution Agreement were offered and sold pursua</w:t>
      </w:r>
      <w:r>
        <w:rPr>
          <w:color w:val="000000"/>
          <w:sz w:val="20"/>
          <w:szCs w:val="20"/>
        </w:rPr>
        <w:t>nt to the Company’s registration statement on Form S-3 (File No. 333-239964) filed with the SEC on July 21, 2020, as amended on August 5, 2020, and declared effective on August 12, 2020, and prospectus supplement and accompanying base prospectus filed with</w:t>
      </w:r>
      <w:r>
        <w:rPr>
          <w:color w:val="000000"/>
          <w:sz w:val="20"/>
          <w:szCs w:val="20"/>
        </w:rPr>
        <w:t xml:space="preserve"> the Securities and Exchange Commission on September 25, 2020.</w:t>
      </w:r>
    </w:p>
    <w:p w:rsidR="00000000" w:rsidRDefault="00406BD4">
      <w:pPr>
        <w:pStyle w:val="a3"/>
        <w:spacing w:before="360" w:beforeAutospacing="0" w:after="0" w:afterAutospacing="0"/>
        <w:rPr>
          <w:b/>
          <w:bCs/>
          <w:sz w:val="20"/>
          <w:szCs w:val="20"/>
        </w:rPr>
      </w:pPr>
      <w:bookmarkStart w:id="86" w:name="ITEM_6_EXHIBITS"/>
      <w:bookmarkEnd w:id="86"/>
      <w:r>
        <w:rPr>
          <w:b/>
          <w:bCs/>
          <w:sz w:val="20"/>
          <w:szCs w:val="20"/>
        </w:rPr>
        <w:t>Item 6. Exhibits.</w:t>
      </w:r>
    </w:p>
    <w:p w:rsidR="00000000" w:rsidRDefault="00406BD4">
      <w:pPr>
        <w:pStyle w:val="a3"/>
        <w:spacing w:before="120" w:beforeAutospacing="0" w:after="0" w:afterAutospacing="0"/>
        <w:ind w:firstLine="556"/>
        <w:rPr>
          <w:sz w:val="20"/>
          <w:szCs w:val="20"/>
        </w:rPr>
      </w:pPr>
      <w:r>
        <w:rPr>
          <w:sz w:val="20"/>
          <w:szCs w:val="20"/>
        </w:rPr>
        <w:t xml:space="preserve">The </w:t>
      </w:r>
      <w:r>
        <w:rPr>
          <w:color w:val="000000"/>
          <w:sz w:val="20"/>
          <w:szCs w:val="20"/>
        </w:rPr>
        <w:t>information required by this Item 6 is set forth on the Exhibit Index that immediately precedes the signature page to this report and is incorporated herein by reference.</w:t>
      </w:r>
    </w:p>
    <w:p w:rsidR="00000000" w:rsidRDefault="00406BD4">
      <w:pPr>
        <w:pStyle w:val="a3"/>
        <w:spacing w:before="0" w:beforeAutospacing="0" w:after="0" w:afterAutospacing="0"/>
      </w:pPr>
      <w:r>
        <w:t> </w:t>
      </w:r>
    </w:p>
    <w:p w:rsidR="00000000" w:rsidRDefault="00406BD4">
      <w:pPr>
        <w:pStyle w:val="a3"/>
        <w:spacing w:before="240" w:beforeAutospacing="0" w:after="0" w:afterAutospacing="0"/>
        <w:jc w:val="center"/>
        <w:rPr>
          <w:sz w:val="20"/>
          <w:szCs w:val="20"/>
        </w:rPr>
      </w:pPr>
      <w:r>
        <w:rPr>
          <w:sz w:val="20"/>
          <w:szCs w:val="20"/>
        </w:rPr>
        <w:t>61</w:t>
      </w:r>
    </w:p>
    <w:p w:rsidR="00000000" w:rsidRDefault="00406BD4">
      <w:pPr>
        <w:rPr>
          <w:rFonts w:eastAsia="Times New Roman"/>
        </w:rPr>
      </w:pPr>
      <w:r>
        <w:rPr>
          <w:rFonts w:eastAsia="Times New Roman"/>
        </w:rPr>
        <w:pict>
          <v:rect id="_x0000_i1087"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0" w:beforeAutospacing="0" w:after="0" w:afterAutospacing="0"/>
        <w:jc w:val="center"/>
        <w:rPr>
          <w:b/>
          <w:bCs/>
          <w:sz w:val="20"/>
          <w:szCs w:val="20"/>
        </w:rPr>
      </w:pPr>
      <w:bookmarkStart w:id="87" w:name="EXHIBIT_INDEX"/>
      <w:bookmarkEnd w:id="87"/>
      <w:r>
        <w:rPr>
          <w:b/>
          <w:bCs/>
          <w:sz w:val="20"/>
          <w:szCs w:val="20"/>
        </w:rPr>
        <w:t>EXHIBIT INDEX</w:t>
      </w:r>
    </w:p>
    <w:p w:rsidR="00000000" w:rsidRDefault="00406BD4">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750"/>
        <w:gridCol w:w="3962"/>
        <w:gridCol w:w="764"/>
        <w:gridCol w:w="1027"/>
        <w:gridCol w:w="110"/>
        <w:gridCol w:w="671"/>
        <w:gridCol w:w="110"/>
        <w:gridCol w:w="912"/>
      </w:tblGrid>
      <w:tr w:rsidR="00000000">
        <w:trPr>
          <w:divId w:val="730815135"/>
          <w:jc w:val="center"/>
        </w:trPr>
        <w:tc>
          <w:tcPr>
            <w:tcW w:w="410" w:type="pct"/>
            <w:vMerge w:val="restart"/>
            <w:vAlign w:val="bottom"/>
            <w:hideMark/>
          </w:tcPr>
          <w:p w:rsidR="00000000" w:rsidRDefault="00406BD4">
            <w:pPr>
              <w:pStyle w:val="a3"/>
              <w:spacing w:before="0" w:beforeAutospacing="0" w:after="0" w:afterAutospacing="0"/>
              <w:jc w:val="center"/>
              <w:rPr>
                <w:b/>
                <w:bCs/>
                <w:sz w:val="16"/>
                <w:szCs w:val="16"/>
              </w:rPr>
            </w:pPr>
            <w:r>
              <w:rPr>
                <w:b/>
                <w:bCs/>
                <w:sz w:val="16"/>
                <w:szCs w:val="16"/>
              </w:rPr>
              <w:t>Exhibit</w:t>
            </w:r>
          </w:p>
          <w:p w:rsidR="00000000" w:rsidRDefault="00406BD4">
            <w:pPr>
              <w:pStyle w:val="a3"/>
              <w:spacing w:before="0" w:beforeAutospacing="0" w:after="0" w:afterAutospacing="0"/>
              <w:jc w:val="center"/>
              <w:rPr>
                <w:b/>
                <w:bCs/>
                <w:sz w:val="16"/>
                <w:szCs w:val="16"/>
              </w:rPr>
            </w:pPr>
            <w:r>
              <w:rPr>
                <w:b/>
                <w:bCs/>
                <w:sz w:val="16"/>
                <w:szCs w:val="16"/>
              </w:rPr>
              <w:t>No.</w:t>
            </w:r>
          </w:p>
        </w:tc>
        <w:tc>
          <w:tcPr>
            <w:tcW w:w="2420" w:type="pct"/>
            <w:vMerge w:val="restart"/>
            <w:tcMar>
              <w:top w:w="0" w:type="dxa"/>
              <w:left w:w="60" w:type="dxa"/>
              <w:bottom w:w="0" w:type="dxa"/>
              <w:right w:w="60" w:type="dxa"/>
            </w:tcMar>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Exhibit Title</w:t>
            </w:r>
          </w:p>
        </w:tc>
        <w:tc>
          <w:tcPr>
            <w:tcW w:w="495" w:type="pct"/>
            <w:vMerge w:val="restart"/>
            <w:tcMar>
              <w:top w:w="0" w:type="dxa"/>
              <w:left w:w="60" w:type="dxa"/>
              <w:bottom w:w="0" w:type="dxa"/>
              <w:right w:w="60" w:type="dxa"/>
            </w:tcMar>
            <w:vAlign w:val="bottom"/>
            <w:hideMark/>
          </w:tcPr>
          <w:p w:rsidR="00000000" w:rsidRDefault="00406BD4">
            <w:pPr>
              <w:pStyle w:val="a3"/>
              <w:spacing w:before="0" w:beforeAutospacing="0" w:after="0" w:afterAutospacing="0"/>
              <w:jc w:val="center"/>
              <w:rPr>
                <w:b/>
                <w:bCs/>
                <w:sz w:val="16"/>
                <w:szCs w:val="16"/>
              </w:rPr>
            </w:pPr>
            <w:r>
              <w:rPr>
                <w:b/>
                <w:bCs/>
                <w:sz w:val="16"/>
                <w:szCs w:val="16"/>
              </w:rPr>
              <w:t>Filed</w:t>
            </w:r>
          </w:p>
          <w:p w:rsidR="00000000" w:rsidRDefault="00406BD4">
            <w:pPr>
              <w:pStyle w:val="a3"/>
              <w:spacing w:before="0" w:beforeAutospacing="0" w:after="0" w:afterAutospacing="0"/>
              <w:jc w:val="center"/>
              <w:rPr>
                <w:b/>
                <w:bCs/>
                <w:sz w:val="16"/>
                <w:szCs w:val="16"/>
              </w:rPr>
            </w:pPr>
            <w:r>
              <w:rPr>
                <w:b/>
                <w:bCs/>
                <w:sz w:val="16"/>
                <w:szCs w:val="16"/>
              </w:rPr>
              <w:t>with this</w:t>
            </w:r>
          </w:p>
          <w:p w:rsidR="00000000" w:rsidRDefault="00406BD4">
            <w:pPr>
              <w:pStyle w:val="a3"/>
              <w:spacing w:before="0" w:beforeAutospacing="0" w:after="0" w:afterAutospacing="0"/>
              <w:jc w:val="center"/>
              <w:rPr>
                <w:b/>
                <w:bCs/>
                <w:sz w:val="16"/>
                <w:szCs w:val="16"/>
              </w:rPr>
            </w:pPr>
            <w:r>
              <w:rPr>
                <w:b/>
                <w:bCs/>
                <w:sz w:val="16"/>
                <w:szCs w:val="16"/>
              </w:rPr>
              <w:t>Form 10-Q</w:t>
            </w:r>
          </w:p>
        </w:tc>
        <w:tc>
          <w:tcPr>
            <w:tcW w:w="653" w:type="pct"/>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Incorp</w:t>
            </w:r>
            <w:r>
              <w:rPr>
                <w:b/>
                <w:bCs/>
                <w:color w:val="000000"/>
                <w:sz w:val="16"/>
                <w:szCs w:val="16"/>
              </w:rPr>
              <w:t>orated by Reference</w:t>
            </w:r>
          </w:p>
        </w:tc>
        <w:tc>
          <w:tcPr>
            <w:tcW w:w="0" w:type="auto"/>
            <w:tcBorders>
              <w:top w:val="nil"/>
              <w:left w:val="nil"/>
              <w:bottom w:val="nil"/>
              <w:right w:val="nil"/>
            </w:tcBorders>
            <w:vAlign w:val="center"/>
            <w:hideMark/>
          </w:tcPr>
          <w:p w:rsidR="00000000" w:rsidRDefault="00406BD4">
            <w:pPr>
              <w:rPr>
                <w:b/>
                <w:bCs/>
                <w:color w:val="000000"/>
                <w:sz w:val="16"/>
                <w:szCs w:val="16"/>
              </w:rPr>
            </w:pPr>
          </w:p>
        </w:tc>
        <w:tc>
          <w:tcPr>
            <w:tcW w:w="0" w:type="auto"/>
            <w:tcBorders>
              <w:top w:val="nil"/>
              <w:left w:val="nil"/>
              <w:bottom w:val="nil"/>
              <w:right w:val="nil"/>
            </w:tcBorders>
            <w:vAlign w:val="center"/>
            <w:hideMark/>
          </w:tcPr>
          <w:p w:rsidR="00000000" w:rsidRDefault="00406BD4">
            <w:pPr>
              <w:rPr>
                <w:rFonts w:eastAsia="Times New Roman"/>
                <w:sz w:val="20"/>
                <w:szCs w:val="20"/>
              </w:rPr>
            </w:pPr>
          </w:p>
        </w:tc>
        <w:tc>
          <w:tcPr>
            <w:tcW w:w="0" w:type="auto"/>
            <w:tcBorders>
              <w:top w:val="nil"/>
              <w:left w:val="nil"/>
              <w:bottom w:val="nil"/>
              <w:right w:val="nil"/>
            </w:tcBorders>
            <w:vAlign w:val="center"/>
            <w:hideMark/>
          </w:tcPr>
          <w:p w:rsidR="00000000" w:rsidRDefault="00406BD4">
            <w:pPr>
              <w:rPr>
                <w:rFonts w:eastAsia="Times New Roman"/>
                <w:sz w:val="20"/>
                <w:szCs w:val="20"/>
              </w:rPr>
            </w:pPr>
          </w:p>
        </w:tc>
        <w:tc>
          <w:tcPr>
            <w:tcW w:w="0" w:type="auto"/>
            <w:tcBorders>
              <w:top w:val="nil"/>
              <w:left w:val="nil"/>
              <w:bottom w:val="nil"/>
              <w:right w:val="nil"/>
            </w:tcBorders>
            <w:vAlign w:val="center"/>
            <w:hideMark/>
          </w:tcPr>
          <w:p w:rsidR="00000000" w:rsidRDefault="00406BD4">
            <w:pPr>
              <w:rPr>
                <w:rFonts w:eastAsia="Times New Roman"/>
                <w:sz w:val="20"/>
                <w:szCs w:val="20"/>
              </w:rPr>
            </w:pPr>
          </w:p>
        </w:tc>
      </w:tr>
      <w:tr w:rsidR="00000000">
        <w:trPr>
          <w:divId w:val="730815135"/>
          <w:jc w:val="center"/>
        </w:trPr>
        <w:tc>
          <w:tcPr>
            <w:tcW w:w="0" w:type="auto"/>
            <w:vMerge/>
            <w:vAlign w:val="center"/>
            <w:hideMark/>
          </w:tcPr>
          <w:p w:rsidR="00000000" w:rsidRDefault="00406BD4">
            <w:pPr>
              <w:rPr>
                <w:b/>
                <w:bCs/>
                <w:sz w:val="16"/>
                <w:szCs w:val="16"/>
              </w:rPr>
            </w:pPr>
          </w:p>
        </w:tc>
        <w:tc>
          <w:tcPr>
            <w:tcW w:w="0" w:type="auto"/>
            <w:vMerge/>
            <w:vAlign w:val="center"/>
            <w:hideMark/>
          </w:tcPr>
          <w:p w:rsidR="00000000" w:rsidRDefault="00406BD4">
            <w:pPr>
              <w:rPr>
                <w:b/>
                <w:bCs/>
                <w:color w:val="000000"/>
                <w:sz w:val="16"/>
                <w:szCs w:val="16"/>
              </w:rPr>
            </w:pPr>
          </w:p>
        </w:tc>
        <w:tc>
          <w:tcPr>
            <w:tcW w:w="0" w:type="auto"/>
            <w:vMerge/>
            <w:vAlign w:val="center"/>
            <w:hideMark/>
          </w:tcPr>
          <w:p w:rsidR="00000000" w:rsidRDefault="00406BD4">
            <w:pPr>
              <w:rPr>
                <w:b/>
                <w:bCs/>
                <w:sz w:val="16"/>
                <w:szCs w:val="16"/>
              </w:rPr>
            </w:pPr>
          </w:p>
        </w:tc>
        <w:tc>
          <w:tcPr>
            <w:tcW w:w="653" w:type="pct"/>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Form</w:t>
            </w:r>
          </w:p>
        </w:tc>
        <w:tc>
          <w:tcPr>
            <w:tcW w:w="42" w:type="pct"/>
            <w:tcMar>
              <w:top w:w="0" w:type="dxa"/>
              <w:left w:w="60" w:type="dxa"/>
              <w:bottom w:w="0" w:type="dxa"/>
              <w:right w:w="0" w:type="dxa"/>
            </w:tcMar>
            <w:vAlign w:val="bottom"/>
            <w:hideMark/>
          </w:tcPr>
          <w:p w:rsidR="00000000" w:rsidRDefault="00406BD4">
            <w:pPr>
              <w:pStyle w:val="a3"/>
              <w:spacing w:before="40" w:beforeAutospacing="0" w:after="40" w:afterAutospacing="0"/>
              <w:rPr>
                <w:sz w:val="16"/>
                <w:szCs w:val="16"/>
              </w:rPr>
            </w:pPr>
            <w:r>
              <w:rPr>
                <w:sz w:val="16"/>
                <w:szCs w:val="16"/>
              </w:rPr>
              <w:t> </w:t>
            </w:r>
          </w:p>
        </w:tc>
        <w:tc>
          <w:tcPr>
            <w:tcW w:w="439" w:type="pct"/>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Form No.</w:t>
            </w:r>
          </w:p>
        </w:tc>
        <w:tc>
          <w:tcPr>
            <w:tcW w:w="42" w:type="pct"/>
            <w:tcMar>
              <w:top w:w="0" w:type="dxa"/>
              <w:left w:w="60" w:type="dxa"/>
              <w:bottom w:w="0" w:type="dxa"/>
              <w:right w:w="0" w:type="dxa"/>
            </w:tcMar>
            <w:vAlign w:val="bottom"/>
            <w:hideMark/>
          </w:tcPr>
          <w:p w:rsidR="00000000" w:rsidRDefault="00406BD4">
            <w:pPr>
              <w:pStyle w:val="a3"/>
              <w:spacing w:before="40" w:beforeAutospacing="0" w:after="40" w:afterAutospacing="0"/>
              <w:rPr>
                <w:sz w:val="16"/>
                <w:szCs w:val="16"/>
              </w:rPr>
            </w:pPr>
            <w:r>
              <w:rPr>
                <w:sz w:val="16"/>
                <w:szCs w:val="16"/>
              </w:rPr>
              <w:t> </w:t>
            </w:r>
          </w:p>
        </w:tc>
        <w:tc>
          <w:tcPr>
            <w:tcW w:w="499" w:type="pct"/>
            <w:vAlign w:val="bottom"/>
            <w:hideMark/>
          </w:tcPr>
          <w:p w:rsidR="00000000" w:rsidRDefault="00406BD4">
            <w:pPr>
              <w:pStyle w:val="a3"/>
              <w:spacing w:before="0" w:beforeAutospacing="0" w:after="0" w:afterAutospacing="0"/>
              <w:jc w:val="center"/>
              <w:rPr>
                <w:b/>
                <w:bCs/>
                <w:color w:val="000000"/>
                <w:sz w:val="16"/>
                <w:szCs w:val="16"/>
              </w:rPr>
            </w:pPr>
            <w:r>
              <w:rPr>
                <w:b/>
                <w:bCs/>
                <w:color w:val="000000"/>
                <w:sz w:val="16"/>
                <w:szCs w:val="16"/>
              </w:rPr>
              <w:t>Date filed</w:t>
            </w:r>
          </w:p>
        </w:tc>
      </w:tr>
      <w:tr w:rsidR="00000000">
        <w:trPr>
          <w:divId w:val="730815135"/>
          <w:jc w:val="center"/>
        </w:trPr>
        <w:tc>
          <w:tcPr>
            <w:tcW w:w="410" w:type="pct"/>
            <w:hideMark/>
          </w:tcPr>
          <w:p w:rsidR="00000000" w:rsidRDefault="00406BD4">
            <w:pPr>
              <w:pStyle w:val="a3"/>
              <w:spacing w:before="0" w:beforeAutospacing="0" w:after="0" w:afterAutospacing="0"/>
              <w:jc w:val="center"/>
              <w:rPr>
                <w:sz w:val="12"/>
                <w:szCs w:val="12"/>
              </w:rPr>
            </w:pPr>
            <w:r>
              <w:rPr>
                <w:sz w:val="12"/>
                <w:szCs w:val="12"/>
              </w:rPr>
              <w:t> </w:t>
            </w:r>
          </w:p>
        </w:tc>
        <w:tc>
          <w:tcPr>
            <w:tcW w:w="2420" w:type="pct"/>
            <w:tcMar>
              <w:top w:w="0" w:type="dxa"/>
              <w:left w:w="60" w:type="dxa"/>
              <w:bottom w:w="0" w:type="dxa"/>
              <w:right w:w="40" w:type="dxa"/>
            </w:tcMar>
            <w:hideMark/>
          </w:tcPr>
          <w:p w:rsidR="00000000" w:rsidRDefault="00406BD4">
            <w:pPr>
              <w:pStyle w:val="a3"/>
              <w:spacing w:before="0" w:beforeAutospacing="0" w:after="0" w:afterAutospacing="0"/>
              <w:rPr>
                <w:sz w:val="12"/>
                <w:szCs w:val="12"/>
              </w:rPr>
            </w:pPr>
            <w:r>
              <w:rPr>
                <w:sz w:val="12"/>
                <w:szCs w:val="12"/>
              </w:rPr>
              <w:t> </w:t>
            </w:r>
          </w:p>
        </w:tc>
        <w:tc>
          <w:tcPr>
            <w:tcW w:w="495" w:type="pct"/>
            <w:tcMar>
              <w:top w:w="0" w:type="dxa"/>
              <w:left w:w="60" w:type="dxa"/>
              <w:bottom w:w="0" w:type="dxa"/>
              <w:right w:w="0" w:type="dxa"/>
            </w:tcMar>
            <w:hideMark/>
          </w:tcPr>
          <w:p w:rsidR="00000000" w:rsidRDefault="00406BD4">
            <w:pPr>
              <w:pStyle w:val="a3"/>
              <w:spacing w:before="0" w:beforeAutospacing="0" w:after="0" w:afterAutospacing="0"/>
              <w:jc w:val="center"/>
              <w:rPr>
                <w:sz w:val="12"/>
                <w:szCs w:val="12"/>
              </w:rPr>
            </w:pPr>
            <w:r>
              <w:rPr>
                <w:sz w:val="12"/>
                <w:szCs w:val="12"/>
              </w:rPr>
              <w:t> </w:t>
            </w:r>
          </w:p>
        </w:tc>
        <w:tc>
          <w:tcPr>
            <w:tcW w:w="653" w:type="pct"/>
            <w:hideMark/>
          </w:tcPr>
          <w:p w:rsidR="00000000" w:rsidRDefault="00406BD4">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12"/>
                <w:szCs w:val="12"/>
              </w:rPr>
            </w:pPr>
            <w:r>
              <w:rPr>
                <w:sz w:val="12"/>
                <w:szCs w:val="12"/>
              </w:rPr>
              <w:t> </w:t>
            </w:r>
          </w:p>
        </w:tc>
        <w:tc>
          <w:tcPr>
            <w:tcW w:w="439" w:type="pct"/>
            <w:hideMark/>
          </w:tcPr>
          <w:p w:rsidR="00000000" w:rsidRDefault="00406BD4">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12"/>
                <w:szCs w:val="12"/>
              </w:rPr>
            </w:pPr>
            <w:r>
              <w:rPr>
                <w:sz w:val="12"/>
                <w:szCs w:val="12"/>
              </w:rPr>
              <w:t> </w:t>
            </w:r>
          </w:p>
        </w:tc>
        <w:tc>
          <w:tcPr>
            <w:tcW w:w="499" w:type="pct"/>
            <w:hideMark/>
          </w:tcPr>
          <w:p w:rsidR="00000000" w:rsidRDefault="00406BD4">
            <w:pPr>
              <w:pStyle w:val="a3"/>
              <w:spacing w:before="0" w:beforeAutospacing="0" w:after="0" w:afterAutospacing="0"/>
              <w:jc w:val="center"/>
              <w:rPr>
                <w:sz w:val="12"/>
                <w:szCs w:val="12"/>
              </w:rPr>
            </w:pPr>
            <w:r>
              <w:rPr>
                <w:sz w:val="12"/>
                <w:szCs w:val="12"/>
              </w:rPr>
              <w:t> </w:t>
            </w:r>
          </w:p>
        </w:tc>
      </w:tr>
      <w:tr w:rsidR="00000000">
        <w:trPr>
          <w:divId w:val="730815135"/>
          <w:jc w:val="center"/>
        </w:trPr>
        <w:tc>
          <w:tcPr>
            <w:tcW w:w="410" w:type="pct"/>
            <w:hideMark/>
          </w:tcPr>
          <w:p w:rsidR="00000000" w:rsidRDefault="00406BD4">
            <w:pPr>
              <w:pStyle w:val="a3"/>
              <w:spacing w:before="0" w:beforeAutospacing="0" w:after="0" w:afterAutospacing="0"/>
              <w:rPr>
                <w:sz w:val="20"/>
                <w:szCs w:val="20"/>
              </w:rPr>
            </w:pPr>
            <w:r>
              <w:rPr>
                <w:sz w:val="20"/>
                <w:szCs w:val="20"/>
                <w:shd w:val="clear" w:color="auto" w:fill="FFFFFF"/>
              </w:rPr>
              <w:t>  10.1</w:t>
            </w:r>
          </w:p>
        </w:tc>
        <w:tc>
          <w:tcPr>
            <w:tcW w:w="2420" w:type="pct"/>
            <w:hideMark/>
          </w:tcPr>
          <w:p w:rsidR="00000000" w:rsidRDefault="00406BD4">
            <w:pPr>
              <w:pStyle w:val="a3"/>
              <w:spacing w:before="0" w:beforeAutospacing="0" w:after="0" w:afterAutospacing="0"/>
              <w:rPr>
                <w:sz w:val="20"/>
                <w:szCs w:val="20"/>
              </w:rPr>
            </w:pPr>
            <w:hyperlink r:id="rId4" w:history="1">
              <w:r>
                <w:rPr>
                  <w:rStyle w:val="a4"/>
                  <w:sz w:val="20"/>
                  <w:szCs w:val="20"/>
                </w:rPr>
                <w:t>Fulgent Genetics, Inc. Amended and Restated 2016 Omnibus Incentive Plan</w:t>
              </w:r>
            </w:hyperlink>
          </w:p>
        </w:tc>
        <w:tc>
          <w:tcPr>
            <w:tcW w:w="495" w:type="pct"/>
            <w:hideMark/>
          </w:tcPr>
          <w:p w:rsidR="00000000" w:rsidRDefault="00406BD4">
            <w:pPr>
              <w:pStyle w:val="a3"/>
              <w:spacing w:before="0" w:beforeAutospacing="0" w:after="0" w:afterAutospacing="0"/>
              <w:jc w:val="center"/>
              <w:rPr>
                <w:sz w:val="20"/>
                <w:szCs w:val="20"/>
              </w:rPr>
            </w:pPr>
            <w:r>
              <w:rPr>
                <w:sz w:val="20"/>
                <w:szCs w:val="20"/>
              </w:rPr>
              <w:t> </w:t>
            </w:r>
          </w:p>
        </w:tc>
        <w:tc>
          <w:tcPr>
            <w:tcW w:w="653" w:type="pct"/>
            <w:hideMark/>
          </w:tcPr>
          <w:p w:rsidR="00000000" w:rsidRDefault="00406BD4">
            <w:pPr>
              <w:pStyle w:val="a3"/>
              <w:spacing w:before="0" w:beforeAutospacing="0" w:after="0" w:afterAutospacing="0"/>
              <w:jc w:val="center"/>
              <w:rPr>
                <w:sz w:val="20"/>
                <w:szCs w:val="20"/>
              </w:rPr>
            </w:pPr>
            <w:hyperlink r:id="rId5" w:history="1">
              <w:r>
                <w:rPr>
                  <w:rStyle w:val="a4"/>
                  <w:sz w:val="20"/>
                  <w:szCs w:val="20"/>
                </w:rPr>
                <w:t>8-K</w:t>
              </w:r>
            </w:hyperlink>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20"/>
                <w:szCs w:val="20"/>
              </w:rPr>
            </w:pPr>
            <w:r>
              <w:rPr>
                <w:sz w:val="20"/>
                <w:szCs w:val="20"/>
              </w:rPr>
              <w:t> </w:t>
            </w:r>
          </w:p>
        </w:tc>
        <w:tc>
          <w:tcPr>
            <w:tcW w:w="439" w:type="pct"/>
            <w:hideMark/>
          </w:tcPr>
          <w:p w:rsidR="00000000" w:rsidRDefault="00406BD4">
            <w:pPr>
              <w:pStyle w:val="a3"/>
              <w:spacing w:before="0" w:beforeAutospacing="0" w:after="0" w:afterAutospacing="0"/>
              <w:jc w:val="center"/>
              <w:rPr>
                <w:sz w:val="20"/>
                <w:szCs w:val="20"/>
              </w:rPr>
            </w:pPr>
            <w:r>
              <w:rPr>
                <w:sz w:val="20"/>
                <w:szCs w:val="20"/>
              </w:rPr>
              <w:t>001-37894</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20"/>
                <w:szCs w:val="20"/>
              </w:rPr>
            </w:pPr>
            <w:r>
              <w:rPr>
                <w:sz w:val="20"/>
                <w:szCs w:val="20"/>
              </w:rPr>
              <w:t> </w:t>
            </w:r>
          </w:p>
        </w:tc>
        <w:tc>
          <w:tcPr>
            <w:tcW w:w="499" w:type="pct"/>
            <w:hideMark/>
          </w:tcPr>
          <w:p w:rsidR="00000000" w:rsidRDefault="00406BD4">
            <w:pPr>
              <w:pStyle w:val="a3"/>
              <w:spacing w:before="0" w:beforeAutospacing="0" w:after="0" w:afterAutospacing="0"/>
              <w:jc w:val="center"/>
              <w:rPr>
                <w:sz w:val="20"/>
                <w:szCs w:val="20"/>
              </w:rPr>
            </w:pPr>
            <w:r>
              <w:rPr>
                <w:sz w:val="20"/>
                <w:szCs w:val="20"/>
              </w:rPr>
              <w:t>9/18/2020</w:t>
            </w:r>
          </w:p>
        </w:tc>
      </w:tr>
      <w:tr w:rsidR="00000000">
        <w:trPr>
          <w:divId w:val="730815135"/>
          <w:jc w:val="center"/>
        </w:trPr>
        <w:tc>
          <w:tcPr>
            <w:tcW w:w="410" w:type="pct"/>
            <w:hideMark/>
          </w:tcPr>
          <w:p w:rsidR="00000000" w:rsidRDefault="00406BD4">
            <w:pPr>
              <w:pStyle w:val="a3"/>
              <w:spacing w:before="0" w:beforeAutospacing="0" w:after="0" w:afterAutospacing="0"/>
              <w:rPr>
                <w:sz w:val="12"/>
                <w:szCs w:val="12"/>
              </w:rPr>
            </w:pPr>
            <w:r>
              <w:rPr>
                <w:sz w:val="12"/>
                <w:szCs w:val="12"/>
              </w:rPr>
              <w:t> </w:t>
            </w:r>
          </w:p>
        </w:tc>
        <w:tc>
          <w:tcPr>
            <w:tcW w:w="2420" w:type="pct"/>
            <w:hideMark/>
          </w:tcPr>
          <w:p w:rsidR="00000000" w:rsidRDefault="00406BD4">
            <w:pPr>
              <w:pStyle w:val="a3"/>
              <w:spacing w:before="0" w:beforeAutospacing="0" w:after="0" w:afterAutospacing="0"/>
              <w:rPr>
                <w:sz w:val="12"/>
                <w:szCs w:val="12"/>
              </w:rPr>
            </w:pPr>
            <w:r>
              <w:rPr>
                <w:sz w:val="12"/>
                <w:szCs w:val="12"/>
              </w:rPr>
              <w:t> </w:t>
            </w:r>
          </w:p>
        </w:tc>
        <w:tc>
          <w:tcPr>
            <w:tcW w:w="495" w:type="pct"/>
            <w:hideMark/>
          </w:tcPr>
          <w:p w:rsidR="00000000" w:rsidRDefault="00406BD4">
            <w:pPr>
              <w:pStyle w:val="a3"/>
              <w:spacing w:before="0" w:beforeAutospacing="0" w:after="0" w:afterAutospacing="0"/>
              <w:jc w:val="center"/>
              <w:rPr>
                <w:sz w:val="12"/>
                <w:szCs w:val="12"/>
              </w:rPr>
            </w:pPr>
            <w:r>
              <w:rPr>
                <w:sz w:val="12"/>
                <w:szCs w:val="12"/>
              </w:rPr>
              <w:t> </w:t>
            </w:r>
          </w:p>
        </w:tc>
        <w:tc>
          <w:tcPr>
            <w:tcW w:w="653" w:type="pct"/>
            <w:hideMark/>
          </w:tcPr>
          <w:p w:rsidR="00000000" w:rsidRDefault="00406BD4">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12"/>
                <w:szCs w:val="12"/>
              </w:rPr>
            </w:pPr>
            <w:r>
              <w:rPr>
                <w:sz w:val="12"/>
                <w:szCs w:val="12"/>
              </w:rPr>
              <w:t> </w:t>
            </w:r>
          </w:p>
        </w:tc>
        <w:tc>
          <w:tcPr>
            <w:tcW w:w="439" w:type="pct"/>
            <w:hideMark/>
          </w:tcPr>
          <w:p w:rsidR="00000000" w:rsidRDefault="00406BD4">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12"/>
                <w:szCs w:val="12"/>
              </w:rPr>
            </w:pPr>
            <w:r>
              <w:rPr>
                <w:sz w:val="12"/>
                <w:szCs w:val="12"/>
              </w:rPr>
              <w:t> </w:t>
            </w:r>
          </w:p>
        </w:tc>
        <w:tc>
          <w:tcPr>
            <w:tcW w:w="499" w:type="pct"/>
            <w:hideMark/>
          </w:tcPr>
          <w:p w:rsidR="00000000" w:rsidRDefault="00406BD4">
            <w:pPr>
              <w:pStyle w:val="a3"/>
              <w:spacing w:before="0" w:beforeAutospacing="0" w:after="0" w:afterAutospacing="0"/>
              <w:jc w:val="center"/>
              <w:rPr>
                <w:sz w:val="12"/>
                <w:szCs w:val="12"/>
              </w:rPr>
            </w:pPr>
            <w:r>
              <w:rPr>
                <w:sz w:val="12"/>
                <w:szCs w:val="12"/>
              </w:rPr>
              <w:t> </w:t>
            </w:r>
          </w:p>
        </w:tc>
      </w:tr>
      <w:tr w:rsidR="00000000">
        <w:trPr>
          <w:divId w:val="730815135"/>
          <w:jc w:val="center"/>
        </w:trPr>
        <w:tc>
          <w:tcPr>
            <w:tcW w:w="410" w:type="pct"/>
            <w:hideMark/>
          </w:tcPr>
          <w:p w:rsidR="00000000" w:rsidRDefault="00406BD4">
            <w:pPr>
              <w:pStyle w:val="a3"/>
              <w:spacing w:before="0" w:beforeAutospacing="0" w:after="0" w:afterAutospacing="0"/>
              <w:rPr>
                <w:sz w:val="20"/>
                <w:szCs w:val="20"/>
              </w:rPr>
            </w:pPr>
            <w:r>
              <w:rPr>
                <w:sz w:val="20"/>
                <w:szCs w:val="20"/>
                <w:shd w:val="clear" w:color="auto" w:fill="FFFFFF"/>
              </w:rPr>
              <w:t>  10.2^</w:t>
            </w:r>
          </w:p>
        </w:tc>
        <w:tc>
          <w:tcPr>
            <w:tcW w:w="2420" w:type="pct"/>
            <w:hideMark/>
          </w:tcPr>
          <w:p w:rsidR="00000000" w:rsidRDefault="00406BD4">
            <w:pPr>
              <w:pStyle w:val="a3"/>
              <w:spacing w:before="0" w:beforeAutospacing="0" w:after="0" w:afterAutospacing="0"/>
              <w:rPr>
                <w:sz w:val="20"/>
                <w:szCs w:val="20"/>
              </w:rPr>
            </w:pPr>
            <w:hyperlink r:id="rId6" w:history="1">
              <w:r>
                <w:rPr>
                  <w:rStyle w:val="a4"/>
                  <w:sz w:val="20"/>
                  <w:szCs w:val="20"/>
                </w:rPr>
                <w:t>Aircraft Purchase Agreement, dated August 18, 2020, by and between ServiceMaster Acceptance Corporation and the Company</w:t>
              </w:r>
            </w:hyperlink>
          </w:p>
        </w:tc>
        <w:tc>
          <w:tcPr>
            <w:tcW w:w="495" w:type="pct"/>
            <w:tcMar>
              <w:top w:w="0" w:type="dxa"/>
              <w:left w:w="60" w:type="dxa"/>
              <w:bottom w:w="0" w:type="dxa"/>
              <w:right w:w="0" w:type="dxa"/>
            </w:tcMar>
            <w:hideMark/>
          </w:tcPr>
          <w:p w:rsidR="00000000" w:rsidRDefault="00406BD4">
            <w:pPr>
              <w:pStyle w:val="a3"/>
              <w:spacing w:before="0" w:beforeAutospacing="0" w:after="0" w:afterAutospacing="0"/>
              <w:jc w:val="center"/>
              <w:rPr>
                <w:sz w:val="20"/>
                <w:szCs w:val="20"/>
              </w:rPr>
            </w:pPr>
            <w:r>
              <w:rPr>
                <w:sz w:val="20"/>
                <w:szCs w:val="20"/>
              </w:rPr>
              <w:t>X</w:t>
            </w:r>
          </w:p>
        </w:tc>
        <w:tc>
          <w:tcPr>
            <w:tcW w:w="653" w:type="pct"/>
            <w:hideMark/>
          </w:tcPr>
          <w:p w:rsidR="00000000" w:rsidRDefault="00406BD4">
            <w:pPr>
              <w:pStyle w:val="a3"/>
              <w:spacing w:before="0" w:beforeAutospacing="0" w:after="0" w:afterAutospacing="0"/>
              <w:jc w:val="center"/>
              <w:rPr>
                <w:sz w:val="20"/>
                <w:szCs w:val="20"/>
              </w:rPr>
            </w:pPr>
            <w:r>
              <w:rPr>
                <w:sz w:val="20"/>
                <w:szCs w:val="20"/>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20"/>
                <w:szCs w:val="20"/>
              </w:rPr>
            </w:pPr>
            <w:r>
              <w:rPr>
                <w:sz w:val="20"/>
                <w:szCs w:val="20"/>
              </w:rPr>
              <w:t> </w:t>
            </w:r>
          </w:p>
        </w:tc>
        <w:tc>
          <w:tcPr>
            <w:tcW w:w="439" w:type="pct"/>
            <w:hideMark/>
          </w:tcPr>
          <w:p w:rsidR="00000000" w:rsidRDefault="00406BD4">
            <w:pPr>
              <w:pStyle w:val="a3"/>
              <w:spacing w:before="0" w:beforeAutospacing="0" w:after="0" w:afterAutospacing="0"/>
              <w:jc w:val="center"/>
              <w:rPr>
                <w:sz w:val="20"/>
                <w:szCs w:val="20"/>
              </w:rPr>
            </w:pPr>
            <w:r>
              <w:rPr>
                <w:sz w:val="20"/>
                <w:szCs w:val="20"/>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20"/>
                <w:szCs w:val="20"/>
              </w:rPr>
            </w:pPr>
            <w:r>
              <w:rPr>
                <w:sz w:val="20"/>
                <w:szCs w:val="20"/>
              </w:rPr>
              <w:t> </w:t>
            </w:r>
          </w:p>
        </w:tc>
        <w:tc>
          <w:tcPr>
            <w:tcW w:w="499" w:type="pct"/>
            <w:hideMark/>
          </w:tcPr>
          <w:p w:rsidR="00000000" w:rsidRDefault="00406BD4">
            <w:pPr>
              <w:pStyle w:val="a3"/>
              <w:spacing w:before="0" w:beforeAutospacing="0" w:after="0" w:afterAutospacing="0"/>
              <w:jc w:val="center"/>
              <w:rPr>
                <w:sz w:val="20"/>
                <w:szCs w:val="20"/>
              </w:rPr>
            </w:pPr>
            <w:r>
              <w:rPr>
                <w:sz w:val="20"/>
                <w:szCs w:val="20"/>
              </w:rPr>
              <w:t> </w:t>
            </w:r>
          </w:p>
        </w:tc>
      </w:tr>
      <w:tr w:rsidR="00000000">
        <w:trPr>
          <w:divId w:val="730815135"/>
          <w:jc w:val="center"/>
        </w:trPr>
        <w:tc>
          <w:tcPr>
            <w:tcW w:w="410" w:type="pct"/>
            <w:hideMark/>
          </w:tcPr>
          <w:p w:rsidR="00000000" w:rsidRDefault="00406BD4">
            <w:pPr>
              <w:pStyle w:val="a3"/>
              <w:spacing w:before="0" w:beforeAutospacing="0" w:after="0" w:afterAutospacing="0"/>
              <w:rPr>
                <w:sz w:val="12"/>
                <w:szCs w:val="12"/>
              </w:rPr>
            </w:pPr>
            <w:r>
              <w:rPr>
                <w:sz w:val="12"/>
                <w:szCs w:val="12"/>
              </w:rPr>
              <w:t> </w:t>
            </w:r>
          </w:p>
        </w:tc>
        <w:tc>
          <w:tcPr>
            <w:tcW w:w="2420" w:type="pct"/>
            <w:tcMar>
              <w:top w:w="0" w:type="dxa"/>
              <w:left w:w="60" w:type="dxa"/>
              <w:bottom w:w="0" w:type="dxa"/>
              <w:right w:w="40" w:type="dxa"/>
            </w:tcMar>
            <w:hideMark/>
          </w:tcPr>
          <w:p w:rsidR="00000000" w:rsidRDefault="00406BD4">
            <w:pPr>
              <w:pStyle w:val="a3"/>
              <w:spacing w:before="0" w:beforeAutospacing="0" w:after="0" w:afterAutospacing="0"/>
              <w:rPr>
                <w:sz w:val="12"/>
                <w:szCs w:val="12"/>
              </w:rPr>
            </w:pPr>
            <w:r>
              <w:rPr>
                <w:sz w:val="12"/>
                <w:szCs w:val="12"/>
              </w:rPr>
              <w:t> </w:t>
            </w:r>
          </w:p>
        </w:tc>
        <w:tc>
          <w:tcPr>
            <w:tcW w:w="495" w:type="pct"/>
            <w:tcMar>
              <w:top w:w="0" w:type="dxa"/>
              <w:left w:w="60" w:type="dxa"/>
              <w:bottom w:w="0" w:type="dxa"/>
              <w:right w:w="0" w:type="dxa"/>
            </w:tcMar>
            <w:hideMark/>
          </w:tcPr>
          <w:p w:rsidR="00000000" w:rsidRDefault="00406BD4">
            <w:pPr>
              <w:pStyle w:val="a3"/>
              <w:spacing w:before="0" w:beforeAutospacing="0" w:after="0" w:afterAutospacing="0"/>
              <w:jc w:val="center"/>
              <w:rPr>
                <w:sz w:val="12"/>
                <w:szCs w:val="12"/>
              </w:rPr>
            </w:pPr>
            <w:r>
              <w:rPr>
                <w:sz w:val="12"/>
                <w:szCs w:val="12"/>
              </w:rPr>
              <w:t> </w:t>
            </w:r>
          </w:p>
        </w:tc>
        <w:tc>
          <w:tcPr>
            <w:tcW w:w="653" w:type="pct"/>
            <w:hideMark/>
          </w:tcPr>
          <w:p w:rsidR="00000000" w:rsidRDefault="00406BD4">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12"/>
                <w:szCs w:val="12"/>
              </w:rPr>
            </w:pPr>
            <w:r>
              <w:rPr>
                <w:sz w:val="12"/>
                <w:szCs w:val="12"/>
              </w:rPr>
              <w:t> </w:t>
            </w:r>
          </w:p>
        </w:tc>
        <w:tc>
          <w:tcPr>
            <w:tcW w:w="439" w:type="pct"/>
            <w:hideMark/>
          </w:tcPr>
          <w:p w:rsidR="00000000" w:rsidRDefault="00406BD4">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12"/>
                <w:szCs w:val="12"/>
              </w:rPr>
            </w:pPr>
            <w:r>
              <w:rPr>
                <w:sz w:val="12"/>
                <w:szCs w:val="12"/>
              </w:rPr>
              <w:t> </w:t>
            </w:r>
          </w:p>
        </w:tc>
        <w:tc>
          <w:tcPr>
            <w:tcW w:w="499" w:type="pct"/>
            <w:hideMark/>
          </w:tcPr>
          <w:p w:rsidR="00000000" w:rsidRDefault="00406BD4">
            <w:pPr>
              <w:pStyle w:val="a3"/>
              <w:spacing w:before="0" w:beforeAutospacing="0" w:after="0" w:afterAutospacing="0"/>
              <w:jc w:val="center"/>
              <w:rPr>
                <w:sz w:val="12"/>
                <w:szCs w:val="12"/>
              </w:rPr>
            </w:pPr>
            <w:r>
              <w:rPr>
                <w:sz w:val="12"/>
                <w:szCs w:val="12"/>
              </w:rPr>
              <w:t> </w:t>
            </w:r>
          </w:p>
        </w:tc>
      </w:tr>
      <w:tr w:rsidR="00000000">
        <w:trPr>
          <w:divId w:val="730815135"/>
          <w:jc w:val="center"/>
        </w:trPr>
        <w:tc>
          <w:tcPr>
            <w:tcW w:w="410" w:type="pct"/>
            <w:hideMark/>
          </w:tcPr>
          <w:p w:rsidR="00000000" w:rsidRDefault="00406BD4">
            <w:pPr>
              <w:pStyle w:val="a3"/>
              <w:spacing w:before="0" w:beforeAutospacing="0" w:after="0" w:afterAutospacing="0"/>
              <w:rPr>
                <w:sz w:val="20"/>
                <w:szCs w:val="20"/>
              </w:rPr>
            </w:pPr>
            <w:r>
              <w:rPr>
                <w:sz w:val="20"/>
                <w:szCs w:val="20"/>
                <w:shd w:val="clear" w:color="auto" w:fill="FFFFFF"/>
              </w:rPr>
              <w:t>  10.3^</w:t>
            </w:r>
          </w:p>
        </w:tc>
        <w:tc>
          <w:tcPr>
            <w:tcW w:w="2420" w:type="pct"/>
            <w:hideMark/>
          </w:tcPr>
          <w:p w:rsidR="00000000" w:rsidRDefault="00406BD4">
            <w:pPr>
              <w:pStyle w:val="a3"/>
              <w:spacing w:before="0" w:beforeAutospacing="0" w:after="0" w:afterAutospacing="0"/>
              <w:rPr>
                <w:sz w:val="20"/>
                <w:szCs w:val="20"/>
              </w:rPr>
            </w:pPr>
            <w:hyperlink r:id="rId7" w:history="1">
              <w:r>
                <w:rPr>
                  <w:rStyle w:val="a4"/>
                  <w:sz w:val="20"/>
                  <w:szCs w:val="20"/>
                </w:rPr>
                <w:t>Agreement for Purchase and Sale of Property, dated July 23, 2020</w:t>
              </w:r>
            </w:hyperlink>
          </w:p>
        </w:tc>
        <w:tc>
          <w:tcPr>
            <w:tcW w:w="495" w:type="pct"/>
            <w:tcMar>
              <w:top w:w="0" w:type="dxa"/>
              <w:left w:w="60" w:type="dxa"/>
              <w:bottom w:w="0" w:type="dxa"/>
              <w:right w:w="0" w:type="dxa"/>
            </w:tcMar>
            <w:hideMark/>
          </w:tcPr>
          <w:p w:rsidR="00000000" w:rsidRDefault="00406BD4">
            <w:pPr>
              <w:pStyle w:val="a3"/>
              <w:spacing w:before="0" w:beforeAutospacing="0" w:after="0" w:afterAutospacing="0"/>
              <w:jc w:val="center"/>
              <w:rPr>
                <w:sz w:val="20"/>
                <w:szCs w:val="20"/>
              </w:rPr>
            </w:pPr>
            <w:r>
              <w:rPr>
                <w:sz w:val="20"/>
                <w:szCs w:val="20"/>
              </w:rPr>
              <w:t> </w:t>
            </w:r>
          </w:p>
        </w:tc>
        <w:tc>
          <w:tcPr>
            <w:tcW w:w="653" w:type="pct"/>
            <w:hideMark/>
          </w:tcPr>
          <w:p w:rsidR="00000000" w:rsidRDefault="00406BD4">
            <w:pPr>
              <w:pStyle w:val="a3"/>
              <w:spacing w:before="0" w:beforeAutospacing="0" w:after="0" w:afterAutospacing="0"/>
              <w:jc w:val="center"/>
              <w:rPr>
                <w:sz w:val="20"/>
                <w:szCs w:val="20"/>
              </w:rPr>
            </w:pPr>
            <w:hyperlink r:id="rId8" w:history="1">
              <w:r>
                <w:rPr>
                  <w:rStyle w:val="a4"/>
                  <w:sz w:val="20"/>
                  <w:szCs w:val="20"/>
                </w:rPr>
                <w:t>8-K</w:t>
              </w:r>
            </w:hyperlink>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20"/>
                <w:szCs w:val="20"/>
              </w:rPr>
            </w:pPr>
            <w:r>
              <w:rPr>
                <w:sz w:val="20"/>
                <w:szCs w:val="20"/>
              </w:rPr>
              <w:t> </w:t>
            </w:r>
          </w:p>
        </w:tc>
        <w:tc>
          <w:tcPr>
            <w:tcW w:w="439" w:type="pct"/>
            <w:hideMark/>
          </w:tcPr>
          <w:p w:rsidR="00000000" w:rsidRDefault="00406BD4">
            <w:pPr>
              <w:pStyle w:val="a3"/>
              <w:spacing w:before="0" w:beforeAutospacing="0" w:after="0" w:afterAutospacing="0"/>
              <w:jc w:val="center"/>
              <w:rPr>
                <w:sz w:val="20"/>
                <w:szCs w:val="20"/>
              </w:rPr>
            </w:pPr>
            <w:r>
              <w:rPr>
                <w:sz w:val="20"/>
                <w:szCs w:val="20"/>
              </w:rPr>
              <w:t>001-37894</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20"/>
                <w:szCs w:val="20"/>
              </w:rPr>
            </w:pPr>
            <w:r>
              <w:rPr>
                <w:sz w:val="20"/>
                <w:szCs w:val="20"/>
              </w:rPr>
              <w:t> </w:t>
            </w:r>
          </w:p>
        </w:tc>
        <w:tc>
          <w:tcPr>
            <w:tcW w:w="499" w:type="pct"/>
            <w:hideMark/>
          </w:tcPr>
          <w:p w:rsidR="00000000" w:rsidRDefault="00406BD4">
            <w:pPr>
              <w:pStyle w:val="a3"/>
              <w:spacing w:before="0" w:beforeAutospacing="0" w:after="0" w:afterAutospacing="0"/>
              <w:jc w:val="center"/>
              <w:rPr>
                <w:sz w:val="20"/>
                <w:szCs w:val="20"/>
              </w:rPr>
            </w:pPr>
            <w:r>
              <w:rPr>
                <w:sz w:val="20"/>
                <w:szCs w:val="20"/>
              </w:rPr>
              <w:t>10/21/2020</w:t>
            </w:r>
          </w:p>
        </w:tc>
      </w:tr>
      <w:tr w:rsidR="00000000">
        <w:trPr>
          <w:divId w:val="730815135"/>
          <w:jc w:val="center"/>
        </w:trPr>
        <w:tc>
          <w:tcPr>
            <w:tcW w:w="410" w:type="pct"/>
            <w:hideMark/>
          </w:tcPr>
          <w:p w:rsidR="00000000" w:rsidRDefault="00406BD4">
            <w:pPr>
              <w:pStyle w:val="a3"/>
              <w:spacing w:before="0" w:beforeAutospacing="0" w:after="0" w:afterAutospacing="0"/>
              <w:rPr>
                <w:sz w:val="12"/>
                <w:szCs w:val="12"/>
              </w:rPr>
            </w:pPr>
            <w:r>
              <w:rPr>
                <w:sz w:val="12"/>
                <w:szCs w:val="12"/>
              </w:rPr>
              <w:t> </w:t>
            </w:r>
          </w:p>
        </w:tc>
        <w:tc>
          <w:tcPr>
            <w:tcW w:w="2420" w:type="pct"/>
            <w:tcMar>
              <w:top w:w="0" w:type="dxa"/>
              <w:left w:w="60" w:type="dxa"/>
              <w:bottom w:w="0" w:type="dxa"/>
              <w:right w:w="40" w:type="dxa"/>
            </w:tcMar>
            <w:hideMark/>
          </w:tcPr>
          <w:p w:rsidR="00000000" w:rsidRDefault="00406BD4">
            <w:pPr>
              <w:pStyle w:val="a3"/>
              <w:spacing w:before="0" w:beforeAutospacing="0" w:after="0" w:afterAutospacing="0"/>
              <w:rPr>
                <w:sz w:val="12"/>
                <w:szCs w:val="12"/>
              </w:rPr>
            </w:pPr>
            <w:r>
              <w:rPr>
                <w:sz w:val="12"/>
                <w:szCs w:val="12"/>
              </w:rPr>
              <w:t> </w:t>
            </w:r>
          </w:p>
        </w:tc>
        <w:tc>
          <w:tcPr>
            <w:tcW w:w="495" w:type="pct"/>
            <w:tcMar>
              <w:top w:w="0" w:type="dxa"/>
              <w:left w:w="60" w:type="dxa"/>
              <w:bottom w:w="0" w:type="dxa"/>
              <w:right w:w="0" w:type="dxa"/>
            </w:tcMar>
            <w:hideMark/>
          </w:tcPr>
          <w:p w:rsidR="00000000" w:rsidRDefault="00406BD4">
            <w:pPr>
              <w:pStyle w:val="a3"/>
              <w:spacing w:before="0" w:beforeAutospacing="0" w:after="0" w:afterAutospacing="0"/>
              <w:jc w:val="center"/>
              <w:rPr>
                <w:sz w:val="12"/>
                <w:szCs w:val="12"/>
              </w:rPr>
            </w:pPr>
            <w:r>
              <w:rPr>
                <w:sz w:val="12"/>
                <w:szCs w:val="12"/>
              </w:rPr>
              <w:t> </w:t>
            </w:r>
          </w:p>
        </w:tc>
        <w:tc>
          <w:tcPr>
            <w:tcW w:w="653" w:type="pct"/>
            <w:hideMark/>
          </w:tcPr>
          <w:p w:rsidR="00000000" w:rsidRDefault="00406BD4">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12"/>
                <w:szCs w:val="12"/>
              </w:rPr>
            </w:pPr>
            <w:r>
              <w:rPr>
                <w:sz w:val="12"/>
                <w:szCs w:val="12"/>
              </w:rPr>
              <w:t> </w:t>
            </w:r>
          </w:p>
        </w:tc>
        <w:tc>
          <w:tcPr>
            <w:tcW w:w="439" w:type="pct"/>
            <w:hideMark/>
          </w:tcPr>
          <w:p w:rsidR="00000000" w:rsidRDefault="00406BD4">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12"/>
                <w:szCs w:val="12"/>
              </w:rPr>
            </w:pPr>
            <w:r>
              <w:rPr>
                <w:sz w:val="12"/>
                <w:szCs w:val="12"/>
              </w:rPr>
              <w:t> </w:t>
            </w:r>
          </w:p>
        </w:tc>
        <w:tc>
          <w:tcPr>
            <w:tcW w:w="499" w:type="pct"/>
            <w:hideMark/>
          </w:tcPr>
          <w:p w:rsidR="00000000" w:rsidRDefault="00406BD4">
            <w:pPr>
              <w:pStyle w:val="a3"/>
              <w:spacing w:before="0" w:beforeAutospacing="0" w:after="0" w:afterAutospacing="0"/>
              <w:jc w:val="center"/>
              <w:rPr>
                <w:sz w:val="12"/>
                <w:szCs w:val="12"/>
              </w:rPr>
            </w:pPr>
            <w:r>
              <w:rPr>
                <w:sz w:val="12"/>
                <w:szCs w:val="12"/>
              </w:rPr>
              <w:t> </w:t>
            </w:r>
          </w:p>
        </w:tc>
      </w:tr>
      <w:tr w:rsidR="00000000">
        <w:trPr>
          <w:divId w:val="730815135"/>
          <w:jc w:val="center"/>
        </w:trPr>
        <w:tc>
          <w:tcPr>
            <w:tcW w:w="410" w:type="pct"/>
            <w:hideMark/>
          </w:tcPr>
          <w:p w:rsidR="00000000" w:rsidRDefault="00406BD4">
            <w:pPr>
              <w:pStyle w:val="a3"/>
              <w:spacing w:before="0" w:beforeAutospacing="0" w:after="0" w:afterAutospacing="0"/>
              <w:rPr>
                <w:sz w:val="20"/>
                <w:szCs w:val="20"/>
              </w:rPr>
            </w:pPr>
            <w:r>
              <w:rPr>
                <w:sz w:val="20"/>
                <w:szCs w:val="20"/>
                <w:shd w:val="clear" w:color="auto" w:fill="FFFFFF"/>
              </w:rPr>
              <w:t>  31.1</w:t>
            </w:r>
          </w:p>
        </w:tc>
        <w:tc>
          <w:tcPr>
            <w:tcW w:w="2420" w:type="pct"/>
            <w:hideMark/>
          </w:tcPr>
          <w:p w:rsidR="00000000" w:rsidRDefault="00406BD4">
            <w:pPr>
              <w:pStyle w:val="a3"/>
              <w:spacing w:before="0" w:beforeAutospacing="0" w:after="0" w:afterAutospacing="0"/>
              <w:rPr>
                <w:sz w:val="20"/>
                <w:szCs w:val="20"/>
              </w:rPr>
            </w:pPr>
            <w:hyperlink r:id="rId9" w:history="1">
              <w:r>
                <w:rPr>
                  <w:rStyle w:val="a4"/>
                  <w:sz w:val="20"/>
                  <w:szCs w:val="20"/>
                </w:rPr>
                <w:t>Certification of Principal Executive Officer pursuant to Rules 13a-14(a) and 15d-14(a) under the Securities Exchange Act of 1934, as adopted pursuant to Section 302 of the Sarbanes-Oxley Act of 2002.</w:t>
              </w:r>
            </w:hyperlink>
          </w:p>
        </w:tc>
        <w:tc>
          <w:tcPr>
            <w:tcW w:w="495" w:type="pct"/>
            <w:hideMark/>
          </w:tcPr>
          <w:p w:rsidR="00000000" w:rsidRDefault="00406BD4">
            <w:pPr>
              <w:pStyle w:val="a3"/>
              <w:spacing w:before="0" w:beforeAutospacing="0" w:after="0" w:afterAutospacing="0"/>
              <w:jc w:val="center"/>
              <w:rPr>
                <w:sz w:val="20"/>
                <w:szCs w:val="20"/>
              </w:rPr>
            </w:pPr>
            <w:r>
              <w:rPr>
                <w:sz w:val="20"/>
                <w:szCs w:val="20"/>
              </w:rPr>
              <w:t>X</w:t>
            </w:r>
          </w:p>
        </w:tc>
        <w:tc>
          <w:tcPr>
            <w:tcW w:w="653" w:type="pct"/>
            <w:hideMark/>
          </w:tcPr>
          <w:p w:rsidR="00000000" w:rsidRDefault="00406BD4">
            <w:pPr>
              <w:pStyle w:val="a3"/>
              <w:spacing w:before="0" w:beforeAutospacing="0" w:after="0" w:afterAutospacing="0"/>
              <w:jc w:val="center"/>
              <w:rPr>
                <w:sz w:val="20"/>
                <w:szCs w:val="20"/>
              </w:rPr>
            </w:pPr>
            <w:r>
              <w:rPr>
                <w:sz w:val="20"/>
                <w:szCs w:val="20"/>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20"/>
                <w:szCs w:val="20"/>
              </w:rPr>
            </w:pPr>
            <w:r>
              <w:rPr>
                <w:sz w:val="20"/>
                <w:szCs w:val="20"/>
              </w:rPr>
              <w:t> </w:t>
            </w:r>
          </w:p>
        </w:tc>
        <w:tc>
          <w:tcPr>
            <w:tcW w:w="439" w:type="pct"/>
            <w:hideMark/>
          </w:tcPr>
          <w:p w:rsidR="00000000" w:rsidRDefault="00406BD4">
            <w:pPr>
              <w:pStyle w:val="a3"/>
              <w:spacing w:before="0" w:beforeAutospacing="0" w:after="0" w:afterAutospacing="0"/>
              <w:jc w:val="center"/>
              <w:rPr>
                <w:sz w:val="20"/>
                <w:szCs w:val="20"/>
              </w:rPr>
            </w:pPr>
            <w:r>
              <w:rPr>
                <w:sz w:val="20"/>
                <w:szCs w:val="20"/>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20"/>
                <w:szCs w:val="20"/>
              </w:rPr>
            </w:pPr>
            <w:r>
              <w:rPr>
                <w:sz w:val="20"/>
                <w:szCs w:val="20"/>
              </w:rPr>
              <w:t> </w:t>
            </w:r>
          </w:p>
        </w:tc>
        <w:tc>
          <w:tcPr>
            <w:tcW w:w="499" w:type="pct"/>
            <w:hideMark/>
          </w:tcPr>
          <w:p w:rsidR="00000000" w:rsidRDefault="00406BD4">
            <w:pPr>
              <w:pStyle w:val="a3"/>
              <w:spacing w:before="0" w:beforeAutospacing="0" w:after="0" w:afterAutospacing="0"/>
              <w:jc w:val="center"/>
              <w:rPr>
                <w:sz w:val="20"/>
                <w:szCs w:val="20"/>
              </w:rPr>
            </w:pPr>
            <w:r>
              <w:rPr>
                <w:sz w:val="20"/>
                <w:szCs w:val="20"/>
              </w:rPr>
              <w:t> </w:t>
            </w:r>
          </w:p>
        </w:tc>
      </w:tr>
      <w:tr w:rsidR="00000000">
        <w:trPr>
          <w:divId w:val="730815135"/>
          <w:jc w:val="center"/>
        </w:trPr>
        <w:tc>
          <w:tcPr>
            <w:tcW w:w="410" w:type="pct"/>
            <w:hideMark/>
          </w:tcPr>
          <w:p w:rsidR="00000000" w:rsidRDefault="00406BD4">
            <w:pPr>
              <w:pStyle w:val="a3"/>
              <w:spacing w:before="0" w:beforeAutospacing="0" w:after="0" w:afterAutospacing="0"/>
              <w:rPr>
                <w:sz w:val="12"/>
                <w:szCs w:val="12"/>
              </w:rPr>
            </w:pPr>
            <w:r>
              <w:rPr>
                <w:sz w:val="12"/>
                <w:szCs w:val="12"/>
              </w:rPr>
              <w:t> </w:t>
            </w:r>
          </w:p>
        </w:tc>
        <w:tc>
          <w:tcPr>
            <w:tcW w:w="2420" w:type="pct"/>
            <w:hideMark/>
          </w:tcPr>
          <w:p w:rsidR="00000000" w:rsidRDefault="00406BD4">
            <w:pPr>
              <w:pStyle w:val="a3"/>
              <w:spacing w:before="0" w:beforeAutospacing="0" w:after="0" w:afterAutospacing="0"/>
              <w:rPr>
                <w:sz w:val="12"/>
                <w:szCs w:val="12"/>
              </w:rPr>
            </w:pPr>
            <w:r>
              <w:rPr>
                <w:sz w:val="12"/>
                <w:szCs w:val="12"/>
              </w:rPr>
              <w:t> </w:t>
            </w:r>
          </w:p>
        </w:tc>
        <w:tc>
          <w:tcPr>
            <w:tcW w:w="495" w:type="pct"/>
            <w:hideMark/>
          </w:tcPr>
          <w:p w:rsidR="00000000" w:rsidRDefault="00406BD4">
            <w:pPr>
              <w:pStyle w:val="a3"/>
              <w:spacing w:before="0" w:beforeAutospacing="0" w:after="0" w:afterAutospacing="0"/>
              <w:jc w:val="center"/>
              <w:rPr>
                <w:sz w:val="12"/>
                <w:szCs w:val="12"/>
              </w:rPr>
            </w:pPr>
            <w:r>
              <w:rPr>
                <w:sz w:val="12"/>
                <w:szCs w:val="12"/>
              </w:rPr>
              <w:t> </w:t>
            </w:r>
          </w:p>
        </w:tc>
        <w:tc>
          <w:tcPr>
            <w:tcW w:w="653" w:type="pct"/>
            <w:hideMark/>
          </w:tcPr>
          <w:p w:rsidR="00000000" w:rsidRDefault="00406BD4">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12"/>
                <w:szCs w:val="12"/>
              </w:rPr>
            </w:pPr>
            <w:r>
              <w:rPr>
                <w:sz w:val="12"/>
                <w:szCs w:val="12"/>
              </w:rPr>
              <w:t> </w:t>
            </w:r>
          </w:p>
        </w:tc>
        <w:tc>
          <w:tcPr>
            <w:tcW w:w="439" w:type="pct"/>
            <w:hideMark/>
          </w:tcPr>
          <w:p w:rsidR="00000000" w:rsidRDefault="00406BD4">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12"/>
                <w:szCs w:val="12"/>
              </w:rPr>
            </w:pPr>
            <w:r>
              <w:rPr>
                <w:sz w:val="12"/>
                <w:szCs w:val="12"/>
              </w:rPr>
              <w:t> </w:t>
            </w:r>
          </w:p>
        </w:tc>
        <w:tc>
          <w:tcPr>
            <w:tcW w:w="499" w:type="pct"/>
            <w:hideMark/>
          </w:tcPr>
          <w:p w:rsidR="00000000" w:rsidRDefault="00406BD4">
            <w:pPr>
              <w:pStyle w:val="a3"/>
              <w:spacing w:before="0" w:beforeAutospacing="0" w:after="0" w:afterAutospacing="0"/>
              <w:jc w:val="center"/>
              <w:rPr>
                <w:sz w:val="12"/>
                <w:szCs w:val="12"/>
              </w:rPr>
            </w:pPr>
            <w:r>
              <w:rPr>
                <w:sz w:val="12"/>
                <w:szCs w:val="12"/>
              </w:rPr>
              <w:t> </w:t>
            </w:r>
          </w:p>
        </w:tc>
      </w:tr>
      <w:tr w:rsidR="00000000">
        <w:trPr>
          <w:divId w:val="730815135"/>
          <w:jc w:val="center"/>
        </w:trPr>
        <w:tc>
          <w:tcPr>
            <w:tcW w:w="410" w:type="pct"/>
            <w:hideMark/>
          </w:tcPr>
          <w:p w:rsidR="00000000" w:rsidRDefault="00406BD4">
            <w:pPr>
              <w:pStyle w:val="a3"/>
              <w:spacing w:before="0" w:beforeAutospacing="0" w:after="0" w:afterAutospacing="0"/>
              <w:rPr>
                <w:color w:val="000000"/>
                <w:sz w:val="20"/>
                <w:szCs w:val="20"/>
              </w:rPr>
            </w:pPr>
            <w:r>
              <w:rPr>
                <w:color w:val="000000"/>
                <w:sz w:val="20"/>
                <w:szCs w:val="20"/>
                <w:shd w:val="clear" w:color="auto" w:fill="FFFFFF"/>
              </w:rPr>
              <w:t>  31.2</w:t>
            </w:r>
          </w:p>
        </w:tc>
        <w:tc>
          <w:tcPr>
            <w:tcW w:w="2420" w:type="pct"/>
            <w:hideMark/>
          </w:tcPr>
          <w:p w:rsidR="00000000" w:rsidRDefault="00406BD4">
            <w:pPr>
              <w:pStyle w:val="a3"/>
              <w:spacing w:before="0" w:beforeAutospacing="0" w:after="0" w:afterAutospacing="0"/>
              <w:rPr>
                <w:sz w:val="20"/>
                <w:szCs w:val="20"/>
              </w:rPr>
            </w:pPr>
            <w:hyperlink r:id="rId10" w:history="1">
              <w:r>
                <w:rPr>
                  <w:rStyle w:val="a4"/>
                  <w:sz w:val="20"/>
                  <w:szCs w:val="20"/>
                </w:rPr>
                <w:t>Certification of Principal Financial Officer pursuant to Rules 13a-14(a) and 15d-14(a) under the Securities Exchange Act of 1934, as adopted pursuant to Section 302 of the Sarbanes-Oxley Act of 2002.</w:t>
              </w:r>
            </w:hyperlink>
          </w:p>
        </w:tc>
        <w:tc>
          <w:tcPr>
            <w:tcW w:w="495" w:type="pct"/>
            <w:hideMark/>
          </w:tcPr>
          <w:p w:rsidR="00000000" w:rsidRDefault="00406BD4">
            <w:pPr>
              <w:pStyle w:val="a3"/>
              <w:spacing w:before="0" w:beforeAutospacing="0" w:after="0" w:afterAutospacing="0"/>
              <w:jc w:val="center"/>
              <w:rPr>
                <w:color w:val="000000"/>
                <w:sz w:val="20"/>
                <w:szCs w:val="20"/>
              </w:rPr>
            </w:pPr>
            <w:r>
              <w:rPr>
                <w:color w:val="000000"/>
                <w:sz w:val="20"/>
                <w:szCs w:val="20"/>
              </w:rPr>
              <w:t>X</w:t>
            </w:r>
          </w:p>
        </w:tc>
        <w:tc>
          <w:tcPr>
            <w:tcW w:w="653" w:type="pct"/>
            <w:hideMark/>
          </w:tcPr>
          <w:p w:rsidR="00000000" w:rsidRDefault="00406BD4">
            <w:pPr>
              <w:pStyle w:val="a3"/>
              <w:spacing w:before="0" w:beforeAutospacing="0" w:after="0" w:afterAutospacing="0"/>
              <w:jc w:val="center"/>
              <w:rPr>
                <w:sz w:val="20"/>
                <w:szCs w:val="20"/>
              </w:rPr>
            </w:pPr>
            <w:r>
              <w:rPr>
                <w:sz w:val="20"/>
                <w:szCs w:val="20"/>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20"/>
                <w:szCs w:val="20"/>
              </w:rPr>
            </w:pPr>
            <w:r>
              <w:rPr>
                <w:sz w:val="20"/>
                <w:szCs w:val="20"/>
              </w:rPr>
              <w:t> </w:t>
            </w:r>
          </w:p>
        </w:tc>
        <w:tc>
          <w:tcPr>
            <w:tcW w:w="439" w:type="pct"/>
            <w:hideMark/>
          </w:tcPr>
          <w:p w:rsidR="00000000" w:rsidRDefault="00406BD4">
            <w:pPr>
              <w:pStyle w:val="a3"/>
              <w:spacing w:before="0" w:beforeAutospacing="0" w:after="0" w:afterAutospacing="0"/>
              <w:jc w:val="center"/>
              <w:rPr>
                <w:sz w:val="20"/>
                <w:szCs w:val="20"/>
              </w:rPr>
            </w:pPr>
            <w:r>
              <w:rPr>
                <w:sz w:val="20"/>
                <w:szCs w:val="20"/>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20"/>
                <w:szCs w:val="20"/>
              </w:rPr>
            </w:pPr>
            <w:r>
              <w:rPr>
                <w:sz w:val="20"/>
                <w:szCs w:val="20"/>
              </w:rPr>
              <w:t> </w:t>
            </w:r>
          </w:p>
        </w:tc>
        <w:tc>
          <w:tcPr>
            <w:tcW w:w="499" w:type="pct"/>
            <w:hideMark/>
          </w:tcPr>
          <w:p w:rsidR="00000000" w:rsidRDefault="00406BD4">
            <w:pPr>
              <w:pStyle w:val="a3"/>
              <w:spacing w:before="0" w:beforeAutospacing="0" w:after="0" w:afterAutospacing="0"/>
              <w:jc w:val="center"/>
              <w:rPr>
                <w:sz w:val="20"/>
                <w:szCs w:val="20"/>
              </w:rPr>
            </w:pPr>
            <w:r>
              <w:rPr>
                <w:sz w:val="20"/>
                <w:szCs w:val="20"/>
              </w:rPr>
              <w:t> </w:t>
            </w:r>
          </w:p>
        </w:tc>
      </w:tr>
      <w:tr w:rsidR="00000000">
        <w:trPr>
          <w:divId w:val="730815135"/>
          <w:jc w:val="center"/>
        </w:trPr>
        <w:tc>
          <w:tcPr>
            <w:tcW w:w="410" w:type="pct"/>
            <w:hideMark/>
          </w:tcPr>
          <w:p w:rsidR="00000000" w:rsidRDefault="00406BD4">
            <w:pPr>
              <w:pStyle w:val="a3"/>
              <w:spacing w:before="0" w:beforeAutospacing="0" w:after="0" w:afterAutospacing="0"/>
              <w:rPr>
                <w:sz w:val="12"/>
                <w:szCs w:val="12"/>
              </w:rPr>
            </w:pPr>
            <w:r>
              <w:rPr>
                <w:sz w:val="12"/>
                <w:szCs w:val="12"/>
              </w:rPr>
              <w:t> </w:t>
            </w:r>
          </w:p>
        </w:tc>
        <w:tc>
          <w:tcPr>
            <w:tcW w:w="2420" w:type="pct"/>
            <w:hideMark/>
          </w:tcPr>
          <w:p w:rsidR="00000000" w:rsidRDefault="00406BD4">
            <w:pPr>
              <w:pStyle w:val="a3"/>
              <w:spacing w:before="0" w:beforeAutospacing="0" w:after="0" w:afterAutospacing="0"/>
              <w:rPr>
                <w:sz w:val="12"/>
                <w:szCs w:val="12"/>
              </w:rPr>
            </w:pPr>
            <w:r>
              <w:rPr>
                <w:sz w:val="12"/>
                <w:szCs w:val="12"/>
              </w:rPr>
              <w:t> </w:t>
            </w:r>
          </w:p>
        </w:tc>
        <w:tc>
          <w:tcPr>
            <w:tcW w:w="495" w:type="pct"/>
            <w:hideMark/>
          </w:tcPr>
          <w:p w:rsidR="00000000" w:rsidRDefault="00406BD4">
            <w:pPr>
              <w:pStyle w:val="a3"/>
              <w:spacing w:before="0" w:beforeAutospacing="0" w:after="0" w:afterAutospacing="0"/>
              <w:jc w:val="center"/>
              <w:rPr>
                <w:sz w:val="12"/>
                <w:szCs w:val="12"/>
              </w:rPr>
            </w:pPr>
            <w:r>
              <w:rPr>
                <w:sz w:val="12"/>
                <w:szCs w:val="12"/>
              </w:rPr>
              <w:t> </w:t>
            </w:r>
          </w:p>
        </w:tc>
        <w:tc>
          <w:tcPr>
            <w:tcW w:w="653" w:type="pct"/>
            <w:hideMark/>
          </w:tcPr>
          <w:p w:rsidR="00000000" w:rsidRDefault="00406BD4">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12"/>
                <w:szCs w:val="12"/>
              </w:rPr>
            </w:pPr>
            <w:r>
              <w:rPr>
                <w:sz w:val="12"/>
                <w:szCs w:val="12"/>
              </w:rPr>
              <w:t> </w:t>
            </w:r>
          </w:p>
        </w:tc>
        <w:tc>
          <w:tcPr>
            <w:tcW w:w="439" w:type="pct"/>
            <w:hideMark/>
          </w:tcPr>
          <w:p w:rsidR="00000000" w:rsidRDefault="00406BD4">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12"/>
                <w:szCs w:val="12"/>
              </w:rPr>
            </w:pPr>
            <w:r>
              <w:rPr>
                <w:sz w:val="12"/>
                <w:szCs w:val="12"/>
              </w:rPr>
              <w:t> </w:t>
            </w:r>
          </w:p>
        </w:tc>
        <w:tc>
          <w:tcPr>
            <w:tcW w:w="499" w:type="pct"/>
            <w:hideMark/>
          </w:tcPr>
          <w:p w:rsidR="00000000" w:rsidRDefault="00406BD4">
            <w:pPr>
              <w:pStyle w:val="a3"/>
              <w:spacing w:before="0" w:beforeAutospacing="0" w:after="0" w:afterAutospacing="0"/>
              <w:jc w:val="center"/>
              <w:rPr>
                <w:sz w:val="12"/>
                <w:szCs w:val="12"/>
              </w:rPr>
            </w:pPr>
            <w:r>
              <w:rPr>
                <w:sz w:val="12"/>
                <w:szCs w:val="12"/>
              </w:rPr>
              <w:t> </w:t>
            </w:r>
          </w:p>
        </w:tc>
      </w:tr>
      <w:tr w:rsidR="00000000">
        <w:trPr>
          <w:divId w:val="730815135"/>
          <w:jc w:val="center"/>
        </w:trPr>
        <w:tc>
          <w:tcPr>
            <w:tcW w:w="410" w:type="pct"/>
            <w:hideMark/>
          </w:tcPr>
          <w:p w:rsidR="00000000" w:rsidRDefault="00406BD4">
            <w:pPr>
              <w:pStyle w:val="a3"/>
              <w:spacing w:before="0" w:beforeAutospacing="0" w:after="0" w:afterAutospacing="0"/>
              <w:rPr>
                <w:color w:val="000000"/>
                <w:sz w:val="20"/>
                <w:szCs w:val="20"/>
              </w:rPr>
            </w:pPr>
            <w:r>
              <w:rPr>
                <w:color w:val="000000"/>
                <w:sz w:val="20"/>
                <w:szCs w:val="20"/>
                <w:shd w:val="clear" w:color="auto" w:fill="FFFFFF"/>
              </w:rPr>
              <w:t>  32.1*</w:t>
            </w:r>
          </w:p>
        </w:tc>
        <w:tc>
          <w:tcPr>
            <w:tcW w:w="2420" w:type="pct"/>
            <w:hideMark/>
          </w:tcPr>
          <w:p w:rsidR="00000000" w:rsidRDefault="00406BD4">
            <w:pPr>
              <w:pStyle w:val="a3"/>
              <w:spacing w:before="0" w:beforeAutospacing="0" w:after="0" w:afterAutospacing="0"/>
              <w:rPr>
                <w:sz w:val="20"/>
                <w:szCs w:val="20"/>
              </w:rPr>
            </w:pPr>
            <w:hyperlink r:id="rId11" w:history="1">
              <w:r>
                <w:rPr>
                  <w:rStyle w:val="a4"/>
                  <w:sz w:val="20"/>
                  <w:szCs w:val="20"/>
                </w:rPr>
                <w:t>Certification of Principal Executive Officer and Principal Financial Officer pursuant to 18 U.S.C. Section 1350, as adopted pursuant to Section 906 of the Sarbanes-Oxley Act of 2002.</w:t>
              </w:r>
            </w:hyperlink>
          </w:p>
        </w:tc>
        <w:tc>
          <w:tcPr>
            <w:tcW w:w="495" w:type="pct"/>
            <w:hideMark/>
          </w:tcPr>
          <w:p w:rsidR="00000000" w:rsidRDefault="00406BD4">
            <w:pPr>
              <w:pStyle w:val="a3"/>
              <w:spacing w:before="0" w:beforeAutospacing="0" w:after="0" w:afterAutospacing="0"/>
              <w:jc w:val="center"/>
              <w:rPr>
                <w:color w:val="000000"/>
                <w:sz w:val="20"/>
                <w:szCs w:val="20"/>
              </w:rPr>
            </w:pPr>
            <w:r>
              <w:rPr>
                <w:color w:val="000000"/>
                <w:sz w:val="20"/>
                <w:szCs w:val="20"/>
              </w:rPr>
              <w:t>X</w:t>
            </w:r>
          </w:p>
        </w:tc>
        <w:tc>
          <w:tcPr>
            <w:tcW w:w="653" w:type="pct"/>
            <w:hideMark/>
          </w:tcPr>
          <w:p w:rsidR="00000000" w:rsidRDefault="00406BD4">
            <w:pPr>
              <w:pStyle w:val="a3"/>
              <w:spacing w:before="0" w:beforeAutospacing="0" w:after="0" w:afterAutospacing="0"/>
              <w:jc w:val="center"/>
              <w:rPr>
                <w:sz w:val="20"/>
                <w:szCs w:val="20"/>
              </w:rPr>
            </w:pPr>
            <w:r>
              <w:rPr>
                <w:sz w:val="20"/>
                <w:szCs w:val="20"/>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20"/>
                <w:szCs w:val="20"/>
              </w:rPr>
            </w:pPr>
            <w:r>
              <w:rPr>
                <w:sz w:val="20"/>
                <w:szCs w:val="20"/>
              </w:rPr>
              <w:t> </w:t>
            </w:r>
          </w:p>
        </w:tc>
        <w:tc>
          <w:tcPr>
            <w:tcW w:w="439" w:type="pct"/>
            <w:hideMark/>
          </w:tcPr>
          <w:p w:rsidR="00000000" w:rsidRDefault="00406BD4">
            <w:pPr>
              <w:pStyle w:val="a3"/>
              <w:spacing w:before="0" w:beforeAutospacing="0" w:after="0" w:afterAutospacing="0"/>
              <w:jc w:val="center"/>
              <w:rPr>
                <w:sz w:val="20"/>
                <w:szCs w:val="20"/>
              </w:rPr>
            </w:pPr>
            <w:r>
              <w:rPr>
                <w:sz w:val="20"/>
                <w:szCs w:val="20"/>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20"/>
                <w:szCs w:val="20"/>
              </w:rPr>
            </w:pPr>
            <w:r>
              <w:rPr>
                <w:sz w:val="20"/>
                <w:szCs w:val="20"/>
              </w:rPr>
              <w:t> </w:t>
            </w:r>
          </w:p>
        </w:tc>
        <w:tc>
          <w:tcPr>
            <w:tcW w:w="499" w:type="pct"/>
            <w:hideMark/>
          </w:tcPr>
          <w:p w:rsidR="00000000" w:rsidRDefault="00406BD4">
            <w:pPr>
              <w:pStyle w:val="a3"/>
              <w:spacing w:before="0" w:beforeAutospacing="0" w:after="0" w:afterAutospacing="0"/>
              <w:jc w:val="center"/>
              <w:rPr>
                <w:sz w:val="20"/>
                <w:szCs w:val="20"/>
              </w:rPr>
            </w:pPr>
            <w:r>
              <w:rPr>
                <w:sz w:val="20"/>
                <w:szCs w:val="20"/>
              </w:rPr>
              <w:t> </w:t>
            </w:r>
          </w:p>
        </w:tc>
      </w:tr>
      <w:tr w:rsidR="00000000">
        <w:trPr>
          <w:divId w:val="730815135"/>
          <w:jc w:val="center"/>
        </w:trPr>
        <w:tc>
          <w:tcPr>
            <w:tcW w:w="410" w:type="pct"/>
            <w:hideMark/>
          </w:tcPr>
          <w:p w:rsidR="00000000" w:rsidRDefault="00406BD4">
            <w:pPr>
              <w:pStyle w:val="a3"/>
              <w:spacing w:before="0" w:beforeAutospacing="0" w:after="0" w:afterAutospacing="0"/>
              <w:rPr>
                <w:sz w:val="12"/>
                <w:szCs w:val="12"/>
              </w:rPr>
            </w:pPr>
            <w:r>
              <w:rPr>
                <w:sz w:val="12"/>
                <w:szCs w:val="12"/>
              </w:rPr>
              <w:t> </w:t>
            </w:r>
          </w:p>
        </w:tc>
        <w:tc>
          <w:tcPr>
            <w:tcW w:w="2420" w:type="pct"/>
            <w:hideMark/>
          </w:tcPr>
          <w:p w:rsidR="00000000" w:rsidRDefault="00406BD4">
            <w:pPr>
              <w:pStyle w:val="a3"/>
              <w:spacing w:before="0" w:beforeAutospacing="0" w:after="0" w:afterAutospacing="0"/>
              <w:rPr>
                <w:sz w:val="12"/>
                <w:szCs w:val="12"/>
              </w:rPr>
            </w:pPr>
            <w:r>
              <w:rPr>
                <w:sz w:val="12"/>
                <w:szCs w:val="12"/>
              </w:rPr>
              <w:t> </w:t>
            </w:r>
          </w:p>
        </w:tc>
        <w:tc>
          <w:tcPr>
            <w:tcW w:w="495" w:type="pct"/>
            <w:hideMark/>
          </w:tcPr>
          <w:p w:rsidR="00000000" w:rsidRDefault="00406BD4">
            <w:pPr>
              <w:pStyle w:val="a3"/>
              <w:spacing w:before="0" w:beforeAutospacing="0" w:after="0" w:afterAutospacing="0"/>
              <w:jc w:val="center"/>
              <w:rPr>
                <w:sz w:val="12"/>
                <w:szCs w:val="12"/>
              </w:rPr>
            </w:pPr>
            <w:r>
              <w:rPr>
                <w:sz w:val="12"/>
                <w:szCs w:val="12"/>
              </w:rPr>
              <w:t> </w:t>
            </w:r>
          </w:p>
        </w:tc>
        <w:tc>
          <w:tcPr>
            <w:tcW w:w="653" w:type="pct"/>
            <w:hideMark/>
          </w:tcPr>
          <w:p w:rsidR="00000000" w:rsidRDefault="00406BD4">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12"/>
                <w:szCs w:val="12"/>
              </w:rPr>
            </w:pPr>
            <w:r>
              <w:rPr>
                <w:sz w:val="12"/>
                <w:szCs w:val="12"/>
              </w:rPr>
              <w:t> </w:t>
            </w:r>
          </w:p>
        </w:tc>
        <w:tc>
          <w:tcPr>
            <w:tcW w:w="439" w:type="pct"/>
            <w:hideMark/>
          </w:tcPr>
          <w:p w:rsidR="00000000" w:rsidRDefault="00406BD4">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12"/>
                <w:szCs w:val="12"/>
              </w:rPr>
            </w:pPr>
            <w:r>
              <w:rPr>
                <w:sz w:val="12"/>
                <w:szCs w:val="12"/>
              </w:rPr>
              <w:t> </w:t>
            </w:r>
          </w:p>
        </w:tc>
        <w:tc>
          <w:tcPr>
            <w:tcW w:w="499" w:type="pct"/>
            <w:hideMark/>
          </w:tcPr>
          <w:p w:rsidR="00000000" w:rsidRDefault="00406BD4">
            <w:pPr>
              <w:pStyle w:val="a3"/>
              <w:spacing w:before="0" w:beforeAutospacing="0" w:after="0" w:afterAutospacing="0"/>
              <w:jc w:val="center"/>
              <w:rPr>
                <w:sz w:val="12"/>
                <w:szCs w:val="12"/>
              </w:rPr>
            </w:pPr>
            <w:r>
              <w:rPr>
                <w:sz w:val="12"/>
                <w:szCs w:val="12"/>
              </w:rPr>
              <w:t> </w:t>
            </w:r>
          </w:p>
        </w:tc>
      </w:tr>
      <w:tr w:rsidR="00000000">
        <w:trPr>
          <w:divId w:val="730815135"/>
          <w:jc w:val="center"/>
        </w:trPr>
        <w:tc>
          <w:tcPr>
            <w:tcW w:w="410" w:type="pct"/>
            <w:vAlign w:val="bottom"/>
            <w:hideMark/>
          </w:tcPr>
          <w:p w:rsidR="00000000" w:rsidRDefault="00406BD4">
            <w:pPr>
              <w:pStyle w:val="a3"/>
              <w:spacing w:before="0" w:beforeAutospacing="0" w:after="0" w:afterAutospacing="0"/>
              <w:rPr>
                <w:color w:val="000000"/>
                <w:sz w:val="20"/>
                <w:szCs w:val="20"/>
              </w:rPr>
            </w:pPr>
            <w:r>
              <w:rPr>
                <w:color w:val="000000"/>
                <w:sz w:val="20"/>
                <w:szCs w:val="20"/>
              </w:rPr>
              <w:t>101.INS</w:t>
            </w:r>
          </w:p>
        </w:tc>
        <w:tc>
          <w:tcPr>
            <w:tcW w:w="2420" w:type="pct"/>
            <w:vAlign w:val="bottom"/>
            <w:hideMark/>
          </w:tcPr>
          <w:p w:rsidR="00000000" w:rsidRDefault="00406BD4">
            <w:pPr>
              <w:pStyle w:val="a3"/>
              <w:spacing w:before="0" w:beforeAutospacing="0" w:after="0" w:afterAutospacing="0"/>
              <w:rPr>
                <w:color w:val="000000"/>
                <w:sz w:val="20"/>
                <w:szCs w:val="20"/>
              </w:rPr>
            </w:pPr>
            <w:r>
              <w:rPr>
                <w:color w:val="000000"/>
                <w:sz w:val="20"/>
                <w:szCs w:val="20"/>
              </w:rPr>
              <w:t>XBRL Instance Document</w:t>
            </w:r>
          </w:p>
        </w:tc>
        <w:tc>
          <w:tcPr>
            <w:tcW w:w="495" w:type="pct"/>
            <w:hideMark/>
          </w:tcPr>
          <w:p w:rsidR="00000000" w:rsidRDefault="00406BD4">
            <w:pPr>
              <w:pStyle w:val="a3"/>
              <w:spacing w:before="0" w:beforeAutospacing="0" w:after="0" w:afterAutospacing="0"/>
              <w:jc w:val="center"/>
              <w:rPr>
                <w:color w:val="000000"/>
                <w:sz w:val="20"/>
                <w:szCs w:val="20"/>
              </w:rPr>
            </w:pPr>
            <w:r>
              <w:rPr>
                <w:color w:val="000000"/>
                <w:sz w:val="20"/>
                <w:szCs w:val="20"/>
              </w:rPr>
              <w:t>X</w:t>
            </w:r>
          </w:p>
        </w:tc>
        <w:tc>
          <w:tcPr>
            <w:tcW w:w="653" w:type="pct"/>
            <w:hideMark/>
          </w:tcPr>
          <w:p w:rsidR="00000000" w:rsidRDefault="00406BD4">
            <w:pPr>
              <w:pStyle w:val="a3"/>
              <w:spacing w:before="0" w:beforeAutospacing="0" w:after="0" w:afterAutospacing="0"/>
              <w:jc w:val="center"/>
              <w:rPr>
                <w:sz w:val="20"/>
                <w:szCs w:val="20"/>
              </w:rPr>
            </w:pPr>
            <w:r>
              <w:rPr>
                <w:sz w:val="20"/>
                <w:szCs w:val="20"/>
              </w:rPr>
              <w:t> </w:t>
            </w:r>
          </w:p>
        </w:tc>
        <w:tc>
          <w:tcPr>
            <w:tcW w:w="42" w:type="pct"/>
            <w:tcMar>
              <w:top w:w="0" w:type="dxa"/>
              <w:left w:w="60" w:type="dxa"/>
              <w:bottom w:w="0" w:type="dxa"/>
              <w:right w:w="0" w:type="dxa"/>
            </w:tcMar>
            <w:hideMark/>
          </w:tcPr>
          <w:p w:rsidR="00000000" w:rsidRDefault="00406BD4">
            <w:pPr>
              <w:pStyle w:val="a3"/>
              <w:spacing w:before="0" w:beforeAutospacing="0" w:after="0" w:afterAutospacing="0"/>
              <w:rPr>
                <w:sz w:val="20"/>
                <w:szCs w:val="20"/>
              </w:rPr>
            </w:pPr>
            <w:r>
              <w:rPr>
                <w:sz w:val="20"/>
                <w:szCs w:val="20"/>
              </w:rPr>
              <w:t> </w:t>
            </w:r>
          </w:p>
        </w:tc>
        <w:tc>
          <w:tcPr>
            <w:tcW w:w="439" w:type="pct"/>
            <w:hideMark/>
          </w:tcPr>
          <w:p w:rsidR="00000000" w:rsidRDefault="00406BD4">
            <w:pPr>
              <w:pStyle w:val="a3"/>
              <w:spacing w:before="0" w:beforeAutospacing="0" w:after="0" w:afterAutospacing="0"/>
              <w:jc w:val="center"/>
              <w:rPr>
                <w:sz w:val="20"/>
                <w:szCs w:val="20"/>
              </w:rPr>
            </w:pPr>
            <w:r>
              <w:rPr>
                <w:sz w:val="20"/>
                <w:szCs w:val="20"/>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20"/>
                <w:szCs w:val="20"/>
              </w:rPr>
            </w:pPr>
            <w:r>
              <w:rPr>
                <w:sz w:val="20"/>
                <w:szCs w:val="20"/>
              </w:rPr>
              <w:t> </w:t>
            </w:r>
          </w:p>
        </w:tc>
        <w:tc>
          <w:tcPr>
            <w:tcW w:w="499" w:type="pct"/>
            <w:hideMark/>
          </w:tcPr>
          <w:p w:rsidR="00000000" w:rsidRDefault="00406BD4">
            <w:pPr>
              <w:pStyle w:val="a3"/>
              <w:spacing w:before="0" w:beforeAutospacing="0" w:after="0" w:afterAutospacing="0"/>
              <w:jc w:val="center"/>
              <w:rPr>
                <w:sz w:val="20"/>
                <w:szCs w:val="20"/>
              </w:rPr>
            </w:pPr>
            <w:r>
              <w:rPr>
                <w:sz w:val="20"/>
                <w:szCs w:val="20"/>
              </w:rPr>
              <w:t> </w:t>
            </w:r>
          </w:p>
        </w:tc>
      </w:tr>
      <w:tr w:rsidR="00000000">
        <w:trPr>
          <w:divId w:val="730815135"/>
          <w:jc w:val="center"/>
        </w:trPr>
        <w:tc>
          <w:tcPr>
            <w:tcW w:w="410" w:type="pct"/>
            <w:vAlign w:val="bottom"/>
            <w:hideMark/>
          </w:tcPr>
          <w:p w:rsidR="00000000" w:rsidRDefault="00406BD4">
            <w:pPr>
              <w:pStyle w:val="a3"/>
              <w:spacing w:before="0" w:beforeAutospacing="0" w:after="0" w:afterAutospacing="0"/>
              <w:rPr>
                <w:sz w:val="12"/>
                <w:szCs w:val="12"/>
              </w:rPr>
            </w:pPr>
            <w:r>
              <w:rPr>
                <w:sz w:val="12"/>
                <w:szCs w:val="12"/>
              </w:rPr>
              <w:t> </w:t>
            </w:r>
          </w:p>
        </w:tc>
        <w:tc>
          <w:tcPr>
            <w:tcW w:w="2420" w:type="pct"/>
            <w:vAlign w:val="bottom"/>
            <w:hideMark/>
          </w:tcPr>
          <w:p w:rsidR="00000000" w:rsidRDefault="00406BD4">
            <w:pPr>
              <w:pStyle w:val="a3"/>
              <w:spacing w:before="0" w:beforeAutospacing="0" w:after="0" w:afterAutospacing="0"/>
              <w:rPr>
                <w:sz w:val="12"/>
                <w:szCs w:val="12"/>
              </w:rPr>
            </w:pPr>
            <w:r>
              <w:rPr>
                <w:sz w:val="12"/>
                <w:szCs w:val="12"/>
              </w:rPr>
              <w:t> </w:t>
            </w:r>
          </w:p>
        </w:tc>
        <w:tc>
          <w:tcPr>
            <w:tcW w:w="495" w:type="pct"/>
            <w:hideMark/>
          </w:tcPr>
          <w:p w:rsidR="00000000" w:rsidRDefault="00406BD4">
            <w:pPr>
              <w:pStyle w:val="a3"/>
              <w:spacing w:before="0" w:beforeAutospacing="0" w:after="0" w:afterAutospacing="0"/>
              <w:jc w:val="center"/>
              <w:rPr>
                <w:sz w:val="12"/>
                <w:szCs w:val="12"/>
              </w:rPr>
            </w:pPr>
            <w:r>
              <w:rPr>
                <w:sz w:val="12"/>
                <w:szCs w:val="12"/>
              </w:rPr>
              <w:t> </w:t>
            </w:r>
          </w:p>
        </w:tc>
        <w:tc>
          <w:tcPr>
            <w:tcW w:w="653" w:type="pct"/>
            <w:hideMark/>
          </w:tcPr>
          <w:p w:rsidR="00000000" w:rsidRDefault="00406BD4">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hideMark/>
          </w:tcPr>
          <w:p w:rsidR="00000000" w:rsidRDefault="00406BD4">
            <w:pPr>
              <w:pStyle w:val="a3"/>
              <w:spacing w:before="0" w:beforeAutospacing="0" w:after="0" w:afterAutospacing="0"/>
              <w:rPr>
                <w:sz w:val="12"/>
                <w:szCs w:val="12"/>
              </w:rPr>
            </w:pPr>
            <w:r>
              <w:rPr>
                <w:sz w:val="12"/>
                <w:szCs w:val="12"/>
              </w:rPr>
              <w:t> </w:t>
            </w:r>
          </w:p>
        </w:tc>
        <w:tc>
          <w:tcPr>
            <w:tcW w:w="439" w:type="pct"/>
            <w:hideMark/>
          </w:tcPr>
          <w:p w:rsidR="00000000" w:rsidRDefault="00406BD4">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12"/>
                <w:szCs w:val="12"/>
              </w:rPr>
            </w:pPr>
            <w:r>
              <w:rPr>
                <w:sz w:val="12"/>
                <w:szCs w:val="12"/>
              </w:rPr>
              <w:t> </w:t>
            </w:r>
          </w:p>
        </w:tc>
        <w:tc>
          <w:tcPr>
            <w:tcW w:w="499" w:type="pct"/>
            <w:hideMark/>
          </w:tcPr>
          <w:p w:rsidR="00000000" w:rsidRDefault="00406BD4">
            <w:pPr>
              <w:pStyle w:val="a3"/>
              <w:spacing w:before="0" w:beforeAutospacing="0" w:after="0" w:afterAutospacing="0"/>
              <w:jc w:val="center"/>
              <w:rPr>
                <w:sz w:val="12"/>
                <w:szCs w:val="12"/>
              </w:rPr>
            </w:pPr>
            <w:r>
              <w:rPr>
                <w:sz w:val="12"/>
                <w:szCs w:val="12"/>
              </w:rPr>
              <w:t> </w:t>
            </w:r>
          </w:p>
        </w:tc>
      </w:tr>
      <w:tr w:rsidR="00000000">
        <w:trPr>
          <w:divId w:val="730815135"/>
          <w:jc w:val="center"/>
        </w:trPr>
        <w:tc>
          <w:tcPr>
            <w:tcW w:w="410" w:type="pct"/>
            <w:vAlign w:val="bottom"/>
            <w:hideMark/>
          </w:tcPr>
          <w:p w:rsidR="00000000" w:rsidRDefault="00406BD4">
            <w:pPr>
              <w:pStyle w:val="a3"/>
              <w:spacing w:before="0" w:beforeAutospacing="0" w:after="0" w:afterAutospacing="0"/>
              <w:rPr>
                <w:color w:val="000000"/>
                <w:sz w:val="20"/>
                <w:szCs w:val="20"/>
              </w:rPr>
            </w:pPr>
            <w:r>
              <w:rPr>
                <w:color w:val="000000"/>
                <w:sz w:val="20"/>
                <w:szCs w:val="20"/>
              </w:rPr>
              <w:t>101.SCH</w:t>
            </w:r>
          </w:p>
        </w:tc>
        <w:tc>
          <w:tcPr>
            <w:tcW w:w="2420" w:type="pct"/>
            <w:vAlign w:val="bottom"/>
            <w:hideMark/>
          </w:tcPr>
          <w:p w:rsidR="00000000" w:rsidRDefault="00406BD4">
            <w:pPr>
              <w:pStyle w:val="a3"/>
              <w:spacing w:before="0" w:beforeAutospacing="0" w:after="0" w:afterAutospacing="0"/>
              <w:rPr>
                <w:color w:val="000000"/>
                <w:sz w:val="20"/>
                <w:szCs w:val="20"/>
              </w:rPr>
            </w:pPr>
            <w:r>
              <w:rPr>
                <w:color w:val="000000"/>
                <w:sz w:val="20"/>
                <w:szCs w:val="20"/>
              </w:rPr>
              <w:t>XBRL Taxonomy Extension Schema Document</w:t>
            </w:r>
          </w:p>
        </w:tc>
        <w:tc>
          <w:tcPr>
            <w:tcW w:w="495" w:type="pct"/>
            <w:hideMark/>
          </w:tcPr>
          <w:p w:rsidR="00000000" w:rsidRDefault="00406BD4">
            <w:pPr>
              <w:pStyle w:val="a3"/>
              <w:spacing w:before="0" w:beforeAutospacing="0" w:after="0" w:afterAutospacing="0"/>
              <w:jc w:val="center"/>
              <w:rPr>
                <w:color w:val="000000"/>
                <w:sz w:val="20"/>
                <w:szCs w:val="20"/>
              </w:rPr>
            </w:pPr>
            <w:r>
              <w:rPr>
                <w:color w:val="000000"/>
                <w:sz w:val="20"/>
                <w:szCs w:val="20"/>
              </w:rPr>
              <w:t>X</w:t>
            </w:r>
          </w:p>
        </w:tc>
        <w:tc>
          <w:tcPr>
            <w:tcW w:w="653" w:type="pct"/>
            <w:hideMark/>
          </w:tcPr>
          <w:p w:rsidR="00000000" w:rsidRDefault="00406BD4">
            <w:pPr>
              <w:pStyle w:val="a3"/>
              <w:spacing w:before="0" w:beforeAutospacing="0" w:after="0" w:afterAutospacing="0"/>
              <w:jc w:val="center"/>
              <w:rPr>
                <w:sz w:val="20"/>
                <w:szCs w:val="20"/>
              </w:rPr>
            </w:pPr>
            <w:r>
              <w:rPr>
                <w:sz w:val="20"/>
                <w:szCs w:val="20"/>
              </w:rPr>
              <w:t> </w:t>
            </w:r>
          </w:p>
        </w:tc>
        <w:tc>
          <w:tcPr>
            <w:tcW w:w="42" w:type="pct"/>
            <w:tcMar>
              <w:top w:w="0" w:type="dxa"/>
              <w:left w:w="60" w:type="dxa"/>
              <w:bottom w:w="0" w:type="dxa"/>
              <w:right w:w="0" w:type="dxa"/>
            </w:tcMar>
            <w:hideMark/>
          </w:tcPr>
          <w:p w:rsidR="00000000" w:rsidRDefault="00406BD4">
            <w:pPr>
              <w:pStyle w:val="a3"/>
              <w:spacing w:before="0" w:beforeAutospacing="0" w:after="0" w:afterAutospacing="0"/>
              <w:rPr>
                <w:sz w:val="20"/>
                <w:szCs w:val="20"/>
              </w:rPr>
            </w:pPr>
            <w:r>
              <w:rPr>
                <w:sz w:val="20"/>
                <w:szCs w:val="20"/>
              </w:rPr>
              <w:t> </w:t>
            </w:r>
          </w:p>
        </w:tc>
        <w:tc>
          <w:tcPr>
            <w:tcW w:w="439" w:type="pct"/>
            <w:hideMark/>
          </w:tcPr>
          <w:p w:rsidR="00000000" w:rsidRDefault="00406BD4">
            <w:pPr>
              <w:pStyle w:val="a3"/>
              <w:spacing w:before="0" w:beforeAutospacing="0" w:after="0" w:afterAutospacing="0"/>
              <w:jc w:val="center"/>
              <w:rPr>
                <w:sz w:val="20"/>
                <w:szCs w:val="20"/>
              </w:rPr>
            </w:pPr>
            <w:r>
              <w:rPr>
                <w:sz w:val="20"/>
                <w:szCs w:val="20"/>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20"/>
                <w:szCs w:val="20"/>
              </w:rPr>
            </w:pPr>
            <w:r>
              <w:rPr>
                <w:sz w:val="20"/>
                <w:szCs w:val="20"/>
              </w:rPr>
              <w:t> </w:t>
            </w:r>
          </w:p>
        </w:tc>
        <w:tc>
          <w:tcPr>
            <w:tcW w:w="499" w:type="pct"/>
            <w:hideMark/>
          </w:tcPr>
          <w:p w:rsidR="00000000" w:rsidRDefault="00406BD4">
            <w:pPr>
              <w:pStyle w:val="a3"/>
              <w:spacing w:before="0" w:beforeAutospacing="0" w:after="0" w:afterAutospacing="0"/>
              <w:jc w:val="center"/>
              <w:rPr>
                <w:sz w:val="20"/>
                <w:szCs w:val="20"/>
              </w:rPr>
            </w:pPr>
            <w:r>
              <w:rPr>
                <w:sz w:val="20"/>
                <w:szCs w:val="20"/>
              </w:rPr>
              <w:t> </w:t>
            </w:r>
          </w:p>
        </w:tc>
      </w:tr>
      <w:tr w:rsidR="00000000">
        <w:trPr>
          <w:divId w:val="730815135"/>
          <w:jc w:val="center"/>
        </w:trPr>
        <w:tc>
          <w:tcPr>
            <w:tcW w:w="410" w:type="pct"/>
            <w:vAlign w:val="bottom"/>
            <w:hideMark/>
          </w:tcPr>
          <w:p w:rsidR="00000000" w:rsidRDefault="00406BD4">
            <w:pPr>
              <w:pStyle w:val="a3"/>
              <w:spacing w:before="0" w:beforeAutospacing="0" w:after="0" w:afterAutospacing="0"/>
              <w:rPr>
                <w:sz w:val="12"/>
                <w:szCs w:val="12"/>
              </w:rPr>
            </w:pPr>
            <w:r>
              <w:rPr>
                <w:sz w:val="12"/>
                <w:szCs w:val="12"/>
              </w:rPr>
              <w:t> </w:t>
            </w:r>
          </w:p>
        </w:tc>
        <w:tc>
          <w:tcPr>
            <w:tcW w:w="2420" w:type="pct"/>
            <w:vAlign w:val="bottom"/>
            <w:hideMark/>
          </w:tcPr>
          <w:p w:rsidR="00000000" w:rsidRDefault="00406BD4">
            <w:pPr>
              <w:pStyle w:val="a3"/>
              <w:spacing w:before="0" w:beforeAutospacing="0" w:after="0" w:afterAutospacing="0"/>
              <w:rPr>
                <w:sz w:val="12"/>
                <w:szCs w:val="12"/>
              </w:rPr>
            </w:pPr>
            <w:r>
              <w:rPr>
                <w:sz w:val="12"/>
                <w:szCs w:val="12"/>
              </w:rPr>
              <w:t> </w:t>
            </w:r>
          </w:p>
        </w:tc>
        <w:tc>
          <w:tcPr>
            <w:tcW w:w="495" w:type="pct"/>
            <w:hideMark/>
          </w:tcPr>
          <w:p w:rsidR="00000000" w:rsidRDefault="00406BD4">
            <w:pPr>
              <w:pStyle w:val="a3"/>
              <w:spacing w:before="0" w:beforeAutospacing="0" w:after="0" w:afterAutospacing="0"/>
              <w:jc w:val="center"/>
              <w:rPr>
                <w:sz w:val="12"/>
                <w:szCs w:val="12"/>
              </w:rPr>
            </w:pPr>
            <w:r>
              <w:rPr>
                <w:sz w:val="12"/>
                <w:szCs w:val="12"/>
              </w:rPr>
              <w:t> </w:t>
            </w:r>
          </w:p>
        </w:tc>
        <w:tc>
          <w:tcPr>
            <w:tcW w:w="653" w:type="pct"/>
            <w:hideMark/>
          </w:tcPr>
          <w:p w:rsidR="00000000" w:rsidRDefault="00406BD4">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hideMark/>
          </w:tcPr>
          <w:p w:rsidR="00000000" w:rsidRDefault="00406BD4">
            <w:pPr>
              <w:pStyle w:val="a3"/>
              <w:spacing w:before="0" w:beforeAutospacing="0" w:after="0" w:afterAutospacing="0"/>
              <w:rPr>
                <w:sz w:val="12"/>
                <w:szCs w:val="12"/>
              </w:rPr>
            </w:pPr>
            <w:r>
              <w:rPr>
                <w:sz w:val="12"/>
                <w:szCs w:val="12"/>
              </w:rPr>
              <w:t> </w:t>
            </w:r>
          </w:p>
        </w:tc>
        <w:tc>
          <w:tcPr>
            <w:tcW w:w="439" w:type="pct"/>
            <w:hideMark/>
          </w:tcPr>
          <w:p w:rsidR="00000000" w:rsidRDefault="00406BD4">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12"/>
                <w:szCs w:val="12"/>
              </w:rPr>
            </w:pPr>
            <w:r>
              <w:rPr>
                <w:sz w:val="12"/>
                <w:szCs w:val="12"/>
              </w:rPr>
              <w:t> </w:t>
            </w:r>
          </w:p>
        </w:tc>
        <w:tc>
          <w:tcPr>
            <w:tcW w:w="499" w:type="pct"/>
            <w:hideMark/>
          </w:tcPr>
          <w:p w:rsidR="00000000" w:rsidRDefault="00406BD4">
            <w:pPr>
              <w:pStyle w:val="a3"/>
              <w:spacing w:before="0" w:beforeAutospacing="0" w:after="0" w:afterAutospacing="0"/>
              <w:jc w:val="center"/>
              <w:rPr>
                <w:sz w:val="12"/>
                <w:szCs w:val="12"/>
              </w:rPr>
            </w:pPr>
            <w:r>
              <w:rPr>
                <w:sz w:val="12"/>
                <w:szCs w:val="12"/>
              </w:rPr>
              <w:t> </w:t>
            </w:r>
          </w:p>
        </w:tc>
      </w:tr>
      <w:tr w:rsidR="00000000">
        <w:trPr>
          <w:divId w:val="730815135"/>
          <w:jc w:val="center"/>
        </w:trPr>
        <w:tc>
          <w:tcPr>
            <w:tcW w:w="410" w:type="pct"/>
            <w:vAlign w:val="bottom"/>
            <w:hideMark/>
          </w:tcPr>
          <w:p w:rsidR="00000000" w:rsidRDefault="00406BD4">
            <w:pPr>
              <w:pStyle w:val="a3"/>
              <w:spacing w:before="0" w:beforeAutospacing="0" w:after="0" w:afterAutospacing="0"/>
              <w:rPr>
                <w:color w:val="000000"/>
                <w:sz w:val="20"/>
                <w:szCs w:val="20"/>
              </w:rPr>
            </w:pPr>
            <w:r>
              <w:rPr>
                <w:color w:val="000000"/>
                <w:sz w:val="20"/>
                <w:szCs w:val="20"/>
              </w:rPr>
              <w:t>101.CAL</w:t>
            </w:r>
          </w:p>
        </w:tc>
        <w:tc>
          <w:tcPr>
            <w:tcW w:w="2420" w:type="pct"/>
            <w:vAlign w:val="bottom"/>
            <w:hideMark/>
          </w:tcPr>
          <w:p w:rsidR="00000000" w:rsidRDefault="00406BD4">
            <w:pPr>
              <w:pStyle w:val="a3"/>
              <w:spacing w:before="0" w:beforeAutospacing="0" w:after="0" w:afterAutospacing="0"/>
              <w:rPr>
                <w:color w:val="000000"/>
                <w:sz w:val="20"/>
                <w:szCs w:val="20"/>
              </w:rPr>
            </w:pPr>
            <w:r>
              <w:rPr>
                <w:color w:val="000000"/>
                <w:sz w:val="20"/>
                <w:szCs w:val="20"/>
              </w:rPr>
              <w:t>XBRL Taxonomy Extension Calculation Linkbase Document</w:t>
            </w:r>
          </w:p>
        </w:tc>
        <w:tc>
          <w:tcPr>
            <w:tcW w:w="495" w:type="pct"/>
            <w:hideMark/>
          </w:tcPr>
          <w:p w:rsidR="00000000" w:rsidRDefault="00406BD4">
            <w:pPr>
              <w:pStyle w:val="a3"/>
              <w:spacing w:before="0" w:beforeAutospacing="0" w:after="0" w:afterAutospacing="0"/>
              <w:jc w:val="center"/>
              <w:rPr>
                <w:color w:val="000000"/>
                <w:sz w:val="20"/>
                <w:szCs w:val="20"/>
              </w:rPr>
            </w:pPr>
            <w:r>
              <w:rPr>
                <w:color w:val="000000"/>
                <w:sz w:val="20"/>
                <w:szCs w:val="20"/>
              </w:rPr>
              <w:t>X</w:t>
            </w:r>
          </w:p>
        </w:tc>
        <w:tc>
          <w:tcPr>
            <w:tcW w:w="653" w:type="pct"/>
            <w:hideMark/>
          </w:tcPr>
          <w:p w:rsidR="00000000" w:rsidRDefault="00406BD4">
            <w:pPr>
              <w:pStyle w:val="a3"/>
              <w:spacing w:before="0" w:beforeAutospacing="0" w:after="0" w:afterAutospacing="0"/>
              <w:jc w:val="center"/>
              <w:rPr>
                <w:sz w:val="20"/>
                <w:szCs w:val="20"/>
              </w:rPr>
            </w:pPr>
            <w:r>
              <w:rPr>
                <w:sz w:val="20"/>
                <w:szCs w:val="20"/>
              </w:rPr>
              <w:t> </w:t>
            </w:r>
          </w:p>
        </w:tc>
        <w:tc>
          <w:tcPr>
            <w:tcW w:w="42" w:type="pct"/>
            <w:tcMar>
              <w:top w:w="0" w:type="dxa"/>
              <w:left w:w="60" w:type="dxa"/>
              <w:bottom w:w="0" w:type="dxa"/>
              <w:right w:w="0" w:type="dxa"/>
            </w:tcMar>
            <w:hideMark/>
          </w:tcPr>
          <w:p w:rsidR="00000000" w:rsidRDefault="00406BD4">
            <w:pPr>
              <w:pStyle w:val="a3"/>
              <w:spacing w:before="0" w:beforeAutospacing="0" w:after="0" w:afterAutospacing="0"/>
              <w:rPr>
                <w:sz w:val="20"/>
                <w:szCs w:val="20"/>
              </w:rPr>
            </w:pPr>
            <w:r>
              <w:rPr>
                <w:sz w:val="20"/>
                <w:szCs w:val="20"/>
              </w:rPr>
              <w:t> </w:t>
            </w:r>
          </w:p>
        </w:tc>
        <w:tc>
          <w:tcPr>
            <w:tcW w:w="439" w:type="pct"/>
            <w:hideMark/>
          </w:tcPr>
          <w:p w:rsidR="00000000" w:rsidRDefault="00406BD4">
            <w:pPr>
              <w:pStyle w:val="a3"/>
              <w:spacing w:before="0" w:beforeAutospacing="0" w:after="0" w:afterAutospacing="0"/>
              <w:jc w:val="center"/>
              <w:rPr>
                <w:sz w:val="20"/>
                <w:szCs w:val="20"/>
              </w:rPr>
            </w:pPr>
            <w:r>
              <w:rPr>
                <w:sz w:val="20"/>
                <w:szCs w:val="20"/>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20"/>
                <w:szCs w:val="20"/>
              </w:rPr>
            </w:pPr>
            <w:r>
              <w:rPr>
                <w:sz w:val="20"/>
                <w:szCs w:val="20"/>
              </w:rPr>
              <w:t> </w:t>
            </w:r>
          </w:p>
        </w:tc>
        <w:tc>
          <w:tcPr>
            <w:tcW w:w="499" w:type="pct"/>
            <w:hideMark/>
          </w:tcPr>
          <w:p w:rsidR="00000000" w:rsidRDefault="00406BD4">
            <w:pPr>
              <w:pStyle w:val="a3"/>
              <w:spacing w:before="0" w:beforeAutospacing="0" w:after="0" w:afterAutospacing="0"/>
              <w:jc w:val="center"/>
              <w:rPr>
                <w:sz w:val="20"/>
                <w:szCs w:val="20"/>
              </w:rPr>
            </w:pPr>
            <w:r>
              <w:rPr>
                <w:sz w:val="20"/>
                <w:szCs w:val="20"/>
              </w:rPr>
              <w:t> </w:t>
            </w:r>
          </w:p>
        </w:tc>
      </w:tr>
      <w:tr w:rsidR="00000000">
        <w:trPr>
          <w:divId w:val="730815135"/>
          <w:jc w:val="center"/>
        </w:trPr>
        <w:tc>
          <w:tcPr>
            <w:tcW w:w="410" w:type="pct"/>
            <w:vAlign w:val="bottom"/>
            <w:hideMark/>
          </w:tcPr>
          <w:p w:rsidR="00000000" w:rsidRDefault="00406BD4">
            <w:pPr>
              <w:pStyle w:val="a3"/>
              <w:spacing w:before="0" w:beforeAutospacing="0" w:after="0" w:afterAutospacing="0"/>
              <w:rPr>
                <w:sz w:val="12"/>
                <w:szCs w:val="12"/>
              </w:rPr>
            </w:pPr>
            <w:r>
              <w:rPr>
                <w:sz w:val="12"/>
                <w:szCs w:val="12"/>
              </w:rPr>
              <w:t> </w:t>
            </w:r>
          </w:p>
        </w:tc>
        <w:tc>
          <w:tcPr>
            <w:tcW w:w="2420" w:type="pct"/>
            <w:vAlign w:val="bottom"/>
            <w:hideMark/>
          </w:tcPr>
          <w:p w:rsidR="00000000" w:rsidRDefault="00406BD4">
            <w:pPr>
              <w:pStyle w:val="a3"/>
              <w:spacing w:before="0" w:beforeAutospacing="0" w:after="0" w:afterAutospacing="0"/>
              <w:rPr>
                <w:sz w:val="12"/>
                <w:szCs w:val="12"/>
              </w:rPr>
            </w:pPr>
            <w:r>
              <w:rPr>
                <w:sz w:val="12"/>
                <w:szCs w:val="12"/>
              </w:rPr>
              <w:t> </w:t>
            </w:r>
          </w:p>
        </w:tc>
        <w:tc>
          <w:tcPr>
            <w:tcW w:w="495" w:type="pct"/>
            <w:hideMark/>
          </w:tcPr>
          <w:p w:rsidR="00000000" w:rsidRDefault="00406BD4">
            <w:pPr>
              <w:pStyle w:val="a3"/>
              <w:spacing w:before="0" w:beforeAutospacing="0" w:after="0" w:afterAutospacing="0"/>
              <w:jc w:val="center"/>
              <w:rPr>
                <w:sz w:val="12"/>
                <w:szCs w:val="12"/>
              </w:rPr>
            </w:pPr>
            <w:r>
              <w:rPr>
                <w:sz w:val="12"/>
                <w:szCs w:val="12"/>
              </w:rPr>
              <w:t> </w:t>
            </w:r>
          </w:p>
        </w:tc>
        <w:tc>
          <w:tcPr>
            <w:tcW w:w="653" w:type="pct"/>
            <w:hideMark/>
          </w:tcPr>
          <w:p w:rsidR="00000000" w:rsidRDefault="00406BD4">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hideMark/>
          </w:tcPr>
          <w:p w:rsidR="00000000" w:rsidRDefault="00406BD4">
            <w:pPr>
              <w:pStyle w:val="a3"/>
              <w:spacing w:before="0" w:beforeAutospacing="0" w:after="0" w:afterAutospacing="0"/>
              <w:rPr>
                <w:sz w:val="12"/>
                <w:szCs w:val="12"/>
              </w:rPr>
            </w:pPr>
            <w:r>
              <w:rPr>
                <w:sz w:val="12"/>
                <w:szCs w:val="12"/>
              </w:rPr>
              <w:t> </w:t>
            </w:r>
          </w:p>
        </w:tc>
        <w:tc>
          <w:tcPr>
            <w:tcW w:w="439" w:type="pct"/>
            <w:hideMark/>
          </w:tcPr>
          <w:p w:rsidR="00000000" w:rsidRDefault="00406BD4">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12"/>
                <w:szCs w:val="12"/>
              </w:rPr>
            </w:pPr>
            <w:r>
              <w:rPr>
                <w:sz w:val="12"/>
                <w:szCs w:val="12"/>
              </w:rPr>
              <w:t> </w:t>
            </w:r>
          </w:p>
        </w:tc>
        <w:tc>
          <w:tcPr>
            <w:tcW w:w="499" w:type="pct"/>
            <w:hideMark/>
          </w:tcPr>
          <w:p w:rsidR="00000000" w:rsidRDefault="00406BD4">
            <w:pPr>
              <w:pStyle w:val="a3"/>
              <w:spacing w:before="0" w:beforeAutospacing="0" w:after="0" w:afterAutospacing="0"/>
              <w:jc w:val="center"/>
              <w:rPr>
                <w:sz w:val="12"/>
                <w:szCs w:val="12"/>
              </w:rPr>
            </w:pPr>
            <w:r>
              <w:rPr>
                <w:sz w:val="12"/>
                <w:szCs w:val="12"/>
              </w:rPr>
              <w:t> </w:t>
            </w:r>
          </w:p>
        </w:tc>
      </w:tr>
      <w:tr w:rsidR="00000000">
        <w:trPr>
          <w:divId w:val="730815135"/>
          <w:jc w:val="center"/>
        </w:trPr>
        <w:tc>
          <w:tcPr>
            <w:tcW w:w="410" w:type="pct"/>
            <w:vAlign w:val="bottom"/>
            <w:hideMark/>
          </w:tcPr>
          <w:p w:rsidR="00000000" w:rsidRDefault="00406BD4">
            <w:pPr>
              <w:pStyle w:val="a3"/>
              <w:spacing w:before="0" w:beforeAutospacing="0" w:after="0" w:afterAutospacing="0"/>
              <w:rPr>
                <w:color w:val="000000"/>
                <w:sz w:val="20"/>
                <w:szCs w:val="20"/>
              </w:rPr>
            </w:pPr>
            <w:r>
              <w:rPr>
                <w:color w:val="000000"/>
                <w:sz w:val="20"/>
                <w:szCs w:val="20"/>
              </w:rPr>
              <w:t>101.DEF</w:t>
            </w:r>
          </w:p>
        </w:tc>
        <w:tc>
          <w:tcPr>
            <w:tcW w:w="2420" w:type="pct"/>
            <w:vAlign w:val="bottom"/>
            <w:hideMark/>
          </w:tcPr>
          <w:p w:rsidR="00000000" w:rsidRDefault="00406BD4">
            <w:pPr>
              <w:pStyle w:val="a3"/>
              <w:spacing w:before="0" w:beforeAutospacing="0" w:after="0" w:afterAutospacing="0"/>
              <w:rPr>
                <w:color w:val="000000"/>
                <w:sz w:val="20"/>
                <w:szCs w:val="20"/>
              </w:rPr>
            </w:pPr>
            <w:r>
              <w:rPr>
                <w:color w:val="000000"/>
                <w:sz w:val="20"/>
                <w:szCs w:val="20"/>
              </w:rPr>
              <w:t>XBRL Definition Linkbase Document</w:t>
            </w:r>
          </w:p>
        </w:tc>
        <w:tc>
          <w:tcPr>
            <w:tcW w:w="495" w:type="pct"/>
            <w:hideMark/>
          </w:tcPr>
          <w:p w:rsidR="00000000" w:rsidRDefault="00406BD4">
            <w:pPr>
              <w:pStyle w:val="a3"/>
              <w:spacing w:before="0" w:beforeAutospacing="0" w:after="0" w:afterAutospacing="0"/>
              <w:jc w:val="center"/>
              <w:rPr>
                <w:color w:val="000000"/>
                <w:sz w:val="20"/>
                <w:szCs w:val="20"/>
              </w:rPr>
            </w:pPr>
            <w:r>
              <w:rPr>
                <w:color w:val="000000"/>
                <w:sz w:val="20"/>
                <w:szCs w:val="20"/>
              </w:rPr>
              <w:t>X</w:t>
            </w:r>
          </w:p>
        </w:tc>
        <w:tc>
          <w:tcPr>
            <w:tcW w:w="653" w:type="pct"/>
            <w:hideMark/>
          </w:tcPr>
          <w:p w:rsidR="00000000" w:rsidRDefault="00406BD4">
            <w:pPr>
              <w:pStyle w:val="a3"/>
              <w:spacing w:before="0" w:beforeAutospacing="0" w:after="0" w:afterAutospacing="0"/>
              <w:jc w:val="center"/>
              <w:rPr>
                <w:sz w:val="20"/>
                <w:szCs w:val="20"/>
              </w:rPr>
            </w:pPr>
            <w:r>
              <w:rPr>
                <w:sz w:val="20"/>
                <w:szCs w:val="20"/>
              </w:rPr>
              <w:t> </w:t>
            </w:r>
          </w:p>
        </w:tc>
        <w:tc>
          <w:tcPr>
            <w:tcW w:w="42" w:type="pct"/>
            <w:tcMar>
              <w:top w:w="0" w:type="dxa"/>
              <w:left w:w="60" w:type="dxa"/>
              <w:bottom w:w="0" w:type="dxa"/>
              <w:right w:w="0" w:type="dxa"/>
            </w:tcMar>
            <w:hideMark/>
          </w:tcPr>
          <w:p w:rsidR="00000000" w:rsidRDefault="00406BD4">
            <w:pPr>
              <w:pStyle w:val="a3"/>
              <w:spacing w:before="0" w:beforeAutospacing="0" w:after="0" w:afterAutospacing="0"/>
              <w:rPr>
                <w:sz w:val="20"/>
                <w:szCs w:val="20"/>
              </w:rPr>
            </w:pPr>
            <w:r>
              <w:rPr>
                <w:sz w:val="20"/>
                <w:szCs w:val="20"/>
              </w:rPr>
              <w:t> </w:t>
            </w:r>
          </w:p>
        </w:tc>
        <w:tc>
          <w:tcPr>
            <w:tcW w:w="439" w:type="pct"/>
            <w:hideMark/>
          </w:tcPr>
          <w:p w:rsidR="00000000" w:rsidRDefault="00406BD4">
            <w:pPr>
              <w:pStyle w:val="a3"/>
              <w:spacing w:before="0" w:beforeAutospacing="0" w:after="0" w:afterAutospacing="0"/>
              <w:jc w:val="center"/>
              <w:rPr>
                <w:sz w:val="20"/>
                <w:szCs w:val="20"/>
              </w:rPr>
            </w:pPr>
            <w:r>
              <w:rPr>
                <w:sz w:val="20"/>
                <w:szCs w:val="20"/>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20"/>
                <w:szCs w:val="20"/>
              </w:rPr>
            </w:pPr>
            <w:r>
              <w:rPr>
                <w:sz w:val="20"/>
                <w:szCs w:val="20"/>
              </w:rPr>
              <w:t> </w:t>
            </w:r>
          </w:p>
        </w:tc>
        <w:tc>
          <w:tcPr>
            <w:tcW w:w="499" w:type="pct"/>
            <w:hideMark/>
          </w:tcPr>
          <w:p w:rsidR="00000000" w:rsidRDefault="00406BD4">
            <w:pPr>
              <w:pStyle w:val="a3"/>
              <w:spacing w:before="0" w:beforeAutospacing="0" w:after="0" w:afterAutospacing="0"/>
              <w:jc w:val="center"/>
              <w:rPr>
                <w:sz w:val="20"/>
                <w:szCs w:val="20"/>
              </w:rPr>
            </w:pPr>
            <w:r>
              <w:rPr>
                <w:sz w:val="20"/>
                <w:szCs w:val="20"/>
              </w:rPr>
              <w:t> </w:t>
            </w:r>
          </w:p>
        </w:tc>
      </w:tr>
      <w:tr w:rsidR="00000000">
        <w:trPr>
          <w:divId w:val="730815135"/>
          <w:jc w:val="center"/>
        </w:trPr>
        <w:tc>
          <w:tcPr>
            <w:tcW w:w="410" w:type="pct"/>
            <w:vAlign w:val="bottom"/>
            <w:hideMark/>
          </w:tcPr>
          <w:p w:rsidR="00000000" w:rsidRDefault="00406BD4">
            <w:pPr>
              <w:pStyle w:val="a3"/>
              <w:spacing w:before="0" w:beforeAutospacing="0" w:after="0" w:afterAutospacing="0"/>
              <w:rPr>
                <w:sz w:val="12"/>
                <w:szCs w:val="12"/>
              </w:rPr>
            </w:pPr>
            <w:r>
              <w:rPr>
                <w:sz w:val="12"/>
                <w:szCs w:val="12"/>
              </w:rPr>
              <w:t> </w:t>
            </w:r>
          </w:p>
        </w:tc>
        <w:tc>
          <w:tcPr>
            <w:tcW w:w="2420" w:type="pct"/>
            <w:vAlign w:val="bottom"/>
            <w:hideMark/>
          </w:tcPr>
          <w:p w:rsidR="00000000" w:rsidRDefault="00406BD4">
            <w:pPr>
              <w:pStyle w:val="a3"/>
              <w:spacing w:before="0" w:beforeAutospacing="0" w:after="0" w:afterAutospacing="0"/>
              <w:rPr>
                <w:sz w:val="12"/>
                <w:szCs w:val="12"/>
              </w:rPr>
            </w:pPr>
            <w:r>
              <w:rPr>
                <w:sz w:val="12"/>
                <w:szCs w:val="12"/>
              </w:rPr>
              <w:t> </w:t>
            </w:r>
          </w:p>
        </w:tc>
        <w:tc>
          <w:tcPr>
            <w:tcW w:w="495" w:type="pct"/>
            <w:hideMark/>
          </w:tcPr>
          <w:p w:rsidR="00000000" w:rsidRDefault="00406BD4">
            <w:pPr>
              <w:pStyle w:val="a3"/>
              <w:spacing w:before="0" w:beforeAutospacing="0" w:after="0" w:afterAutospacing="0"/>
              <w:jc w:val="center"/>
              <w:rPr>
                <w:sz w:val="12"/>
                <w:szCs w:val="12"/>
              </w:rPr>
            </w:pPr>
            <w:r>
              <w:rPr>
                <w:sz w:val="12"/>
                <w:szCs w:val="12"/>
              </w:rPr>
              <w:t> </w:t>
            </w:r>
          </w:p>
        </w:tc>
        <w:tc>
          <w:tcPr>
            <w:tcW w:w="653" w:type="pct"/>
            <w:hideMark/>
          </w:tcPr>
          <w:p w:rsidR="00000000" w:rsidRDefault="00406BD4">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hideMark/>
          </w:tcPr>
          <w:p w:rsidR="00000000" w:rsidRDefault="00406BD4">
            <w:pPr>
              <w:pStyle w:val="a3"/>
              <w:spacing w:before="0" w:beforeAutospacing="0" w:after="0" w:afterAutospacing="0"/>
              <w:rPr>
                <w:sz w:val="12"/>
                <w:szCs w:val="12"/>
              </w:rPr>
            </w:pPr>
            <w:r>
              <w:rPr>
                <w:sz w:val="12"/>
                <w:szCs w:val="12"/>
              </w:rPr>
              <w:t> </w:t>
            </w:r>
          </w:p>
        </w:tc>
        <w:tc>
          <w:tcPr>
            <w:tcW w:w="439" w:type="pct"/>
            <w:hideMark/>
          </w:tcPr>
          <w:p w:rsidR="00000000" w:rsidRDefault="00406BD4">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12"/>
                <w:szCs w:val="12"/>
              </w:rPr>
            </w:pPr>
            <w:r>
              <w:rPr>
                <w:sz w:val="12"/>
                <w:szCs w:val="12"/>
              </w:rPr>
              <w:t> </w:t>
            </w:r>
          </w:p>
        </w:tc>
        <w:tc>
          <w:tcPr>
            <w:tcW w:w="499" w:type="pct"/>
            <w:hideMark/>
          </w:tcPr>
          <w:p w:rsidR="00000000" w:rsidRDefault="00406BD4">
            <w:pPr>
              <w:pStyle w:val="a3"/>
              <w:spacing w:before="0" w:beforeAutospacing="0" w:after="0" w:afterAutospacing="0"/>
              <w:jc w:val="center"/>
              <w:rPr>
                <w:sz w:val="12"/>
                <w:szCs w:val="12"/>
              </w:rPr>
            </w:pPr>
            <w:r>
              <w:rPr>
                <w:sz w:val="12"/>
                <w:szCs w:val="12"/>
              </w:rPr>
              <w:t> </w:t>
            </w:r>
          </w:p>
        </w:tc>
      </w:tr>
      <w:tr w:rsidR="00000000">
        <w:trPr>
          <w:divId w:val="730815135"/>
          <w:jc w:val="center"/>
        </w:trPr>
        <w:tc>
          <w:tcPr>
            <w:tcW w:w="410" w:type="pct"/>
            <w:vAlign w:val="bottom"/>
            <w:hideMark/>
          </w:tcPr>
          <w:p w:rsidR="00000000" w:rsidRDefault="00406BD4">
            <w:pPr>
              <w:pStyle w:val="a3"/>
              <w:spacing w:before="0" w:beforeAutospacing="0" w:after="0" w:afterAutospacing="0"/>
              <w:rPr>
                <w:color w:val="000000"/>
                <w:sz w:val="20"/>
                <w:szCs w:val="20"/>
              </w:rPr>
            </w:pPr>
            <w:r>
              <w:rPr>
                <w:color w:val="000000"/>
                <w:sz w:val="20"/>
                <w:szCs w:val="20"/>
              </w:rPr>
              <w:t>101.LAB</w:t>
            </w:r>
          </w:p>
        </w:tc>
        <w:tc>
          <w:tcPr>
            <w:tcW w:w="2420" w:type="pct"/>
            <w:vAlign w:val="bottom"/>
            <w:hideMark/>
          </w:tcPr>
          <w:p w:rsidR="00000000" w:rsidRDefault="00406BD4">
            <w:pPr>
              <w:pStyle w:val="a3"/>
              <w:spacing w:before="0" w:beforeAutospacing="0" w:after="0" w:afterAutospacing="0"/>
              <w:rPr>
                <w:color w:val="000000"/>
                <w:sz w:val="20"/>
                <w:szCs w:val="20"/>
              </w:rPr>
            </w:pPr>
            <w:r>
              <w:rPr>
                <w:color w:val="000000"/>
                <w:sz w:val="20"/>
                <w:szCs w:val="20"/>
              </w:rPr>
              <w:t>XBRL Taxonomy Extension Labels Linkbase Document</w:t>
            </w:r>
          </w:p>
        </w:tc>
        <w:tc>
          <w:tcPr>
            <w:tcW w:w="495" w:type="pct"/>
            <w:hideMark/>
          </w:tcPr>
          <w:p w:rsidR="00000000" w:rsidRDefault="00406BD4">
            <w:pPr>
              <w:pStyle w:val="a3"/>
              <w:spacing w:before="0" w:beforeAutospacing="0" w:after="0" w:afterAutospacing="0"/>
              <w:jc w:val="center"/>
              <w:rPr>
                <w:color w:val="000000"/>
                <w:sz w:val="20"/>
                <w:szCs w:val="20"/>
              </w:rPr>
            </w:pPr>
            <w:r>
              <w:rPr>
                <w:color w:val="000000"/>
                <w:sz w:val="20"/>
                <w:szCs w:val="20"/>
              </w:rPr>
              <w:t>X</w:t>
            </w:r>
          </w:p>
        </w:tc>
        <w:tc>
          <w:tcPr>
            <w:tcW w:w="653" w:type="pct"/>
            <w:hideMark/>
          </w:tcPr>
          <w:p w:rsidR="00000000" w:rsidRDefault="00406BD4">
            <w:pPr>
              <w:pStyle w:val="a3"/>
              <w:spacing w:before="0" w:beforeAutospacing="0" w:after="0" w:afterAutospacing="0"/>
              <w:jc w:val="center"/>
              <w:rPr>
                <w:sz w:val="20"/>
                <w:szCs w:val="20"/>
              </w:rPr>
            </w:pPr>
            <w:r>
              <w:rPr>
                <w:sz w:val="20"/>
                <w:szCs w:val="20"/>
              </w:rPr>
              <w:t> </w:t>
            </w:r>
          </w:p>
        </w:tc>
        <w:tc>
          <w:tcPr>
            <w:tcW w:w="42" w:type="pct"/>
            <w:tcMar>
              <w:top w:w="0" w:type="dxa"/>
              <w:left w:w="60" w:type="dxa"/>
              <w:bottom w:w="0" w:type="dxa"/>
              <w:right w:w="0" w:type="dxa"/>
            </w:tcMar>
            <w:hideMark/>
          </w:tcPr>
          <w:p w:rsidR="00000000" w:rsidRDefault="00406BD4">
            <w:pPr>
              <w:pStyle w:val="a3"/>
              <w:spacing w:before="0" w:beforeAutospacing="0" w:after="0" w:afterAutospacing="0"/>
              <w:rPr>
                <w:sz w:val="20"/>
                <w:szCs w:val="20"/>
              </w:rPr>
            </w:pPr>
            <w:r>
              <w:rPr>
                <w:sz w:val="20"/>
                <w:szCs w:val="20"/>
              </w:rPr>
              <w:t> </w:t>
            </w:r>
          </w:p>
        </w:tc>
        <w:tc>
          <w:tcPr>
            <w:tcW w:w="439" w:type="pct"/>
            <w:hideMark/>
          </w:tcPr>
          <w:p w:rsidR="00000000" w:rsidRDefault="00406BD4">
            <w:pPr>
              <w:pStyle w:val="a3"/>
              <w:spacing w:before="0" w:beforeAutospacing="0" w:after="0" w:afterAutospacing="0"/>
              <w:jc w:val="center"/>
              <w:rPr>
                <w:sz w:val="20"/>
                <w:szCs w:val="20"/>
              </w:rPr>
            </w:pPr>
            <w:r>
              <w:rPr>
                <w:sz w:val="20"/>
                <w:szCs w:val="20"/>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20"/>
                <w:szCs w:val="20"/>
              </w:rPr>
            </w:pPr>
            <w:r>
              <w:rPr>
                <w:sz w:val="20"/>
                <w:szCs w:val="20"/>
              </w:rPr>
              <w:t> </w:t>
            </w:r>
          </w:p>
        </w:tc>
        <w:tc>
          <w:tcPr>
            <w:tcW w:w="499" w:type="pct"/>
            <w:hideMark/>
          </w:tcPr>
          <w:p w:rsidR="00000000" w:rsidRDefault="00406BD4">
            <w:pPr>
              <w:pStyle w:val="a3"/>
              <w:spacing w:before="0" w:beforeAutospacing="0" w:after="0" w:afterAutospacing="0"/>
              <w:jc w:val="center"/>
              <w:rPr>
                <w:sz w:val="20"/>
                <w:szCs w:val="20"/>
              </w:rPr>
            </w:pPr>
            <w:r>
              <w:rPr>
                <w:sz w:val="20"/>
                <w:szCs w:val="20"/>
              </w:rPr>
              <w:t> </w:t>
            </w:r>
          </w:p>
        </w:tc>
      </w:tr>
      <w:tr w:rsidR="00000000">
        <w:trPr>
          <w:divId w:val="730815135"/>
          <w:jc w:val="center"/>
        </w:trPr>
        <w:tc>
          <w:tcPr>
            <w:tcW w:w="410" w:type="pct"/>
            <w:vAlign w:val="bottom"/>
            <w:hideMark/>
          </w:tcPr>
          <w:p w:rsidR="00000000" w:rsidRDefault="00406BD4">
            <w:pPr>
              <w:pStyle w:val="a3"/>
              <w:spacing w:before="0" w:beforeAutospacing="0" w:after="0" w:afterAutospacing="0"/>
              <w:rPr>
                <w:sz w:val="12"/>
                <w:szCs w:val="12"/>
              </w:rPr>
            </w:pPr>
            <w:r>
              <w:rPr>
                <w:sz w:val="12"/>
                <w:szCs w:val="12"/>
              </w:rPr>
              <w:t> </w:t>
            </w:r>
          </w:p>
        </w:tc>
        <w:tc>
          <w:tcPr>
            <w:tcW w:w="2420" w:type="pct"/>
            <w:vAlign w:val="bottom"/>
            <w:hideMark/>
          </w:tcPr>
          <w:p w:rsidR="00000000" w:rsidRDefault="00406BD4">
            <w:pPr>
              <w:pStyle w:val="a3"/>
              <w:spacing w:before="0" w:beforeAutospacing="0" w:after="0" w:afterAutospacing="0"/>
              <w:rPr>
                <w:sz w:val="12"/>
                <w:szCs w:val="12"/>
              </w:rPr>
            </w:pPr>
            <w:r>
              <w:rPr>
                <w:sz w:val="12"/>
                <w:szCs w:val="12"/>
              </w:rPr>
              <w:t> </w:t>
            </w:r>
          </w:p>
        </w:tc>
        <w:tc>
          <w:tcPr>
            <w:tcW w:w="495" w:type="pct"/>
            <w:hideMark/>
          </w:tcPr>
          <w:p w:rsidR="00000000" w:rsidRDefault="00406BD4">
            <w:pPr>
              <w:pStyle w:val="a3"/>
              <w:spacing w:before="0" w:beforeAutospacing="0" w:after="0" w:afterAutospacing="0"/>
              <w:jc w:val="center"/>
              <w:rPr>
                <w:sz w:val="12"/>
                <w:szCs w:val="12"/>
              </w:rPr>
            </w:pPr>
            <w:r>
              <w:rPr>
                <w:sz w:val="12"/>
                <w:szCs w:val="12"/>
              </w:rPr>
              <w:t> </w:t>
            </w:r>
          </w:p>
        </w:tc>
        <w:tc>
          <w:tcPr>
            <w:tcW w:w="653" w:type="pct"/>
            <w:hideMark/>
          </w:tcPr>
          <w:p w:rsidR="00000000" w:rsidRDefault="00406BD4">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hideMark/>
          </w:tcPr>
          <w:p w:rsidR="00000000" w:rsidRDefault="00406BD4">
            <w:pPr>
              <w:pStyle w:val="a3"/>
              <w:spacing w:before="0" w:beforeAutospacing="0" w:after="0" w:afterAutospacing="0"/>
              <w:rPr>
                <w:sz w:val="12"/>
                <w:szCs w:val="12"/>
              </w:rPr>
            </w:pPr>
            <w:r>
              <w:rPr>
                <w:sz w:val="12"/>
                <w:szCs w:val="12"/>
              </w:rPr>
              <w:t> </w:t>
            </w:r>
          </w:p>
        </w:tc>
        <w:tc>
          <w:tcPr>
            <w:tcW w:w="439" w:type="pct"/>
            <w:hideMark/>
          </w:tcPr>
          <w:p w:rsidR="00000000" w:rsidRDefault="00406BD4">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12"/>
                <w:szCs w:val="12"/>
              </w:rPr>
            </w:pPr>
            <w:r>
              <w:rPr>
                <w:sz w:val="12"/>
                <w:szCs w:val="12"/>
              </w:rPr>
              <w:t> </w:t>
            </w:r>
          </w:p>
        </w:tc>
        <w:tc>
          <w:tcPr>
            <w:tcW w:w="499" w:type="pct"/>
            <w:hideMark/>
          </w:tcPr>
          <w:p w:rsidR="00000000" w:rsidRDefault="00406BD4">
            <w:pPr>
              <w:pStyle w:val="a3"/>
              <w:spacing w:before="0" w:beforeAutospacing="0" w:after="0" w:afterAutospacing="0"/>
              <w:jc w:val="center"/>
              <w:rPr>
                <w:sz w:val="12"/>
                <w:szCs w:val="12"/>
              </w:rPr>
            </w:pPr>
            <w:r>
              <w:rPr>
                <w:sz w:val="12"/>
                <w:szCs w:val="12"/>
              </w:rPr>
              <w:t> </w:t>
            </w:r>
          </w:p>
        </w:tc>
      </w:tr>
      <w:tr w:rsidR="00000000">
        <w:trPr>
          <w:divId w:val="730815135"/>
          <w:jc w:val="center"/>
        </w:trPr>
        <w:tc>
          <w:tcPr>
            <w:tcW w:w="410" w:type="pct"/>
            <w:vAlign w:val="bottom"/>
            <w:hideMark/>
          </w:tcPr>
          <w:p w:rsidR="00000000" w:rsidRDefault="00406BD4">
            <w:pPr>
              <w:pStyle w:val="a3"/>
              <w:spacing w:before="0" w:beforeAutospacing="0" w:after="0" w:afterAutospacing="0"/>
              <w:rPr>
                <w:color w:val="000000"/>
                <w:sz w:val="20"/>
                <w:szCs w:val="20"/>
              </w:rPr>
            </w:pPr>
            <w:r>
              <w:rPr>
                <w:color w:val="000000"/>
                <w:sz w:val="20"/>
                <w:szCs w:val="20"/>
              </w:rPr>
              <w:t>101.PRE</w:t>
            </w:r>
          </w:p>
        </w:tc>
        <w:tc>
          <w:tcPr>
            <w:tcW w:w="2420" w:type="pct"/>
            <w:vAlign w:val="bottom"/>
            <w:hideMark/>
          </w:tcPr>
          <w:p w:rsidR="00000000" w:rsidRDefault="00406BD4">
            <w:pPr>
              <w:pStyle w:val="a3"/>
              <w:spacing w:before="0" w:beforeAutospacing="0" w:after="0" w:afterAutospacing="0"/>
              <w:rPr>
                <w:color w:val="000000"/>
                <w:sz w:val="20"/>
                <w:szCs w:val="20"/>
              </w:rPr>
            </w:pPr>
            <w:r>
              <w:rPr>
                <w:color w:val="000000"/>
                <w:sz w:val="20"/>
                <w:szCs w:val="20"/>
              </w:rPr>
              <w:t>XBRL Taxonomy Extension Presentation Linkbase Document</w:t>
            </w:r>
          </w:p>
        </w:tc>
        <w:tc>
          <w:tcPr>
            <w:tcW w:w="495" w:type="pct"/>
            <w:hideMark/>
          </w:tcPr>
          <w:p w:rsidR="00000000" w:rsidRDefault="00406BD4">
            <w:pPr>
              <w:pStyle w:val="a3"/>
              <w:spacing w:before="0" w:beforeAutospacing="0" w:after="0" w:afterAutospacing="0"/>
              <w:jc w:val="center"/>
              <w:rPr>
                <w:color w:val="000000"/>
                <w:sz w:val="20"/>
                <w:szCs w:val="20"/>
              </w:rPr>
            </w:pPr>
            <w:r>
              <w:rPr>
                <w:color w:val="000000"/>
                <w:sz w:val="20"/>
                <w:szCs w:val="20"/>
              </w:rPr>
              <w:t>X</w:t>
            </w:r>
          </w:p>
        </w:tc>
        <w:tc>
          <w:tcPr>
            <w:tcW w:w="653" w:type="pct"/>
            <w:hideMark/>
          </w:tcPr>
          <w:p w:rsidR="00000000" w:rsidRDefault="00406BD4">
            <w:pPr>
              <w:pStyle w:val="a3"/>
              <w:spacing w:before="0" w:beforeAutospacing="0" w:after="0" w:afterAutospacing="0"/>
              <w:jc w:val="center"/>
              <w:rPr>
                <w:sz w:val="20"/>
                <w:szCs w:val="20"/>
              </w:rPr>
            </w:pPr>
            <w:r>
              <w:rPr>
                <w:sz w:val="20"/>
                <w:szCs w:val="20"/>
              </w:rPr>
              <w:t> </w:t>
            </w:r>
          </w:p>
        </w:tc>
        <w:tc>
          <w:tcPr>
            <w:tcW w:w="42" w:type="pct"/>
            <w:tcMar>
              <w:top w:w="0" w:type="dxa"/>
              <w:left w:w="60" w:type="dxa"/>
              <w:bottom w:w="0" w:type="dxa"/>
              <w:right w:w="0" w:type="dxa"/>
            </w:tcMar>
            <w:hideMark/>
          </w:tcPr>
          <w:p w:rsidR="00000000" w:rsidRDefault="00406BD4">
            <w:pPr>
              <w:pStyle w:val="a3"/>
              <w:spacing w:before="0" w:beforeAutospacing="0" w:after="0" w:afterAutospacing="0"/>
              <w:rPr>
                <w:sz w:val="20"/>
                <w:szCs w:val="20"/>
              </w:rPr>
            </w:pPr>
            <w:r>
              <w:rPr>
                <w:sz w:val="20"/>
                <w:szCs w:val="20"/>
              </w:rPr>
              <w:t> </w:t>
            </w:r>
          </w:p>
        </w:tc>
        <w:tc>
          <w:tcPr>
            <w:tcW w:w="439" w:type="pct"/>
            <w:hideMark/>
          </w:tcPr>
          <w:p w:rsidR="00000000" w:rsidRDefault="00406BD4">
            <w:pPr>
              <w:pStyle w:val="a3"/>
              <w:spacing w:before="0" w:beforeAutospacing="0" w:after="0" w:afterAutospacing="0"/>
              <w:jc w:val="center"/>
              <w:rPr>
                <w:sz w:val="20"/>
                <w:szCs w:val="20"/>
              </w:rPr>
            </w:pPr>
            <w:r>
              <w:rPr>
                <w:sz w:val="20"/>
                <w:szCs w:val="20"/>
              </w:rPr>
              <w:t> </w:t>
            </w:r>
          </w:p>
        </w:tc>
        <w:tc>
          <w:tcPr>
            <w:tcW w:w="42" w:type="pct"/>
            <w:tcMar>
              <w:top w:w="0" w:type="dxa"/>
              <w:left w:w="60" w:type="dxa"/>
              <w:bottom w:w="0" w:type="dxa"/>
              <w:right w:w="0" w:type="dxa"/>
            </w:tcMar>
            <w:vAlign w:val="bottom"/>
            <w:hideMark/>
          </w:tcPr>
          <w:p w:rsidR="00000000" w:rsidRDefault="00406BD4">
            <w:pPr>
              <w:pStyle w:val="a3"/>
              <w:spacing w:before="0" w:beforeAutospacing="0" w:after="0" w:afterAutospacing="0"/>
              <w:rPr>
                <w:sz w:val="20"/>
                <w:szCs w:val="20"/>
              </w:rPr>
            </w:pPr>
            <w:r>
              <w:rPr>
                <w:sz w:val="20"/>
                <w:szCs w:val="20"/>
              </w:rPr>
              <w:t> </w:t>
            </w:r>
          </w:p>
        </w:tc>
        <w:tc>
          <w:tcPr>
            <w:tcW w:w="499" w:type="pct"/>
            <w:hideMark/>
          </w:tcPr>
          <w:p w:rsidR="00000000" w:rsidRDefault="00406BD4">
            <w:pPr>
              <w:pStyle w:val="a3"/>
              <w:spacing w:before="0" w:beforeAutospacing="0" w:after="0" w:afterAutospacing="0"/>
              <w:jc w:val="center"/>
              <w:rPr>
                <w:sz w:val="20"/>
                <w:szCs w:val="20"/>
              </w:rPr>
            </w:pPr>
            <w:r>
              <w:rPr>
                <w:sz w:val="20"/>
                <w:szCs w:val="20"/>
              </w:rPr>
              <w:t> </w:t>
            </w:r>
          </w:p>
        </w:tc>
      </w:tr>
    </w:tbl>
    <w:p w:rsidR="00000000" w:rsidRDefault="00406BD4">
      <w:pPr>
        <w:pStyle w:val="a3"/>
        <w:pBdr>
          <w:bottom w:val="single" w:sz="8" w:space="1" w:color="auto"/>
        </w:pBdr>
        <w:spacing w:before="0" w:beforeAutospacing="0" w:after="0" w:afterAutospacing="0"/>
        <w:ind w:right="988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406BD4">
            <w:pPr>
              <w:pStyle w:val="a3"/>
              <w:spacing w:before="40" w:beforeAutospacing="0" w:after="0" w:afterAutospacing="0"/>
              <w:rPr>
                <w:sz w:val="20"/>
                <w:szCs w:val="20"/>
              </w:rPr>
            </w:pPr>
            <w:r>
              <w:rPr>
                <w:sz w:val="20"/>
                <w:szCs w:val="20"/>
              </w:rPr>
              <w:t>*</w:t>
            </w:r>
          </w:p>
        </w:tc>
        <w:tc>
          <w:tcPr>
            <w:tcW w:w="0" w:type="auto"/>
            <w:hideMark/>
          </w:tcPr>
          <w:p w:rsidR="00000000" w:rsidRDefault="00406BD4">
            <w:pPr>
              <w:pStyle w:val="a3"/>
              <w:spacing w:before="40" w:beforeAutospacing="0" w:after="0" w:afterAutospacing="0"/>
              <w:rPr>
                <w:sz w:val="20"/>
                <w:szCs w:val="20"/>
              </w:rPr>
            </w:pPr>
            <w:r>
              <w:rPr>
                <w:sz w:val="20"/>
                <w:szCs w:val="20"/>
              </w:rPr>
              <w:t>Furnished herewith.</w:t>
            </w:r>
            <w:r>
              <w:rPr>
                <w:sz w:val="18"/>
                <w:szCs w:val="18"/>
              </w:rPr>
              <w:t xml:space="preserve"> </w:t>
            </w:r>
          </w:p>
        </w:tc>
      </w:tr>
    </w:tbl>
    <w:p w:rsidR="00000000" w:rsidRDefault="00406BD4">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406BD4">
            <w:pPr>
              <w:pStyle w:val="a3"/>
              <w:spacing w:before="40" w:beforeAutospacing="0" w:after="0" w:afterAutospacing="0"/>
              <w:rPr>
                <w:sz w:val="18"/>
                <w:szCs w:val="18"/>
              </w:rPr>
            </w:pPr>
            <w:r>
              <w:rPr>
                <w:sz w:val="18"/>
                <w:szCs w:val="18"/>
              </w:rPr>
              <w:t>^</w:t>
            </w:r>
          </w:p>
        </w:tc>
        <w:tc>
          <w:tcPr>
            <w:tcW w:w="0" w:type="auto"/>
            <w:hideMark/>
          </w:tcPr>
          <w:p w:rsidR="00000000" w:rsidRDefault="00406BD4">
            <w:pPr>
              <w:pStyle w:val="a3"/>
              <w:spacing w:before="40" w:beforeAutospacing="0" w:after="0" w:afterAutospacing="0"/>
              <w:rPr>
                <w:sz w:val="18"/>
                <w:szCs w:val="18"/>
              </w:rPr>
            </w:pPr>
            <w:r>
              <w:rPr>
                <w:sz w:val="18"/>
                <w:szCs w:val="18"/>
              </w:rPr>
              <w:t>Certain exhibits and schedules have been omitted pursuant to Item 601(a)(5) of Regulation S-K. The Company hereby undertakes to furnish supplementally a copy of any omitted exhibit or schedule upon request by the SEC.</w:t>
            </w:r>
          </w:p>
        </w:tc>
      </w:tr>
    </w:tbl>
    <w:p w:rsidR="00000000" w:rsidRDefault="00406BD4">
      <w:pPr>
        <w:pStyle w:val="a3"/>
        <w:spacing w:before="240" w:beforeAutospacing="0" w:after="0" w:afterAutospacing="0"/>
        <w:jc w:val="center"/>
        <w:rPr>
          <w:sz w:val="20"/>
          <w:szCs w:val="20"/>
        </w:rPr>
      </w:pPr>
      <w:r>
        <w:rPr>
          <w:sz w:val="20"/>
          <w:szCs w:val="20"/>
        </w:rPr>
        <w:t>62</w:t>
      </w:r>
    </w:p>
    <w:p w:rsidR="00000000" w:rsidRDefault="00406BD4">
      <w:pPr>
        <w:rPr>
          <w:rFonts w:eastAsia="Times New Roman"/>
        </w:rPr>
      </w:pPr>
      <w:r>
        <w:rPr>
          <w:rFonts w:eastAsia="Times New Roman"/>
        </w:rPr>
        <w:pict>
          <v:rect id="_x0000_i1088" style="width:415.3pt;height:1.5pt" o:hralign="center" o:hrstd="t" o:hr="t" fillcolor="#a0a0a0" stroked="f"/>
        </w:pict>
      </w:r>
    </w:p>
    <w:p w:rsidR="00000000" w:rsidRDefault="00406BD4">
      <w:pPr>
        <w:pStyle w:val="a3"/>
        <w:spacing w:before="0" w:beforeAutospacing="0" w:after="0" w:afterAutospacing="0"/>
        <w:rPr>
          <w:sz w:val="20"/>
          <w:szCs w:val="20"/>
        </w:rPr>
      </w:pPr>
      <w:r>
        <w:rPr>
          <w:sz w:val="20"/>
          <w:szCs w:val="20"/>
        </w:rPr>
        <w:t> </w:t>
      </w:r>
    </w:p>
    <w:p w:rsidR="00000000" w:rsidRDefault="00406BD4">
      <w:pPr>
        <w:pStyle w:val="a3"/>
        <w:spacing w:before="0" w:beforeAutospacing="0" w:after="0" w:afterAutospacing="0"/>
        <w:jc w:val="center"/>
        <w:rPr>
          <w:b/>
          <w:bCs/>
          <w:sz w:val="20"/>
          <w:szCs w:val="20"/>
        </w:rPr>
      </w:pPr>
      <w:bookmarkStart w:id="88" w:name="SIGNATURES"/>
      <w:bookmarkEnd w:id="88"/>
      <w:r>
        <w:rPr>
          <w:b/>
          <w:bCs/>
          <w:sz w:val="20"/>
          <w:szCs w:val="20"/>
        </w:rPr>
        <w:t>SIGNATURES</w:t>
      </w:r>
    </w:p>
    <w:p w:rsidR="00000000" w:rsidRDefault="00406BD4">
      <w:pPr>
        <w:pStyle w:val="a3"/>
        <w:spacing w:before="240" w:beforeAutospacing="0" w:after="0" w:afterAutospacing="0"/>
        <w:ind w:firstLine="556"/>
        <w:rPr>
          <w:sz w:val="20"/>
          <w:szCs w:val="20"/>
        </w:rPr>
      </w:pPr>
      <w:r>
        <w:rPr>
          <w:sz w:val="20"/>
          <w:szCs w:val="20"/>
        </w:rPr>
        <w:t>Pursuant to the requirements of the Securities Exchange Act of 1934, the registrant has duly caus</w:t>
      </w:r>
      <w:r>
        <w:rPr>
          <w:sz w:val="20"/>
          <w:szCs w:val="20"/>
        </w:rPr>
        <w:t>ed this report to be signed on its behalf by the undersigned thereunto duly authorized.</w:t>
      </w:r>
    </w:p>
    <w:p w:rsidR="00000000" w:rsidRDefault="00406BD4">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423"/>
        <w:gridCol w:w="75"/>
        <w:gridCol w:w="304"/>
        <w:gridCol w:w="3504"/>
      </w:tblGrid>
      <w:tr w:rsidR="00000000">
        <w:trPr>
          <w:divId w:val="362942512"/>
          <w:jc w:val="center"/>
        </w:trPr>
        <w:tc>
          <w:tcPr>
            <w:tcW w:w="2950" w:type="pct"/>
            <w:shd w:val="clear" w:color="auto" w:fill="FFFFFF"/>
            <w:tcMar>
              <w:top w:w="15" w:type="dxa"/>
              <w:left w:w="0" w:type="dxa"/>
              <w:bottom w:w="0" w:type="dxa"/>
              <w:right w:w="15" w:type="dxa"/>
            </w:tcMar>
            <w:hideMark/>
          </w:tcPr>
          <w:p w:rsidR="00000000" w:rsidRDefault="00406BD4">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2000" w:type="pct"/>
            <w:gridSpan w:val="2"/>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FULGENT GENETICS, INC.</w:t>
            </w:r>
          </w:p>
        </w:tc>
      </w:tr>
      <w:tr w:rsidR="00000000">
        <w:trPr>
          <w:divId w:val="362942512"/>
          <w:jc w:val="center"/>
        </w:trPr>
        <w:tc>
          <w:tcPr>
            <w:tcW w:w="2950" w:type="pct"/>
            <w:shd w:val="clear" w:color="auto" w:fill="FFFFFF"/>
            <w:tcMar>
              <w:top w:w="15" w:type="dxa"/>
              <w:left w:w="0" w:type="dxa"/>
              <w:bottom w:w="0" w:type="dxa"/>
              <w:right w:w="15" w:type="dxa"/>
            </w:tcMar>
            <w:vAlign w:val="center"/>
            <w:hideMark/>
          </w:tcPr>
          <w:p w:rsidR="00000000" w:rsidRDefault="00406BD4">
            <w:pPr>
              <w:pStyle w:val="a3"/>
              <w:spacing w:before="0" w:beforeAutospacing="0" w:after="0" w:afterAutospacing="0"/>
              <w:rPr>
                <w:color w:val="000000"/>
              </w:rPr>
            </w:pPr>
            <w:r>
              <w:rPr>
                <w:color w:val="00000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rPr>
            </w:pPr>
            <w:r>
              <w:rPr>
                <w:color w:val="000000"/>
              </w:rPr>
              <w:t> </w:t>
            </w:r>
          </w:p>
        </w:tc>
        <w:tc>
          <w:tcPr>
            <w:tcW w:w="1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rPr>
            </w:pPr>
            <w:r>
              <w:rPr>
                <w:color w:val="000000"/>
              </w:rPr>
              <w:t> </w:t>
            </w:r>
          </w:p>
        </w:tc>
        <w:tc>
          <w:tcPr>
            <w:tcW w:w="18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rPr>
            </w:pPr>
            <w:r>
              <w:rPr>
                <w:color w:val="000000"/>
              </w:rPr>
              <w:t> </w:t>
            </w:r>
          </w:p>
        </w:tc>
      </w:tr>
      <w:tr w:rsidR="00000000">
        <w:trPr>
          <w:divId w:val="362942512"/>
          <w:jc w:val="center"/>
        </w:trPr>
        <w:tc>
          <w:tcPr>
            <w:tcW w:w="29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Date: November 9, 2020</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By:</w:t>
            </w:r>
          </w:p>
        </w:tc>
        <w:tc>
          <w:tcPr>
            <w:tcW w:w="1850" w:type="pct"/>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/s/ </w:t>
            </w:r>
            <w:r>
              <w:rPr>
                <w:smallCaps/>
                <w:color w:val="000000"/>
                <w:sz w:val="20"/>
                <w:szCs w:val="20"/>
              </w:rPr>
              <w:t>Ming Hsieh</w:t>
            </w:r>
          </w:p>
        </w:tc>
      </w:tr>
      <w:tr w:rsidR="00000000">
        <w:trPr>
          <w:divId w:val="362942512"/>
          <w:jc w:val="center"/>
        </w:trPr>
        <w:tc>
          <w:tcPr>
            <w:tcW w:w="29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center"/>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1850"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Ming Hsieh</w:t>
            </w:r>
          </w:p>
        </w:tc>
      </w:tr>
      <w:tr w:rsidR="00000000">
        <w:trPr>
          <w:divId w:val="362942512"/>
          <w:trHeight w:val="345"/>
          <w:jc w:val="center"/>
        </w:trPr>
        <w:tc>
          <w:tcPr>
            <w:tcW w:w="29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18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President, Chief Executive Officer</w:t>
            </w:r>
          </w:p>
          <w:p w:rsidR="00000000" w:rsidRDefault="00406BD4">
            <w:pPr>
              <w:pStyle w:val="a3"/>
              <w:spacing w:before="0" w:beforeAutospacing="0" w:after="0" w:afterAutospacing="0"/>
              <w:jc w:val="center"/>
              <w:rPr>
                <w:i/>
                <w:iCs/>
                <w:color w:val="000000"/>
                <w:sz w:val="20"/>
                <w:szCs w:val="20"/>
              </w:rPr>
            </w:pPr>
            <w:r>
              <w:rPr>
                <w:i/>
                <w:iCs/>
                <w:color w:val="000000"/>
                <w:sz w:val="20"/>
                <w:szCs w:val="20"/>
              </w:rPr>
              <w:t>(principal executive officer)</w:t>
            </w:r>
          </w:p>
        </w:tc>
      </w:tr>
      <w:tr w:rsidR="00000000">
        <w:trPr>
          <w:divId w:val="362942512"/>
          <w:jc w:val="center"/>
        </w:trPr>
        <w:tc>
          <w:tcPr>
            <w:tcW w:w="2950" w:type="pct"/>
            <w:shd w:val="clear" w:color="auto" w:fill="FFFFFF"/>
            <w:tcMar>
              <w:top w:w="15" w:type="dxa"/>
              <w:left w:w="0" w:type="dxa"/>
              <w:bottom w:w="0" w:type="dxa"/>
              <w:right w:w="15" w:type="dxa"/>
            </w:tcMar>
            <w:vAlign w:val="center"/>
            <w:hideMark/>
          </w:tcPr>
          <w:p w:rsidR="00000000" w:rsidRDefault="00406BD4">
            <w:pPr>
              <w:pStyle w:val="a3"/>
              <w:spacing w:before="0" w:beforeAutospacing="0" w:after="0" w:afterAutospacing="0"/>
            </w:pPr>
            <w: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rPr>
            </w:pPr>
            <w:r>
              <w:rPr>
                <w:color w:val="000000"/>
              </w:rPr>
              <w:t> </w:t>
            </w:r>
          </w:p>
        </w:tc>
        <w:tc>
          <w:tcPr>
            <w:tcW w:w="1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rPr>
            </w:pPr>
            <w:r>
              <w:rPr>
                <w:color w:val="000000"/>
              </w:rPr>
              <w:t> </w:t>
            </w:r>
          </w:p>
        </w:tc>
        <w:tc>
          <w:tcPr>
            <w:tcW w:w="18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rPr>
            </w:pPr>
            <w:r>
              <w:rPr>
                <w:color w:val="000000"/>
              </w:rPr>
              <w:t> </w:t>
            </w:r>
          </w:p>
        </w:tc>
      </w:tr>
      <w:tr w:rsidR="00000000">
        <w:trPr>
          <w:divId w:val="362942512"/>
          <w:jc w:val="center"/>
        </w:trPr>
        <w:tc>
          <w:tcPr>
            <w:tcW w:w="29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Date: November 9, 2020</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By:</w:t>
            </w:r>
          </w:p>
        </w:tc>
        <w:tc>
          <w:tcPr>
            <w:tcW w:w="1850" w:type="pct"/>
            <w:tcBorders>
              <w:bottom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/s/ </w:t>
            </w:r>
            <w:r>
              <w:rPr>
                <w:smallCaps/>
                <w:color w:val="000000"/>
                <w:sz w:val="20"/>
                <w:szCs w:val="20"/>
              </w:rPr>
              <w:t>Paul Kim</w:t>
            </w:r>
          </w:p>
        </w:tc>
      </w:tr>
      <w:tr w:rsidR="00000000">
        <w:trPr>
          <w:divId w:val="362942512"/>
          <w:jc w:val="center"/>
        </w:trPr>
        <w:tc>
          <w:tcPr>
            <w:tcW w:w="29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center"/>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1850" w:type="pct"/>
            <w:tcBorders>
              <w:top w:val="single" w:sz="6" w:space="0" w:color="000000"/>
            </w:tcBorders>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Paul Kim</w:t>
            </w:r>
          </w:p>
        </w:tc>
      </w:tr>
      <w:tr w:rsidR="00000000">
        <w:trPr>
          <w:divId w:val="362942512"/>
          <w:jc w:val="center"/>
        </w:trPr>
        <w:tc>
          <w:tcPr>
            <w:tcW w:w="29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rPr>
                <w:b/>
                <w:bCs/>
                <w:color w:val="000000"/>
                <w:sz w:val="20"/>
                <w:szCs w:val="20"/>
              </w:rPr>
            </w:pPr>
            <w:r>
              <w:rPr>
                <w:b/>
                <w:bCs/>
                <w:color w:val="000000"/>
                <w:sz w:val="20"/>
                <w:szCs w:val="20"/>
              </w:rPr>
              <w:t> </w:t>
            </w:r>
          </w:p>
        </w:tc>
        <w:tc>
          <w:tcPr>
            <w:tcW w:w="1850" w:type="pct"/>
            <w:shd w:val="clear" w:color="auto" w:fill="FFFFFF"/>
            <w:tcMar>
              <w:top w:w="15" w:type="dxa"/>
              <w:left w:w="0" w:type="dxa"/>
              <w:bottom w:w="0" w:type="dxa"/>
              <w:right w:w="15" w:type="dxa"/>
            </w:tcMar>
            <w:vAlign w:val="bottom"/>
            <w:hideMark/>
          </w:tcPr>
          <w:p w:rsidR="00000000" w:rsidRDefault="00406BD4">
            <w:pPr>
              <w:pStyle w:val="a3"/>
              <w:spacing w:before="0" w:beforeAutospacing="0" w:after="0" w:afterAutospacing="0"/>
              <w:jc w:val="center"/>
              <w:rPr>
                <w:color w:val="000000"/>
                <w:sz w:val="20"/>
                <w:szCs w:val="20"/>
              </w:rPr>
            </w:pPr>
            <w:r>
              <w:rPr>
                <w:color w:val="000000"/>
                <w:sz w:val="20"/>
                <w:szCs w:val="20"/>
              </w:rPr>
              <w:t>Chief Financial Officer</w:t>
            </w:r>
          </w:p>
          <w:p w:rsidR="00000000" w:rsidRDefault="00406BD4">
            <w:pPr>
              <w:pStyle w:val="a3"/>
              <w:spacing w:before="0" w:beforeAutospacing="0" w:after="0" w:afterAutospacing="0"/>
              <w:jc w:val="center"/>
              <w:rPr>
                <w:i/>
                <w:iCs/>
                <w:color w:val="000000"/>
                <w:sz w:val="20"/>
                <w:szCs w:val="20"/>
              </w:rPr>
            </w:pPr>
            <w:r>
              <w:rPr>
                <w:i/>
                <w:iCs/>
                <w:color w:val="000000"/>
                <w:sz w:val="20"/>
                <w:szCs w:val="20"/>
              </w:rPr>
              <w:t>(principal financial and accounting officer)</w:t>
            </w:r>
          </w:p>
        </w:tc>
      </w:tr>
    </w:tbl>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0" w:beforeAutospacing="0" w:after="0" w:afterAutospacing="0"/>
        <w:rPr>
          <w:sz w:val="18"/>
          <w:szCs w:val="18"/>
        </w:rPr>
      </w:pPr>
      <w:r>
        <w:rPr>
          <w:sz w:val="18"/>
          <w:szCs w:val="18"/>
        </w:rPr>
        <w:t> </w:t>
      </w:r>
    </w:p>
    <w:p w:rsidR="00000000" w:rsidRDefault="00406BD4">
      <w:pPr>
        <w:pStyle w:val="a3"/>
        <w:spacing w:before="0" w:beforeAutospacing="0" w:after="0" w:afterAutospacing="0"/>
        <w:rPr>
          <w:sz w:val="18"/>
          <w:szCs w:val="18"/>
        </w:rPr>
      </w:pPr>
      <w:r>
        <w:rPr>
          <w:sz w:val="18"/>
          <w:szCs w:val="18"/>
        </w:rPr>
        <w:t> </w:t>
      </w:r>
    </w:p>
    <w:p w:rsidR="00406BD4" w:rsidRDefault="00406BD4">
      <w:pPr>
        <w:pStyle w:val="a3"/>
        <w:spacing w:before="240" w:beforeAutospacing="0" w:after="0" w:afterAutospacing="0"/>
        <w:jc w:val="center"/>
        <w:rPr>
          <w:sz w:val="20"/>
          <w:szCs w:val="20"/>
        </w:rPr>
      </w:pPr>
      <w:r>
        <w:rPr>
          <w:sz w:val="20"/>
          <w:szCs w:val="20"/>
        </w:rPr>
        <w:t>63</w:t>
      </w:r>
    </w:p>
    <w:sectPr w:rsidR="00406BD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06BD4"/>
    <w:rsid w:val="00406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1514">
      <w:marLeft w:val="0"/>
      <w:marRight w:val="0"/>
      <w:marTop w:val="0"/>
      <w:marBottom w:val="0"/>
      <w:divBdr>
        <w:top w:val="none" w:sz="0" w:space="0" w:color="auto"/>
        <w:left w:val="none" w:sz="0" w:space="0" w:color="auto"/>
        <w:bottom w:val="none" w:sz="0" w:space="0" w:color="auto"/>
        <w:right w:val="none" w:sz="0" w:space="0" w:color="auto"/>
      </w:divBdr>
    </w:div>
    <w:div w:id="67769471">
      <w:marLeft w:val="0"/>
      <w:marRight w:val="0"/>
      <w:marTop w:val="0"/>
      <w:marBottom w:val="0"/>
      <w:divBdr>
        <w:top w:val="none" w:sz="0" w:space="0" w:color="auto"/>
        <w:left w:val="none" w:sz="0" w:space="0" w:color="auto"/>
        <w:bottom w:val="none" w:sz="0" w:space="0" w:color="auto"/>
        <w:right w:val="none" w:sz="0" w:space="0" w:color="auto"/>
      </w:divBdr>
    </w:div>
    <w:div w:id="225066032">
      <w:marLeft w:val="0"/>
      <w:marRight w:val="0"/>
      <w:marTop w:val="0"/>
      <w:marBottom w:val="0"/>
      <w:divBdr>
        <w:top w:val="none" w:sz="0" w:space="0" w:color="auto"/>
        <w:left w:val="none" w:sz="0" w:space="0" w:color="auto"/>
        <w:bottom w:val="none" w:sz="0" w:space="0" w:color="auto"/>
        <w:right w:val="none" w:sz="0" w:space="0" w:color="auto"/>
      </w:divBdr>
    </w:div>
    <w:div w:id="236403775">
      <w:marLeft w:val="0"/>
      <w:marRight w:val="0"/>
      <w:marTop w:val="0"/>
      <w:marBottom w:val="0"/>
      <w:divBdr>
        <w:top w:val="none" w:sz="0" w:space="0" w:color="auto"/>
        <w:left w:val="none" w:sz="0" w:space="0" w:color="auto"/>
        <w:bottom w:val="none" w:sz="0" w:space="0" w:color="auto"/>
        <w:right w:val="none" w:sz="0" w:space="0" w:color="auto"/>
      </w:divBdr>
    </w:div>
    <w:div w:id="263726789">
      <w:marLeft w:val="0"/>
      <w:marRight w:val="0"/>
      <w:marTop w:val="0"/>
      <w:marBottom w:val="0"/>
      <w:divBdr>
        <w:top w:val="none" w:sz="0" w:space="0" w:color="auto"/>
        <w:left w:val="none" w:sz="0" w:space="0" w:color="auto"/>
        <w:bottom w:val="none" w:sz="0" w:space="0" w:color="auto"/>
        <w:right w:val="none" w:sz="0" w:space="0" w:color="auto"/>
      </w:divBdr>
    </w:div>
    <w:div w:id="362942512">
      <w:marLeft w:val="0"/>
      <w:marRight w:val="0"/>
      <w:marTop w:val="0"/>
      <w:marBottom w:val="0"/>
      <w:divBdr>
        <w:top w:val="none" w:sz="0" w:space="0" w:color="auto"/>
        <w:left w:val="none" w:sz="0" w:space="0" w:color="auto"/>
        <w:bottom w:val="none" w:sz="0" w:space="0" w:color="auto"/>
        <w:right w:val="none" w:sz="0" w:space="0" w:color="auto"/>
      </w:divBdr>
    </w:div>
    <w:div w:id="497500265">
      <w:marLeft w:val="0"/>
      <w:marRight w:val="0"/>
      <w:marTop w:val="0"/>
      <w:marBottom w:val="0"/>
      <w:divBdr>
        <w:top w:val="none" w:sz="0" w:space="0" w:color="auto"/>
        <w:left w:val="none" w:sz="0" w:space="0" w:color="auto"/>
        <w:bottom w:val="none" w:sz="0" w:space="0" w:color="auto"/>
        <w:right w:val="none" w:sz="0" w:space="0" w:color="auto"/>
      </w:divBdr>
    </w:div>
    <w:div w:id="502427928">
      <w:marLeft w:val="0"/>
      <w:marRight w:val="0"/>
      <w:marTop w:val="0"/>
      <w:marBottom w:val="0"/>
      <w:divBdr>
        <w:top w:val="none" w:sz="0" w:space="0" w:color="auto"/>
        <w:left w:val="none" w:sz="0" w:space="0" w:color="auto"/>
        <w:bottom w:val="none" w:sz="0" w:space="0" w:color="auto"/>
        <w:right w:val="none" w:sz="0" w:space="0" w:color="auto"/>
      </w:divBdr>
    </w:div>
    <w:div w:id="649407111">
      <w:marLeft w:val="0"/>
      <w:marRight w:val="0"/>
      <w:marTop w:val="0"/>
      <w:marBottom w:val="0"/>
      <w:divBdr>
        <w:top w:val="none" w:sz="0" w:space="0" w:color="auto"/>
        <w:left w:val="none" w:sz="0" w:space="0" w:color="auto"/>
        <w:bottom w:val="none" w:sz="0" w:space="0" w:color="auto"/>
        <w:right w:val="none" w:sz="0" w:space="0" w:color="auto"/>
      </w:divBdr>
    </w:div>
    <w:div w:id="708381807">
      <w:marLeft w:val="0"/>
      <w:marRight w:val="0"/>
      <w:marTop w:val="0"/>
      <w:marBottom w:val="0"/>
      <w:divBdr>
        <w:top w:val="none" w:sz="0" w:space="0" w:color="auto"/>
        <w:left w:val="none" w:sz="0" w:space="0" w:color="auto"/>
        <w:bottom w:val="none" w:sz="0" w:space="0" w:color="auto"/>
        <w:right w:val="none" w:sz="0" w:space="0" w:color="auto"/>
      </w:divBdr>
    </w:div>
    <w:div w:id="730815135">
      <w:marLeft w:val="0"/>
      <w:marRight w:val="0"/>
      <w:marTop w:val="0"/>
      <w:marBottom w:val="0"/>
      <w:divBdr>
        <w:top w:val="none" w:sz="0" w:space="0" w:color="auto"/>
        <w:left w:val="none" w:sz="0" w:space="0" w:color="auto"/>
        <w:bottom w:val="none" w:sz="0" w:space="0" w:color="auto"/>
        <w:right w:val="none" w:sz="0" w:space="0" w:color="auto"/>
      </w:divBdr>
    </w:div>
    <w:div w:id="778371606">
      <w:marLeft w:val="0"/>
      <w:marRight w:val="0"/>
      <w:marTop w:val="0"/>
      <w:marBottom w:val="0"/>
      <w:divBdr>
        <w:top w:val="none" w:sz="0" w:space="0" w:color="auto"/>
        <w:left w:val="none" w:sz="0" w:space="0" w:color="auto"/>
        <w:bottom w:val="none" w:sz="0" w:space="0" w:color="auto"/>
        <w:right w:val="none" w:sz="0" w:space="0" w:color="auto"/>
      </w:divBdr>
    </w:div>
    <w:div w:id="883098524">
      <w:marLeft w:val="0"/>
      <w:marRight w:val="0"/>
      <w:marTop w:val="0"/>
      <w:marBottom w:val="0"/>
      <w:divBdr>
        <w:top w:val="none" w:sz="0" w:space="0" w:color="auto"/>
        <w:left w:val="none" w:sz="0" w:space="0" w:color="auto"/>
        <w:bottom w:val="none" w:sz="0" w:space="0" w:color="auto"/>
        <w:right w:val="none" w:sz="0" w:space="0" w:color="auto"/>
      </w:divBdr>
    </w:div>
    <w:div w:id="1093815656">
      <w:marLeft w:val="0"/>
      <w:marRight w:val="0"/>
      <w:marTop w:val="0"/>
      <w:marBottom w:val="0"/>
      <w:divBdr>
        <w:top w:val="none" w:sz="0" w:space="0" w:color="auto"/>
        <w:left w:val="none" w:sz="0" w:space="0" w:color="auto"/>
        <w:bottom w:val="none" w:sz="0" w:space="0" w:color="auto"/>
        <w:right w:val="none" w:sz="0" w:space="0" w:color="auto"/>
      </w:divBdr>
    </w:div>
    <w:div w:id="1105807501">
      <w:marLeft w:val="0"/>
      <w:marRight w:val="0"/>
      <w:marTop w:val="0"/>
      <w:marBottom w:val="0"/>
      <w:divBdr>
        <w:top w:val="none" w:sz="0" w:space="0" w:color="auto"/>
        <w:left w:val="none" w:sz="0" w:space="0" w:color="auto"/>
        <w:bottom w:val="none" w:sz="0" w:space="0" w:color="auto"/>
        <w:right w:val="none" w:sz="0" w:space="0" w:color="auto"/>
      </w:divBdr>
    </w:div>
    <w:div w:id="1157959070">
      <w:marLeft w:val="0"/>
      <w:marRight w:val="0"/>
      <w:marTop w:val="0"/>
      <w:marBottom w:val="0"/>
      <w:divBdr>
        <w:top w:val="none" w:sz="0" w:space="0" w:color="auto"/>
        <w:left w:val="none" w:sz="0" w:space="0" w:color="auto"/>
        <w:bottom w:val="none" w:sz="0" w:space="0" w:color="auto"/>
        <w:right w:val="none" w:sz="0" w:space="0" w:color="auto"/>
      </w:divBdr>
    </w:div>
    <w:div w:id="1233463945">
      <w:marLeft w:val="0"/>
      <w:marRight w:val="0"/>
      <w:marTop w:val="0"/>
      <w:marBottom w:val="0"/>
      <w:divBdr>
        <w:top w:val="none" w:sz="0" w:space="0" w:color="auto"/>
        <w:left w:val="none" w:sz="0" w:space="0" w:color="auto"/>
        <w:bottom w:val="none" w:sz="0" w:space="0" w:color="auto"/>
        <w:right w:val="none" w:sz="0" w:space="0" w:color="auto"/>
      </w:divBdr>
    </w:div>
    <w:div w:id="1290747804">
      <w:marLeft w:val="0"/>
      <w:marRight w:val="0"/>
      <w:marTop w:val="0"/>
      <w:marBottom w:val="0"/>
      <w:divBdr>
        <w:top w:val="none" w:sz="0" w:space="0" w:color="auto"/>
        <w:left w:val="none" w:sz="0" w:space="0" w:color="auto"/>
        <w:bottom w:val="none" w:sz="0" w:space="0" w:color="auto"/>
        <w:right w:val="none" w:sz="0" w:space="0" w:color="auto"/>
      </w:divBdr>
    </w:div>
    <w:div w:id="1435706397">
      <w:marLeft w:val="0"/>
      <w:marRight w:val="0"/>
      <w:marTop w:val="0"/>
      <w:marBottom w:val="0"/>
      <w:divBdr>
        <w:top w:val="none" w:sz="0" w:space="0" w:color="auto"/>
        <w:left w:val="none" w:sz="0" w:space="0" w:color="auto"/>
        <w:bottom w:val="none" w:sz="0" w:space="0" w:color="auto"/>
        <w:right w:val="none" w:sz="0" w:space="0" w:color="auto"/>
      </w:divBdr>
    </w:div>
    <w:div w:id="1472677871">
      <w:marLeft w:val="0"/>
      <w:marRight w:val="0"/>
      <w:marTop w:val="0"/>
      <w:marBottom w:val="0"/>
      <w:divBdr>
        <w:top w:val="none" w:sz="0" w:space="0" w:color="auto"/>
        <w:left w:val="none" w:sz="0" w:space="0" w:color="auto"/>
        <w:bottom w:val="none" w:sz="0" w:space="0" w:color="auto"/>
        <w:right w:val="none" w:sz="0" w:space="0" w:color="auto"/>
      </w:divBdr>
    </w:div>
    <w:div w:id="1546258507">
      <w:marLeft w:val="0"/>
      <w:marRight w:val="0"/>
      <w:marTop w:val="0"/>
      <w:marBottom w:val="0"/>
      <w:divBdr>
        <w:top w:val="none" w:sz="0" w:space="0" w:color="auto"/>
        <w:left w:val="none" w:sz="0" w:space="0" w:color="auto"/>
        <w:bottom w:val="none" w:sz="0" w:space="0" w:color="auto"/>
        <w:right w:val="none" w:sz="0" w:space="0" w:color="auto"/>
      </w:divBdr>
    </w:div>
    <w:div w:id="1643272606">
      <w:marLeft w:val="0"/>
      <w:marRight w:val="0"/>
      <w:marTop w:val="0"/>
      <w:marBottom w:val="0"/>
      <w:divBdr>
        <w:top w:val="none" w:sz="0" w:space="0" w:color="auto"/>
        <w:left w:val="none" w:sz="0" w:space="0" w:color="auto"/>
        <w:bottom w:val="none" w:sz="0" w:space="0" w:color="auto"/>
        <w:right w:val="none" w:sz="0" w:space="0" w:color="auto"/>
      </w:divBdr>
    </w:div>
    <w:div w:id="1685088500">
      <w:marLeft w:val="0"/>
      <w:marRight w:val="0"/>
      <w:marTop w:val="0"/>
      <w:marBottom w:val="0"/>
      <w:divBdr>
        <w:top w:val="none" w:sz="0" w:space="0" w:color="auto"/>
        <w:left w:val="none" w:sz="0" w:space="0" w:color="auto"/>
        <w:bottom w:val="none" w:sz="0" w:space="0" w:color="auto"/>
        <w:right w:val="none" w:sz="0" w:space="0" w:color="auto"/>
      </w:divBdr>
    </w:div>
    <w:div w:id="1735008131">
      <w:marLeft w:val="0"/>
      <w:marRight w:val="0"/>
      <w:marTop w:val="0"/>
      <w:marBottom w:val="0"/>
      <w:divBdr>
        <w:top w:val="none" w:sz="0" w:space="0" w:color="auto"/>
        <w:left w:val="none" w:sz="0" w:space="0" w:color="auto"/>
        <w:bottom w:val="none" w:sz="0" w:space="0" w:color="auto"/>
        <w:right w:val="none" w:sz="0" w:space="0" w:color="auto"/>
      </w:divBdr>
    </w:div>
    <w:div w:id="1824155361">
      <w:marLeft w:val="0"/>
      <w:marRight w:val="0"/>
      <w:marTop w:val="0"/>
      <w:marBottom w:val="0"/>
      <w:divBdr>
        <w:top w:val="none" w:sz="0" w:space="0" w:color="auto"/>
        <w:left w:val="none" w:sz="0" w:space="0" w:color="auto"/>
        <w:bottom w:val="none" w:sz="0" w:space="0" w:color="auto"/>
        <w:right w:val="none" w:sz="0" w:space="0" w:color="auto"/>
      </w:divBdr>
    </w:div>
    <w:div w:id="1865049221">
      <w:marLeft w:val="0"/>
      <w:marRight w:val="0"/>
      <w:marTop w:val="0"/>
      <w:marBottom w:val="0"/>
      <w:divBdr>
        <w:top w:val="none" w:sz="0" w:space="0" w:color="auto"/>
        <w:left w:val="none" w:sz="0" w:space="0" w:color="auto"/>
        <w:bottom w:val="none" w:sz="0" w:space="0" w:color="auto"/>
        <w:right w:val="none" w:sz="0" w:space="0" w:color="auto"/>
      </w:divBdr>
    </w:div>
    <w:div w:id="1865946546">
      <w:marLeft w:val="0"/>
      <w:marRight w:val="0"/>
      <w:marTop w:val="0"/>
      <w:marBottom w:val="0"/>
      <w:divBdr>
        <w:top w:val="none" w:sz="0" w:space="0" w:color="auto"/>
        <w:left w:val="none" w:sz="0" w:space="0" w:color="auto"/>
        <w:bottom w:val="none" w:sz="0" w:space="0" w:color="auto"/>
        <w:right w:val="none" w:sz="0" w:space="0" w:color="auto"/>
      </w:divBdr>
    </w:div>
    <w:div w:id="1869952445">
      <w:marLeft w:val="0"/>
      <w:marRight w:val="0"/>
      <w:marTop w:val="0"/>
      <w:marBottom w:val="0"/>
      <w:divBdr>
        <w:top w:val="none" w:sz="0" w:space="0" w:color="auto"/>
        <w:left w:val="none" w:sz="0" w:space="0" w:color="auto"/>
        <w:bottom w:val="none" w:sz="0" w:space="0" w:color="auto"/>
        <w:right w:val="none" w:sz="0" w:space="0" w:color="auto"/>
      </w:divBdr>
    </w:div>
    <w:div w:id="1950235330">
      <w:marLeft w:val="0"/>
      <w:marRight w:val="0"/>
      <w:marTop w:val="0"/>
      <w:marBottom w:val="0"/>
      <w:divBdr>
        <w:top w:val="none" w:sz="0" w:space="0" w:color="auto"/>
        <w:left w:val="none" w:sz="0" w:space="0" w:color="auto"/>
        <w:bottom w:val="none" w:sz="0" w:space="0" w:color="auto"/>
        <w:right w:val="none" w:sz="0" w:space="0" w:color="auto"/>
      </w:divBdr>
    </w:div>
    <w:div w:id="2023238504">
      <w:marLeft w:val="0"/>
      <w:marRight w:val="0"/>
      <w:marTop w:val="0"/>
      <w:marBottom w:val="0"/>
      <w:divBdr>
        <w:top w:val="none" w:sz="0" w:space="0" w:color="auto"/>
        <w:left w:val="none" w:sz="0" w:space="0" w:color="auto"/>
        <w:bottom w:val="none" w:sz="0" w:space="0" w:color="auto"/>
        <w:right w:val="none" w:sz="0" w:space="0" w:color="auto"/>
      </w:divBdr>
    </w:div>
    <w:div w:id="2081246685">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674930/000156459020047097/flgt-8k_20201020.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sec.gov/Archives/edgar/data/1674930/000156459020047097/flgt-ex21_6.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lgt-ex102_9.htm" TargetMode="External"/><Relationship Id="rId11" Type="http://schemas.openxmlformats.org/officeDocument/2006/relationships/hyperlink" Target="flgt-ex321_8.htm" TargetMode="External"/><Relationship Id="rId5" Type="http://schemas.openxmlformats.org/officeDocument/2006/relationships/hyperlink" Target="http://www.sec.gov/Archives/edgar/data/1674930/000156459020043892/flgt-8k_20200916.htm" TargetMode="External"/><Relationship Id="rId10" Type="http://schemas.openxmlformats.org/officeDocument/2006/relationships/hyperlink" Target="flgt-ex312_7.htm" TargetMode="External"/><Relationship Id="rId4" Type="http://schemas.openxmlformats.org/officeDocument/2006/relationships/hyperlink" Target="http://www.sec.gov/Archives/edgar/data/1674930/000156459020043892/flgt-ex101_6.htm" TargetMode="External"/><Relationship Id="rId9" Type="http://schemas.openxmlformats.org/officeDocument/2006/relationships/hyperlink" Target="flgt-ex311_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43912</Words>
  <Characters>250305</Characters>
  <Application>Microsoft Office Word</Application>
  <DocSecurity>0</DocSecurity>
  <Lines>2085</Lines>
  <Paragraphs>587</Paragraphs>
  <ScaleCrop>false</ScaleCrop>
  <Company/>
  <LinksUpToDate>false</LinksUpToDate>
  <CharactersWithSpaces>293630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flgt-10q_20200930.htm </dc:title>
  <dc:subject/>
  <dc:creator>Chongjian.Yue</dc:creator>
  <cp:keywords/>
  <dc:description/>
  <cp:lastModifiedBy>Yue Chongjian</cp:lastModifiedBy>
  <cp:revision>1</cp:revision>
  <dcterms:created xsi:type="dcterms:W3CDTF">2024-01-04T15:44:00Z</dcterms:created>
  <dcterms:modified xsi:type="dcterms:W3CDTF">2024-01-04T15:44:00Z</dcterms:modified>
</cp:coreProperties>
</file>