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A50CE">
      <w:pPr>
        <w:divId w:val="1926259838"/>
        <w:rPr>
          <w:rFonts w:eastAsia="Times New Roman"/>
          <w:vanish/>
        </w:rPr>
      </w:pPr>
      <w:r>
        <w:rPr>
          <w:rFonts w:eastAsia="Times New Roman"/>
          <w:vanish/>
        </w:rPr>
        <w:t>http://fasb.org/us-gaap/2021-01-31#OtherAssetsNoncurrentJuly 31, 2027http://fasb.org/us-gaap/2021-01-31#OtherLiabilitiesNoncurrenthttp://fasb.org/us-gaap/2021-01-31#OtherLiabilitiesNoncurrentfalse</w:t>
      </w:r>
      <w:r>
        <w:rPr>
          <w:rFonts w:eastAsia="Times New Roman"/>
          <w:vanish/>
        </w:rPr>
        <w:t>http://fasb.org/us-gaap/2021-01-31#OtherAssetsNoncurrent--12-31Q1http://fasb.org/us-gaap/2021-01-31#OtherLiabilitiesCurrenthttp://fasb.org/us-gaap/2021-01-31#OtherLiabilitiesCurrenthttp://fasb.org/us-gaap/2021-01-31#OtherAssetsNoncurrenthttp://fasb.org/us-</w:t>
      </w:r>
      <w:r>
        <w:rPr>
          <w:rFonts w:eastAsia="Times New Roman"/>
          <w:vanish/>
        </w:rPr>
        <w:t>gaap/2021-01-31#OtherAssetsNoncurrenthttp://fasb.org/us-gaap/2021-01-31#OtherLiabilitiesNoncurrenthttp://fasb.org/us-gaap/2021-01-31#OtherLiabilitiesNoncurrenthttp://fasb.org/us-gaap/2021-01-31#AccruedLiabilitiesCurrenthttp://fasb.org/us-gaap/2021-01-31#Ac</w:t>
      </w:r>
      <w:r>
        <w:rPr>
          <w:rFonts w:eastAsia="Times New Roman"/>
          <w:vanish/>
        </w:rPr>
        <w:t>countingStandardsUpdate201613Memberhttp://fasb.org/us-gaap/2021-01-31#AccruedLiabilitiesCurrent00016749300001674930us-gaap:LandMember2021-12-3100016749302021-12-310001674930us-gaap:USGovernmentDebtSecuritiesMemberus-gaap:FairValueMeasurementsRecurringMembe</w:t>
      </w:r>
      <w:r>
        <w:rPr>
          <w:rFonts w:eastAsia="Times New Roman"/>
          <w:vanish/>
        </w:rPr>
        <w:t>r2022-03-310001674930us-gaap:AdditionalPaidInCapitalMember2021-12-310001674930srt:MaximumMemberus-gaap:SoftwareDevelopmentMember2022-01-012022-03-310001674930us-gaap:LandImprovementsMember2021-12-310001674930us-gaap:BuildingMember2022-01-012022-03-31000167</w:t>
      </w:r>
      <w:r>
        <w:rPr>
          <w:rFonts w:eastAsia="Times New Roman"/>
          <w:vanish/>
        </w:rPr>
        <w:t>4930flgt:DebtSecuritiesDueAfterOneYearThroughFiveYearsMemberus-gaap:CorporateDebtSecuritiesMember2022-03-3100016749302020-12-310001674930us-gaap:AdditionalPaidInCapitalMember2021-03-310001674930us-gaap:SalesRevenueNetMemberflgt:CustomerOneMemberus-gaap:Cus</w:t>
      </w:r>
      <w:r>
        <w:rPr>
          <w:rFonts w:eastAsia="Times New Roman"/>
          <w:vanish/>
        </w:rPr>
        <w:t>tomerConcentrationRiskMember2021-01-012021-03-310001674930flgt:NovemberTwoThousandTwentyEquityDistributionAgreementMemberus-gaap:CommonStockMember2021-01-012021-03-310001674930us-gaap:FairValueInputsLevel2Memberus-gaap:FairValueMeasurementsRecurringMemberf</w:t>
      </w:r>
      <w:r>
        <w:rPr>
          <w:rFonts w:eastAsia="Times New Roman"/>
          <w:vanish/>
        </w:rPr>
        <w:t>lgt:USAgencyDebtSecuritiesMember2021-12-310001674930us-gaap:LeaseholdImprovementsMember2022-01-012022-03-310001674930us-gaap:AccountingStandardsUpdate201409Member2021-01-012021-03-310001674930us-gaap:BuildingImprovementsMember2021-12-310001674930flgt:Clini</w:t>
      </w:r>
      <w:r>
        <w:rPr>
          <w:rFonts w:eastAsia="Times New Roman"/>
          <w:vanish/>
        </w:rPr>
        <w:t>calPatientContractsMemberus-gaap:AccountingStandardsUpdate201409Member2021-01-012021-03-310001674930flgt:LongTermEquitySecuritiesMember2022-03-310001674930us-gaap:ResearchAndDevelopmentExpenseMember2022-01-012022-03-310001674930us-gaap:GeneralAndAdministra</w:t>
      </w:r>
      <w:r>
        <w:rPr>
          <w:rFonts w:eastAsia="Times New Roman"/>
          <w:vanish/>
        </w:rPr>
        <w:t>tiveExpenseMember2022-01-012022-03-3100016749302021-01-012021-12-310001674930us-gaap:LeaseholdImprovementsMember2021-12-310001674930us-gaap:FairValueMeasurementsRecurringMemberus-gaap:RedeemablePreferredStockMember2021-12-310001674930flgt:PurchasedPatentMe</w:t>
      </w:r>
      <w:r>
        <w:rPr>
          <w:rFonts w:eastAsia="Times New Roman"/>
          <w:vanish/>
        </w:rPr>
        <w:t>mber2022-03-310001674930us-gaap:USGovernmentDebtSecuritiesMemberflgt:DebtSecuritiesDueAfterOneYearThroughFiveYearsMember2021-12-310001674930flgt:ShortTermMarketableSecuritesMemberus-gaap:CorporateDebtSecuritiesMember2021-12-310001674930us-gaap:USGovernment</w:t>
      </w:r>
      <w:r>
        <w:rPr>
          <w:rFonts w:eastAsia="Times New Roman"/>
          <w:vanish/>
        </w:rPr>
        <w:t>DebtSecuritiesMemberus-gaap:FairValueMeasurementsRecurringMember2021-12-310001674930us-gaap:MunicipalBondsMemberflgt:DebtSecuritiesDueAfterOneYearThroughFiveYearsMember2022-03-310001674930us-gaap:FairValueInputsLevel2Memberus-gaap:USGovernmentDebtSecuritie</w:t>
      </w:r>
      <w:r>
        <w:rPr>
          <w:rFonts w:eastAsia="Times New Roman"/>
          <w:vanish/>
        </w:rPr>
        <w:t>sMemberus-gaap:FairValueMeasurementsRecurringMember2021-12-310001674930us-gaap:MunicipalBondsMemberus-gaap:FairValueMeasurementsRecurringMember2022-03-310001674930us-gaap:BuildingMember2022-03-310001674930us-gaap:FairValueInputsLevel2Memberus-gaap:USGovern</w:t>
      </w:r>
      <w:r>
        <w:rPr>
          <w:rFonts w:eastAsia="Times New Roman"/>
          <w:vanish/>
        </w:rPr>
        <w:t>mentDebtSecuritiesMemberus-gaap:FairValueMeasurementsRecurringMember2022-03-310001674930flgt:ClinicalPatientContractsMemberus-gaap:AccountingStandardsUpdate201409Member2022-01-012022-03-310001674930us-gaap:FairValueInputsLevel2Memberflgt:YankeeDebtSecuriti</w:t>
      </w:r>
      <w:r>
        <w:rPr>
          <w:rFonts w:eastAsia="Times New Roman"/>
          <w:vanish/>
        </w:rPr>
        <w:t>esMemberus-gaap:FairValueMeasurementsRecurringMember2022-03-310001674930flgt:FulgentPharmaLimitedLiabilityCompanyMember2022-03-310001674930us-gaap:SoftwareDevelopmentMember2021-12-310001674930flgt:ShortTermMarketableSecuritesMemberus-gaap:USGovernmentDebtS</w:t>
      </w:r>
      <w:r>
        <w:rPr>
          <w:rFonts w:eastAsia="Times New Roman"/>
          <w:vanish/>
        </w:rPr>
        <w:t>ecuritiesMember2021-12-310001674930flgt:DebtSecuritiesDueAfterFiveYearsThroughTenYearsMember2022-03-310001674930us-gaap:FairValueInputsLevel2Memberflgt:YankeeDebtSecuritiesMemberus-gaap:FairValueMeasurementsRecurringMember2021-12-310001674930us-gaap:FairVa</w:t>
      </w:r>
      <w:r>
        <w:rPr>
          <w:rFonts w:eastAsia="Times New Roman"/>
          <w:vanish/>
        </w:rPr>
        <w:t>lueMeasurementsRecurringMember2021-12-310001674930flgt:ResearchDevelopmentServiceMemberflgt:FulgentPharmaLimitedLiabilityCompanyMember2022-01-012022-03-310001674930flgt:GeneticSequencingServiceMemberflgt:AHMCHealthcareIncMember2021-01-012021-03-31000167493</w:t>
      </w:r>
      <w:r>
        <w:rPr>
          <w:rFonts w:eastAsia="Times New Roman"/>
          <w:vanish/>
        </w:rPr>
        <w:t>0us-gaap:FairValueInputsLevel3Memberus-gaap:RedeemablePreferredStockMember2022-03-310001674930us-gaap:CorporateDebtSecuritiesMemberus-gaap:FairValueMeasurementsRecurringMember2021-12-3100016749302021-01-010001674930srt:MaximumMemberus-gaap:BuildingImprovem</w:t>
      </w:r>
      <w:r>
        <w:rPr>
          <w:rFonts w:eastAsia="Times New Roman"/>
          <w:vanish/>
        </w:rPr>
        <w:t>entsMember2022-01-012022-03-310001674930flgt:LongTermEquitySecuritiesMemberus-gaap:PrivateEquityFundsMember2022-03-310001674930flgt:PurchasedPatentMember2022-01-012022-03-310001674930us-gaap:ParentMember2022-03-310001674930us-gaap:AccumulatedOtherComprehen</w:t>
      </w:r>
      <w:r>
        <w:rPr>
          <w:rFonts w:eastAsia="Times New Roman"/>
          <w:vanish/>
        </w:rPr>
        <w:t>siveIncomeMember2022-01-012022-03-310001674930us-gaap:ParentMember2021-12-310001674930us-gaap:CostOfSalesMember2021-01-012021-03-310001674930flgt:PTJAssociatesIncMember2021-12-310001674930flgt:InformDiagnosticsMemberus-gaap:SubsequentEventMember2022-04-012</w:t>
      </w:r>
      <w:r>
        <w:rPr>
          <w:rFonts w:eastAsia="Times New Roman"/>
          <w:vanish/>
        </w:rPr>
        <w:t>022-04-260001674930srt:MaximumMemberus-gaap:ComputerEquipmentMember2022-01-012022-03-310001674930us-gaap:CommonStockMember2020-12-310001674930us-gaap:ResearchAndDevelopmentExpenseMember2021-01-012021-03-310001674930flgt:ShortTermMarketableSecuritesMemberus</w:t>
      </w:r>
      <w:r>
        <w:rPr>
          <w:rFonts w:eastAsia="Times New Roman"/>
          <w:vanish/>
        </w:rPr>
        <w:t>-gaap:CorporateDebtSecuritiesMember2022-03-310001674930us-gaap:FairValueInputsLevel2Memberus-gaap:FairValueMeasurementsRecurringMember2022-03-310001674930us-gaap:AccumulatedOtherComprehensiveIncomeMember2021-03-310001674930flgt:ClinicalInstitutionalCustome</w:t>
      </w:r>
      <w:r>
        <w:rPr>
          <w:rFonts w:eastAsia="Times New Roman"/>
          <w:vanish/>
        </w:rPr>
        <w:t>rsContractsMemberus-gaap:AccountingStandardsUpdate201409Member2021-01-012021-03-310001674930us-gaap:BuildingMembersrt:MinimumMember2022-01-012022-03-310001674930us-gaap:FairValueInputsLevel1Memberus-gaap:MoneyMarketFundsMemberus-gaap:FairValueMeasurementsR</w:t>
      </w:r>
      <w:r>
        <w:rPr>
          <w:rFonts w:eastAsia="Times New Roman"/>
          <w:vanish/>
        </w:rPr>
        <w:t>ecurringMember2022-03-310001674930flgt:DebtSecuritiesDueAfterOneYearThroughFiveYearsMemberflgt:YankeeDebtSecuritiesMember2021-12-310001674930us-gaap:DebtSecuritiesMember2021-12-310001674930flgt:FulgentPharmaLimitedLiabilityCompanyMember2022-01-012022-03-31</w:t>
      </w:r>
      <w:r>
        <w:rPr>
          <w:rFonts w:eastAsia="Times New Roman"/>
          <w:vanish/>
        </w:rPr>
        <w:t>0001674930us-gaap:CommonStockMember2022-01-012022-03-310001674930flgt:XilongScientificMemberflgt:FFGeneBiotechMember2021-01-012021-03-310001674930srt:MinimumMemberus-gaap:FurnitureAndFixturesMember2022-01-012022-03-310001674930flgt:ShortTermEquitySecuritie</w:t>
      </w:r>
      <w:r>
        <w:rPr>
          <w:rFonts w:eastAsia="Times New Roman"/>
          <w:vanish/>
        </w:rPr>
        <w:t>sMemberus-gaap:ExchangeTradedFundsMember2021-12-310001674930us-gaap:TradeNamesMember2022-03-310001674930us-gaap:SalesRevenueNetMemberus-gaap:CustomerConcentrationRiskMember2021-01-012021-03-310001674930us-gaap:TradeNamesMember2021-12-310001674930country:US</w:t>
      </w:r>
      <w:r>
        <w:rPr>
          <w:rFonts w:eastAsia="Times New Roman"/>
          <w:vanish/>
        </w:rPr>
        <w:t>2021-01-012021-03-310001674930us-gaap:FairValueInputsLevel3Memberus-gaap:PrivateEquityFundsMemberus-gaap:FairValueMeasurementsRecurringMember2022-03-310001674930flgt:MedicalLabEquipmentMember2022-03-310001674930flgt:DebtSecuritiesDueAfterFiveYearsThroughTe</w:t>
      </w:r>
      <w:r>
        <w:rPr>
          <w:rFonts w:eastAsia="Times New Roman"/>
          <w:vanish/>
        </w:rPr>
        <w:t>nYearsMemberus-gaap:MunicipalBondsMember2022-03-310001674930us-gaap:FairValueInputsLevel1Memberus-gaap:ExchangeTradedFundsMemberus-gaap:FairValueMeasurementsRecurringMember2021-12-310001674930us-gaap:NoncontrollingInterestMember2022-03-310001674930us-gaap:</w:t>
      </w:r>
      <w:r>
        <w:rPr>
          <w:rFonts w:eastAsia="Times New Roman"/>
          <w:vanish/>
        </w:rPr>
        <w:t>PrivateEquityFundsMemberus-gaap:FairValueMeasurementsRecurringMember2022-03-310001674930flgt:XilongScientificMemberflgt:FFGeneBiotechMember2022-01-012022-03-310001674930flgt:ShortTermMarketableSecuritesMemberus-gaap:USGovernmentDebtSecuritiesMember2022-03-</w:t>
      </w:r>
      <w:r>
        <w:rPr>
          <w:rFonts w:eastAsia="Times New Roman"/>
          <w:vanish/>
        </w:rPr>
        <w:t>310001674930us-gaap:RestrictedStockUnitsRSUMember2021-01-012021-03-310001674930us-gaap:AccumulatedOtherComprehensiveIncomeMember2022-03-310001674930us-gaap:FairValueInputsLevel2Memberus-gaap:MunicipalBondsMemberus-gaap:FairValueMeasurementsRecurringMember2</w:t>
      </w:r>
      <w:r>
        <w:rPr>
          <w:rFonts w:eastAsia="Times New Roman"/>
          <w:vanish/>
        </w:rPr>
        <w:t>022-03-310001674930us-gaap:BuildingMembersrt:MaximumMember2022-01-012022-03-310001674930flgt:YankeeDebtSecuritiesMemberus-gaap:FairValueMeasurementsRecurringMember2022-03-310001674930flgt:AircraftMember2022-03-310001674930us-gaap:RetainedEarningsMember2020</w:t>
      </w:r>
      <w:r>
        <w:rPr>
          <w:rFonts w:eastAsia="Times New Roman"/>
          <w:vanish/>
        </w:rPr>
        <w:t>-12-310001674930us-gaap:TradeNamesMember2022-01-012022-03-310001674930us-gaap:SellingAndMarketingExpenseMember2022-01-012022-03-310001674930flgt:MedicalLabEquipmentMember2022-03-310001674930flgt:InstallmentSaleContractMemberus-gaap:OtherNoncurrentLiabiliti</w:t>
      </w:r>
      <w:r>
        <w:rPr>
          <w:rFonts w:eastAsia="Times New Roman"/>
          <w:vanish/>
        </w:rPr>
        <w:t>esMember2022-03-310001674930srt:MinimumMemberus-gaap:CustomerConcentrationRiskMemberus-gaap:AccountsReceivableMember2021-01-012021-12-310001674930flgt:LaboratoryInformationSystemPlatformMember2022-01-012022-03-310001674930us-gaap:RetainedEarningsMember2021</w:t>
      </w:r>
      <w:r>
        <w:rPr>
          <w:rFonts w:eastAsia="Times New Roman"/>
          <w:vanish/>
        </w:rPr>
        <w:t>-01-012021-03-310001674930us-gaap:CommonStockMember2021-03-310001674930us-gaap:RestrictedStockUnitsRSUMember2022-01-012022-03-3100016749302022-03-310001674930srt:MaximumMember2022-01-012022-03-310001674930us-gaap:CommonStockMember2021-01-012021-03-31000167</w:t>
      </w:r>
      <w:r>
        <w:rPr>
          <w:rFonts w:eastAsia="Times New Roman"/>
          <w:vanish/>
        </w:rPr>
        <w:t>4930us-gaap:AccountingStandardsUpdate201409Member2022-01-012022-03-310001674930us-gaap:AgencySecuritiesMemberflgt:DebtSecuritiesDueAfterOneYearThroughFiveYearsMember2022-03-3100016749302021-01-012021-01-010001674930us-gaap:ExchangeTradedFundsMemberus-gaap:</w:t>
      </w:r>
      <w:r>
        <w:rPr>
          <w:rFonts w:eastAsia="Times New Roman"/>
          <w:vanish/>
        </w:rPr>
        <w:t>FairValueMeasurementsRecurringMember2021-12-310001674930us-gaap:RetainedEarningsMembersrt:CumulativeEffectPeriodOfAdoptionAdjustmentMember2020-12-310001674930flgt:ClinicalInsuranceContractsMemberus-gaap:AccountingStandardsUpdate201409Member2021-01-012021-0</w:t>
      </w:r>
      <w:r>
        <w:rPr>
          <w:rFonts w:eastAsia="Times New Roman"/>
          <w:vanish/>
        </w:rPr>
        <w:t>3-310001674930flgt:ShortTermEquitySecuritiesMember2021-12-310001674930flgt:ReagentsAndOtherSuppliesMember2022-03-310001674930country:US2022-01-012022-03-310001674930flgt:ShortTermMarketableSecuritesMemberus-gaap:MoneyMarketFundsMember2022-03-310001674930fl</w:t>
      </w:r>
      <w:r>
        <w:rPr>
          <w:rFonts w:eastAsia="Times New Roman"/>
          <w:vanish/>
        </w:rPr>
        <w:t>gt:GeneticSequencingServiceMemberflgt:AHMCHealthcareIncMember2021-12-310001674930srt:MinimumMemberus-gaap:BuildingImprovementsMember2022-01-012022-03-310001674930flgt:CovidMember2022-01-012022-03-310001674930srt:MinimumMemberflgt:MedicalLabEquipmentMember2</w:t>
      </w:r>
      <w:r>
        <w:rPr>
          <w:rFonts w:eastAsia="Times New Roman"/>
          <w:vanish/>
        </w:rPr>
        <w:t>022-01-012022-03-310001674930us-gaap:SellingAndMarketingExpenseMember2021-01-012021-03-310001674930flgt:DebtSecuritiesDueAfterFiveYearsThroughTenYearsMemberflgt:RedeemablePreferredStockInvestmentMember2022-03-310001674930us-gaap:NoncontrollingInterestMembe</w:t>
      </w:r>
      <w:r>
        <w:rPr>
          <w:rFonts w:eastAsia="Times New Roman"/>
          <w:vanish/>
        </w:rPr>
        <w:t>r2021-12-310001674930flgt:InsuranceCustomerMember2022-03-3100016749302021-01-012021-03-310001674930flgt:ClinicalInsuranceContractsMemberflgt:HealthResourcesAndServicesAdministrationCovidNineteenUninsuredProgramMember2022-01-012022-03-310001674930flgt:PTJAs</w:t>
      </w:r>
      <w:r>
        <w:rPr>
          <w:rFonts w:eastAsia="Times New Roman"/>
          <w:vanish/>
        </w:rPr>
        <w:t>sociatesIncMember2022-03-310001674930us-gaap:BuildingMember2021-12-310001674930us-gaap:EmployeeStockOptionMember2022-01-012022-03-310001674930flgt:DebtSecuritiesDueAfterOneYearThroughFiveYearsMember2022-03-310001674930us-gaap:RetainedEarningsMember2022-01-</w:t>
      </w:r>
      <w:r>
        <w:rPr>
          <w:rFonts w:eastAsia="Times New Roman"/>
          <w:vanish/>
        </w:rPr>
        <w:t>012022-03-310001674930us-gaap:NonUsMember2021-01-012021-03-310001674930us-gaap:LandMember2022-03-310001674930us-gaap:LandImprovementsMember2022-03-310001674930us-gaap:MoneyMarketFundsMemberflgt:ShortTermEquitySecuritiesMember2021-12-3100016749302022-01-012</w:t>
      </w:r>
      <w:r>
        <w:rPr>
          <w:rFonts w:eastAsia="Times New Roman"/>
          <w:vanish/>
        </w:rPr>
        <w:t>022-03-310001674930flgt:ClinicalInsuranceContractsMemberflgt:HealthResourcesAndServicesAdministrationCovidNineteenUninsuredProgramMember2021-01-012021-03-310001674930us-gaap:AdditionalPaidInCapitalMember2022-03-310001674930flgt:PTJAssociatesIncMember2022-0</w:t>
      </w:r>
      <w:r>
        <w:rPr>
          <w:rFonts w:eastAsia="Times New Roman"/>
          <w:vanish/>
        </w:rPr>
        <w:t>1-012022-03-310001674930flgt:LaboratoryInformationSystemPlatformMember2022-03-310001674930us-gaap:ComputerEquipmentMember2021-12-310001674930us-gaap:GeneralAndAdministrativeExpenseMember2021-01-012021-03-310001674930flgt:AssetsNotYetPlacedInServiceMember20</w:t>
      </w:r>
      <w:r>
        <w:rPr>
          <w:rFonts w:eastAsia="Times New Roman"/>
          <w:vanish/>
        </w:rPr>
        <w:t>22-03-310001674930flgt:DebtSecuritiesDueAfterOneYearThroughFiveYearsMemberus-gaap:AgencySecuritiesMember2021-12-310001674930us-gaap:FairValueMeasurementsRecurringMemberflgt:USAgencyDebtSecuritiesMember2022-03-310001674930us-gaap:FairValueInputsLevel3Member</w:t>
      </w:r>
      <w:r>
        <w:rPr>
          <w:rFonts w:eastAsia="Times New Roman"/>
          <w:vanish/>
        </w:rPr>
        <w:t>us-gaap:FairValueMeasurementsRecurringMemberus-gaap:RedeemablePreferredStockMember2021-12-310001674930us-gaap:FairValueInputsLevel3Memberus-gaap:PrivateEquityFundsMember2022-03-310001674930us-gaap:FairValueInputsLevel1Memberus-gaap:MoneyMarketFundsMemberus</w:t>
      </w:r>
      <w:r>
        <w:rPr>
          <w:rFonts w:eastAsia="Times New Roman"/>
          <w:vanish/>
        </w:rPr>
        <w:t>-gaap:FairValueMeasurementsRecurringMember2021-12-310001674930flgt:CustomerOneMemberus-gaap:SalesRevenueNetMemberus-gaap:CustomerConcentrationRiskMember2022-01-012022-03-310001674930flgt:ShortTermMarketableSecuritesMember2021-12-310001674930flgt:AircraftMe</w:t>
      </w:r>
      <w:r>
        <w:rPr>
          <w:rFonts w:eastAsia="Times New Roman"/>
          <w:vanish/>
        </w:rPr>
        <w:t>mber2022-01-012022-03-310001674930us-gaap:FurnitureAndFixturesMember2022-03-310001674930us-gaap:FairValueMeasurementsRecurringMemberus-gaap:RedeemablePreferredStockMember2022-03-310001674930us-gaap:BondsMemberus-gaap:FairValueMeasurementsRecurringMember202</w:t>
      </w:r>
      <w:r>
        <w:rPr>
          <w:rFonts w:eastAsia="Times New Roman"/>
          <w:vanish/>
        </w:rPr>
        <w:t>1-12-310001674930flgt:RoyaltyFreeTechnologyMember2022-03-310001674930flgt:InstallmentSaleContractMember2022-01-012022-03-310001674930us-gaap:FairValueInputsLevel2Memberus-gaap:FairValueMeasurementsRecurringMember2021-12-310001674930flgt:NovemberTwoThousand</w:t>
      </w:r>
      <w:r>
        <w:rPr>
          <w:rFonts w:eastAsia="Times New Roman"/>
          <w:vanish/>
        </w:rPr>
        <w:t>TwentyEquityDistributionAgreementMember2021-03-310001674930us-gaap:USGovernmentDebtSecuritiesMemberflgt:DebtSecuritiesDueAfterOneYearThroughFiveYearsMember2022-03-310001674930flgt:InstitutionalCustomerMember2022-03-310001674930srt:CumulativeEffectPeriodOfA</w:t>
      </w:r>
      <w:r>
        <w:rPr>
          <w:rFonts w:eastAsia="Times New Roman"/>
          <w:vanish/>
        </w:rPr>
        <w:t>doptionAdjustmentMember2020-12-310001674930us-gaap:BuildingImprovementsMember2022-03-310001674930flgt:MedicalLabFurnitureMember2022-03-310001674930flgt:AircraftMember2021-12-310001674930srt:MaximumMemberflgt:AutomobileMember2022-01-012022-03-310001674930sr</w:t>
      </w:r>
      <w:r>
        <w:rPr>
          <w:rFonts w:eastAsia="Times New Roman"/>
          <w:vanish/>
        </w:rPr>
        <w:t>t:MaximumMemberus-gaap:LandImprovementsMember2022-01-012022-03-310001674930flgt:ShortTermMarketableSecuritesMemberflgt:YankeeDebtSecuritiesMember2021-12-310001674930flgt:InsuranceCustomerMember2021-12-310001674930srt:MaximumMemberus-gaap:FurnitureAndFixtur</w:t>
      </w:r>
      <w:r>
        <w:rPr>
          <w:rFonts w:eastAsia="Times New Roman"/>
          <w:vanish/>
        </w:rPr>
        <w:t>esMember2022-01-012022-03-310001674930flgt:NovemberTwoThousandTwentyEquityDistributionAgreementMemberus-gaap:CommonStockMember2022-01-012022-03-310001674930us-gaap:FairValueInputsLevel1Memberus-gaap:BondsMemberus-gaap:FairValueMeasurementsRecurringMember20</w:t>
      </w:r>
      <w:r>
        <w:rPr>
          <w:rFonts w:eastAsia="Times New Roman"/>
          <w:vanish/>
        </w:rPr>
        <w:t>21-12-310001674930us-gaap:ComputerEquipmentMember2022-03-310001674930srt:MinimumMemberus-gaap:SoftwareDevelopmentMember2022-01-012022-03-310001674930us-gaap:MunicipalBondsMemberflgt:DebtSecuritiesDueAfterOneYearThroughFiveYearsMember2021-12-310001674930flg</w:t>
      </w:r>
      <w:r>
        <w:rPr>
          <w:rFonts w:eastAsia="Times New Roman"/>
          <w:vanish/>
        </w:rPr>
        <w:t>t:InstallmentSaleContractMember2022-03-310001674930us-gaap:FairValueInputsLevel2Memberus-gaap:CorporateDebtSecuritiesMemberus-gaap:FairValueMeasurementsRecurringMember2022-03-310001674930us-gaap:SoftwareDevelopmentMember2022-03-310001674930us-gaap:FairValu</w:t>
      </w:r>
      <w:r>
        <w:rPr>
          <w:rFonts w:eastAsia="Times New Roman"/>
          <w:vanish/>
        </w:rPr>
        <w:t>eInputsLevel3Memberus-gaap:FairValueMeasurementsRecurringMember2021-12-310001674930flgt:AutomobileMember2021-12-310001674930us-gaap:MoneyMarketFundsMemberus-gaap:FairValueMeasurementsRecurringMember2022-03-310001674930us-gaap:AdditionalPaidInCapitalMember2</w:t>
      </w:r>
      <w:r>
        <w:rPr>
          <w:rFonts w:eastAsia="Times New Roman"/>
          <w:vanish/>
        </w:rPr>
        <w:t>022-01-012022-03-310001674930us-gaap:FairValueMeasurementsRecurringMemberflgt:USAgencyDebtSecuritiesMember2021-12-310001674930flgt:ShortTermEquitySecuritiesMemberus-gaap:BondsMember2021-12-310001674930us-gaap:AccumulatedOtherComprehensiveIncomeMember2021-1</w:t>
      </w:r>
      <w:r>
        <w:rPr>
          <w:rFonts w:eastAsia="Times New Roman"/>
          <w:vanish/>
        </w:rPr>
        <w:t>2-310001674930us-gaap:MoneyMarketFundsMemberus-gaap:FairValueMeasurementsRecurringMember2021-12-310001674930us-gaap:FairValueInputsLevel3Memberus-gaap:FairValueMeasurementsRecurringMemberus-gaap:RedeemablePreferredStockMember2022-03-310001674930us-gaap:Fai</w:t>
      </w:r>
      <w:r>
        <w:rPr>
          <w:rFonts w:eastAsia="Times New Roman"/>
          <w:vanish/>
        </w:rPr>
        <w:t>rValueInputsLevel1Memberus-gaap:FairValueMeasurementsRecurringMember2022-03-310001674930us-gaap:CostOfSalesMember2022-01-012022-03-310001674930flgt:PurchasedPatentMember2021-12-310001674930flgt:FulgentPharmaLimitedLiabilityCompanyMember2021-01-012021-03-31</w:t>
      </w:r>
      <w:r>
        <w:rPr>
          <w:rFonts w:eastAsia="Times New Roman"/>
          <w:vanish/>
        </w:rPr>
        <w:t>0001674930flgt:ShortTermMarketableSecuritesMemberus-gaap:MunicipalBondsMember2021-12-310001674930flgt:GeneralEquipmentMember2022-03-310001674930flgt:ShortTermMarketableSecuritesMemberus-gaap:MunicipalBondsMember2022-03-310001674930us-gaap:RetainedEarningsM</w:t>
      </w:r>
      <w:r>
        <w:rPr>
          <w:rFonts w:eastAsia="Times New Roman"/>
          <w:vanish/>
        </w:rPr>
        <w:t>ember2022-03-310001674930us-gaap:SalesRevenueNetMemberus-gaap:CustomerConcentrationRiskMember2022-01-012022-03-3100016749302022-05-010001674930flgt:GeneticSequencingServiceMemberflgt:AHMCHealthcareIncMember2022-03-310001674930flgt:AssetsNotYetPlacedInServi</w:t>
      </w:r>
      <w:r>
        <w:rPr>
          <w:rFonts w:eastAsia="Times New Roman"/>
          <w:vanish/>
        </w:rPr>
        <w:t>ceMember2021-12-310001674930srt:MinimumMemberus-gaap:LandImprovementsMember2022-01-012022-03-310001674930flgt:PTJAssociatesIncMember2021-01-012021-03-310001674930us-gaap:RetainedEarningsMember2021-12-310001674930us-gaap:AccumulatedOtherComprehensiveIncomeM</w:t>
      </w:r>
      <w:r>
        <w:rPr>
          <w:rFonts w:eastAsia="Times New Roman"/>
          <w:vanish/>
        </w:rPr>
        <w:t>ember2020-12-310001674930flgt:DebtSecuritiesDueAfterFiveYearsThroughTenYearsMember2021-12-310001674930flgt:DebtSecuritiesDueAfterFiveYearsThroughTenYearsMemberflgt:RedeemablePreferredStockInvestmentMember2021-12-310001674930flgt:DebtSecuritiesDueAfterFiveY</w:t>
      </w:r>
      <w:r>
        <w:rPr>
          <w:rFonts w:eastAsia="Times New Roman"/>
          <w:vanish/>
        </w:rPr>
        <w:t>earsThroughTenYearsMemberus-gaap:MunicipalBondsMember2021-12-310001674930us-gaap:ParentMember2022-01-012022-03-310001674930us-gaap:CustomerRelationshipsMember2022-03-310001674930flgt:GeneralEquipmentMember2021-12-310001674930us-gaap:AdditionalPaidInCapital</w:t>
      </w:r>
      <w:r>
        <w:rPr>
          <w:rFonts w:eastAsia="Times New Roman"/>
          <w:vanish/>
        </w:rPr>
        <w:t>Member2021-01-012021-03-310001674930flgt:LaboratoryInformationSystemPlatformMember2021-12-310001674930flgt:DebtSecuritiesDueAfterOneYearThroughFiveYearsMemberflgt:YankeeDebtSecuritiesMember2022-03-310001674930us-gaap:AdditionalPaidInCapitalMember2020-12-31</w:t>
      </w:r>
      <w:r>
        <w:rPr>
          <w:rFonts w:eastAsia="Times New Roman"/>
          <w:vanish/>
        </w:rPr>
        <w:t>0001674930flgt:DebtSecuritiesDueAfterOneYearThroughFiveYearsMember2021-12-310001674930us-gaap:FairValueMeasurementsRecurringMember2022-03-310001674930flgt:GeneticSequencingServiceMemberflgt:AHMCHealthcareIncMember2022-01-012022-03-310001674930flgt:YankeeDe</w:t>
      </w:r>
      <w:r>
        <w:rPr>
          <w:rFonts w:eastAsia="Times New Roman"/>
          <w:vanish/>
        </w:rPr>
        <w:t>btSecuritiesMemberus-gaap:FairValueMeasurementsRecurringMember2021-12-310001674930flgt:AutomobileMember2022-03-310001674930flgt:MarginAccountBorrowingMember2022-03-3100016749302021-03-310001674930us-gaap:DebtSecuritiesMember2022-03-310001674930flgt:Clinica</w:t>
      </w:r>
      <w:r>
        <w:rPr>
          <w:rFonts w:eastAsia="Times New Roman"/>
          <w:vanish/>
        </w:rPr>
        <w:t>lInstitutionalCustomersContractsMemberus-gaap:AccountingStandardsUpdate201409Member2022-01-012022-03-310001674930us-gaap:LeaseholdImprovementsMember2022-03-310001674930srt:MinimumMemberus-gaap:ComputerEquipmentMember2022-01-012022-03-310001674930us-gaap:Fu</w:t>
      </w:r>
      <w:r>
        <w:rPr>
          <w:rFonts w:eastAsia="Times New Roman"/>
          <w:vanish/>
        </w:rPr>
        <w:t>rnitureAndFixturesMember2021-12-310001674930us-gaap:NonUsMember2022-01-012022-03-310001674930us-gaap:CustomerRelationshipsMember2021-12-310001674930flgt:NovemberTwoThousandTwentyEquityDistributionAgreementMember2021-01-012021-03-310001674930us-gaap:CommonS</w:t>
      </w:r>
      <w:r>
        <w:rPr>
          <w:rFonts w:eastAsia="Times New Roman"/>
          <w:vanish/>
        </w:rPr>
        <w:t>tockMember2021-12-310001674930flgt:ShortTermMarketableSecuritesMemberflgt:YankeeDebtSecuritiesMember2022-03-310001674930flgt:MedicalLabEquipmentMember2021-12-310001674930flgt:ShortTermMarketableSecuritesMember2022-03-310001674930srt:MaximumMemberflgt:Medic</w:t>
      </w:r>
      <w:r>
        <w:rPr>
          <w:rFonts w:eastAsia="Times New Roman"/>
          <w:vanish/>
        </w:rPr>
        <w:t>alLabEquipmentMember2022-01-012022-03-310001674930us-gaap:AccumulatedOtherComprehensiveIncomeMember2021-01-012021-03-310001674930flgt:InstitutionalCustomerMember2021-12-310001674930flgt:RoyaltyFreeTechnologyMember2022-01-012022-03-310001674930us-gaap:Corpo</w:t>
      </w:r>
      <w:r>
        <w:rPr>
          <w:rFonts w:eastAsia="Times New Roman"/>
          <w:vanish/>
        </w:rPr>
        <w:t>rateDebtSecuritiesMemberus-gaap:FairValueMeasurementsRecurringMember2022-03-310001674930us-gaap:FairValueInputsLevel2Memberus-gaap:FairValueMeasurementsRecurringMemberflgt:USAgencyDebtSecuritiesMember2022-03-310001674930us-gaap:FairValueInputsLevel1Memberu</w:t>
      </w:r>
      <w:r>
        <w:rPr>
          <w:rFonts w:eastAsia="Times New Roman"/>
          <w:vanish/>
        </w:rPr>
        <w:t>s-gaap:FairValueMeasurementsRecurringMember2021-12-310001674930us-gaap:FairValueInputsLevel3Memberus-gaap:FairValueMeasurementsRecurringMember2022-03-310001674930us-gaap:MunicipalBondsMemberus-gaap:FairValueMeasurementsRecurringMember2021-12-310001674930us</w:t>
      </w:r>
      <w:r>
        <w:rPr>
          <w:rFonts w:eastAsia="Times New Roman"/>
          <w:vanish/>
        </w:rPr>
        <w:t>-gaap:RetainedEarningsMember2021-03-310001674930flgt:RoyaltyFreeTechnologyMember2021-12-310001674930flgt:ClinicalInsuranceContractsMemberus-gaap:AccountingStandardsUpdate201409Member2022-01-012022-03-310001674930us-gaap:CommonStockMember2022-03-31000167493</w:t>
      </w:r>
      <w:r>
        <w:rPr>
          <w:rFonts w:eastAsia="Times New Roman"/>
          <w:vanish/>
        </w:rPr>
        <w:t>0srt:MinimumMemberflgt:AutomobileMember2022-01-012022-03-310001674930us-gaap:CorporateDebtSecuritiesMemberflgt:DebtSecuritiesDueAfterOneYearThroughFiveYearsMember2021-12-310001674930flgt:XilongScientificMemberflgt:FFGeneBiotechMember2022-03-310001674930us-</w:t>
      </w:r>
      <w:r>
        <w:rPr>
          <w:rFonts w:eastAsia="Times New Roman"/>
          <w:vanish/>
        </w:rPr>
        <w:t>gaap:CustomerRelationshipsMember2022-01-012022-03-310001674930srt:MaximumMemberflgt:NovemberTwoThousandTwentyEquityDistributionAgreementMemberus-gaap:CommonStockMember2020-11-012020-11-300001674930us-gaap:AdditionalPaidInCapitalMemberflgt:NovemberTwoThousa</w:t>
      </w:r>
      <w:r>
        <w:rPr>
          <w:rFonts w:eastAsia="Times New Roman"/>
          <w:vanish/>
        </w:rPr>
        <w:t>ndTwentyEquityDistributionAgreementMember2021-01-012021-03-310001674930srt:MinimumMemberus-gaap:CustomerConcentrationRiskMemberus-gaap:AccountsReceivableMember2022-01-012022-03-310001674930flgt:FulgentPharmaLimitedLiabilityCompanyMember2021-12-310001674930</w:t>
      </w:r>
      <w:r>
        <w:rPr>
          <w:rFonts w:eastAsia="Times New Roman"/>
          <w:vanish/>
        </w:rPr>
        <w:t>us-gaap:FairValueInputsLevel2Memberus-gaap:MunicipalBondsMemberus-gaap:FairValueMeasurementsRecurringMember2021-12-310001674930flgt:GeneralEquipmentMembersrt:MinimumMember2022-01-012022-03-310001674930flgt:ResearchDevelopmentServiceMemberflgt:FulgentPharma</w:t>
      </w:r>
      <w:r>
        <w:rPr>
          <w:rFonts w:eastAsia="Times New Roman"/>
          <w:vanish/>
        </w:rPr>
        <w:t>LimitedLiabilityCompanyMember2021-01-012021-03-310001674930us-gaap:FairValueInputsLevel2Memberus-gaap:CorporateDebtSecuritiesMemberus-gaap:FairValueMeasurementsRecurringMember2021-12-310001674930flgt:GeneralEquipmentMembersrt:MaximumMember2022-01-012022-03</w:t>
      </w:r>
      <w:r>
        <w:rPr>
          <w:rFonts w:eastAsia="Times New Roman"/>
          <w:vanish/>
        </w:rPr>
        <w:t>-310001674930us-gaap:NoncontrollingInterestMember2022-01-012022-03-31xbrli:pureflgt:Customerxbrli:sharesiso4217:USDxbrli:sharesiso4217:USDflgt:Segment</w:t>
      </w:r>
    </w:p>
    <w:p w:rsidR="00000000" w:rsidRDefault="00DA50CE">
      <w:pPr>
        <w:pStyle w:val="a3"/>
        <w:pBdr>
          <w:bottom w:val="double" w:sz="6" w:space="1" w:color="auto"/>
        </w:pBdr>
        <w:spacing w:before="0" w:beforeAutospacing="0" w:after="0" w:afterAutospacing="0"/>
        <w:rPr>
          <w:sz w:val="20"/>
          <w:szCs w:val="20"/>
        </w:rPr>
      </w:pPr>
      <w:r>
        <w:rPr>
          <w:sz w:val="2"/>
          <w:szCs w:val="2"/>
        </w:rPr>
        <w:t>f</w:t>
      </w:r>
      <w:r>
        <w:rPr>
          <w:sz w:val="2"/>
          <w:szCs w:val="2"/>
        </w:rPr>
        <w:t>f</w:t>
      </w:r>
    </w:p>
    <w:p w:rsidR="00000000" w:rsidRDefault="00DA50CE">
      <w:pPr>
        <w:pStyle w:val="a3"/>
        <w:spacing w:before="0" w:beforeAutospacing="0" w:after="0" w:afterAutospacing="0"/>
        <w:jc w:val="center"/>
        <w:rPr>
          <w:sz w:val="20"/>
          <w:szCs w:val="20"/>
        </w:rPr>
      </w:pPr>
      <w:r>
        <w:rPr>
          <w:sz w:val="8"/>
          <w:szCs w:val="8"/>
        </w:rPr>
        <w:t> </w:t>
      </w:r>
    </w:p>
    <w:p w:rsidR="00000000" w:rsidRDefault="00DA50CE">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DA50CE">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DA50CE">
      <w:pPr>
        <w:pStyle w:val="a3"/>
        <w:spacing w:before="0" w:beforeAutospacing="0" w:after="0" w:afterAutospacing="0"/>
        <w:jc w:val="center"/>
        <w:rPr>
          <w:sz w:val="20"/>
          <w:szCs w:val="20"/>
        </w:rPr>
      </w:pPr>
      <w:r>
        <w:rPr>
          <w:b/>
          <w:bCs/>
        </w:rPr>
        <w:t>WASHINGTON, DC 2054</w:t>
      </w:r>
      <w:r>
        <w:rPr>
          <w:b/>
          <w:bCs/>
        </w:rPr>
        <w:t>9</w:t>
      </w:r>
    </w:p>
    <w:p w:rsidR="00000000" w:rsidRDefault="00DA50CE">
      <w:pPr>
        <w:pStyle w:val="a3"/>
        <w:pBdr>
          <w:bottom w:val="single" w:sz="4" w:space="1" w:color="auto"/>
        </w:pBdr>
        <w:spacing w:before="0" w:beforeAutospacing="0" w:after="0" w:afterAutospacing="0"/>
        <w:ind w:left="4762" w:right="4762"/>
        <w:jc w:val="center"/>
        <w:rPr>
          <w:sz w:val="20"/>
          <w:szCs w:val="20"/>
        </w:rPr>
      </w:pPr>
      <w:r>
        <w:rPr>
          <w:sz w:val="8"/>
          <w:szCs w:val="8"/>
        </w:rPr>
        <w:t> </w:t>
      </w:r>
    </w:p>
    <w:p w:rsidR="00000000" w:rsidRDefault="00DA50CE">
      <w:pPr>
        <w:pStyle w:val="a3"/>
        <w:spacing w:before="8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DA50CE">
      <w:pPr>
        <w:pStyle w:val="a3"/>
        <w:pBdr>
          <w:bottom w:val="single" w:sz="4" w:space="1" w:color="auto"/>
        </w:pBdr>
        <w:spacing w:before="0" w:beforeAutospacing="0" w:after="0" w:afterAutospacing="0"/>
        <w:ind w:left="4762" w:right="4762"/>
        <w:jc w:val="center"/>
        <w:rPr>
          <w:sz w:val="20"/>
          <w:szCs w:val="20"/>
        </w:rPr>
      </w:pPr>
      <w:r>
        <w:rPr>
          <w:sz w:val="8"/>
          <w:szCs w:val="8"/>
        </w:rPr>
        <w:t> </w:t>
      </w:r>
    </w:p>
    <w:p w:rsidR="00000000" w:rsidRDefault="00DA50CE">
      <w:pPr>
        <w:pStyle w:val="a3"/>
        <w:spacing w:before="80" w:beforeAutospacing="0" w:after="0" w:afterAutospacing="0"/>
        <w:rPr>
          <w:sz w:val="20"/>
          <w:szCs w:val="20"/>
        </w:rPr>
      </w:pPr>
      <w:r>
        <w:rPr>
          <w:b/>
          <w:bCs/>
        </w:rPr>
        <w:t>(Mark One</w:t>
      </w:r>
      <w:r>
        <w:rPr>
          <w:b/>
          <w:bCs/>
        </w:rPr>
        <w:t>)</w:t>
      </w:r>
    </w:p>
    <w:p w:rsidR="00000000" w:rsidRDefault="00DA50CE">
      <w:pPr>
        <w:pStyle w:val="a3"/>
        <w:spacing w:before="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QUA</w:t>
      </w:r>
      <w:r>
        <w:rPr>
          <w:b/>
          <w:bCs/>
        </w:rPr>
        <w:t>RTERLY REPORT PURSUANT TO SECTION 13 OR 15(d) OF THE SECURITIES EXCHANGE ACT OF 193</w:t>
      </w:r>
      <w:r>
        <w:rPr>
          <w:b/>
          <w:bCs/>
        </w:rPr>
        <w:t>4</w:t>
      </w:r>
    </w:p>
    <w:p w:rsidR="00000000" w:rsidRDefault="00DA50CE">
      <w:pPr>
        <w:pStyle w:val="a3"/>
        <w:spacing w:before="8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31,</w:t>
      </w:r>
      <w:r>
        <w:rPr>
          <w:b/>
          <w:bCs/>
          <w:sz w:val="20"/>
          <w:szCs w:val="20"/>
        </w:rPr>
        <w:t xml:space="preserve"> </w:t>
      </w:r>
      <w:r>
        <w:rPr>
          <w:b/>
          <w:bCs/>
          <w:sz w:val="20"/>
          <w:szCs w:val="20"/>
        </w:rPr>
        <w:t>202</w:t>
      </w:r>
      <w:r>
        <w:rPr>
          <w:b/>
          <w:bCs/>
          <w:sz w:val="20"/>
          <w:szCs w:val="20"/>
        </w:rPr>
        <w:t>2</w:t>
      </w:r>
    </w:p>
    <w:p w:rsidR="00000000" w:rsidRDefault="00DA50CE">
      <w:pPr>
        <w:pStyle w:val="a3"/>
        <w:spacing w:before="80" w:beforeAutospacing="0" w:after="0" w:afterAutospacing="0"/>
        <w:jc w:val="center"/>
        <w:rPr>
          <w:sz w:val="20"/>
          <w:szCs w:val="20"/>
        </w:rPr>
      </w:pPr>
      <w:r>
        <w:rPr>
          <w:b/>
          <w:bCs/>
          <w:sz w:val="20"/>
          <w:szCs w:val="20"/>
        </w:rPr>
        <w:t>o</w:t>
      </w:r>
      <w:r>
        <w:rPr>
          <w:b/>
          <w:bCs/>
          <w:sz w:val="20"/>
          <w:szCs w:val="20"/>
        </w:rPr>
        <w:t>r</w:t>
      </w:r>
    </w:p>
    <w:p w:rsidR="00000000" w:rsidRDefault="00DA50CE">
      <w:pPr>
        <w:pStyle w:val="a3"/>
        <w:spacing w:before="8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TRANSITION REPORT PURSUANT TO SECTION 13 OR 15(d) OF THE SECURITIES EXCHANGE ACT OF 193</w:t>
      </w:r>
      <w:r>
        <w:rPr>
          <w:b/>
          <w:bCs/>
        </w:rPr>
        <w:t>4</w:t>
      </w:r>
    </w:p>
    <w:p w:rsidR="00000000" w:rsidRDefault="00DA50CE">
      <w:pPr>
        <w:pStyle w:val="a3"/>
        <w:spacing w:before="80" w:beforeAutospacing="0" w:after="0" w:afterAutospacing="0"/>
        <w:jc w:val="center"/>
        <w:rPr>
          <w:sz w:val="20"/>
          <w:szCs w:val="20"/>
        </w:rPr>
      </w:pPr>
      <w:r>
        <w:rPr>
          <w:b/>
          <w:bCs/>
          <w:sz w:val="20"/>
          <w:szCs w:val="20"/>
        </w:rPr>
        <w:t>For the transition period from</w:t>
      </w:r>
      <w:r>
        <w:rPr>
          <w:b/>
          <w:bCs/>
          <w:sz w:val="20"/>
          <w:szCs w:val="20"/>
        </w:rPr>
        <w:t xml:space="preserve"> </w:t>
      </w:r>
      <w:r>
        <w:rPr>
          <w:b/>
          <w:bCs/>
          <w:sz w:val="20"/>
          <w:szCs w:val="20"/>
        </w:rPr>
        <w:t>t</w:t>
      </w:r>
      <w:r>
        <w:rPr>
          <w:b/>
          <w:bCs/>
          <w:sz w:val="20"/>
          <w:szCs w:val="20"/>
        </w:rPr>
        <w:t>o</w:t>
      </w:r>
      <w:r>
        <w:rPr>
          <w:b/>
          <w:bCs/>
          <w:sz w:val="20"/>
          <w:szCs w:val="20"/>
        </w:rPr>
        <w:t xml:space="preserve"> </w:t>
      </w:r>
    </w:p>
    <w:p w:rsidR="00000000" w:rsidRDefault="00DA50CE">
      <w:pPr>
        <w:pStyle w:val="a3"/>
        <w:spacing w:before="8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001-3789</w:t>
      </w:r>
      <w:r>
        <w:rPr>
          <w:b/>
          <w:bCs/>
          <w:sz w:val="20"/>
          <w:szCs w:val="20"/>
        </w:rPr>
        <w:t>4</w:t>
      </w:r>
    </w:p>
    <w:p w:rsidR="00000000" w:rsidRDefault="00DA50CE">
      <w:pPr>
        <w:pStyle w:val="a3"/>
        <w:pBdr>
          <w:bottom w:val="single" w:sz="4" w:space="1" w:color="auto"/>
        </w:pBdr>
        <w:spacing w:before="0" w:beforeAutospacing="0" w:after="0" w:afterAutospacing="0"/>
        <w:ind w:left="4762" w:right="4762"/>
        <w:jc w:val="center"/>
        <w:rPr>
          <w:sz w:val="20"/>
          <w:szCs w:val="20"/>
        </w:rPr>
      </w:pPr>
      <w:r>
        <w:rPr>
          <w:sz w:val="8"/>
          <w:szCs w:val="8"/>
        </w:rPr>
        <w:t> </w:t>
      </w:r>
    </w:p>
    <w:p w:rsidR="00000000" w:rsidRDefault="00DA50CE">
      <w:pPr>
        <w:pStyle w:val="a3"/>
        <w:spacing w:before="80" w:beforeAutospacing="0" w:after="0" w:afterAutospacing="0"/>
        <w:jc w:val="center"/>
        <w:rPr>
          <w:sz w:val="20"/>
          <w:szCs w:val="20"/>
        </w:rPr>
      </w:pPr>
      <w:r>
        <w:rPr>
          <w:b/>
          <w:bCs/>
          <w:sz w:val="48"/>
          <w:szCs w:val="48"/>
        </w:rPr>
        <w:t>FULGENT GENETICS, INC</w:t>
      </w:r>
      <w:r>
        <w:rPr>
          <w:b/>
          <w:bCs/>
          <w:sz w:val="48"/>
          <w:szCs w:val="48"/>
        </w:rPr>
        <w:t>.</w:t>
      </w:r>
    </w:p>
    <w:p w:rsidR="00000000" w:rsidRDefault="00DA50CE">
      <w:pPr>
        <w:pStyle w:val="a3"/>
        <w:spacing w:before="0" w:beforeAutospacing="0" w:after="0" w:afterAutospacing="0"/>
        <w:jc w:val="center"/>
        <w:rPr>
          <w:sz w:val="20"/>
          <w:szCs w:val="20"/>
        </w:rPr>
      </w:pPr>
      <w:r>
        <w:rPr>
          <w:b/>
          <w:bCs/>
        </w:rPr>
        <w:t>(</w:t>
      </w:r>
      <w:r>
        <w:rPr>
          <w:b/>
          <w:bCs/>
          <w:sz w:val="20"/>
          <w:szCs w:val="20"/>
        </w:rPr>
        <w:t>exact name of registrant as specified in its charter</w:t>
      </w:r>
      <w:r>
        <w:rPr>
          <w:b/>
          <w:bCs/>
          <w:sz w:val="20"/>
          <w:szCs w:val="20"/>
        </w:rPr>
        <w:t>)</w:t>
      </w:r>
    </w:p>
    <w:p w:rsidR="00000000" w:rsidRDefault="00DA50CE">
      <w:pPr>
        <w:pStyle w:val="a3"/>
        <w:pBdr>
          <w:bottom w:val="single" w:sz="4" w:space="1" w:color="auto"/>
        </w:pBdr>
        <w:spacing w:before="0" w:beforeAutospacing="0" w:after="0" w:afterAutospacing="0"/>
        <w:ind w:left="4762" w:right="4762"/>
        <w:jc w:val="center"/>
        <w:rPr>
          <w:sz w:val="20"/>
          <w:szCs w:val="20"/>
        </w:rPr>
      </w:pPr>
      <w:r>
        <w:rPr>
          <w:sz w:val="8"/>
          <w:szCs w:val="8"/>
        </w:rPr>
        <w:t> </w:t>
      </w:r>
    </w:p>
    <w:p w:rsidR="00000000" w:rsidRDefault="00DA50CE">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DA50CE">
            <w:pPr>
              <w:rPr>
                <w:sz w:val="20"/>
                <w:szCs w:val="20"/>
              </w:rPr>
            </w:pPr>
          </w:p>
        </w:tc>
        <w:tc>
          <w:tcPr>
            <w:tcW w:w="2500" w:type="pct"/>
            <w:vAlign w:val="center"/>
            <w:hideMark/>
          </w:tcPr>
          <w:p w:rsidR="00000000" w:rsidRDefault="00DA50CE">
            <w:pPr>
              <w:rPr>
                <w:rFonts w:eastAsia="Times New Roman"/>
                <w:sz w:val="20"/>
                <w:szCs w:val="20"/>
              </w:rPr>
            </w:pP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DA50CE">
            <w:pPr>
              <w:pStyle w:val="a3"/>
              <w:spacing w:before="0" w:beforeAutospacing="0" w:after="0" w:afterAutospacing="0"/>
              <w:jc w:val="center"/>
              <w:rPr>
                <w:sz w:val="20"/>
                <w:szCs w:val="20"/>
              </w:rPr>
            </w:pPr>
            <w:r>
              <w:rPr>
                <w:b/>
                <w:bCs/>
                <w:sz w:val="20"/>
                <w:szCs w:val="20"/>
              </w:rPr>
              <w:t>81-262130</w:t>
            </w:r>
            <w:r>
              <w:rPr>
                <w:b/>
                <w:bCs/>
                <w:sz w:val="20"/>
                <w:szCs w:val="20"/>
              </w:rPr>
              <w:t>4</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p w:rsidR="00000000" w:rsidRDefault="00DA50CE">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b/>
                <w:bCs/>
                <w:sz w:val="16"/>
                <w:szCs w:val="16"/>
              </w:rPr>
              <w:t>(I.R.S. Employe</w:t>
            </w:r>
            <w:r>
              <w:rPr>
                <w:b/>
                <w:bCs/>
                <w:sz w:val="16"/>
                <w:szCs w:val="16"/>
              </w:rPr>
              <w:t>r</w:t>
            </w:r>
          </w:p>
          <w:p w:rsidR="00000000" w:rsidRDefault="00DA50CE">
            <w:pPr>
              <w:pStyle w:val="a3"/>
              <w:spacing w:before="0" w:beforeAutospacing="0" w:after="0" w:afterAutospacing="0"/>
              <w:jc w:val="center"/>
              <w:rPr>
                <w:sz w:val="16"/>
                <w:szCs w:val="16"/>
              </w:rPr>
            </w:pPr>
            <w:r>
              <w:rPr>
                <w:b/>
                <w:bCs/>
                <w:sz w:val="16"/>
                <w:szCs w:val="16"/>
              </w:rPr>
              <w:t>Identification No.</w:t>
            </w:r>
            <w:r>
              <w:rPr>
                <w:b/>
                <w:bCs/>
                <w:sz w:val="16"/>
                <w:szCs w:val="16"/>
              </w:rPr>
              <w:t>)</w:t>
            </w:r>
          </w:p>
        </w:tc>
      </w:tr>
      <w:tr w:rsidR="00000000">
        <w:trPr>
          <w:tblCellSpacing w:w="15" w:type="dxa"/>
        </w:trPr>
        <w:tc>
          <w:tcPr>
            <w:tcW w:w="0" w:type="auto"/>
            <w:vAlign w:val="bottom"/>
            <w:hideMark/>
          </w:tcPr>
          <w:p w:rsidR="00000000" w:rsidRDefault="00DA50CE">
            <w:pPr>
              <w:pStyle w:val="a3"/>
              <w:spacing w:before="0" w:beforeAutospacing="0" w:after="0" w:afterAutospacing="0"/>
              <w:jc w:val="center"/>
              <w:rPr>
                <w:sz w:val="8"/>
                <w:szCs w:val="8"/>
              </w:rPr>
            </w:pPr>
            <w:r>
              <w:rPr>
                <w:sz w:val="8"/>
                <w:szCs w:val="8"/>
              </w:rPr>
              <w:t> </w:t>
            </w:r>
          </w:p>
        </w:tc>
        <w:tc>
          <w:tcPr>
            <w:tcW w:w="0" w:type="auto"/>
            <w:vAlign w:val="bottom"/>
            <w:hideMark/>
          </w:tcPr>
          <w:p w:rsidR="00000000" w:rsidRDefault="00DA50CE">
            <w:pPr>
              <w:pStyle w:val="a3"/>
              <w:spacing w:before="0" w:beforeAutospacing="0" w:after="0" w:afterAutospacing="0"/>
              <w:jc w:val="center"/>
              <w:rPr>
                <w:sz w:val="8"/>
                <w:szCs w:val="8"/>
              </w:rPr>
            </w:pPr>
            <w:r>
              <w:rPr>
                <w:sz w:val="8"/>
                <w:szCs w:val="8"/>
              </w:rPr>
              <w:t> </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b/>
                <w:bCs/>
                <w:sz w:val="20"/>
                <w:szCs w:val="20"/>
              </w:rPr>
              <w:t>4978 Santa Anita Avenu</w:t>
            </w:r>
            <w:r>
              <w:rPr>
                <w:b/>
                <w:bCs/>
                <w:sz w:val="20"/>
                <w:szCs w:val="20"/>
              </w:rPr>
              <w:t>e</w:t>
            </w:r>
          </w:p>
          <w:p w:rsidR="00000000" w:rsidRDefault="00DA50CE">
            <w:pPr>
              <w:pStyle w:val="a3"/>
              <w:spacing w:before="0" w:beforeAutospacing="0" w:after="0" w:afterAutospacing="0"/>
              <w:jc w:val="center"/>
              <w:rPr>
                <w:sz w:val="20"/>
                <w:szCs w:val="20"/>
              </w:rPr>
            </w:pPr>
            <w:r>
              <w:rPr>
                <w:b/>
                <w:bCs/>
                <w:sz w:val="20"/>
                <w:szCs w:val="20"/>
              </w:rPr>
              <w:t>Temple Cit</w:t>
            </w:r>
            <w:r>
              <w:rPr>
                <w:b/>
                <w:bCs/>
                <w:sz w:val="20"/>
                <w:szCs w:val="20"/>
              </w:rPr>
              <w:t>y</w:t>
            </w:r>
            <w:r>
              <w:rPr>
                <w:b/>
                <w:bCs/>
                <w:sz w:val="20"/>
                <w:szCs w:val="20"/>
              </w:rPr>
              <w:t>,</w:t>
            </w:r>
            <w:r>
              <w:rPr>
                <w:b/>
                <w:bCs/>
                <w:sz w:val="20"/>
                <w:szCs w:val="20"/>
              </w:rPr>
              <w:t xml:space="preserve"> </w:t>
            </w:r>
            <w:r>
              <w:rPr>
                <w:b/>
                <w:bCs/>
                <w:sz w:val="20"/>
                <w:szCs w:val="20"/>
              </w:rPr>
              <w:t>C</w:t>
            </w:r>
            <w:r>
              <w:rPr>
                <w:b/>
                <w:bCs/>
                <w:sz w:val="20"/>
                <w:szCs w:val="20"/>
              </w:rPr>
              <w:t>A</w:t>
            </w:r>
          </w:p>
        </w:tc>
        <w:tc>
          <w:tcPr>
            <w:tcW w:w="0" w:type="auto"/>
            <w:vAlign w:val="bottom"/>
            <w:hideMark/>
          </w:tcPr>
          <w:p w:rsidR="00000000" w:rsidRDefault="00DA50CE">
            <w:pPr>
              <w:pStyle w:val="a3"/>
              <w:spacing w:before="0" w:beforeAutospacing="0" w:after="0" w:afterAutospacing="0"/>
              <w:jc w:val="center"/>
              <w:rPr>
                <w:sz w:val="20"/>
                <w:szCs w:val="20"/>
              </w:rPr>
            </w:pPr>
            <w:r>
              <w:rPr>
                <w:b/>
                <w:bCs/>
                <w:sz w:val="20"/>
                <w:szCs w:val="20"/>
              </w:rPr>
              <w:t>9178</w:t>
            </w:r>
            <w:r>
              <w:rPr>
                <w:b/>
                <w:bCs/>
                <w:sz w:val="20"/>
                <w:szCs w:val="20"/>
              </w:rPr>
              <w:t>0</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b/>
                <w:bCs/>
                <w:sz w:val="16"/>
                <w:szCs w:val="16"/>
              </w:rPr>
              <w:t>(Zip Code</w:t>
            </w:r>
            <w:r>
              <w:rPr>
                <w:b/>
                <w:bCs/>
                <w:sz w:val="16"/>
                <w:szCs w:val="16"/>
              </w:rPr>
              <w:t>)</w:t>
            </w:r>
          </w:p>
        </w:tc>
      </w:tr>
    </w:tbl>
    <w:p w:rsidR="00000000" w:rsidRDefault="00DA50CE">
      <w:pPr>
        <w:pStyle w:val="a3"/>
        <w:spacing w:before="0" w:beforeAutospacing="0" w:after="0" w:afterAutospacing="0"/>
        <w:rPr>
          <w:sz w:val="20"/>
          <w:szCs w:val="20"/>
        </w:rPr>
      </w:pPr>
      <w:r>
        <w:rPr>
          <w:sz w:val="8"/>
          <w:szCs w:val="8"/>
        </w:rPr>
        <w:t> </w:t>
      </w:r>
    </w:p>
    <w:p w:rsidR="00000000" w:rsidRDefault="00DA50CE">
      <w:pPr>
        <w:pStyle w:val="a3"/>
        <w:spacing w:before="0" w:beforeAutospacing="0" w:after="0" w:afterAutospacing="0"/>
        <w:jc w:val="center"/>
        <w:rPr>
          <w:sz w:val="20"/>
          <w:szCs w:val="20"/>
        </w:rPr>
      </w:pPr>
      <w:r>
        <w:rPr>
          <w:b/>
          <w:bCs/>
          <w:sz w:val="20"/>
          <w:szCs w:val="20"/>
        </w:rPr>
        <w:t>(</w:t>
      </w:r>
      <w:r>
        <w:rPr>
          <w:b/>
          <w:bCs/>
          <w:sz w:val="20"/>
          <w:szCs w:val="20"/>
        </w:rPr>
        <w:t>62</w:t>
      </w:r>
      <w:r>
        <w:rPr>
          <w:b/>
          <w:bCs/>
          <w:sz w:val="20"/>
          <w:szCs w:val="20"/>
        </w:rPr>
        <w:t>6</w:t>
      </w:r>
      <w:r>
        <w:rPr>
          <w:b/>
          <w:bCs/>
          <w:sz w:val="20"/>
          <w:szCs w:val="20"/>
        </w:rPr>
        <w:t>)</w:t>
      </w:r>
      <w:r>
        <w:rPr>
          <w:b/>
          <w:bCs/>
          <w:sz w:val="20"/>
          <w:szCs w:val="20"/>
        </w:rPr>
        <w:t xml:space="preserve"> </w:t>
      </w:r>
      <w:r>
        <w:rPr>
          <w:b/>
          <w:bCs/>
          <w:sz w:val="20"/>
          <w:szCs w:val="20"/>
        </w:rPr>
        <w:t>350-053</w:t>
      </w:r>
      <w:r>
        <w:rPr>
          <w:b/>
          <w:bCs/>
          <w:sz w:val="20"/>
          <w:szCs w:val="20"/>
        </w:rPr>
        <w:t>7</w:t>
      </w:r>
    </w:p>
    <w:p w:rsidR="00000000" w:rsidRDefault="00DA50CE">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rsidR="00000000" w:rsidRDefault="00DA50CE">
      <w:pPr>
        <w:pStyle w:val="a3"/>
        <w:pBdr>
          <w:bottom w:val="single" w:sz="4" w:space="1" w:color="auto"/>
        </w:pBdr>
        <w:spacing w:before="0" w:beforeAutospacing="0" w:after="0" w:afterAutospacing="0"/>
        <w:ind w:left="4762" w:right="4762"/>
        <w:jc w:val="center"/>
        <w:rPr>
          <w:sz w:val="20"/>
          <w:szCs w:val="20"/>
        </w:rPr>
      </w:pPr>
      <w:r>
        <w:rPr>
          <w:sz w:val="8"/>
          <w:szCs w:val="8"/>
        </w:rPr>
        <w:t> </w:t>
      </w:r>
    </w:p>
    <w:p w:rsidR="00000000" w:rsidRDefault="00DA50CE">
      <w:pPr>
        <w:pStyle w:val="a3"/>
        <w:spacing w:before="80" w:beforeAutospacing="0" w:after="0" w:afterAutospacing="0"/>
        <w:ind w:firstLine="555"/>
        <w:rPr>
          <w:sz w:val="20"/>
          <w:szCs w:val="20"/>
        </w:rPr>
      </w:pPr>
      <w:r>
        <w:rPr>
          <w:sz w:val="18"/>
          <w:szCs w:val="18"/>
        </w:rPr>
        <w:t>Securities registered pursuant to Section 12(b) of the Act</w:t>
      </w:r>
      <w:r>
        <w:rPr>
          <w:sz w:val="18"/>
          <w:szCs w:val="18"/>
        </w:rPr>
        <w:t>:</w:t>
      </w:r>
    </w:p>
    <w:p w:rsidR="00000000" w:rsidRDefault="00DA50CE">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5"/>
        <w:gridCol w:w="193"/>
        <w:gridCol w:w="2630"/>
        <w:gridCol w:w="193"/>
        <w:gridCol w:w="2645"/>
      </w:tblGrid>
      <w:tr w:rsidR="00000000">
        <w:trPr>
          <w:tblCellSpacing w:w="15" w:type="dxa"/>
        </w:trPr>
        <w:tc>
          <w:tcPr>
            <w:tcW w:w="1600" w:type="pct"/>
            <w:vAlign w:val="center"/>
            <w:hideMark/>
          </w:tcPr>
          <w:p w:rsidR="00000000" w:rsidRDefault="00DA50CE">
            <w:pPr>
              <w:rPr>
                <w:sz w:val="20"/>
                <w:szCs w:val="20"/>
              </w:rPr>
            </w:pPr>
          </w:p>
        </w:tc>
        <w:tc>
          <w:tcPr>
            <w:tcW w:w="100" w:type="pct"/>
            <w:vAlign w:val="center"/>
            <w:hideMark/>
          </w:tcPr>
          <w:p w:rsidR="00000000" w:rsidRDefault="00DA50CE">
            <w:pPr>
              <w:rPr>
                <w:rFonts w:eastAsia="Times New Roman"/>
                <w:sz w:val="20"/>
                <w:szCs w:val="20"/>
              </w:rPr>
            </w:pPr>
          </w:p>
        </w:tc>
        <w:tc>
          <w:tcPr>
            <w:tcW w:w="1600" w:type="pct"/>
            <w:vAlign w:val="center"/>
            <w:hideMark/>
          </w:tcPr>
          <w:p w:rsidR="00000000" w:rsidRDefault="00DA50CE">
            <w:pPr>
              <w:rPr>
                <w:rFonts w:eastAsia="Times New Roman"/>
                <w:sz w:val="20"/>
                <w:szCs w:val="20"/>
              </w:rPr>
            </w:pPr>
          </w:p>
        </w:tc>
        <w:tc>
          <w:tcPr>
            <w:tcW w:w="100" w:type="pct"/>
            <w:vAlign w:val="center"/>
            <w:hideMark/>
          </w:tcPr>
          <w:p w:rsidR="00000000" w:rsidRDefault="00DA50CE">
            <w:pPr>
              <w:rPr>
                <w:rFonts w:eastAsia="Times New Roman"/>
                <w:sz w:val="20"/>
                <w:szCs w:val="20"/>
              </w:rPr>
            </w:pPr>
          </w:p>
        </w:tc>
        <w:tc>
          <w:tcPr>
            <w:tcW w:w="1600" w:type="pct"/>
            <w:vAlign w:val="center"/>
            <w:hideMark/>
          </w:tcPr>
          <w:p w:rsidR="00000000" w:rsidRDefault="00DA50CE">
            <w:pPr>
              <w:rPr>
                <w:rFonts w:eastAsia="Times New Roman"/>
                <w:sz w:val="20"/>
                <w:szCs w:val="20"/>
              </w:rPr>
            </w:pPr>
          </w:p>
        </w:tc>
      </w:tr>
      <w:tr w:rsidR="00000000">
        <w:trPr>
          <w:trHeight w:val="180"/>
          <w:tblCellSpacing w:w="15" w:type="dxa"/>
        </w:trPr>
        <w:tc>
          <w:tcPr>
            <w:tcW w:w="0" w:type="auto"/>
            <w:tcBorders>
              <w:top w:val="single" w:sz="4" w:space="0" w:color="auto"/>
              <w:left w:val="single" w:sz="4" w:space="0" w:color="auto"/>
              <w:bottom w:val="single" w:sz="4" w:space="0" w:color="auto"/>
              <w:right w:val="single" w:sz="4" w:space="0" w:color="auto"/>
            </w:tcBorders>
            <w:vAlign w:val="bottom"/>
            <w:hideMark/>
          </w:tcPr>
          <w:p w:rsidR="00000000" w:rsidRDefault="00DA50CE">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tcBorders>
              <w:top w:val="single" w:sz="4" w:space="0" w:color="auto"/>
              <w:bottom w:val="single" w:sz="4" w:space="0" w:color="auto"/>
            </w:tcBorders>
            <w:hideMark/>
          </w:tcPr>
          <w:p w:rsidR="00000000" w:rsidRDefault="00DA50CE">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tcBorders>
            <w:vAlign w:val="bottom"/>
            <w:hideMark/>
          </w:tcPr>
          <w:p w:rsidR="00000000" w:rsidRDefault="00DA50CE">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tcBorders>
              <w:top w:val="single" w:sz="4" w:space="0" w:color="auto"/>
              <w:bottom w:val="single" w:sz="4" w:space="0" w:color="auto"/>
              <w:right w:val="single" w:sz="4" w:space="0" w:color="auto"/>
            </w:tcBorders>
            <w:hideMark/>
          </w:tcPr>
          <w:p w:rsidR="00000000" w:rsidRDefault="00DA50CE">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right w:val="single" w:sz="4" w:space="0" w:color="auto"/>
            </w:tcBorders>
            <w:vAlign w:val="bottom"/>
            <w:hideMark/>
          </w:tcPr>
          <w:p w:rsidR="00000000" w:rsidRDefault="00DA50CE">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80"/>
          <w:tblCellSpacing w:w="15" w:type="dxa"/>
        </w:trPr>
        <w:tc>
          <w:tcPr>
            <w:tcW w:w="0" w:type="auto"/>
            <w:tcBorders>
              <w:left w:val="single" w:sz="4" w:space="0" w:color="auto"/>
              <w:bottom w:val="single" w:sz="4" w:space="0" w:color="auto"/>
              <w:right w:val="single" w:sz="4" w:space="0" w:color="auto"/>
            </w:tcBorders>
            <w:hideMark/>
          </w:tcPr>
          <w:p w:rsidR="00000000" w:rsidRDefault="00DA50CE">
            <w:pPr>
              <w:pStyle w:val="a3"/>
              <w:spacing w:before="0" w:beforeAutospacing="0" w:after="0" w:afterAutospacing="0"/>
              <w:jc w:val="center"/>
              <w:rPr>
                <w:sz w:val="20"/>
                <w:szCs w:val="20"/>
              </w:rPr>
            </w:pPr>
            <w:r>
              <w:rPr>
                <w:sz w:val="18"/>
                <w:szCs w:val="18"/>
              </w:rPr>
              <w:t>Common Stock, par value $0.0001 per shar</w:t>
            </w:r>
            <w:r>
              <w:rPr>
                <w:sz w:val="18"/>
                <w:szCs w:val="18"/>
              </w:rPr>
              <w:t>e</w:t>
            </w:r>
          </w:p>
        </w:tc>
        <w:tc>
          <w:tcPr>
            <w:tcW w:w="0" w:type="auto"/>
            <w:tcBorders>
              <w:bottom w:val="single" w:sz="4" w:space="0" w:color="auto"/>
            </w:tcBorders>
            <w:hideMark/>
          </w:tcPr>
          <w:p w:rsidR="00000000" w:rsidRDefault="00DA50CE">
            <w:pPr>
              <w:pStyle w:val="a3"/>
              <w:spacing w:before="80" w:beforeAutospacing="0" w:after="0" w:afterAutospacing="0"/>
              <w:jc w:val="center"/>
              <w:rPr>
                <w:sz w:val="18"/>
                <w:szCs w:val="18"/>
              </w:rPr>
            </w:pPr>
            <w:r>
              <w:rPr>
                <w:sz w:val="18"/>
                <w:szCs w:val="18"/>
              </w:rPr>
              <w:t> </w:t>
            </w:r>
          </w:p>
        </w:tc>
        <w:tc>
          <w:tcPr>
            <w:tcW w:w="0" w:type="auto"/>
            <w:tcBorders>
              <w:bottom w:val="single" w:sz="4" w:space="0" w:color="auto"/>
            </w:tcBorders>
            <w:hideMark/>
          </w:tcPr>
          <w:p w:rsidR="00000000" w:rsidRDefault="00DA50CE">
            <w:pPr>
              <w:pStyle w:val="a3"/>
              <w:spacing w:before="0" w:beforeAutospacing="0" w:after="0" w:afterAutospacing="0"/>
              <w:jc w:val="center"/>
              <w:rPr>
                <w:sz w:val="20"/>
                <w:szCs w:val="20"/>
              </w:rPr>
            </w:pPr>
            <w:r>
              <w:rPr>
                <w:sz w:val="18"/>
                <w:szCs w:val="18"/>
              </w:rPr>
              <w:t>FLG</w:t>
            </w:r>
            <w:r>
              <w:rPr>
                <w:sz w:val="18"/>
                <w:szCs w:val="18"/>
              </w:rPr>
              <w:t>T</w:t>
            </w:r>
          </w:p>
        </w:tc>
        <w:tc>
          <w:tcPr>
            <w:tcW w:w="0" w:type="auto"/>
            <w:tcBorders>
              <w:bottom w:val="single" w:sz="4" w:space="0" w:color="auto"/>
              <w:right w:val="single" w:sz="4" w:space="0" w:color="auto"/>
            </w:tcBorders>
            <w:hideMark/>
          </w:tcPr>
          <w:p w:rsidR="00000000" w:rsidRDefault="00DA50CE">
            <w:pPr>
              <w:pStyle w:val="a3"/>
              <w:spacing w:before="80" w:beforeAutospacing="0" w:after="0" w:afterAutospacing="0"/>
              <w:jc w:val="center"/>
              <w:rPr>
                <w:sz w:val="18"/>
                <w:szCs w:val="18"/>
              </w:rPr>
            </w:pPr>
            <w:r>
              <w:rPr>
                <w:sz w:val="18"/>
                <w:szCs w:val="18"/>
              </w:rPr>
              <w:t> </w:t>
            </w:r>
          </w:p>
        </w:tc>
        <w:tc>
          <w:tcPr>
            <w:tcW w:w="0" w:type="auto"/>
            <w:tcBorders>
              <w:bottom w:val="single" w:sz="4" w:space="0" w:color="auto"/>
              <w:right w:val="single" w:sz="4" w:space="0" w:color="auto"/>
            </w:tcBorders>
            <w:hideMark/>
          </w:tcPr>
          <w:p w:rsidR="00000000" w:rsidRDefault="00DA50CE">
            <w:pPr>
              <w:pStyle w:val="a3"/>
              <w:spacing w:before="0" w:beforeAutospacing="0" w:after="0" w:afterAutospacing="0"/>
              <w:jc w:val="center"/>
              <w:rPr>
                <w:sz w:val="20"/>
                <w:szCs w:val="20"/>
              </w:rPr>
            </w:pPr>
            <w:r>
              <w:rPr>
                <w:sz w:val="18"/>
                <w:szCs w:val="18"/>
              </w:rPr>
              <w:t>The</w:t>
            </w:r>
            <w:r>
              <w:rPr>
                <w:sz w:val="18"/>
                <w:szCs w:val="18"/>
              </w:rPr>
              <w:t xml:space="preserve"> </w:t>
            </w:r>
            <w:r>
              <w:rPr>
                <w:sz w:val="18"/>
                <w:szCs w:val="18"/>
              </w:rPr>
              <w:t>Nasda</w:t>
            </w:r>
            <w:r>
              <w:rPr>
                <w:sz w:val="18"/>
                <w:szCs w:val="18"/>
              </w:rPr>
              <w:t>q</w:t>
            </w:r>
            <w:r>
              <w:rPr>
                <w:sz w:val="18"/>
                <w:szCs w:val="18"/>
              </w:rPr>
              <w:t xml:space="preserve"> Stock Market </w:t>
            </w:r>
            <w:r>
              <w:rPr>
                <w:sz w:val="18"/>
                <w:szCs w:val="18"/>
              </w:rPr>
              <w:br/>
            </w:r>
            <w:r>
              <w:rPr>
                <w:sz w:val="18"/>
                <w:szCs w:val="18"/>
              </w:rPr>
              <w:t>(Nasdaq Global Market</w:t>
            </w:r>
            <w:r>
              <w:rPr>
                <w:sz w:val="18"/>
                <w:szCs w:val="18"/>
              </w:rPr>
              <w:t>)</w:t>
            </w:r>
          </w:p>
        </w:tc>
      </w:tr>
    </w:tbl>
    <w:p w:rsidR="00000000" w:rsidRDefault="00DA50CE">
      <w:pPr>
        <w:pStyle w:val="a3"/>
        <w:spacing w:before="0" w:beforeAutospacing="0" w:after="0" w:afterAutospacing="0"/>
        <w:rPr>
          <w:sz w:val="20"/>
          <w:szCs w:val="20"/>
        </w:rPr>
      </w:pPr>
      <w:r>
        <w:rPr>
          <w:sz w:val="8"/>
          <w:szCs w:val="8"/>
        </w:rPr>
        <w:t> </w:t>
      </w:r>
    </w:p>
    <w:p w:rsidR="00000000" w:rsidRDefault="00DA50CE">
      <w:pPr>
        <w:pStyle w:val="a3"/>
        <w:spacing w:before="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w:t>
      </w:r>
      <w:r>
        <w:rPr>
          <w:sz w:val="18"/>
          <w:szCs w:val="18"/>
        </w:rPr>
        <w:t>ant was required to file such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DA50CE">
      <w:pPr>
        <w:pStyle w:val="a3"/>
        <w:spacing w:before="80" w:beforeAutospacing="0" w:after="0" w:afterAutospacing="0"/>
        <w:ind w:firstLine="555"/>
        <w:rPr>
          <w:sz w:val="20"/>
          <w:szCs w:val="20"/>
        </w:rPr>
      </w:pPr>
      <w:r>
        <w:rPr>
          <w:sz w:val="18"/>
          <w:szCs w:val="18"/>
        </w:rPr>
        <w:t>Indicate by check mark whether the registrant has submitted electronically every Interactive Data File required to be submitted pu</w:t>
      </w:r>
      <w:r>
        <w:rPr>
          <w:sz w:val="18"/>
          <w:szCs w:val="18"/>
        </w:rPr>
        <w:t>rsuant to Rule 405 of Regulation S-T (§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DA50CE">
      <w:pPr>
        <w:pStyle w:val="a3"/>
        <w:spacing w:before="80" w:beforeAutospacing="0" w:after="0" w:afterAutospacing="0"/>
        <w:ind w:firstLine="555"/>
        <w:rPr>
          <w:sz w:val="20"/>
          <w:szCs w:val="20"/>
        </w:rPr>
      </w:pPr>
      <w:r>
        <w:rPr>
          <w:sz w:val="18"/>
          <w:szCs w:val="18"/>
        </w:rPr>
        <w:t>Indicate by check mark whether the registrant is a large accelera</w:t>
      </w:r>
      <w:r>
        <w:rPr>
          <w:sz w:val="18"/>
          <w:szCs w:val="18"/>
        </w:rPr>
        <w:t>ted filer, an accelerated filer, a non-accelerated filer, a smaller reporting company, or an emerging growth company. See the definitions of “large accelerated filer,” “accelerated filer” “smaller reporting company,” and “emerging growth company” in Rule 1</w:t>
      </w:r>
      <w:r>
        <w:rPr>
          <w:sz w:val="18"/>
          <w:szCs w:val="18"/>
        </w:rPr>
        <w:t>2b-2 of the Exchange Act</w:t>
      </w:r>
      <w:r>
        <w:rPr>
          <w:sz w:val="18"/>
          <w:szCs w:val="18"/>
        </w:rPr>
        <w:t>.</w:t>
      </w:r>
    </w:p>
    <w:p w:rsidR="00000000" w:rsidRDefault="00DA50CE">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0"/>
        <w:gridCol w:w="105"/>
        <w:gridCol w:w="4515"/>
        <w:gridCol w:w="106"/>
        <w:gridCol w:w="1664"/>
        <w:gridCol w:w="106"/>
        <w:gridCol w:w="230"/>
      </w:tblGrid>
      <w:tr w:rsidR="00000000">
        <w:trPr>
          <w:tblCellSpacing w:w="15" w:type="dxa"/>
        </w:trPr>
        <w:tc>
          <w:tcPr>
            <w:tcW w:w="955" w:type="pct"/>
            <w:vAlign w:val="center"/>
            <w:hideMark/>
          </w:tcPr>
          <w:p w:rsidR="00000000" w:rsidRDefault="00DA50CE">
            <w:pPr>
              <w:rPr>
                <w:sz w:val="20"/>
                <w:szCs w:val="20"/>
              </w:rPr>
            </w:pPr>
          </w:p>
        </w:tc>
        <w:tc>
          <w:tcPr>
            <w:tcW w:w="50" w:type="pct"/>
            <w:vAlign w:val="center"/>
            <w:hideMark/>
          </w:tcPr>
          <w:p w:rsidR="00000000" w:rsidRDefault="00DA50CE">
            <w:pPr>
              <w:rPr>
                <w:rFonts w:eastAsia="Times New Roman"/>
                <w:sz w:val="20"/>
                <w:szCs w:val="20"/>
              </w:rPr>
            </w:pPr>
          </w:p>
        </w:tc>
        <w:tc>
          <w:tcPr>
            <w:tcW w:w="2782" w:type="pct"/>
            <w:vAlign w:val="center"/>
            <w:hideMark/>
          </w:tcPr>
          <w:p w:rsidR="00000000" w:rsidRDefault="00DA50CE">
            <w:pPr>
              <w:rPr>
                <w:rFonts w:eastAsia="Times New Roman"/>
                <w:sz w:val="20"/>
                <w:szCs w:val="20"/>
              </w:rPr>
            </w:pPr>
          </w:p>
        </w:tc>
        <w:tc>
          <w:tcPr>
            <w:tcW w:w="50" w:type="pct"/>
            <w:vAlign w:val="center"/>
            <w:hideMark/>
          </w:tcPr>
          <w:p w:rsidR="00000000" w:rsidRDefault="00DA50CE">
            <w:pPr>
              <w:rPr>
                <w:rFonts w:eastAsia="Times New Roman"/>
                <w:sz w:val="20"/>
                <w:szCs w:val="20"/>
              </w:rPr>
            </w:pPr>
          </w:p>
        </w:tc>
        <w:tc>
          <w:tcPr>
            <w:tcW w:w="1016" w:type="pct"/>
            <w:vAlign w:val="center"/>
            <w:hideMark/>
          </w:tcPr>
          <w:p w:rsidR="00000000" w:rsidRDefault="00DA50CE">
            <w:pPr>
              <w:rPr>
                <w:rFonts w:eastAsia="Times New Roman"/>
                <w:sz w:val="20"/>
                <w:szCs w:val="20"/>
              </w:rPr>
            </w:pPr>
          </w:p>
        </w:tc>
        <w:tc>
          <w:tcPr>
            <w:tcW w:w="50" w:type="pct"/>
            <w:vAlign w:val="center"/>
            <w:hideMark/>
          </w:tcPr>
          <w:p w:rsidR="00000000" w:rsidRDefault="00DA50CE">
            <w:pPr>
              <w:rPr>
                <w:rFonts w:eastAsia="Times New Roman"/>
                <w:sz w:val="20"/>
                <w:szCs w:val="20"/>
              </w:rPr>
            </w:pPr>
          </w:p>
        </w:tc>
        <w:tc>
          <w:tcPr>
            <w:tcW w:w="95" w:type="pct"/>
            <w:vAlign w:val="center"/>
            <w:hideMark/>
          </w:tcPr>
          <w:p w:rsidR="00000000" w:rsidRDefault="00DA50CE">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lastRenderedPageBreak/>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rFonts w:ascii="Wingdings" w:hAnsi="Wingdings"/>
                <w:sz w:val="4"/>
                <w:szCs w:val="4"/>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4"/>
                <w:szCs w:val="4"/>
              </w:rPr>
            </w:pPr>
            <w:r>
              <w:rPr>
                <w:rFonts w:ascii="Wingdings" w:hAnsi="Wingdings"/>
                <w:sz w:val="4"/>
                <w:szCs w:val="4"/>
              </w:rPr>
              <w:t> </w:t>
            </w:r>
          </w:p>
        </w:tc>
      </w:tr>
      <w:tr w:rsidR="00000000">
        <w:trPr>
          <w:trHeight w:val="240"/>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pPr>
            <w: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rFonts w:ascii="Segoe UI Symbol" w:hAnsi="Segoe UI Symbol" w:cs="Segoe UI Symbol"/>
                <w:sz w:val="18"/>
                <w:szCs w:val="18"/>
              </w:rPr>
              <w:t>☐</w:t>
            </w:r>
          </w:p>
        </w:tc>
      </w:tr>
    </w:tbl>
    <w:p w:rsidR="00000000" w:rsidRDefault="00DA50CE">
      <w:pPr>
        <w:pStyle w:val="a3"/>
        <w:spacing w:before="0" w:beforeAutospacing="0" w:after="0" w:afterAutospacing="0"/>
        <w:rPr>
          <w:sz w:val="20"/>
          <w:szCs w:val="20"/>
        </w:rPr>
      </w:pPr>
      <w:r>
        <w:rPr>
          <w:sz w:val="8"/>
          <w:szCs w:val="8"/>
        </w:rPr>
        <w:t> </w:t>
      </w:r>
    </w:p>
    <w:p w:rsidR="00000000" w:rsidRDefault="00DA50CE">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DA50CE">
      <w:pPr>
        <w:pStyle w:val="a3"/>
        <w:spacing w:before="80" w:beforeAutospacing="0" w:after="0" w:afterAutospacing="0"/>
        <w:ind w:firstLine="555"/>
        <w:rPr>
          <w:sz w:val="20"/>
          <w:szCs w:val="20"/>
        </w:rPr>
      </w:pPr>
      <w:r>
        <w:rPr>
          <w:sz w:val="18"/>
          <w:szCs w:val="18"/>
        </w:rPr>
        <w:t>Ind</w:t>
      </w:r>
      <w:r>
        <w:rPr>
          <w:sz w:val="18"/>
          <w:szCs w:val="18"/>
        </w:rPr>
        <w:t>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rsidR="00000000" w:rsidRDefault="00DA50CE">
      <w:pPr>
        <w:pStyle w:val="a3"/>
        <w:spacing w:before="80" w:beforeAutospacing="0" w:after="0" w:afterAutospacing="0"/>
        <w:ind w:firstLine="555"/>
        <w:rPr>
          <w:sz w:val="20"/>
          <w:szCs w:val="20"/>
        </w:rPr>
      </w:pPr>
      <w:r>
        <w:rPr>
          <w:sz w:val="18"/>
          <w:szCs w:val="18"/>
        </w:rPr>
        <w:t>As of May 1, 2022, there were</w:t>
      </w:r>
      <w:r>
        <w:rPr>
          <w:sz w:val="18"/>
          <w:szCs w:val="18"/>
        </w:rPr>
        <w:t xml:space="preserve"> </w:t>
      </w:r>
      <w:r>
        <w:rPr>
          <w:sz w:val="18"/>
          <w:szCs w:val="18"/>
        </w:rPr>
        <w:t>30,327,20</w:t>
      </w:r>
      <w:r>
        <w:rPr>
          <w:sz w:val="18"/>
          <w:szCs w:val="18"/>
        </w:rPr>
        <w:t>3</w:t>
      </w:r>
      <w:r>
        <w:rPr>
          <w:sz w:val="18"/>
          <w:szCs w:val="18"/>
        </w:rPr>
        <w:t xml:space="preserve"> outstanding shares of the registrant’s common stock</w:t>
      </w:r>
      <w:r>
        <w:rPr>
          <w:sz w:val="18"/>
          <w:szCs w:val="18"/>
        </w:rPr>
        <w:t>.</w:t>
      </w:r>
    </w:p>
    <w:p w:rsidR="00000000" w:rsidRDefault="00DA50CE">
      <w:pPr>
        <w:pStyle w:val="a3"/>
        <w:pBdr>
          <w:bottom w:val="double" w:sz="6" w:space="1" w:color="auto"/>
        </w:pBdr>
        <w:spacing w:before="0" w:beforeAutospacing="0" w:after="0" w:afterAutospacing="0"/>
        <w:jc w:val="center"/>
        <w:rPr>
          <w:sz w:val="20"/>
          <w:szCs w:val="20"/>
        </w:rPr>
      </w:pPr>
      <w:r>
        <w:rPr>
          <w:sz w:val="20"/>
          <w:szCs w:val="20"/>
        </w:rPr>
        <w:t> </w:t>
      </w:r>
    </w:p>
    <w:p w:rsidR="00000000" w:rsidRDefault="00DA50CE">
      <w:pPr>
        <w:pStyle w:val="a3"/>
        <w:spacing w:before="240" w:beforeAutospacing="0" w:after="0" w:afterAutospacing="0"/>
        <w:jc w:val="center"/>
        <w:rPr>
          <w:sz w:val="20"/>
          <w:szCs w:val="20"/>
        </w:rPr>
      </w:pPr>
      <w:r>
        <w:t> </w:t>
      </w:r>
    </w:p>
    <w:p w:rsidR="00000000" w:rsidRDefault="00DA50CE">
      <w:pPr>
        <w:rPr>
          <w:rFonts w:eastAsia="Times New Roman"/>
        </w:rPr>
      </w:pPr>
      <w:r>
        <w:rPr>
          <w:rFonts w:eastAsia="Times New Roman"/>
        </w:rPr>
        <w:pict>
          <v:rect id="_x0000_i1025"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rPr>
        <w:t>Table of Content</w:t>
      </w:r>
      <w:r>
        <w:rPr>
          <w:b/>
          <w:bCs/>
        </w:rPr>
        <w:t>s</w:t>
      </w:r>
    </w:p>
    <w:p w:rsidR="00000000" w:rsidRDefault="00DA50CE">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0"/>
        <w:gridCol w:w="486"/>
      </w:tblGrid>
      <w:tr w:rsidR="00000000">
        <w:trPr>
          <w:tblCellSpacing w:w="15" w:type="dxa"/>
        </w:trPr>
        <w:tc>
          <w:tcPr>
            <w:tcW w:w="4777" w:type="pct"/>
            <w:vAlign w:val="center"/>
            <w:hideMark/>
          </w:tcPr>
          <w:p w:rsidR="00000000" w:rsidRDefault="00DA50CE">
            <w:pPr>
              <w:rPr>
                <w:sz w:val="20"/>
                <w:szCs w:val="20"/>
              </w:rPr>
            </w:pPr>
          </w:p>
        </w:tc>
        <w:tc>
          <w:tcPr>
            <w:tcW w:w="222" w:type="pct"/>
            <w:vAlign w:val="center"/>
            <w:hideMark/>
          </w:tcPr>
          <w:p w:rsidR="00000000" w:rsidRDefault="00DA50CE">
            <w:pPr>
              <w:rPr>
                <w:rFonts w:eastAsia="Times New Roman"/>
                <w:sz w:val="20"/>
                <w:szCs w:val="20"/>
              </w:rPr>
            </w:pP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b/>
                <w:bCs/>
                <w:sz w:val="20"/>
                <w:szCs w:val="20"/>
              </w:rPr>
              <w:t>Pag</w:t>
            </w:r>
            <w:r>
              <w:rPr>
                <w:b/>
                <w:bCs/>
                <w:sz w:val="20"/>
                <w:szCs w:val="20"/>
              </w:rPr>
              <w:t>e</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part_ifinancial_information" w:history="1">
              <w:r>
                <w:rPr>
                  <w:rStyle w:val="a4"/>
                  <w:b/>
                  <w:bCs/>
                  <w:sz w:val="20"/>
                  <w:szCs w:val="20"/>
                </w:rPr>
                <w:t>PART I—FINANCIAL INFORMATIO</w:t>
              </w:r>
              <w:r>
                <w:rPr>
                  <w:rStyle w:val="a4"/>
                  <w:b/>
                  <w:bCs/>
                  <w:sz w:val="20"/>
                  <w:szCs w:val="20"/>
                </w:rPr>
                <w:t>N</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1_financial" w:history="1">
              <w:r>
                <w:rPr>
                  <w:rStyle w:val="a4"/>
                  <w:sz w:val="20"/>
                  <w:szCs w:val="20"/>
                </w:rPr>
                <w:t>Item 1. Financial Statements (Unaudited</w:t>
              </w:r>
              <w:r>
                <w:rPr>
                  <w:rStyle w:val="a4"/>
                  <w:sz w:val="20"/>
                  <w:szCs w:val="20"/>
                </w:rPr>
                <w:t>)</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condensed_consolidated_balance_sheets" w:history="1">
              <w:r>
                <w:rPr>
                  <w:rStyle w:val="a4"/>
                  <w:sz w:val="20"/>
                  <w:szCs w:val="20"/>
                </w:rPr>
                <w:t>Condensed Consolidated Balance Sheet</w:t>
              </w:r>
              <w:r>
                <w:rPr>
                  <w:rStyle w:val="a4"/>
                  <w:sz w:val="20"/>
                  <w:szCs w:val="20"/>
                </w:rPr>
                <w:t>s</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condensed_consolidated_statements_opera" w:history="1">
              <w:r>
                <w:rPr>
                  <w:rStyle w:val="a4"/>
                  <w:sz w:val="20"/>
                  <w:szCs w:val="20"/>
                </w:rPr>
                <w:t>Condensed Consolidated Statements of Incom</w:t>
              </w:r>
              <w:r>
                <w:rPr>
                  <w:rStyle w:val="a4"/>
                  <w:sz w:val="20"/>
                  <w:szCs w:val="20"/>
                </w:rPr>
                <w:t>e</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2</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w:t>
              </w:r>
              <w:r>
                <w:rPr>
                  <w:rStyle w:val="a4"/>
                  <w:sz w:val="20"/>
                  <w:szCs w:val="20"/>
                </w:rPr>
                <w:t>e</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3</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w:t>
              </w:r>
              <w:r>
                <w:rPr>
                  <w:rStyle w:val="a4"/>
                  <w:sz w:val="20"/>
                  <w:szCs w:val="20"/>
                </w:rPr>
                <w:t>y</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4</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5</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notes_to_condensed_consolidated_financi" w:history="1">
              <w:r>
                <w:rPr>
                  <w:rStyle w:val="a4"/>
                  <w:sz w:val="20"/>
                  <w:szCs w:val="20"/>
                </w:rPr>
                <w:t>Notes to the Condens</w:t>
              </w:r>
              <w:r>
                <w:rPr>
                  <w:rStyle w:val="a4"/>
                  <w:sz w:val="20"/>
                  <w:szCs w:val="20"/>
                </w:rPr>
                <w:t>ed Consolidated Financial Statement</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6</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2_managements_discussion_analysis_" w:history="1">
              <w:r>
                <w:rPr>
                  <w:rStyle w:val="a4"/>
                  <w:sz w:val="20"/>
                  <w:szCs w:val="20"/>
                </w:rPr>
                <w:t>Item 2. Management’</w:t>
              </w:r>
              <w:r>
                <w:rPr>
                  <w:rStyle w:val="a4"/>
                  <w:sz w:val="20"/>
                  <w:szCs w:val="20"/>
                </w:rPr>
                <w:t>s Discussion and Analysis of Financial Condition and Results of Operation</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0</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3_market_risk" w:history="1">
              <w:r>
                <w:rPr>
                  <w:rStyle w:val="a4"/>
                  <w:sz w:val="20"/>
                  <w:szCs w:val="20"/>
                </w:rPr>
                <w:t>Item 3. Quantitative and Qualitative Disclosures About Market Ris</w:t>
              </w:r>
              <w:r>
                <w:rPr>
                  <w:rStyle w:val="a4"/>
                  <w:sz w:val="20"/>
                  <w:szCs w:val="20"/>
                </w:rPr>
                <w:t>k</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7</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4_controls_and_procedures" w:history="1">
              <w:r>
                <w:rPr>
                  <w:rStyle w:val="a4"/>
                  <w:sz w:val="20"/>
                  <w:szCs w:val="20"/>
                </w:rPr>
                <w:t>Item 4. Cont</w:t>
              </w:r>
              <w:r>
                <w:rPr>
                  <w:rStyle w:val="a4"/>
                  <w:sz w:val="20"/>
                  <w:szCs w:val="20"/>
                </w:rPr>
                <w:t>rols and Procedure</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7</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part_iior_information" w:history="1">
              <w:r>
                <w:rPr>
                  <w:rStyle w:val="a4"/>
                  <w:b/>
                  <w:bCs/>
                  <w:sz w:val="20"/>
                  <w:szCs w:val="20"/>
                </w:rPr>
                <w:t>PART II—OTHER INFORMATIO</w:t>
              </w:r>
              <w:r>
                <w:rPr>
                  <w:rStyle w:val="a4"/>
                  <w:b/>
                  <w:bCs/>
                  <w:sz w:val="20"/>
                  <w:szCs w:val="20"/>
                </w:rPr>
                <w:t>N</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8</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1_legal_proceedings" w:history="1">
              <w:r>
                <w:rPr>
                  <w:rStyle w:val="a4"/>
                  <w:sz w:val="20"/>
                  <w:szCs w:val="20"/>
                </w:rPr>
                <w:t>Item 1. Legal Proceeding</w:t>
              </w:r>
              <w:r>
                <w:rPr>
                  <w:rStyle w:val="a4"/>
                  <w:sz w:val="20"/>
                  <w:szCs w:val="20"/>
                </w:rPr>
                <w:t>s</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2</w:t>
            </w:r>
            <w:r>
              <w:rPr>
                <w:sz w:val="20"/>
                <w:szCs w:val="20"/>
              </w:rPr>
              <w:t>8</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1a_risk_factors" w:history="1">
              <w:r>
                <w:rPr>
                  <w:rStyle w:val="a4"/>
                  <w:sz w:val="20"/>
                  <w:szCs w:val="20"/>
                </w:rPr>
                <w:t>Item 1A. Risk Factor</w:t>
              </w:r>
              <w:r>
                <w:rPr>
                  <w:rStyle w:val="a4"/>
                  <w:sz w:val="20"/>
                  <w:szCs w:val="20"/>
                </w:rPr>
                <w:t>s</w:t>
              </w:r>
            </w:hyperlink>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2</w:t>
            </w:r>
            <w:r>
              <w:rPr>
                <w:sz w:val="20"/>
                <w:szCs w:val="20"/>
              </w:rPr>
              <w:t>8</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8</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5_other_information" w:history="1">
              <w:r>
                <w:rPr>
                  <w:rStyle w:val="a4"/>
                  <w:sz w:val="20"/>
                  <w:szCs w:val="20"/>
                </w:rPr>
                <w:t>Item 5. Other Informatio</w:t>
              </w:r>
              <w:r>
                <w:rPr>
                  <w:rStyle w:val="a4"/>
                  <w:sz w:val="20"/>
                  <w:szCs w:val="20"/>
                </w:rPr>
                <w:t>n</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9</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item_5_exhibits" w:history="1">
              <w:r>
                <w:rPr>
                  <w:rStyle w:val="a4"/>
                  <w:sz w:val="20"/>
                  <w:szCs w:val="20"/>
                </w:rPr>
                <w:t>Item 6. Exhibit</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2</w:t>
            </w:r>
            <w:r>
              <w:rPr>
                <w:sz w:val="20"/>
                <w:szCs w:val="20"/>
              </w:rPr>
              <w:t>9</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exhibit_index" w:history="1">
              <w:r>
                <w:rPr>
                  <w:rStyle w:val="a4"/>
                  <w:sz w:val="20"/>
                  <w:szCs w:val="20"/>
                </w:rPr>
                <w:t>Exhibit Inde</w:t>
              </w:r>
              <w:r>
                <w:rPr>
                  <w:rStyle w:val="a4"/>
                  <w:sz w:val="20"/>
                  <w:szCs w:val="20"/>
                </w:rPr>
                <w:t>x</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3</w:t>
            </w:r>
            <w:r>
              <w:rPr>
                <w:sz w:val="20"/>
                <w:szCs w:val="20"/>
              </w:rPr>
              <w:t>0</w:t>
            </w:r>
          </w:p>
        </w:tc>
      </w:tr>
      <w:tr w:rsidR="00000000">
        <w:trPr>
          <w:trHeight w:val="200"/>
          <w:tblCellSpacing w:w="15" w:type="dxa"/>
        </w:trPr>
        <w:tc>
          <w:tcPr>
            <w:tcW w:w="0" w:type="auto"/>
            <w:hideMark/>
          </w:tcPr>
          <w:p w:rsidR="00000000" w:rsidRDefault="00DA50CE">
            <w:pPr>
              <w:pStyle w:val="a3"/>
              <w:spacing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vAlign w:val="bottom"/>
            <w:hideMark/>
          </w:tcPr>
          <w:p w:rsidR="00000000" w:rsidRDefault="00DA50CE">
            <w:pPr>
              <w:pStyle w:val="a3"/>
              <w:spacing w:beforeAutospacing="0" w:after="0" w:afterAutospacing="0"/>
              <w:jc w:val="center"/>
              <w:rPr>
                <w:sz w:val="20"/>
                <w:szCs w:val="20"/>
              </w:rPr>
            </w:pPr>
            <w:r>
              <w:rPr>
                <w:sz w:val="20"/>
                <w:szCs w:val="20"/>
              </w:rPr>
              <w:t>3</w:t>
            </w:r>
            <w:r>
              <w:rPr>
                <w:sz w:val="20"/>
                <w:szCs w:val="20"/>
              </w:rPr>
              <w:t>1</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i</w:t>
      </w:r>
    </w:p>
    <w:p w:rsidR="00000000" w:rsidRDefault="00DA50CE">
      <w:pPr>
        <w:rPr>
          <w:rFonts w:eastAsia="Times New Roman"/>
        </w:rPr>
      </w:pPr>
      <w:r>
        <w:rPr>
          <w:rFonts w:eastAsia="Times New Roman"/>
        </w:rPr>
        <w:pict>
          <v:rect id="_x0000_i1026"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PART I—FI</w:t>
      </w:r>
      <w:r>
        <w:rPr>
          <w:b/>
          <w:bCs/>
          <w:sz w:val="20"/>
          <w:szCs w:val="20"/>
        </w:rPr>
        <w:t>N</w:t>
      </w:r>
      <w:r>
        <w:rPr>
          <w:b/>
          <w:bCs/>
          <w:sz w:val="20"/>
          <w:szCs w:val="20"/>
        </w:rPr>
        <w:t>ANCIAL INFORMATIO</w:t>
      </w:r>
      <w:r>
        <w:rPr>
          <w:b/>
          <w:bCs/>
          <w:sz w:val="20"/>
          <w:szCs w:val="20"/>
        </w:rPr>
        <w:t>N</w:t>
      </w:r>
    </w:p>
    <w:p w:rsidR="00000000" w:rsidRDefault="00DA50CE">
      <w:pPr>
        <w:pStyle w:val="a3"/>
        <w:spacing w:before="240" w:beforeAutospacing="0" w:after="0" w:afterAutospacing="0"/>
        <w:rPr>
          <w:sz w:val="20"/>
          <w:szCs w:val="20"/>
        </w:rPr>
      </w:pPr>
      <w:r>
        <w:rPr>
          <w:b/>
          <w:bCs/>
          <w:sz w:val="20"/>
          <w:szCs w:val="20"/>
        </w:rPr>
        <w:t>Item 1. Fin</w:t>
      </w:r>
      <w:r>
        <w:rPr>
          <w:b/>
          <w:bCs/>
          <w:sz w:val="20"/>
          <w:szCs w:val="20"/>
        </w:rPr>
        <w:t>a</w:t>
      </w:r>
      <w:r>
        <w:rPr>
          <w:b/>
          <w:bCs/>
          <w:sz w:val="20"/>
          <w:szCs w:val="20"/>
        </w:rPr>
        <w:t>ncial Statements</w:t>
      </w:r>
      <w:r>
        <w:rPr>
          <w:b/>
          <w:bCs/>
          <w:sz w:val="20"/>
          <w:szCs w:val="20"/>
        </w:rPr>
        <w:t>.</w:t>
      </w:r>
    </w:p>
    <w:p w:rsidR="00000000" w:rsidRDefault="00DA50CE">
      <w:pPr>
        <w:pStyle w:val="a3"/>
        <w:spacing w:before="24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lastRenderedPageBreak/>
        <w:t>Condensed Consolid</w:t>
      </w:r>
      <w:r>
        <w:rPr>
          <w:b/>
          <w:bCs/>
          <w:sz w:val="20"/>
          <w:szCs w:val="20"/>
        </w:rPr>
        <w:t>a</w:t>
      </w:r>
      <w:r>
        <w:rPr>
          <w:b/>
          <w:bCs/>
          <w:sz w:val="20"/>
          <w:szCs w:val="20"/>
        </w:rPr>
        <w:t>ted Balance Sheet</w:t>
      </w:r>
      <w:r>
        <w:rPr>
          <w:b/>
          <w:bCs/>
          <w:sz w:val="20"/>
          <w:szCs w:val="20"/>
        </w:rPr>
        <w:t>s</w:t>
      </w:r>
    </w:p>
    <w:p w:rsidR="00000000" w:rsidRDefault="00DA50CE">
      <w:pPr>
        <w:pStyle w:val="a3"/>
        <w:spacing w:before="0" w:beforeAutospacing="0" w:after="0" w:afterAutospacing="0"/>
        <w:jc w:val="center"/>
        <w:rPr>
          <w:sz w:val="20"/>
          <w:szCs w:val="20"/>
        </w:rPr>
      </w:pPr>
      <w:r>
        <w:rPr>
          <w:b/>
          <w:bCs/>
          <w:sz w:val="20"/>
          <w:szCs w:val="20"/>
        </w:rPr>
        <w:t>(in thousands, except par value data</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jc w:val="center"/>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2"/>
        <w:gridCol w:w="160"/>
        <w:gridCol w:w="1081"/>
        <w:gridCol w:w="127"/>
        <w:gridCol w:w="128"/>
        <w:gridCol w:w="160"/>
        <w:gridCol w:w="1066"/>
        <w:gridCol w:w="142"/>
      </w:tblGrid>
      <w:tr w:rsidR="00000000">
        <w:trPr>
          <w:tblCellSpacing w:w="15" w:type="dxa"/>
        </w:trPr>
        <w:tc>
          <w:tcPr>
            <w:tcW w:w="3377"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674"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82"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665"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Asset</w:t>
            </w:r>
            <w:r>
              <w:rPr>
                <w:b/>
                <w:bCs/>
                <w:sz w:val="20"/>
                <w:szCs w:val="20"/>
              </w:rPr>
              <w:t>s</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Current asset</w:t>
            </w:r>
            <w:r>
              <w:rPr>
                <w:sz w:val="20"/>
                <w:szCs w:val="20"/>
              </w:rPr>
              <w:t>s</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353,06</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164,89</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Marketable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232,04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285,60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 xml:space="preserve">Trade accounts receivable, net of allowance for credit losses of </w:t>
            </w:r>
            <w:r>
              <w:rPr>
                <w:sz w:val="20"/>
                <w:szCs w:val="20"/>
              </w:rPr>
              <w:t>$</w:t>
            </w:r>
            <w:r>
              <w:rPr>
                <w:sz w:val="20"/>
                <w:szCs w:val="20"/>
              </w:rPr>
              <w:t>22,12</w:t>
            </w:r>
            <w:r>
              <w:rPr>
                <w:sz w:val="20"/>
                <w:szCs w:val="20"/>
              </w:rPr>
              <w:t>6</w:t>
            </w:r>
            <w:r>
              <w:rPr>
                <w:sz w:val="20"/>
                <w:szCs w:val="20"/>
              </w:rPr>
              <w:t xml:space="preserve"> and </w:t>
            </w:r>
            <w:r>
              <w:rPr>
                <w:sz w:val="20"/>
                <w:szCs w:val="20"/>
              </w:rPr>
              <w:t>$</w:t>
            </w:r>
            <w:r>
              <w:rPr>
                <w:sz w:val="20"/>
                <w:szCs w:val="20"/>
              </w:rPr>
              <w:t>11,21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160,26</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138,91</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19,95</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22,54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300"/>
              <w:rPr>
                <w:sz w:val="20"/>
                <w:szCs w:val="20"/>
              </w:rPr>
            </w:pPr>
            <w:r>
              <w:rPr>
                <w:sz w:val="20"/>
                <w:szCs w:val="20"/>
              </w:rPr>
              <w:t>Total current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765,33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611,96</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Marketable securities, long-ter</w:t>
            </w:r>
            <w:r>
              <w:rPr>
                <w:sz w:val="20"/>
                <w:szCs w:val="20"/>
              </w:rPr>
              <w:t>m</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493,18</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485,04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Redeemable preferred stock investmen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Fixed assets,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68,62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62,28</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50,99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50,89</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Other long-term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34,80</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10,65</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1,465,59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1,278,72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Current liabilitie</w:t>
            </w:r>
            <w:r>
              <w:rPr>
                <w:sz w:val="20"/>
                <w:szCs w:val="20"/>
              </w:rPr>
              <w:t>s</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23,69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20,49</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Accrued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11,84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17,68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Income tax payabl</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52,16</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78</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Contract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14,10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14,57</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Customer deposi</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17,72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19,80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Investment margin loa</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14,99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15,13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Contingent consideratio</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Notes payable, current portio</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6,08</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6,14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300"/>
              <w:rPr>
                <w:sz w:val="20"/>
                <w:szCs w:val="20"/>
              </w:rPr>
            </w:pPr>
            <w:r>
              <w:rPr>
                <w:sz w:val="20"/>
                <w:szCs w:val="20"/>
              </w:rPr>
              <w:t>Total current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141,71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105,31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Unrecognized tax benefit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9,70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152,63</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112,84</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Commitments and contingencies (Note 8</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Stockholders’ equit</w:t>
            </w:r>
            <w:r>
              <w:rPr>
                <w:sz w:val="20"/>
                <w:szCs w:val="20"/>
              </w:rPr>
              <w:t>y</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30,32</w:t>
            </w:r>
            <w:r>
              <w:rPr>
                <w:sz w:val="20"/>
                <w:szCs w:val="20"/>
              </w:rPr>
              <w:t>7</w:t>
            </w:r>
            <w:r>
              <w:rPr>
                <w:sz w:val="20"/>
                <w:szCs w:val="20"/>
              </w:rPr>
              <w:t> and</w:t>
            </w:r>
            <w:r>
              <w:rPr>
                <w:sz w:val="20"/>
                <w:szCs w:val="20"/>
              </w:rPr>
              <w:t xml:space="preserve"> </w:t>
            </w:r>
            <w:r>
              <w:rPr>
                <w:sz w:val="20"/>
                <w:szCs w:val="20"/>
              </w:rPr>
              <w:t>30,16</w:t>
            </w:r>
            <w:r>
              <w:rPr>
                <w:sz w:val="20"/>
                <w:szCs w:val="20"/>
              </w:rPr>
              <w:t>0</w:t>
            </w:r>
            <w:r>
              <w:rPr>
                <w:sz w:val="20"/>
                <w:szCs w:val="20"/>
              </w:rPr>
              <w:t> </w:t>
            </w:r>
            <w:r>
              <w:rPr>
                <w:sz w:val="20"/>
                <w:szCs w:val="20"/>
              </w:rPr>
              <w:t>shares issued and outstandin</w:t>
            </w:r>
            <w:r>
              <w:rPr>
                <w:sz w:val="20"/>
                <w:szCs w:val="20"/>
              </w:rPr>
              <w:t>g</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1,00</w:t>
            </w:r>
            <w:r>
              <w:rPr>
                <w:sz w:val="20"/>
                <w:szCs w:val="20"/>
              </w:rPr>
              <w:t>0</w:t>
            </w:r>
            <w:r>
              <w:rPr>
                <w:sz w:val="20"/>
                <w:szCs w:val="20"/>
              </w:rPr>
              <w:t> shares authorized,</w:t>
            </w:r>
            <w:r>
              <w:rPr>
                <w:sz w:val="20"/>
                <w:szCs w:val="20"/>
              </w:rPr>
              <w:t xml:space="preserve"> </w:t>
            </w:r>
            <w:r>
              <w:rPr>
                <w:sz w:val="20"/>
                <w:szCs w:val="20"/>
              </w:rPr>
              <w:t>n</w:t>
            </w:r>
            <w:r>
              <w:rPr>
                <w:sz w:val="20"/>
                <w:szCs w:val="20"/>
              </w:rPr>
              <w:t>o</w:t>
            </w:r>
            <w:r>
              <w:rPr>
                <w:sz w:val="20"/>
                <w:szCs w:val="20"/>
              </w:rPr>
              <w:t> shares issued or outstandin</w:t>
            </w:r>
            <w:r>
              <w:rPr>
                <w:sz w:val="20"/>
                <w:szCs w:val="20"/>
              </w:rPr>
              <w:t>g</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507,04</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501,90</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12,49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75</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Retained earning</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811,57</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657,59</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300"/>
              <w:rPr>
                <w:sz w:val="20"/>
                <w:szCs w:val="20"/>
              </w:rPr>
            </w:pPr>
            <w:r>
              <w:rPr>
                <w:sz w:val="20"/>
                <w:szCs w:val="20"/>
              </w:rPr>
              <w:t>Total Fulgent stockholders' equit</w:t>
            </w:r>
            <w:r>
              <w:rPr>
                <w:sz w:val="20"/>
                <w:szCs w:val="20"/>
              </w:rPr>
              <w:t>y</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1,306,13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1,158,74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Noncontrolling interes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6,82</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7,13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1,312,96</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1,165,88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1,465,59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1,278,72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rPr>
          <w:sz w:val="20"/>
          <w:szCs w:val="20"/>
        </w:rPr>
      </w:pPr>
      <w:r>
        <w:lastRenderedPageBreak/>
        <w:t> </w:t>
      </w:r>
    </w:p>
    <w:p w:rsidR="00000000" w:rsidRDefault="00DA50C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rsidR="00000000" w:rsidRDefault="00DA50CE">
      <w:pPr>
        <w:pStyle w:val="a3"/>
        <w:spacing w:before="240" w:beforeAutospacing="0" w:after="0" w:afterAutospacing="0"/>
        <w:jc w:val="center"/>
        <w:rPr>
          <w:sz w:val="20"/>
          <w:szCs w:val="20"/>
        </w:rPr>
      </w:pPr>
      <w:r>
        <w:rPr>
          <w:sz w:val="20"/>
          <w:szCs w:val="20"/>
        </w:rPr>
        <w:t>1</w:t>
      </w:r>
    </w:p>
    <w:p w:rsidR="00000000" w:rsidRDefault="00DA50CE">
      <w:pPr>
        <w:rPr>
          <w:rFonts w:eastAsia="Times New Roman"/>
        </w:rPr>
      </w:pPr>
      <w:r>
        <w:rPr>
          <w:rFonts w:eastAsia="Times New Roman"/>
        </w:rPr>
        <w:pict>
          <v:rect id="_x0000_i1027"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Incom</w:t>
      </w:r>
      <w:r>
        <w:rPr>
          <w:b/>
          <w:bCs/>
          <w:sz w:val="20"/>
          <w:szCs w:val="20"/>
        </w:rPr>
        <w:t>e</w:t>
      </w:r>
    </w:p>
    <w:p w:rsidR="00000000" w:rsidRDefault="00DA50CE">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0"/>
        <w:gridCol w:w="160"/>
        <w:gridCol w:w="1143"/>
        <w:gridCol w:w="110"/>
        <w:gridCol w:w="135"/>
        <w:gridCol w:w="160"/>
        <w:gridCol w:w="1143"/>
        <w:gridCol w:w="125"/>
      </w:tblGrid>
      <w:tr w:rsidR="00000000">
        <w:trPr>
          <w:tblCellSpacing w:w="15" w:type="dxa"/>
        </w:trPr>
        <w:tc>
          <w:tcPr>
            <w:tcW w:w="3306"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712"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8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712"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Revenu</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320,26</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359,42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77,72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74,07</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Gross profi</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242,54</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285,35</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5,98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7,94</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5,00</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25,77</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8,00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40,61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18,43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201,93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266,92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Income before income taxe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201,97</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267,20</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48,42</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66,51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153,55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153,97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per common share attributable to Fulgent</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Basi</w:t>
            </w:r>
            <w:r>
              <w:rPr>
                <w:sz w:val="20"/>
                <w:szCs w:val="20"/>
              </w:rPr>
              <w:t>c</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Dilute</w:t>
            </w:r>
            <w:r>
              <w:rPr>
                <w:sz w:val="20"/>
                <w:szCs w:val="20"/>
              </w:rPr>
              <w:t>d</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Weighted-average common shares</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Basi</w:t>
            </w:r>
            <w:r>
              <w:rPr>
                <w:sz w:val="20"/>
                <w:szCs w:val="20"/>
              </w:rPr>
              <w:t>c</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30,23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28,83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Dilute</w:t>
            </w:r>
            <w:r>
              <w:rPr>
                <w:sz w:val="20"/>
                <w:szCs w:val="20"/>
              </w:rPr>
              <w:t>d</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31,24</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30,77</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ind w:hanging="581"/>
        <w:jc w:val="center"/>
        <w:rPr>
          <w:sz w:val="20"/>
          <w:szCs w:val="20"/>
        </w:rPr>
      </w:pPr>
      <w:r>
        <w:rPr>
          <w:sz w:val="20"/>
          <w:szCs w:val="20"/>
        </w:rPr>
        <w:t> </w:t>
      </w:r>
    </w:p>
    <w:p w:rsidR="00000000" w:rsidRDefault="00DA50CE">
      <w:pPr>
        <w:pStyle w:val="a3"/>
        <w:spacing w:before="40" w:beforeAutospacing="0" w:after="0" w:afterAutospacing="0"/>
        <w:ind w:hanging="581"/>
        <w:jc w:val="center"/>
        <w:rPr>
          <w:sz w:val="20"/>
          <w:szCs w:val="20"/>
        </w:rPr>
      </w:pPr>
      <w:r>
        <w:rPr>
          <w:sz w:val="20"/>
          <w:szCs w:val="20"/>
        </w:rPr>
        <w:t>The accompanying notes are an integral part of these condensed consolidated financial statements</w:t>
      </w:r>
      <w:r>
        <w:rPr>
          <w:sz w:val="20"/>
          <w:szCs w:val="20"/>
        </w:rPr>
        <w:t>.</w:t>
      </w:r>
    </w:p>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2</w:t>
      </w:r>
    </w:p>
    <w:p w:rsidR="00000000" w:rsidRDefault="00DA50CE">
      <w:pPr>
        <w:rPr>
          <w:rFonts w:eastAsia="Times New Roman"/>
        </w:rPr>
      </w:pPr>
      <w:r>
        <w:rPr>
          <w:rFonts w:eastAsia="Times New Roman"/>
        </w:rPr>
        <w:pict>
          <v:rect id="_x0000_i1028"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Condensed Consolidated Statements of Comprehensive Incom</w:t>
      </w:r>
      <w:r>
        <w:rPr>
          <w:b/>
          <w:bCs/>
          <w:sz w:val="20"/>
          <w:szCs w:val="20"/>
        </w:rPr>
        <w:t>e</w:t>
      </w:r>
    </w:p>
    <w:p w:rsidR="00000000" w:rsidRDefault="00DA50C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7"/>
        <w:gridCol w:w="160"/>
        <w:gridCol w:w="1140"/>
        <w:gridCol w:w="127"/>
        <w:gridCol w:w="134"/>
        <w:gridCol w:w="160"/>
        <w:gridCol w:w="1126"/>
        <w:gridCol w:w="142"/>
      </w:tblGrid>
      <w:tr w:rsidR="00000000">
        <w:trPr>
          <w:tblCellSpacing w:w="15" w:type="dxa"/>
        </w:trPr>
        <w:tc>
          <w:tcPr>
            <w:tcW w:w="329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711"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8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702"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Net income from consolidated operation</w:t>
            </w:r>
            <w:r>
              <w:rPr>
                <w:b/>
                <w:bCs/>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153,55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Other comprehensive income (loss)</w:t>
            </w:r>
            <w:r>
              <w:rPr>
                <w:b/>
                <w:bCs/>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lastRenderedPageBreak/>
              <w:t>Foreign currency translation gai</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Net loss on available-for-sale debt securities, net of ta</w:t>
            </w:r>
            <w:r>
              <w:rPr>
                <w:sz w:val="20"/>
                <w:szCs w:val="20"/>
              </w:rPr>
              <w:t>x</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11,73</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65</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Comprehensive income from consolidated operation</w:t>
            </w:r>
            <w:r>
              <w:rPr>
                <w:b/>
                <w:bCs/>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141,94</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200,03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Net loss attributable to noncontrolling interes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Foreign currency translation gain attributable to noncontrolling interes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11</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Comprehensive loss attributable to noncontrolling interes</w:t>
            </w:r>
            <w:r>
              <w:rPr>
                <w:b/>
                <w:bCs/>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b/>
                <w:bCs/>
                <w:sz w:val="20"/>
                <w:szCs w:val="20"/>
              </w:rPr>
              <w:t>Comprehensive income attributable to Fulgen</w:t>
            </w:r>
            <w:r>
              <w:rPr>
                <w:b/>
                <w:bCs/>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142,24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200,03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18"/>
          <w:szCs w:val="18"/>
        </w:rPr>
        <w:t> </w:t>
      </w:r>
    </w:p>
    <w:p w:rsidR="00000000" w:rsidRDefault="00DA50CE">
      <w:pPr>
        <w:pStyle w:val="a3"/>
        <w:spacing w:before="0" w:beforeAutospacing="0" w:after="0" w:afterAutospacing="0"/>
        <w:rPr>
          <w:sz w:val="20"/>
          <w:szCs w:val="20"/>
        </w:rPr>
      </w:pPr>
      <w:r>
        <w:rPr>
          <w:sz w:val="4"/>
          <w:szCs w:val="4"/>
        </w:rPr>
        <w:t> </w:t>
      </w:r>
    </w:p>
    <w:p w:rsidR="00000000" w:rsidRDefault="00DA50CE">
      <w:pPr>
        <w:pStyle w:val="a3"/>
        <w:spacing w:before="0" w:beforeAutospacing="0" w:after="0" w:afterAutospacing="0"/>
        <w:jc w:val="center"/>
        <w:rPr>
          <w:sz w:val="20"/>
          <w:szCs w:val="20"/>
        </w:rPr>
      </w:pPr>
      <w:r>
        <w:rPr>
          <w:sz w:val="20"/>
          <w:szCs w:val="20"/>
        </w:rPr>
        <w:t>The accompanying notes are an integral part of these condensed consolidated financial statement</w:t>
      </w:r>
      <w:r>
        <w:rPr>
          <w:sz w:val="20"/>
          <w:szCs w:val="20"/>
        </w:rPr>
        <w:t>s</w:t>
      </w:r>
      <w:r>
        <w:t>.</w:t>
      </w:r>
    </w:p>
    <w:p w:rsidR="00000000" w:rsidRDefault="00DA50CE">
      <w:pPr>
        <w:pStyle w:val="a3"/>
        <w:spacing w:before="240" w:beforeAutospacing="0" w:after="0" w:afterAutospacing="0"/>
        <w:jc w:val="center"/>
        <w:rPr>
          <w:sz w:val="20"/>
          <w:szCs w:val="20"/>
        </w:rPr>
      </w:pPr>
      <w:r>
        <w:rPr>
          <w:sz w:val="20"/>
          <w:szCs w:val="20"/>
        </w:rPr>
        <w:t>3</w:t>
      </w:r>
    </w:p>
    <w:p w:rsidR="00000000" w:rsidRDefault="00DA50CE">
      <w:pPr>
        <w:rPr>
          <w:rFonts w:eastAsia="Times New Roman"/>
        </w:rPr>
      </w:pPr>
      <w:r>
        <w:rPr>
          <w:rFonts w:eastAsia="Times New Roman"/>
        </w:rPr>
        <w:pict>
          <v:rect id="_x0000_i1029"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Condensed Consolidated Statements of Stockholders’ Equit</w:t>
      </w:r>
      <w:r>
        <w:rPr>
          <w:b/>
          <w:bCs/>
          <w:sz w:val="20"/>
          <w:szCs w:val="20"/>
        </w:rPr>
        <w:t>y</w:t>
      </w:r>
    </w:p>
    <w:p w:rsidR="00000000" w:rsidRDefault="00DA50C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5"/>
        <w:gridCol w:w="105"/>
        <w:gridCol w:w="105"/>
        <w:gridCol w:w="555"/>
        <w:gridCol w:w="120"/>
        <w:gridCol w:w="105"/>
        <w:gridCol w:w="151"/>
        <w:gridCol w:w="515"/>
        <w:gridCol w:w="105"/>
        <w:gridCol w:w="105"/>
        <w:gridCol w:w="150"/>
        <w:gridCol w:w="645"/>
        <w:gridCol w:w="120"/>
        <w:gridCol w:w="105"/>
        <w:gridCol w:w="173"/>
        <w:gridCol w:w="954"/>
        <w:gridCol w:w="120"/>
        <w:gridCol w:w="105"/>
        <w:gridCol w:w="150"/>
        <w:gridCol w:w="645"/>
        <w:gridCol w:w="105"/>
        <w:gridCol w:w="105"/>
        <w:gridCol w:w="154"/>
        <w:gridCol w:w="840"/>
        <w:gridCol w:w="120"/>
        <w:gridCol w:w="105"/>
        <w:gridCol w:w="167"/>
        <w:gridCol w:w="925"/>
        <w:gridCol w:w="120"/>
        <w:gridCol w:w="105"/>
        <w:gridCol w:w="150"/>
        <w:gridCol w:w="780"/>
        <w:gridCol w:w="135"/>
      </w:tblGrid>
      <w:tr w:rsidR="00000000">
        <w:trPr>
          <w:tblCellSpacing w:w="15" w:type="dxa"/>
        </w:trPr>
        <w:tc>
          <w:tcPr>
            <w:tcW w:w="1032" w:type="pct"/>
            <w:vAlign w:val="center"/>
            <w:hideMark/>
          </w:tcPr>
          <w:p w:rsidR="00000000" w:rsidRDefault="00DA50CE">
            <w:pPr>
              <w:rPr>
                <w:sz w:val="20"/>
                <w:szCs w:val="20"/>
              </w:rPr>
            </w:pPr>
          </w:p>
        </w:tc>
        <w:tc>
          <w:tcPr>
            <w:tcW w:w="41" w:type="pct"/>
            <w:vAlign w:val="center"/>
            <w:hideMark/>
          </w:tcPr>
          <w:p w:rsidR="00000000" w:rsidRDefault="00DA50CE">
            <w:pPr>
              <w:rPr>
                <w:rFonts w:eastAsia="Times New Roman"/>
                <w:sz w:val="20"/>
                <w:szCs w:val="20"/>
              </w:rPr>
            </w:pPr>
          </w:p>
        </w:tc>
        <w:tc>
          <w:tcPr>
            <w:tcW w:w="23" w:type="pct"/>
            <w:vAlign w:val="center"/>
            <w:hideMark/>
          </w:tcPr>
          <w:p w:rsidR="00000000" w:rsidRDefault="00DA50CE">
            <w:pPr>
              <w:rPr>
                <w:rFonts w:eastAsia="Times New Roman"/>
                <w:sz w:val="20"/>
                <w:szCs w:val="20"/>
              </w:rPr>
            </w:pPr>
          </w:p>
        </w:tc>
        <w:tc>
          <w:tcPr>
            <w:tcW w:w="358"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52" w:type="pct"/>
            <w:vAlign w:val="center"/>
            <w:hideMark/>
          </w:tcPr>
          <w:p w:rsidR="00000000" w:rsidRDefault="00DA50CE">
            <w:pPr>
              <w:rPr>
                <w:rFonts w:eastAsia="Times New Roman"/>
                <w:sz w:val="20"/>
                <w:szCs w:val="20"/>
              </w:rPr>
            </w:pPr>
          </w:p>
        </w:tc>
        <w:tc>
          <w:tcPr>
            <w:tcW w:w="334" w:type="pct"/>
            <w:vAlign w:val="center"/>
            <w:hideMark/>
          </w:tcPr>
          <w:p w:rsidR="00000000" w:rsidRDefault="00DA50CE">
            <w:pPr>
              <w:rPr>
                <w:rFonts w:eastAsia="Times New Roman"/>
                <w:sz w:val="20"/>
                <w:szCs w:val="20"/>
              </w:rPr>
            </w:pPr>
          </w:p>
        </w:tc>
        <w:tc>
          <w:tcPr>
            <w:tcW w:w="23"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52" w:type="pct"/>
            <w:vAlign w:val="center"/>
            <w:hideMark/>
          </w:tcPr>
          <w:p w:rsidR="00000000" w:rsidRDefault="00DA50CE">
            <w:pPr>
              <w:rPr>
                <w:rFonts w:eastAsia="Times New Roman"/>
                <w:sz w:val="20"/>
                <w:szCs w:val="20"/>
              </w:rPr>
            </w:pPr>
          </w:p>
        </w:tc>
        <w:tc>
          <w:tcPr>
            <w:tcW w:w="347"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428"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52" w:type="pct"/>
            <w:vAlign w:val="center"/>
            <w:hideMark/>
          </w:tcPr>
          <w:p w:rsidR="00000000" w:rsidRDefault="00DA50CE">
            <w:pPr>
              <w:rPr>
                <w:rFonts w:eastAsia="Times New Roman"/>
                <w:sz w:val="20"/>
                <w:szCs w:val="20"/>
              </w:rPr>
            </w:pPr>
          </w:p>
        </w:tc>
        <w:tc>
          <w:tcPr>
            <w:tcW w:w="343" w:type="pct"/>
            <w:vAlign w:val="center"/>
            <w:hideMark/>
          </w:tcPr>
          <w:p w:rsidR="00000000" w:rsidRDefault="00DA50CE">
            <w:pPr>
              <w:rPr>
                <w:rFonts w:eastAsia="Times New Roman"/>
                <w:sz w:val="20"/>
                <w:szCs w:val="20"/>
              </w:rPr>
            </w:pPr>
          </w:p>
        </w:tc>
        <w:tc>
          <w:tcPr>
            <w:tcW w:w="23"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57" w:type="pct"/>
            <w:vAlign w:val="center"/>
            <w:hideMark/>
          </w:tcPr>
          <w:p w:rsidR="00000000" w:rsidRDefault="00DA50CE">
            <w:pPr>
              <w:rPr>
                <w:rFonts w:eastAsia="Times New Roman"/>
                <w:sz w:val="20"/>
                <w:szCs w:val="20"/>
              </w:rPr>
            </w:pPr>
          </w:p>
        </w:tc>
        <w:tc>
          <w:tcPr>
            <w:tcW w:w="375"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63" w:type="pct"/>
            <w:vAlign w:val="center"/>
            <w:hideMark/>
          </w:tcPr>
          <w:p w:rsidR="00000000" w:rsidRDefault="00DA50CE">
            <w:pPr>
              <w:rPr>
                <w:rFonts w:eastAsia="Times New Roman"/>
                <w:sz w:val="20"/>
                <w:szCs w:val="20"/>
              </w:rPr>
            </w:pPr>
          </w:p>
        </w:tc>
        <w:tc>
          <w:tcPr>
            <w:tcW w:w="415"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c>
          <w:tcPr>
            <w:tcW w:w="41" w:type="pct"/>
            <w:vAlign w:val="center"/>
            <w:hideMark/>
          </w:tcPr>
          <w:p w:rsidR="00000000" w:rsidRDefault="00DA50CE">
            <w:pPr>
              <w:rPr>
                <w:rFonts w:eastAsia="Times New Roman"/>
                <w:sz w:val="20"/>
                <w:szCs w:val="20"/>
              </w:rPr>
            </w:pPr>
          </w:p>
        </w:tc>
        <w:tc>
          <w:tcPr>
            <w:tcW w:w="52" w:type="pct"/>
            <w:vAlign w:val="center"/>
            <w:hideMark/>
          </w:tcPr>
          <w:p w:rsidR="00000000" w:rsidRDefault="00DA50CE">
            <w:pPr>
              <w:rPr>
                <w:rFonts w:eastAsia="Times New Roman"/>
                <w:sz w:val="20"/>
                <w:szCs w:val="20"/>
              </w:rPr>
            </w:pPr>
          </w:p>
        </w:tc>
        <w:tc>
          <w:tcPr>
            <w:tcW w:w="353" w:type="pct"/>
            <w:vAlign w:val="center"/>
            <w:hideMark/>
          </w:tcPr>
          <w:p w:rsidR="00000000" w:rsidRDefault="00DA50CE">
            <w:pPr>
              <w:rPr>
                <w:rFonts w:eastAsia="Times New Roman"/>
                <w:sz w:val="20"/>
                <w:szCs w:val="20"/>
              </w:rPr>
            </w:pPr>
          </w:p>
        </w:tc>
        <w:tc>
          <w:tcPr>
            <w:tcW w:w="34"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Additional</w:t>
            </w:r>
            <w:r>
              <w:rPr>
                <w:b/>
                <w:bCs/>
                <w:sz w:val="16"/>
                <w:szCs w:val="16"/>
              </w:rPr>
              <w:br/>
              <w:t> Paid-In Capita</w:t>
            </w:r>
            <w:r>
              <w:rPr>
                <w:b/>
                <w:bCs/>
                <w:sz w:val="16"/>
                <w:szCs w:val="16"/>
              </w:rPr>
              <w:t>l</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Los</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Retained Earning</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b/>
                <w:bCs/>
                <w:sz w:val="18"/>
                <w:szCs w:val="18"/>
              </w:rPr>
              <w:t>Balance at December 31, 202</w:t>
            </w:r>
            <w:r>
              <w:rPr>
                <w:b/>
                <w:bCs/>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30,16</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501,90</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75</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657,59</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1,158,74</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7,13</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1,165,88</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5,61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5,61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5,61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17</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Other comprehensive income (loss</w:t>
            </w: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11</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11,61</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153,97</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153,97</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153,55</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b/>
                <w:bCs/>
                <w:sz w:val="18"/>
                <w:szCs w:val="18"/>
              </w:rPr>
              <w:t>Balance at March 31, 202</w:t>
            </w:r>
            <w:r>
              <w:rPr>
                <w:b/>
                <w:bCs/>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30,32</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507,04</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12,49</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811,57</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1,306,13</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6,82</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1,312,96</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bl>
    <w:p w:rsidR="00000000" w:rsidRDefault="00DA50CE">
      <w:pPr>
        <w:pStyle w:val="a3"/>
        <w:spacing w:before="0" w:beforeAutospacing="0" w:after="0" w:afterAutospacing="0"/>
        <w:rPr>
          <w:sz w:val="20"/>
          <w:szCs w:val="20"/>
        </w:rPr>
      </w:pPr>
      <w:r>
        <w:t> </w:t>
      </w:r>
    </w:p>
    <w:p w:rsidR="00000000" w:rsidRDefault="00DA50CE">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43"/>
        <w:gridCol w:w="105"/>
        <w:gridCol w:w="658"/>
        <w:gridCol w:w="120"/>
        <w:gridCol w:w="105"/>
        <w:gridCol w:w="151"/>
        <w:gridCol w:w="583"/>
        <w:gridCol w:w="105"/>
        <w:gridCol w:w="105"/>
        <w:gridCol w:w="150"/>
        <w:gridCol w:w="645"/>
        <w:gridCol w:w="120"/>
        <w:gridCol w:w="105"/>
        <w:gridCol w:w="151"/>
        <w:gridCol w:w="985"/>
        <w:gridCol w:w="120"/>
        <w:gridCol w:w="105"/>
        <w:gridCol w:w="150"/>
        <w:gridCol w:w="645"/>
        <w:gridCol w:w="120"/>
        <w:gridCol w:w="105"/>
        <w:gridCol w:w="150"/>
        <w:gridCol w:w="645"/>
        <w:gridCol w:w="135"/>
      </w:tblGrid>
      <w:tr w:rsidR="00000000">
        <w:trPr>
          <w:tblCellSpacing w:w="15" w:type="dxa"/>
        </w:trPr>
        <w:tc>
          <w:tcPr>
            <w:tcW w:w="1391" w:type="pct"/>
            <w:vAlign w:val="center"/>
            <w:hideMark/>
          </w:tcPr>
          <w:p w:rsidR="00000000" w:rsidRDefault="00DA50CE">
            <w:pPr>
              <w:rPr>
                <w:sz w:val="20"/>
                <w:szCs w:val="20"/>
              </w:rPr>
            </w:pPr>
          </w:p>
        </w:tc>
        <w:tc>
          <w:tcPr>
            <w:tcW w:w="26" w:type="pct"/>
            <w:vAlign w:val="center"/>
            <w:hideMark/>
          </w:tcPr>
          <w:p w:rsidR="00000000" w:rsidRDefault="00DA50CE">
            <w:pPr>
              <w:rPr>
                <w:rFonts w:eastAsia="Times New Roman"/>
                <w:sz w:val="20"/>
                <w:szCs w:val="20"/>
              </w:rPr>
            </w:pPr>
          </w:p>
        </w:tc>
        <w:tc>
          <w:tcPr>
            <w:tcW w:w="487"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c>
          <w:tcPr>
            <w:tcW w:w="58"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470" w:type="pct"/>
            <w:vAlign w:val="center"/>
            <w:hideMark/>
          </w:tcPr>
          <w:p w:rsidR="00000000" w:rsidRDefault="00DA50CE">
            <w:pPr>
              <w:rPr>
                <w:rFonts w:eastAsia="Times New Roman"/>
                <w:sz w:val="20"/>
                <w:szCs w:val="20"/>
              </w:rPr>
            </w:pPr>
          </w:p>
        </w:tc>
        <w:tc>
          <w:tcPr>
            <w:tcW w:w="26" w:type="pct"/>
            <w:vAlign w:val="center"/>
            <w:hideMark/>
          </w:tcPr>
          <w:p w:rsidR="00000000" w:rsidRDefault="00DA50CE">
            <w:pPr>
              <w:rPr>
                <w:rFonts w:eastAsia="Times New Roman"/>
                <w:sz w:val="20"/>
                <w:szCs w:val="20"/>
              </w:rPr>
            </w:pPr>
          </w:p>
        </w:tc>
        <w:tc>
          <w:tcPr>
            <w:tcW w:w="58"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462"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c>
          <w:tcPr>
            <w:tcW w:w="58"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462"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c>
          <w:tcPr>
            <w:tcW w:w="58"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462"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c>
          <w:tcPr>
            <w:tcW w:w="58"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462"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Additional</w:t>
            </w:r>
            <w:r>
              <w:rPr>
                <w:b/>
                <w:bCs/>
                <w:sz w:val="16"/>
                <w:szCs w:val="16"/>
              </w:rPr>
              <w:br/>
              <w:t> Paid-In Capita</w:t>
            </w:r>
            <w:r>
              <w:rPr>
                <w:b/>
                <w:bCs/>
                <w:sz w:val="16"/>
                <w:szCs w:val="16"/>
              </w:rPr>
              <w:t>l</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Income (Loss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Retained Earning</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b/>
                <w:bCs/>
                <w:sz w:val="18"/>
                <w:szCs w:val="18"/>
              </w:rPr>
              <w:t>Balance at December 31, 202</w:t>
            </w:r>
            <w:r>
              <w:rPr>
                <w:b/>
                <w:bCs/>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28,17</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418,06</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43</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150,88</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569,38</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lastRenderedPageBreak/>
              <w:t>Equity-based compensatio</w:t>
            </w:r>
            <w:r>
              <w:rPr>
                <w:sz w:val="18"/>
                <w:szCs w:val="18"/>
              </w:rPr>
              <w:t>n</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2,96</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2,96</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18</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18"/>
                <w:szCs w:val="18"/>
              </w:rPr>
              <w:t xml:space="preserve">Issuance of common stock at an average of </w:t>
            </w:r>
            <w:r>
              <w:rPr>
                <w:sz w:val="18"/>
                <w:szCs w:val="18"/>
              </w:rPr>
              <w:t>$</w:t>
            </w:r>
            <w:r>
              <w:rPr>
                <w:sz w:val="18"/>
                <w:szCs w:val="18"/>
              </w:rPr>
              <w:t>52.0</w:t>
            </w:r>
            <w:r>
              <w:rPr>
                <w:sz w:val="18"/>
                <w:szCs w:val="18"/>
              </w:rPr>
              <w:t>0</w:t>
            </w:r>
            <w:r>
              <w:rPr>
                <w:sz w:val="18"/>
                <w:szCs w:val="18"/>
              </w:rPr>
              <w:t> per share, ne</w:t>
            </w:r>
            <w:r>
              <w:rPr>
                <w:sz w:val="18"/>
                <w:szCs w:val="18"/>
              </w:rPr>
              <w:t>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58</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30,29</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30,29</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Cumulative effect of accounting chang</w:t>
            </w:r>
            <w:r>
              <w:rPr>
                <w:sz w:val="18"/>
                <w:szCs w:val="18"/>
              </w:rPr>
              <w:t>e</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sz w:val="18"/>
                <w:szCs w:val="18"/>
              </w:rPr>
              <w:t>Cumulative tax effect of accounting chang</w:t>
            </w:r>
            <w:r>
              <w:rPr>
                <w:sz w:val="18"/>
                <w:szCs w:val="18"/>
              </w:rPr>
              <w:t>e</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23</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23</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200,69</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200,69</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rPr>
                <w:sz w:val="18"/>
                <w:szCs w:val="18"/>
              </w:rPr>
            </w:pPr>
            <w:r>
              <w:rPr>
                <w:b/>
                <w:bCs/>
                <w:sz w:val="18"/>
                <w:szCs w:val="18"/>
              </w:rPr>
              <w:t>Balance at March 31, 202</w:t>
            </w:r>
            <w:r>
              <w:rPr>
                <w:b/>
                <w:bCs/>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28,98</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450,85</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21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350,92</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801,56</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bl>
    <w:p w:rsidR="00000000" w:rsidRDefault="00DA50CE">
      <w:pPr>
        <w:pStyle w:val="a3"/>
        <w:spacing w:before="0" w:beforeAutospacing="0" w:after="0" w:afterAutospacing="0"/>
        <w:rPr>
          <w:sz w:val="20"/>
          <w:szCs w:val="20"/>
        </w:rPr>
      </w:pPr>
      <w:r>
        <w:t> </w:t>
      </w:r>
    </w:p>
    <w:p w:rsidR="00000000" w:rsidRDefault="00DA50C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rsidR="00000000" w:rsidRDefault="00DA50CE">
      <w:pPr>
        <w:pStyle w:val="a3"/>
        <w:spacing w:before="240" w:beforeAutospacing="0" w:after="0" w:afterAutospacing="0"/>
        <w:jc w:val="center"/>
        <w:rPr>
          <w:sz w:val="20"/>
          <w:szCs w:val="20"/>
        </w:rPr>
      </w:pPr>
      <w:r>
        <w:rPr>
          <w:sz w:val="20"/>
          <w:szCs w:val="20"/>
        </w:rPr>
        <w:t>4</w:t>
      </w:r>
    </w:p>
    <w:p w:rsidR="00000000" w:rsidRDefault="00DA50CE">
      <w:pPr>
        <w:rPr>
          <w:rFonts w:eastAsia="Times New Roman"/>
        </w:rPr>
      </w:pPr>
      <w:r>
        <w:rPr>
          <w:rFonts w:eastAsia="Times New Roman"/>
        </w:rPr>
        <w:pict>
          <v:rect id="_x0000_i1030"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rsidR="00000000" w:rsidRDefault="00DA50C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3"/>
        <w:gridCol w:w="158"/>
        <w:gridCol w:w="150"/>
        <w:gridCol w:w="1291"/>
        <w:gridCol w:w="120"/>
        <w:gridCol w:w="158"/>
        <w:gridCol w:w="150"/>
        <w:gridCol w:w="1291"/>
        <w:gridCol w:w="135"/>
      </w:tblGrid>
      <w:tr w:rsidR="00000000">
        <w:trPr>
          <w:tblCellSpacing w:w="15" w:type="dxa"/>
        </w:trPr>
        <w:tc>
          <w:tcPr>
            <w:tcW w:w="3017" w:type="pct"/>
            <w:vAlign w:val="center"/>
            <w:hideMark/>
          </w:tcPr>
          <w:p w:rsidR="00000000" w:rsidRDefault="00DA50CE">
            <w:pPr>
              <w:rPr>
                <w:sz w:val="20"/>
                <w:szCs w:val="20"/>
              </w:rPr>
            </w:pPr>
          </w:p>
        </w:tc>
        <w:tc>
          <w:tcPr>
            <w:tcW w:w="96"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804"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c>
          <w:tcPr>
            <w:tcW w:w="96" w:type="pct"/>
            <w:vAlign w:val="center"/>
            <w:hideMark/>
          </w:tcPr>
          <w:p w:rsidR="00000000" w:rsidRDefault="00DA50CE">
            <w:pPr>
              <w:rPr>
                <w:rFonts w:eastAsia="Times New Roman"/>
                <w:sz w:val="20"/>
                <w:szCs w:val="20"/>
              </w:rPr>
            </w:pPr>
          </w:p>
        </w:tc>
        <w:tc>
          <w:tcPr>
            <w:tcW w:w="54" w:type="pct"/>
            <w:vAlign w:val="center"/>
            <w:hideMark/>
          </w:tcPr>
          <w:p w:rsidR="00000000" w:rsidRDefault="00DA50CE">
            <w:pPr>
              <w:rPr>
                <w:rFonts w:eastAsia="Times New Roman"/>
                <w:sz w:val="20"/>
                <w:szCs w:val="20"/>
              </w:rPr>
            </w:pPr>
          </w:p>
        </w:tc>
        <w:tc>
          <w:tcPr>
            <w:tcW w:w="804" w:type="pct"/>
            <w:vAlign w:val="center"/>
            <w:hideMark/>
          </w:tcPr>
          <w:p w:rsidR="00000000" w:rsidRDefault="00DA50CE">
            <w:pPr>
              <w:rPr>
                <w:rFonts w:eastAsia="Times New Roman"/>
                <w:sz w:val="20"/>
                <w:szCs w:val="20"/>
              </w:rPr>
            </w:pPr>
          </w:p>
        </w:tc>
        <w:tc>
          <w:tcPr>
            <w:tcW w:w="36"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Cash flow from operating activities</w:t>
            </w:r>
            <w:r>
              <w:rPr>
                <w:b/>
                <w:bCs/>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sz w:val="18"/>
                <w:szCs w:val="18"/>
              </w:rPr>
              <w:t>Net income from consolidated operation</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153,55</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200,69</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Adjustments to reconcile net income to net cash provided by operating activities</w:t>
            </w: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Equity-based compensatio</w:t>
            </w:r>
            <w:r>
              <w:rPr>
                <w:sz w:val="18"/>
                <w:szCs w:val="18"/>
              </w:rPr>
              <w:t>n</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5,61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2,96</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4,69</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1,92</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Noncash lease expens</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47</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Loss on disposal of fixed asse</w:t>
            </w:r>
            <w:r>
              <w:rPr>
                <w:sz w:val="18"/>
                <w:szCs w:val="18"/>
              </w:rPr>
              <w:t>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25</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22</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Amortization of premium of marketable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1,91</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1,30</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Provision for credit losse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11,57</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1,06</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Deferred taxe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5,49</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78</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Unrecognized tax benefit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48</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9</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Net loss on marketable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51</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34</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Othe</w:t>
            </w:r>
            <w:r>
              <w:rPr>
                <w:sz w:val="18"/>
                <w:szCs w:val="18"/>
              </w:rPr>
              <w:t>r</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Changes in operating assets and liabilities</w:t>
            </w: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Trade accounts receivabl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32,92</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34,59</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Other current and long-term asset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2,96</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9,10</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Accounts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2,11</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6,25</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Income tax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51,37</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67,20</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Accrued liabilities and other liabilitie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8,23</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8,12</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400"/>
              <w:rPr>
                <w:sz w:val="18"/>
                <w:szCs w:val="18"/>
              </w:rPr>
            </w:pPr>
            <w:r>
              <w:rPr>
                <w:sz w:val="18"/>
                <w:szCs w:val="18"/>
              </w:rPr>
              <w:t>Operating and finance lease liabilitie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47</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Net cash provided by operating activitie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188,41</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233,17</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Cash flow from investing activities</w:t>
            </w:r>
            <w:r>
              <w:rPr>
                <w:b/>
                <w:bCs/>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Purchases of fixed asset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5,36</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11,49</w:t>
            </w:r>
            <w:r>
              <w:rPr>
                <w:sz w:val="18"/>
                <w:szCs w:val="18"/>
              </w:rPr>
              <w:t>2</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Proceeds from sale of fixed asset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Purchase of marketable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130,13</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219,47</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Investment in private equity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15,00</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Proceeds from sale of marketable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133,40</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Maturities of marketable securitie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27,76</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14,45</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Contingent consideration payout related to a business acquisitio</w:t>
            </w:r>
            <w:r>
              <w:rPr>
                <w:sz w:val="18"/>
                <w:szCs w:val="18"/>
              </w:rPr>
              <w:t>n</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10,00</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Net cash provided by (used in) investing activitie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68</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216,49</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Cash flow from financing activities</w:t>
            </w:r>
            <w:r>
              <w:rPr>
                <w:b/>
                <w:bCs/>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Proceeds from public offerings of common stock, net of issuance cost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47,78</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Proceeds from exercise of stock option</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DA50CE">
            <w:pPr>
              <w:pStyle w:val="a3"/>
              <w:spacing w:before="0" w:beforeAutospacing="0" w:after="0" w:afterAutospacing="0"/>
              <w:ind w:left="20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Repayment of notes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37</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Principal paid for finance leas</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8</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Borrowing under margin accoun</w:t>
            </w:r>
            <w:r>
              <w:rPr>
                <w:sz w:val="18"/>
                <w:szCs w:val="18"/>
              </w:rPr>
              <w:t>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w:t>
            </w:r>
            <w:r>
              <w:rPr>
                <w:sz w:val="18"/>
                <w:szCs w:val="18"/>
              </w:rPr>
              <w:t>93</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47,34</w:t>
            </w:r>
            <w:r>
              <w:rPr>
                <w:sz w:val="18"/>
                <w:szCs w:val="18"/>
              </w:rPr>
              <w:t>7</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sz w:val="18"/>
                <w:szCs w:val="18"/>
              </w:rPr>
              <w:t>Effect of exchange rate changes on cash and cash equivalent</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Net increase in cash and cash equivalent</w:t>
            </w:r>
            <w:r>
              <w:rPr>
                <w:b/>
                <w:bCs/>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188,17</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64,03</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Cash and cash equivalents at beginning of perio</w:t>
            </w:r>
            <w:r>
              <w:rPr>
                <w:b/>
                <w:bCs/>
                <w:sz w:val="18"/>
                <w:szCs w:val="18"/>
              </w:rPr>
              <w:t>d</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164,89</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87,42</w:t>
            </w:r>
            <w:r>
              <w:rPr>
                <w:sz w:val="18"/>
                <w:szCs w:val="18"/>
              </w:rPr>
              <w:t>6</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Cash and cash equivalents at end of perio</w:t>
            </w:r>
            <w:r>
              <w:rPr>
                <w:b/>
                <w:bCs/>
                <w:sz w:val="18"/>
                <w:szCs w:val="18"/>
              </w:rPr>
              <w:t>d</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353,06</w:t>
            </w:r>
            <w:r>
              <w:rPr>
                <w:sz w:val="18"/>
                <w:szCs w:val="18"/>
              </w:rPr>
              <w:t>9</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151,46</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Supplemental disclosures of cash flow information</w:t>
            </w:r>
            <w:r>
              <w:rPr>
                <w:b/>
                <w:bCs/>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Income taxes pai</w:t>
            </w:r>
            <w:r>
              <w:rPr>
                <w:sz w:val="18"/>
                <w:szCs w:val="18"/>
              </w:rPr>
              <w:t>d</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43</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rPr>
                <w:sz w:val="18"/>
                <w:szCs w:val="18"/>
              </w:rPr>
            </w:pPr>
            <w:r>
              <w:rPr>
                <w:b/>
                <w:bCs/>
                <w:sz w:val="18"/>
                <w:szCs w:val="18"/>
              </w:rPr>
              <w:t>Supplemental disclosures of non-cash investing and financing activities</w:t>
            </w:r>
            <w:r>
              <w:rPr>
                <w:b/>
                <w:bCs/>
                <w:sz w:val="18"/>
                <w:szCs w:val="18"/>
              </w:rPr>
              <w:t>:</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Purchases of fixed assets in accounts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2,05</w:t>
            </w:r>
            <w:r>
              <w:rPr>
                <w:sz w:val="18"/>
                <w:szCs w:val="18"/>
              </w:rPr>
              <w:t>4</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80</w:t>
            </w:r>
            <w:r>
              <w:rPr>
                <w:sz w:val="18"/>
                <w:szCs w:val="18"/>
              </w:rPr>
              <w:t>1</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Purchases of fixed assets in notes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3,83</w:t>
            </w:r>
            <w:r>
              <w:rPr>
                <w:sz w:val="18"/>
                <w:szCs w:val="18"/>
              </w:rPr>
              <w:t>3</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Operating lease right-of-use assets obtained in exchange for lease liabilitie</w:t>
            </w:r>
            <w:r>
              <w:rPr>
                <w:sz w:val="18"/>
                <w:szCs w:val="18"/>
              </w:rPr>
              <w:t>s</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36</w:t>
            </w:r>
            <w:r>
              <w:rPr>
                <w:sz w:val="18"/>
                <w:szCs w:val="18"/>
              </w:rPr>
              <w:t>8</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Operating lease right-of-use assets reduced due to lease modification and terminatio</w:t>
            </w:r>
            <w:r>
              <w:rPr>
                <w:sz w:val="18"/>
                <w:szCs w:val="18"/>
              </w:rPr>
              <w:t>n</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18</w:t>
            </w:r>
            <w:r>
              <w:rPr>
                <w:sz w:val="18"/>
                <w:szCs w:val="18"/>
              </w:rPr>
              <w:t>5</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DA50CE">
            <w:pPr>
              <w:pStyle w:val="a3"/>
              <w:spacing w:before="0" w:beforeAutospacing="0" w:after="0" w:afterAutospacing="0"/>
              <w:ind w:left="200"/>
              <w:rPr>
                <w:sz w:val="18"/>
                <w:szCs w:val="18"/>
              </w:rPr>
            </w:pPr>
            <w:r>
              <w:rPr>
                <w:sz w:val="18"/>
                <w:szCs w:val="18"/>
              </w:rPr>
              <w:t>Public offerings costs included in accounts payabl</w:t>
            </w:r>
            <w:r>
              <w:rPr>
                <w:sz w:val="18"/>
                <w:szCs w:val="18"/>
              </w:rPr>
              <w:t>e</w:t>
            </w:r>
          </w:p>
        </w:tc>
        <w:tc>
          <w:tcPr>
            <w:tcW w:w="0" w:type="auto"/>
            <w:vAlign w:val="bottom"/>
            <w:hideMark/>
          </w:tcPr>
          <w:p w:rsidR="00000000" w:rsidRDefault="00DA50C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w:t>
            </w:r>
          </w:p>
        </w:tc>
        <w:tc>
          <w:tcPr>
            <w:tcW w:w="0" w:type="auto"/>
            <w:vAlign w:val="bottom"/>
            <w:hideMark/>
          </w:tcPr>
          <w:p w:rsidR="00000000" w:rsidRDefault="00DA50CE">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DA50CE">
            <w:pPr>
              <w:pStyle w:val="a3"/>
              <w:spacing w:before="0" w:beforeAutospacing="0" w:after="0" w:afterAutospacing="0"/>
              <w:rPr>
                <w:sz w:val="18"/>
                <w:szCs w:val="18"/>
              </w:rPr>
            </w:pPr>
            <w:r>
              <w:rPr>
                <w:sz w:val="18"/>
                <w:szCs w:val="18"/>
              </w:rPr>
              <w:t> </w:t>
            </w:r>
          </w:p>
        </w:tc>
      </w:tr>
    </w:tbl>
    <w:p w:rsidR="00000000" w:rsidRDefault="00DA50CE">
      <w:pPr>
        <w:pStyle w:val="a3"/>
        <w:spacing w:before="0" w:beforeAutospacing="0" w:after="0" w:afterAutospacing="0"/>
        <w:jc w:val="center"/>
        <w:rPr>
          <w:sz w:val="20"/>
          <w:szCs w:val="20"/>
        </w:rPr>
      </w:pPr>
      <w:r>
        <w:rPr>
          <w:sz w:val="18"/>
          <w:szCs w:val="18"/>
        </w:rPr>
        <w:t> </w:t>
      </w:r>
    </w:p>
    <w:p w:rsidR="00000000" w:rsidRDefault="00DA50CE">
      <w:pPr>
        <w:pStyle w:val="a3"/>
        <w:spacing w:before="0" w:beforeAutospacing="0" w:after="0" w:afterAutospacing="0"/>
        <w:jc w:val="center"/>
        <w:rPr>
          <w:sz w:val="20"/>
          <w:szCs w:val="20"/>
        </w:rPr>
      </w:pPr>
      <w:r>
        <w:rPr>
          <w:sz w:val="18"/>
          <w:szCs w:val="18"/>
        </w:rPr>
        <w:t>The accompanying notes are an integral part of these condensed consolidated financial statements</w:t>
      </w:r>
      <w:r>
        <w:rPr>
          <w:sz w:val="18"/>
          <w:szCs w:val="18"/>
        </w:rPr>
        <w:t>.</w:t>
      </w:r>
    </w:p>
    <w:p w:rsidR="00000000" w:rsidRDefault="00DA50CE">
      <w:pPr>
        <w:pStyle w:val="a3"/>
        <w:spacing w:before="240" w:beforeAutospacing="0" w:after="0" w:afterAutospacing="0"/>
        <w:jc w:val="center"/>
        <w:rPr>
          <w:sz w:val="20"/>
          <w:szCs w:val="20"/>
        </w:rPr>
      </w:pPr>
      <w:r>
        <w:rPr>
          <w:sz w:val="20"/>
          <w:szCs w:val="20"/>
        </w:rPr>
        <w:t>5</w:t>
      </w:r>
    </w:p>
    <w:p w:rsidR="00000000" w:rsidRDefault="00DA50CE">
      <w:pPr>
        <w:rPr>
          <w:rFonts w:eastAsia="Times New Roman"/>
        </w:rPr>
      </w:pPr>
      <w:r>
        <w:rPr>
          <w:rFonts w:eastAsia="Times New Roman"/>
        </w:rPr>
        <w:pict>
          <v:rect id="_x0000_i1031"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DA50CE">
      <w:pPr>
        <w:pStyle w:val="a3"/>
        <w:spacing w:before="0" w:beforeAutospacing="0" w:after="0" w:afterAutospacing="0"/>
        <w:jc w:val="center"/>
        <w:rPr>
          <w:sz w:val="20"/>
          <w:szCs w:val="20"/>
        </w:rPr>
      </w:pPr>
      <w:r>
        <w:rPr>
          <w:b/>
          <w:bCs/>
          <w:sz w:val="20"/>
          <w:szCs w:val="20"/>
        </w:rPr>
        <w:t>Notes to the Condensed Conso</w:t>
      </w:r>
      <w:r>
        <w:rPr>
          <w:b/>
          <w:bCs/>
          <w:sz w:val="20"/>
          <w:szCs w:val="20"/>
        </w:rPr>
        <w:t>l</w:t>
      </w:r>
      <w:r>
        <w:rPr>
          <w:b/>
          <w:bCs/>
          <w:sz w:val="20"/>
          <w:szCs w:val="20"/>
        </w:rPr>
        <w:t>idated Financial Statement</w:t>
      </w:r>
      <w:r>
        <w:rPr>
          <w:b/>
          <w:bCs/>
          <w:sz w:val="20"/>
          <w:szCs w:val="20"/>
        </w:rPr>
        <w:t>s</w:t>
      </w:r>
    </w:p>
    <w:p w:rsidR="00000000" w:rsidRDefault="00DA50C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0" w:beforeAutospacing="0" w:after="0" w:afterAutospacing="0"/>
        <w:divId w:val="1747416844"/>
        <w:rPr>
          <w:sz w:val="20"/>
          <w:szCs w:val="20"/>
        </w:rPr>
      </w:pPr>
      <w:r>
        <w:rPr>
          <w:b/>
          <w:bCs/>
          <w:sz w:val="20"/>
          <w:szCs w:val="20"/>
        </w:rPr>
        <w:t>Note 1. Overview and Basis</w:t>
      </w:r>
      <w:r>
        <w:rPr>
          <w:b/>
          <w:bCs/>
          <w:sz w:val="20"/>
          <w:szCs w:val="20"/>
        </w:rPr>
        <w:t xml:space="preserve"> of Presentatio</w:t>
      </w:r>
      <w:r>
        <w:rPr>
          <w:b/>
          <w:bCs/>
          <w:sz w:val="20"/>
          <w:szCs w:val="20"/>
        </w:rPr>
        <w:t>n</w:t>
      </w:r>
    </w:p>
    <w:p w:rsidR="00000000" w:rsidRDefault="00DA50CE">
      <w:pPr>
        <w:pStyle w:val="a3"/>
        <w:spacing w:before="120" w:beforeAutospacing="0" w:after="0" w:afterAutospacing="0"/>
        <w:ind w:firstLine="555"/>
        <w:divId w:val="1747416844"/>
        <w:rPr>
          <w:sz w:val="20"/>
          <w:szCs w:val="20"/>
        </w:rPr>
      </w:pPr>
      <w:r>
        <w:rPr>
          <w:sz w:val="20"/>
          <w:szCs w:val="20"/>
        </w:rPr>
        <w:t>The accompanying condensed consolidated financial statements have been prepared in accordance with accounting principles generally accepted in the United States of America, or U.S. GAAP. These financial statements include the assets, liabi</w:t>
      </w:r>
      <w:r>
        <w:rPr>
          <w:sz w:val="20"/>
          <w:szCs w:val="20"/>
        </w:rPr>
        <w:t>lities, revenues and expenses of all subsidiaries and entities in which the Company has a controlling financial interest or is deemed to be the primary beneficiary. In determining whether the Company is the primary beneficiary of an entity, the Company app</w:t>
      </w:r>
      <w:r>
        <w:rPr>
          <w:sz w:val="20"/>
          <w:szCs w:val="20"/>
        </w:rPr>
        <w:t>lies a qualitative approach that determines whether it has both (i) the power to direct the economically significant activities of the entity and (ii) the obligation to absorb losses of, or the right to receive benefits from, the entity that could potentia</w:t>
      </w:r>
      <w:r>
        <w:rPr>
          <w:sz w:val="20"/>
          <w:szCs w:val="20"/>
        </w:rPr>
        <w:t>lly be significant to that entity. The Company uses the equity method to account for its investments in entities that it does not control, but in which it has the ability to exercise significant influence over operating and financial policies. All signific</w:t>
      </w:r>
      <w:r>
        <w:rPr>
          <w:sz w:val="20"/>
          <w:szCs w:val="20"/>
        </w:rPr>
        <w:t>ant intercompany accounts and transactions are eliminated from the accompanying condensed consolidated financial statements</w:t>
      </w:r>
      <w:r>
        <w:rPr>
          <w:sz w:val="20"/>
          <w:szCs w:val="20"/>
        </w:rPr>
        <w:t>.</w:t>
      </w:r>
    </w:p>
    <w:p w:rsidR="00000000" w:rsidRDefault="00DA50CE">
      <w:pPr>
        <w:pStyle w:val="a3"/>
        <w:spacing w:before="360" w:beforeAutospacing="0" w:after="0" w:afterAutospacing="0"/>
        <w:divId w:val="1747416844"/>
        <w:rPr>
          <w:sz w:val="20"/>
          <w:szCs w:val="20"/>
        </w:rPr>
      </w:pPr>
      <w:r>
        <w:rPr>
          <w:b/>
          <w:bCs/>
          <w:i/>
          <w:iCs/>
          <w:sz w:val="20"/>
          <w:szCs w:val="20"/>
        </w:rPr>
        <w:t>Nature of the Busines</w:t>
      </w:r>
      <w:r>
        <w:rPr>
          <w:b/>
          <w:bCs/>
          <w:i/>
          <w:iCs/>
          <w:sz w:val="20"/>
          <w:szCs w:val="20"/>
        </w:rPr>
        <w:t>s</w:t>
      </w:r>
    </w:p>
    <w:p w:rsidR="00000000" w:rsidRDefault="00DA50CE">
      <w:pPr>
        <w:pStyle w:val="a3"/>
        <w:spacing w:before="120" w:beforeAutospacing="0" w:after="0" w:afterAutospacing="0"/>
        <w:ind w:firstLine="555"/>
        <w:divId w:val="1747416844"/>
        <w:rPr>
          <w:sz w:val="20"/>
          <w:szCs w:val="20"/>
        </w:rPr>
      </w:pPr>
      <w:r>
        <w:rPr>
          <w:sz w:val="20"/>
          <w:szCs w:val="20"/>
        </w:rPr>
        <w:t>Fulgent Genetics, Inc., together with its subsidiaries and a</w:t>
      </w:r>
      <w:r>
        <w:rPr>
          <w:sz w:val="20"/>
          <w:szCs w:val="20"/>
        </w:rPr>
        <w:t>n</w:t>
      </w:r>
      <w:r>
        <w:rPr>
          <w:sz w:val="20"/>
          <w:szCs w:val="20"/>
        </w:rPr>
        <w:t xml:space="preserve"> affiliated professional corporation, or PC,</w:t>
      </w:r>
      <w:r>
        <w:rPr>
          <w:sz w:val="20"/>
          <w:szCs w:val="20"/>
        </w:rPr>
        <w:t xml:space="preserve"> </w:t>
      </w:r>
      <w:r>
        <w:rPr>
          <w:sz w:val="20"/>
          <w:szCs w:val="20"/>
        </w:rPr>
        <w:t>co</w:t>
      </w:r>
      <w:r>
        <w:rPr>
          <w:sz w:val="20"/>
          <w:szCs w:val="20"/>
        </w:rPr>
        <w:t>llectively referred to as the Company, unless otherwise noted or the context otherwise requires, is a technology company offering large-scale COVID-19 testing services, molecular diagnostic testing services and comprehensive genetic testing designed to pro</w:t>
      </w:r>
      <w:r>
        <w:rPr>
          <w:sz w:val="20"/>
          <w:szCs w:val="20"/>
        </w:rPr>
        <w:t>vide physicians with clinically actionable diagnostic information to improve the quality of patient care. A cornerstone of the Company’s business is its ability to provide expansive options and flexibility for all clients’ unique testing needs. To this end</w:t>
      </w:r>
      <w:r>
        <w:rPr>
          <w:sz w:val="20"/>
          <w:szCs w:val="20"/>
        </w:rPr>
        <w:t>, the Company has developed a proprietary technology platform allowing it to offer a broad and flexible test menu and to continually expand and improve its proprietary genetic reference library, while maintaining accessible pricing, high accuracy and compe</w:t>
      </w:r>
      <w:r>
        <w:rPr>
          <w:sz w:val="20"/>
          <w:szCs w:val="20"/>
        </w:rPr>
        <w:t>titive turnaround times. Combining next generation sequencing, or NGS, with its technology platform, the Company performs full-gene sequencing with deletion/duplication analysis in single-gene tests; pre-established, multi-gene, disease-specific panels; an</w:t>
      </w:r>
      <w:r>
        <w:rPr>
          <w:sz w:val="20"/>
          <w:szCs w:val="20"/>
        </w:rPr>
        <w:t>d customized panels that can be tailored to meet specific customer needs</w:t>
      </w:r>
      <w:r>
        <w:rPr>
          <w:sz w:val="20"/>
          <w:szCs w:val="20"/>
        </w:rPr>
        <w:t>.</w:t>
      </w:r>
      <w:r>
        <w:rPr>
          <w:sz w:val="20"/>
          <w:szCs w:val="20"/>
        </w:rPr>
        <w:t xml:space="preserve"> </w:t>
      </w:r>
    </w:p>
    <w:p w:rsidR="00000000" w:rsidRDefault="00DA50CE">
      <w:pPr>
        <w:pStyle w:val="a3"/>
        <w:spacing w:before="360" w:beforeAutospacing="0" w:after="0" w:afterAutospacing="0"/>
        <w:divId w:val="1747416844"/>
        <w:rPr>
          <w:sz w:val="20"/>
          <w:szCs w:val="20"/>
        </w:rPr>
      </w:pPr>
      <w:r>
        <w:rPr>
          <w:b/>
          <w:bCs/>
          <w:i/>
          <w:iCs/>
          <w:sz w:val="20"/>
          <w:szCs w:val="20"/>
        </w:rPr>
        <w:t>Unaudited Interim Financial Informatio</w:t>
      </w:r>
      <w:r>
        <w:rPr>
          <w:b/>
          <w:bCs/>
          <w:i/>
          <w:iCs/>
          <w:sz w:val="20"/>
          <w:szCs w:val="20"/>
        </w:rPr>
        <w:t>n</w:t>
      </w:r>
      <w:r>
        <w:rPr>
          <w:b/>
          <w:bCs/>
          <w:i/>
          <w:iCs/>
          <w:sz w:val="20"/>
          <w:szCs w:val="20"/>
        </w:rPr>
        <w:t xml:space="preserve"> </w:t>
      </w:r>
    </w:p>
    <w:p w:rsidR="00000000" w:rsidRDefault="00DA50CE">
      <w:pPr>
        <w:pStyle w:val="a3"/>
        <w:spacing w:before="120" w:beforeAutospacing="0" w:after="0" w:afterAutospacing="0"/>
        <w:ind w:firstLine="555"/>
        <w:divId w:val="1747416844"/>
        <w:rPr>
          <w:sz w:val="20"/>
          <w:szCs w:val="20"/>
        </w:rPr>
      </w:pPr>
      <w:r>
        <w:rPr>
          <w:sz w:val="20"/>
          <w:szCs w:val="20"/>
        </w:rPr>
        <w:t xml:space="preserve">The accompanying unaudited interim condensed consolidated financial statements have been prepared on the same basis as the Company’s audited consolidated financial statements as of and for the fiscal year ended December 31, 2021, which are included in the </w:t>
      </w:r>
      <w:r>
        <w:rPr>
          <w:sz w:val="20"/>
          <w:szCs w:val="20"/>
        </w:rPr>
        <w:t>Company’s annual report on Form 10-K filed with the Securities and Exchange Commission, or SEC, on February 28, 2022, or the 2021 Annual Report, and, in the opinion of management, include all adjustments, which are normal and recurring in nature, necessary</w:t>
      </w:r>
      <w:r>
        <w:rPr>
          <w:sz w:val="20"/>
          <w:szCs w:val="20"/>
        </w:rPr>
        <w:t xml:space="preserve"> for a fair presentation of the Company’s financial position and results of operations. Operating results for interim periods are not necessarily indicative of the results that may be expected for a full fiscal year or any other period. The accompanying Co</w:t>
      </w:r>
      <w:r>
        <w:rPr>
          <w:sz w:val="20"/>
          <w:szCs w:val="20"/>
        </w:rPr>
        <w:t xml:space="preserve">ndensed Consolidated Balance Sheet as of March 31, 2022 has been derived from the Company’s audited consolidated financial statements at that date but does not include all of the disclosures required by U.S. GAAP. As such, the information included in this </w:t>
      </w:r>
      <w:r>
        <w:rPr>
          <w:sz w:val="20"/>
          <w:szCs w:val="20"/>
        </w:rPr>
        <w:t>quarterly report on Form 10-Q should be read in conjunction with the Company’s audited consolidated financial statements included in the 2021 Annual Report, including the notes thereto</w:t>
      </w:r>
      <w:r>
        <w:rPr>
          <w:sz w:val="20"/>
          <w:szCs w:val="20"/>
        </w:rPr>
        <w:t>.</w:t>
      </w:r>
    </w:p>
    <w:p w:rsidR="00000000" w:rsidRDefault="00DA50CE">
      <w:pPr>
        <w:pStyle w:val="a3"/>
        <w:spacing w:before="120" w:beforeAutospacing="0" w:after="0" w:afterAutospacing="0"/>
        <w:divId w:val="1331909756"/>
        <w:rPr>
          <w:sz w:val="20"/>
          <w:szCs w:val="20"/>
        </w:rPr>
      </w:pPr>
      <w:r>
        <w:rPr>
          <w:b/>
          <w:bCs/>
          <w:sz w:val="20"/>
          <w:szCs w:val="20"/>
        </w:rPr>
        <w:t>Note 2. Summary of Significant Accounting Policie</w:t>
      </w:r>
      <w:r>
        <w:rPr>
          <w:b/>
          <w:bCs/>
          <w:sz w:val="20"/>
          <w:szCs w:val="20"/>
        </w:rPr>
        <w:t>s</w:t>
      </w:r>
    </w:p>
    <w:p w:rsidR="00000000" w:rsidRDefault="00DA50CE">
      <w:pPr>
        <w:pStyle w:val="a3"/>
        <w:spacing w:before="120" w:beforeAutospacing="0" w:after="240" w:afterAutospacing="0"/>
        <w:ind w:firstLine="555"/>
        <w:divId w:val="1331909756"/>
        <w:rPr>
          <w:sz w:val="20"/>
          <w:szCs w:val="20"/>
        </w:rPr>
      </w:pPr>
      <w:r>
        <w:rPr>
          <w:sz w:val="20"/>
          <w:szCs w:val="20"/>
        </w:rPr>
        <w:t>See the summar</w:t>
      </w:r>
      <w:r>
        <w:rPr>
          <w:sz w:val="20"/>
          <w:szCs w:val="20"/>
        </w:rPr>
        <w:t>y</w:t>
      </w:r>
      <w:r>
        <w:rPr>
          <w:sz w:val="20"/>
          <w:szCs w:val="20"/>
        </w:rPr>
        <w:t xml:space="preserve"> of </w:t>
      </w:r>
      <w:r>
        <w:rPr>
          <w:sz w:val="20"/>
          <w:szCs w:val="20"/>
        </w:rPr>
        <w:t>the</w:t>
      </w:r>
      <w:r>
        <w:rPr>
          <w:sz w:val="20"/>
          <w:szCs w:val="20"/>
        </w:rPr>
        <w:t xml:space="preserve"> </w:t>
      </w:r>
      <w:r>
        <w:rPr>
          <w:sz w:val="20"/>
          <w:szCs w:val="20"/>
        </w:rPr>
        <w:t>Company’s significant accounting policies set forth in the notes to its consolidated</w:t>
      </w:r>
      <w:r>
        <w:rPr>
          <w:sz w:val="20"/>
          <w:szCs w:val="20"/>
        </w:rPr>
        <w:t xml:space="preserve"> </w:t>
      </w:r>
      <w:r>
        <w:rPr>
          <w:sz w:val="20"/>
          <w:szCs w:val="20"/>
        </w:rPr>
        <w:t>financial statements</w:t>
      </w:r>
      <w:r>
        <w:rPr>
          <w:sz w:val="20"/>
          <w:szCs w:val="20"/>
        </w:rPr>
        <w:t xml:space="preserve"> </w:t>
      </w:r>
      <w:r>
        <w:rPr>
          <w:sz w:val="20"/>
          <w:szCs w:val="20"/>
        </w:rPr>
        <w:t>included in the 2021 Annual Report</w:t>
      </w:r>
      <w:r>
        <w:rPr>
          <w:sz w:val="20"/>
          <w:szCs w:val="20"/>
        </w:rPr>
        <w:t>.</w:t>
      </w:r>
    </w:p>
    <w:p w:rsidR="00000000" w:rsidRDefault="00DA50CE">
      <w:pPr>
        <w:pStyle w:val="a3"/>
        <w:spacing w:before="120" w:beforeAutospacing="0" w:after="0" w:afterAutospacing="0"/>
        <w:divId w:val="804202133"/>
        <w:rPr>
          <w:sz w:val="20"/>
          <w:szCs w:val="20"/>
        </w:rPr>
      </w:pPr>
      <w:r>
        <w:rPr>
          <w:b/>
          <w:bCs/>
          <w:i/>
          <w:iCs/>
          <w:sz w:val="20"/>
          <w:szCs w:val="20"/>
        </w:rPr>
        <w:t>Use of Estimate</w:t>
      </w:r>
      <w:r>
        <w:rPr>
          <w:b/>
          <w:bCs/>
          <w:i/>
          <w:iCs/>
          <w:sz w:val="20"/>
          <w:szCs w:val="20"/>
        </w:rPr>
        <w:t>s</w:t>
      </w:r>
    </w:p>
    <w:p w:rsidR="00000000" w:rsidRDefault="00DA50CE">
      <w:pPr>
        <w:pStyle w:val="a3"/>
        <w:spacing w:before="120" w:beforeAutospacing="0" w:after="0" w:afterAutospacing="0"/>
        <w:ind w:firstLine="555"/>
        <w:divId w:val="804202133"/>
        <w:rPr>
          <w:sz w:val="20"/>
          <w:szCs w:val="20"/>
        </w:rPr>
      </w:pPr>
      <w:r>
        <w:rPr>
          <w:sz w:val="20"/>
          <w:szCs w:val="20"/>
        </w:rPr>
        <w:t>The preparation of condensed consolidated financial statements in conformity with U.S. GAAP r</w:t>
      </w:r>
      <w:r>
        <w:rPr>
          <w:sz w:val="20"/>
          <w:szCs w:val="20"/>
        </w:rPr>
        <w:t>equires management to make certain estimates, judgments and assumptions that affect the reported amounts of assets and liabilities at the date of the financial statements, as well as the reported amounts of revenue and expenses during the reporting periods</w:t>
      </w:r>
      <w:r>
        <w:rPr>
          <w:sz w:val="20"/>
          <w:szCs w:val="20"/>
        </w:rPr>
        <w:t xml:space="preserve">. These estimates, judgments and assumptions are based on historical data and experience available at the date of the accompanying condensed consolidated financial statements, as well as various other factors management believes to be reasonable under the </w:t>
      </w:r>
      <w:r>
        <w:rPr>
          <w:sz w:val="20"/>
          <w:szCs w:val="20"/>
        </w:rPr>
        <w:t>circumstances, including but not limited to the potential impacts arising from the recent global pandemic related to COVID-19. As the extent and duration of the impacts from COVID-19 remain unclear, the Company’s estimates and assumptions may evolve as con</w:t>
      </w:r>
      <w:r>
        <w:rPr>
          <w:sz w:val="20"/>
          <w:szCs w:val="20"/>
        </w:rPr>
        <w:t>ditions change. Actual results could differ significantly from these estimates</w:t>
      </w:r>
      <w:r>
        <w:rPr>
          <w:sz w:val="20"/>
          <w:szCs w:val="20"/>
        </w:rPr>
        <w:t>.</w:t>
      </w:r>
    </w:p>
    <w:p w:rsidR="00000000" w:rsidRDefault="00DA50CE">
      <w:pPr>
        <w:pStyle w:val="a3"/>
        <w:spacing w:before="240" w:beforeAutospacing="0" w:after="0" w:afterAutospacing="0"/>
        <w:ind w:firstLine="555"/>
        <w:divId w:val="804202133"/>
        <w:rPr>
          <w:sz w:val="20"/>
          <w:szCs w:val="20"/>
        </w:rPr>
      </w:pPr>
      <w:r>
        <w:rPr>
          <w:sz w:val="20"/>
          <w:szCs w:val="20"/>
        </w:rPr>
        <w:t>On an on-going basis, management evaluates its estimates, primarily those related to: (i) revenue recognition criteria; (ii) accounts receivable and allowances for credit losse</w:t>
      </w:r>
      <w:r>
        <w:rPr>
          <w:sz w:val="20"/>
          <w:szCs w:val="20"/>
        </w:rPr>
        <w:t>s; (iii) the useful lives of fixed assets and intangible assets; (iv) estimates of tax liabilities; and (v) valuation of intangible assets and goodwill</w:t>
      </w:r>
      <w:r>
        <w:rPr>
          <w:sz w:val="20"/>
          <w:szCs w:val="20"/>
        </w:rPr>
        <w:t>.</w:t>
      </w:r>
    </w:p>
    <w:p w:rsidR="00000000" w:rsidRDefault="00DA50CE">
      <w:pPr>
        <w:pStyle w:val="a3"/>
        <w:spacing w:before="240" w:beforeAutospacing="0" w:after="0" w:afterAutospacing="0"/>
        <w:jc w:val="center"/>
        <w:divId w:val="1331909756"/>
        <w:rPr>
          <w:sz w:val="20"/>
          <w:szCs w:val="20"/>
        </w:rPr>
      </w:pPr>
      <w:r>
        <w:rPr>
          <w:sz w:val="20"/>
          <w:szCs w:val="20"/>
        </w:rPr>
        <w:t>6</w:t>
      </w:r>
    </w:p>
    <w:p w:rsidR="00000000" w:rsidRDefault="00DA50CE">
      <w:pPr>
        <w:divId w:val="1331909756"/>
        <w:rPr>
          <w:rFonts w:eastAsia="Times New Roman"/>
        </w:rPr>
      </w:pPr>
      <w:r>
        <w:rPr>
          <w:rFonts w:eastAsia="Times New Roman"/>
        </w:rPr>
        <w:pict>
          <v:rect id="_x0000_i1032" style="width:0;height:1.5pt" o:hralign="center" o:hrstd="t" o:hr="t" fillcolor="#a0a0a0" stroked="f"/>
        </w:pict>
      </w:r>
    </w:p>
    <w:p w:rsidR="00000000" w:rsidRDefault="00DA50CE">
      <w:pPr>
        <w:pStyle w:val="a3"/>
        <w:spacing w:before="360" w:beforeAutospacing="0" w:after="0" w:afterAutospacing="0"/>
        <w:divId w:val="981929488"/>
        <w:rPr>
          <w:sz w:val="20"/>
          <w:szCs w:val="20"/>
        </w:rPr>
      </w:pPr>
      <w:r>
        <w:rPr>
          <w:b/>
          <w:bCs/>
          <w:i/>
          <w:iCs/>
          <w:sz w:val="20"/>
          <w:szCs w:val="20"/>
        </w:rPr>
        <w:t>Marketable Securitie</w:t>
      </w:r>
      <w:r>
        <w:rPr>
          <w:b/>
          <w:bCs/>
          <w:i/>
          <w:iCs/>
          <w:sz w:val="20"/>
          <w:szCs w:val="20"/>
        </w:rPr>
        <w:t>s</w:t>
      </w:r>
    </w:p>
    <w:p w:rsidR="00000000" w:rsidRDefault="00DA50CE">
      <w:pPr>
        <w:pStyle w:val="a3"/>
        <w:spacing w:before="120" w:beforeAutospacing="0" w:after="0" w:afterAutospacing="0"/>
        <w:ind w:firstLine="555"/>
        <w:divId w:val="981929488"/>
        <w:rPr>
          <w:sz w:val="20"/>
          <w:szCs w:val="20"/>
        </w:rPr>
      </w:pPr>
      <w:r>
        <w:rPr>
          <w:sz w:val="20"/>
          <w:szCs w:val="20"/>
        </w:rPr>
        <w:t>All marketable debt securities, which consist of corporate debt securities, municipal bonds, U.S. government and agency debt securities, and Yankee debt securities issued by foreign governments or entities and denominated in U.S. dollars have been classifi</w:t>
      </w:r>
      <w:r>
        <w:rPr>
          <w:sz w:val="20"/>
          <w:szCs w:val="20"/>
        </w:rPr>
        <w:t>ed as “available-for-sale,” and are carried at fair value. Net unrealized gains and losses, net of any related tax effects, are excluded from earnings and are included in other comprehensive income (loss) and reported as a separate component of stockholder</w:t>
      </w:r>
      <w:r>
        <w:rPr>
          <w:sz w:val="20"/>
          <w:szCs w:val="20"/>
        </w:rPr>
        <w:t>s’ equity until realized. Realized gains and losses on marketable debt securities are included in interest and other income, net, in the accompanying Condensed Consolidated Statements of Income. The cost of any marketable debt securities sold is based on t</w:t>
      </w:r>
      <w:r>
        <w:rPr>
          <w:sz w:val="20"/>
          <w:szCs w:val="20"/>
        </w:rPr>
        <w:t>he specific-identification method. The amortized cost of marketable debt securities is adjusted for amortization of premiums and accretion of discounts to maturity. Interest on marketable debt securities is included in interest and other income, net. In ac</w:t>
      </w:r>
      <w:r>
        <w:rPr>
          <w:sz w:val="20"/>
          <w:szCs w:val="20"/>
        </w:rPr>
        <w:t>cordance with the Company’s investment policy, management invests to diversify credit risk and only invests in securities with high credit quality, including U.S. government securities</w:t>
      </w:r>
      <w:r>
        <w:rPr>
          <w:sz w:val="20"/>
          <w:szCs w:val="20"/>
        </w:rPr>
        <w:t>.</w:t>
      </w:r>
    </w:p>
    <w:p w:rsidR="00000000" w:rsidRDefault="00DA50CE">
      <w:pPr>
        <w:pStyle w:val="a3"/>
        <w:spacing w:before="240" w:beforeAutospacing="0" w:after="0" w:afterAutospacing="0"/>
        <w:ind w:firstLine="555"/>
        <w:divId w:val="981929488"/>
        <w:rPr>
          <w:sz w:val="20"/>
          <w:szCs w:val="20"/>
        </w:rPr>
      </w:pPr>
      <w:r>
        <w:rPr>
          <w:sz w:val="20"/>
          <w:szCs w:val="20"/>
        </w:rPr>
        <w:t>The Company’s investments in marketable equity securities are measured</w:t>
      </w:r>
      <w:r>
        <w:rPr>
          <w:sz w:val="20"/>
          <w:szCs w:val="20"/>
        </w:rPr>
        <w:t xml:space="preserve"> at fair value with the related gains and losses, realized and unrealized, recognized in interest and other income, net, in the accompanying Condensed Consolidated Statements of Income. The cost of any marketable equity securities sold is based on the spec</w:t>
      </w:r>
      <w:r>
        <w:rPr>
          <w:sz w:val="20"/>
          <w:szCs w:val="20"/>
        </w:rPr>
        <w:t>ific-identification method</w:t>
      </w:r>
      <w:r>
        <w:rPr>
          <w:sz w:val="20"/>
          <w:szCs w:val="20"/>
        </w:rPr>
        <w:t>.</w:t>
      </w:r>
    </w:p>
    <w:p w:rsidR="00000000" w:rsidRDefault="00DA50CE">
      <w:pPr>
        <w:pStyle w:val="a3"/>
        <w:spacing w:before="240" w:beforeAutospacing="0" w:after="0" w:afterAutospacing="0"/>
        <w:ind w:firstLine="555"/>
        <w:divId w:val="1331909756"/>
        <w:rPr>
          <w:sz w:val="20"/>
          <w:szCs w:val="20"/>
        </w:rPr>
      </w:pPr>
      <w:r>
        <w:rPr>
          <w:sz w:val="20"/>
          <w:szCs w:val="20"/>
        </w:rPr>
        <w:t>For available-for-sale debt securities, in an unrealized loss, the Company determines whether a credit loss exists. The credit loss is estimated by considering available information relevant to the collectability of the security</w:t>
      </w:r>
      <w:r>
        <w:rPr>
          <w:sz w:val="20"/>
          <w:szCs w:val="20"/>
        </w:rPr>
        <w:t xml:space="preserve"> and information about past events, current conditions, and reasonable and supportable forecasts. The Company compares the present value of cash flows expected to be collected from the security with the amortized cost basis of the security. If the present </w:t>
      </w:r>
      <w:r>
        <w:rPr>
          <w:sz w:val="20"/>
          <w:szCs w:val="20"/>
        </w:rPr>
        <w:t>value of cash flows to be collected is less than the amortized basis of the security, a credit loss exists, and any credit loss is recorded as a charge to interest and other income, net, not to exceed the amount of the unrealized loss. If the Company has a</w:t>
      </w:r>
      <w:r>
        <w:rPr>
          <w:sz w:val="20"/>
          <w:szCs w:val="20"/>
        </w:rPr>
        <w:t>n intent to sell, or if it is more likely than not that the Company will be required to sell a debt security in an unrealized loss position before recovery of its amortized cost basis, the Company will write down the security to its fair value and record t</w:t>
      </w:r>
      <w:r>
        <w:rPr>
          <w:sz w:val="20"/>
          <w:szCs w:val="20"/>
        </w:rPr>
        <w:t>he corresponding charge as a component of interest and other income, net</w:t>
      </w:r>
      <w:r>
        <w:rPr>
          <w:sz w:val="20"/>
          <w:szCs w:val="20"/>
        </w:rPr>
        <w:t>.</w:t>
      </w:r>
      <w:r>
        <w:rPr>
          <w:sz w:val="20"/>
          <w:szCs w:val="20"/>
        </w:rPr>
        <w:t xml:space="preserve"> </w:t>
      </w:r>
    </w:p>
    <w:p w:rsidR="00000000" w:rsidRDefault="00DA50CE">
      <w:pPr>
        <w:pStyle w:val="a3"/>
        <w:spacing w:before="360" w:beforeAutospacing="0" w:after="0" w:afterAutospacing="0"/>
        <w:divId w:val="49232977"/>
        <w:rPr>
          <w:sz w:val="20"/>
          <w:szCs w:val="20"/>
        </w:rPr>
      </w:pPr>
      <w:r>
        <w:rPr>
          <w:b/>
          <w:bCs/>
          <w:i/>
          <w:iCs/>
          <w:sz w:val="20"/>
          <w:szCs w:val="20"/>
        </w:rPr>
        <w:t>Trade Accounts Receivable and Allowance for Credit Losse</w:t>
      </w:r>
      <w:r>
        <w:rPr>
          <w:b/>
          <w:bCs/>
          <w:i/>
          <w:iCs/>
          <w:sz w:val="20"/>
          <w:szCs w:val="20"/>
        </w:rPr>
        <w:t>s</w:t>
      </w:r>
      <w:r>
        <w:rPr>
          <w:b/>
          <w:bCs/>
          <w:i/>
          <w:iCs/>
          <w:sz w:val="20"/>
          <w:szCs w:val="20"/>
        </w:rPr>
        <w:t xml:space="preserve"> </w:t>
      </w:r>
    </w:p>
    <w:p w:rsidR="00000000" w:rsidRDefault="00DA50CE">
      <w:pPr>
        <w:pStyle w:val="a3"/>
        <w:spacing w:before="120" w:beforeAutospacing="0" w:after="0" w:afterAutospacing="0"/>
        <w:ind w:firstLine="555"/>
        <w:divId w:val="49232977"/>
        <w:rPr>
          <w:sz w:val="20"/>
          <w:szCs w:val="20"/>
        </w:rPr>
      </w:pPr>
      <w:r>
        <w:rPr>
          <w:sz w:val="20"/>
          <w:szCs w:val="20"/>
        </w:rPr>
        <w:t>The Company</w:t>
      </w:r>
      <w:r>
        <w:rPr>
          <w:sz w:val="20"/>
          <w:szCs w:val="20"/>
        </w:rPr>
        <w:t xml:space="preserve"> </w:t>
      </w:r>
      <w:r>
        <w:rPr>
          <w:sz w:val="20"/>
          <w:szCs w:val="20"/>
        </w:rPr>
        <w:t>adopte</w:t>
      </w:r>
      <w:r>
        <w:rPr>
          <w:sz w:val="20"/>
          <w:szCs w:val="20"/>
        </w:rPr>
        <w:t>d</w:t>
      </w:r>
      <w:r>
        <w:rPr>
          <w:sz w:val="20"/>
          <w:szCs w:val="20"/>
        </w:rPr>
        <w:t xml:space="preserve"> Accounting Standards Update, or</w:t>
      </w:r>
      <w:r>
        <w:rPr>
          <w:sz w:val="20"/>
          <w:szCs w:val="20"/>
        </w:rPr>
        <w:t xml:space="preserve"> </w:t>
      </w:r>
      <w:r>
        <w:rPr>
          <w:sz w:val="20"/>
          <w:szCs w:val="20"/>
        </w:rPr>
        <w:t>ASU 2016-1</w:t>
      </w:r>
      <w:r>
        <w:rPr>
          <w:sz w:val="20"/>
          <w:szCs w:val="20"/>
        </w:rPr>
        <w:t>3</w:t>
      </w:r>
      <w:r>
        <w:rPr>
          <w:i/>
          <w:iCs/>
          <w:sz w:val="20"/>
          <w:szCs w:val="20"/>
        </w:rPr>
        <w:t>, Financial Instruments-Credit Losses: Measurement of Credi</w:t>
      </w:r>
      <w:r>
        <w:rPr>
          <w:i/>
          <w:iCs/>
          <w:sz w:val="20"/>
          <w:szCs w:val="20"/>
        </w:rPr>
        <w:t>t Losses on Financial Instrument</w:t>
      </w:r>
      <w:r>
        <w:rPr>
          <w:i/>
          <w:iCs/>
          <w:sz w:val="20"/>
          <w:szCs w:val="20"/>
        </w:rPr>
        <w:t>s</w:t>
      </w:r>
      <w:r>
        <w:rPr>
          <w:sz w:val="20"/>
          <w:szCs w:val="20"/>
        </w:rPr>
        <w:t>, using the modified retrospective approach as of</w:t>
      </w:r>
      <w:r>
        <w:rPr>
          <w:sz w:val="20"/>
          <w:szCs w:val="20"/>
        </w:rPr>
        <w:t xml:space="preserve"> </w:t>
      </w:r>
      <w:r>
        <w:rPr>
          <w:sz w:val="20"/>
          <w:szCs w:val="20"/>
        </w:rPr>
        <w:t>January 1, 202</w:t>
      </w:r>
      <w:r>
        <w:rPr>
          <w:sz w:val="20"/>
          <w:szCs w:val="20"/>
        </w:rPr>
        <w:t>1</w:t>
      </w:r>
      <w:r>
        <w:rPr>
          <w:sz w:val="20"/>
          <w:szCs w:val="20"/>
        </w:rPr>
        <w:t>. Trade accounts receivable are stated at the amount the Company expects to collect. The Company maintains an allowance for credit losses for expected uncolle</w:t>
      </w:r>
      <w:r>
        <w:rPr>
          <w:sz w:val="20"/>
          <w:szCs w:val="20"/>
        </w:rPr>
        <w:t>ctible trade accounts receivable, which is recorded as an offset to trade accounts receivable, and changes in allowance for credit losses are classified as a general and administrative expense in the accompanying Condensed Consolidated Statements of Income</w:t>
      </w:r>
      <w:r>
        <w:rPr>
          <w:sz w:val="20"/>
          <w:szCs w:val="20"/>
        </w:rPr>
        <w:t>. The Company assesses collectability by reviewing trade accounts receivable on a collective basis where similar risk characteristics exist and on an individual basis when it identifies specific customers that have deterioration in credit quality such that</w:t>
      </w:r>
      <w:r>
        <w:rPr>
          <w:sz w:val="20"/>
          <w:szCs w:val="20"/>
        </w:rPr>
        <w:t xml:space="preserve"> they may no longer share similar risk characteristics with the other receivables. In determining the amount of the allowance for credit losses, the Company uses a probability-of-default and loss given default model, which allows the ability to define a po</w:t>
      </w:r>
      <w:r>
        <w:rPr>
          <w:sz w:val="20"/>
          <w:szCs w:val="20"/>
        </w:rPr>
        <w:t>int of default and measure credit losses for receivables that have reached the point of default for purposes of calculating the allowance for credit losses. Loss given default represents the likelihood that a receivable that has reached the point of defaul</w:t>
      </w:r>
      <w:r>
        <w:rPr>
          <w:sz w:val="20"/>
          <w:szCs w:val="20"/>
        </w:rPr>
        <w:t>t will not be collected in full. The Company updates its probability-of-default and loss given default factors annually to incorporate the most recent historical data and adjusts the quantitative portion of the reserve through its qualitative reserve overl</w:t>
      </w:r>
      <w:r>
        <w:rPr>
          <w:sz w:val="20"/>
          <w:szCs w:val="20"/>
        </w:rPr>
        <w:t>ay. The Company looks at qualitative factors such as general economic conditions in determining expected credit losses</w:t>
      </w:r>
      <w:r>
        <w:rPr>
          <w:sz w:val="20"/>
          <w:szCs w:val="20"/>
        </w:rPr>
        <w:t>.</w:t>
      </w:r>
      <w:r>
        <w:rPr>
          <w:sz w:val="20"/>
          <w:szCs w:val="20"/>
        </w:rPr>
        <w:t xml:space="preserve"> </w:t>
      </w:r>
    </w:p>
    <w:p w:rsidR="00000000" w:rsidRDefault="00DA50CE">
      <w:pPr>
        <w:pStyle w:val="a3"/>
        <w:spacing w:before="360" w:beforeAutospacing="0" w:after="0" w:afterAutospacing="0"/>
        <w:divId w:val="179853779"/>
        <w:rPr>
          <w:sz w:val="20"/>
          <w:szCs w:val="20"/>
        </w:rPr>
      </w:pPr>
      <w:r>
        <w:rPr>
          <w:b/>
          <w:bCs/>
          <w:i/>
          <w:iCs/>
          <w:sz w:val="20"/>
          <w:szCs w:val="20"/>
        </w:rPr>
        <w:t>Redeemable Preferred Stock Investmen</w:t>
      </w:r>
      <w:r>
        <w:rPr>
          <w:b/>
          <w:bCs/>
          <w:i/>
          <w:iCs/>
          <w:sz w:val="20"/>
          <w:szCs w:val="20"/>
        </w:rPr>
        <w:t>t</w:t>
      </w:r>
    </w:p>
    <w:p w:rsidR="00000000" w:rsidRDefault="00DA50CE">
      <w:pPr>
        <w:pStyle w:val="a3"/>
        <w:spacing w:before="120" w:beforeAutospacing="0" w:after="0" w:afterAutospacing="0"/>
        <w:ind w:firstLine="555"/>
        <w:divId w:val="179853779"/>
        <w:rPr>
          <w:sz w:val="20"/>
          <w:szCs w:val="20"/>
        </w:rPr>
      </w:pPr>
      <w:r>
        <w:rPr>
          <w:sz w:val="20"/>
          <w:szCs w:val="20"/>
        </w:rPr>
        <w:t>The redeemable preferred stock investment of</w:t>
      </w:r>
      <w:r>
        <w:rPr>
          <w:sz w:val="20"/>
          <w:szCs w:val="20"/>
        </w:rPr>
        <w:t xml:space="preserve"> </w:t>
      </w:r>
      <w:r>
        <w:rPr>
          <w:sz w:val="20"/>
          <w:szCs w:val="20"/>
        </w:rPr>
        <w:t>$</w:t>
      </w:r>
      <w:r>
        <w:rPr>
          <w:sz w:val="20"/>
          <w:szCs w:val="20"/>
        </w:rPr>
        <w:t>17.</w:t>
      </w:r>
      <w:r>
        <w:rPr>
          <w:sz w:val="20"/>
          <w:szCs w:val="20"/>
        </w:rPr>
        <w:t>6</w:t>
      </w:r>
      <w:r>
        <w:rPr>
          <w:sz w:val="20"/>
          <w:szCs w:val="20"/>
        </w:rPr>
        <w:t xml:space="preserve"> millio</w:t>
      </w:r>
      <w:r>
        <w:rPr>
          <w:sz w:val="20"/>
          <w:szCs w:val="20"/>
        </w:rPr>
        <w:t>n</w:t>
      </w:r>
      <w:r>
        <w:rPr>
          <w:sz w:val="20"/>
          <w:szCs w:val="20"/>
        </w:rPr>
        <w:t xml:space="preserve"> as of March 31, 2022 represents the fa</w:t>
      </w:r>
      <w:r>
        <w:rPr>
          <w:sz w:val="20"/>
          <w:szCs w:val="20"/>
        </w:rPr>
        <w:t xml:space="preserve">ir value of redeemable preferred stock </w:t>
      </w:r>
      <w:r>
        <w:rPr>
          <w:sz w:val="20"/>
          <w:szCs w:val="20"/>
        </w:rPr>
        <w:t>o</w:t>
      </w:r>
      <w:r>
        <w:rPr>
          <w:sz w:val="20"/>
          <w:szCs w:val="20"/>
        </w:rPr>
        <w:t>f</w:t>
      </w:r>
      <w:r>
        <w:rPr>
          <w:sz w:val="20"/>
          <w:szCs w:val="20"/>
        </w:rPr>
        <w:t xml:space="preserve"> Laboratory for Advanced Medicine, Inc., or Helio Health, that</w:t>
      </w:r>
      <w:r>
        <w:rPr>
          <w:sz w:val="20"/>
          <w:szCs w:val="20"/>
        </w:rPr>
        <w:t xml:space="preserve"> </w:t>
      </w:r>
      <w:r>
        <w:rPr>
          <w:sz w:val="20"/>
          <w:szCs w:val="20"/>
        </w:rPr>
        <w:t>the Company purchased in July 2021. The investment is classified as available-for-sale debt securities. The fair value of available-for-sale debt securi</w:t>
      </w:r>
      <w:r>
        <w:rPr>
          <w:sz w:val="20"/>
          <w:szCs w:val="20"/>
        </w:rPr>
        <w:t>ty is included in the Consolidated Statement of Balance Sheets. Unrealized loss of</w:t>
      </w:r>
      <w:r>
        <w:rPr>
          <w:sz w:val="20"/>
          <w:szCs w:val="20"/>
        </w:rPr>
        <w:t xml:space="preserve"> </w:t>
      </w:r>
      <w:r>
        <w:rPr>
          <w:sz w:val="20"/>
          <w:szCs w:val="20"/>
        </w:rPr>
        <w:t>$</w:t>
      </w:r>
      <w:r>
        <w:rPr>
          <w:sz w:val="20"/>
          <w:szCs w:val="20"/>
        </w:rPr>
        <w:t>2.</w:t>
      </w:r>
      <w:r>
        <w:rPr>
          <w:sz w:val="20"/>
          <w:szCs w:val="20"/>
        </w:rPr>
        <w:t>4</w:t>
      </w:r>
      <w:r>
        <w:rPr>
          <w:sz w:val="20"/>
          <w:szCs w:val="20"/>
        </w:rPr>
        <w:t xml:space="preserve"> millio</w:t>
      </w:r>
      <w:r>
        <w:rPr>
          <w:sz w:val="20"/>
          <w:szCs w:val="20"/>
        </w:rPr>
        <w:t>n</w:t>
      </w:r>
      <w:r>
        <w:rPr>
          <w:sz w:val="20"/>
          <w:szCs w:val="20"/>
        </w:rPr>
        <w:t xml:space="preserve"> is excluded from earnings and reported in other comprehensive income (loss) as of March 31, 2022. Since the Company intends on holding the preferred stock, and </w:t>
      </w:r>
      <w:r>
        <w:rPr>
          <w:sz w:val="20"/>
          <w:szCs w:val="20"/>
        </w:rPr>
        <w:t>the preferred stock is not redeemable until</w:t>
      </w:r>
      <w:r>
        <w:rPr>
          <w:sz w:val="20"/>
          <w:szCs w:val="20"/>
        </w:rPr>
        <w:t xml:space="preserve"> </w:t>
      </w:r>
      <w:r>
        <w:rPr>
          <w:sz w:val="20"/>
          <w:szCs w:val="20"/>
        </w:rPr>
        <w:t>July 202</w:t>
      </w:r>
      <w:r>
        <w:rPr>
          <w:sz w:val="20"/>
          <w:szCs w:val="20"/>
        </w:rPr>
        <w:t>7</w:t>
      </w:r>
      <w:r>
        <w:rPr>
          <w:sz w:val="20"/>
          <w:szCs w:val="20"/>
        </w:rPr>
        <w:t>, the investment is recorded as a long-term investment</w:t>
      </w:r>
      <w:r>
        <w:rPr>
          <w:sz w:val="20"/>
          <w:szCs w:val="20"/>
        </w:rPr>
        <w:t>.</w:t>
      </w:r>
    </w:p>
    <w:p w:rsidR="00000000" w:rsidRDefault="00DA50CE">
      <w:pPr>
        <w:pStyle w:val="a3"/>
        <w:spacing w:before="360" w:beforeAutospacing="0" w:after="0" w:afterAutospacing="0"/>
        <w:divId w:val="484317674"/>
        <w:rPr>
          <w:sz w:val="20"/>
          <w:szCs w:val="20"/>
        </w:rPr>
      </w:pPr>
      <w:r>
        <w:rPr>
          <w:b/>
          <w:bCs/>
          <w:i/>
          <w:iCs/>
          <w:sz w:val="20"/>
          <w:szCs w:val="20"/>
        </w:rPr>
        <w:t>Foreign Currency Translation and Foreign Currency Transaction</w:t>
      </w:r>
      <w:r>
        <w:rPr>
          <w:b/>
          <w:bCs/>
          <w:i/>
          <w:iCs/>
          <w:sz w:val="20"/>
          <w:szCs w:val="20"/>
        </w:rPr>
        <w:t>s</w:t>
      </w:r>
    </w:p>
    <w:p w:rsidR="00000000" w:rsidRDefault="00DA50CE">
      <w:pPr>
        <w:pStyle w:val="a3"/>
        <w:spacing w:before="120" w:beforeAutospacing="0" w:after="0" w:afterAutospacing="0"/>
        <w:ind w:firstLine="555"/>
        <w:divId w:val="484317674"/>
        <w:rPr>
          <w:sz w:val="20"/>
          <w:szCs w:val="20"/>
        </w:rPr>
      </w:pPr>
      <w:r>
        <w:rPr>
          <w:sz w:val="20"/>
          <w:szCs w:val="20"/>
        </w:rPr>
        <w:t>The</w:t>
      </w:r>
      <w:r>
        <w:rPr>
          <w:sz w:val="20"/>
          <w:szCs w:val="20"/>
        </w:rPr>
        <w:t xml:space="preserve"> </w:t>
      </w:r>
      <w:r>
        <w:rPr>
          <w:sz w:val="20"/>
          <w:szCs w:val="20"/>
        </w:rPr>
        <w:t xml:space="preserve">Company translates the assets and liabilities of its non-U.S. dollar functional </w:t>
      </w:r>
      <w:r>
        <w:rPr>
          <w:sz w:val="20"/>
          <w:szCs w:val="20"/>
        </w:rPr>
        <w:t>currency subsidiaries into U.S. dollars using exchange rates in effect at the end of each period. Expenses for these subsidiaries are translated using rates that approximate those in effect during the period. Gains and losses from these translations are re</w:t>
      </w:r>
      <w:r>
        <w:rPr>
          <w:sz w:val="20"/>
          <w:szCs w:val="20"/>
        </w:rPr>
        <w:t>cognized in foreign currency translation included in accumulated other comprehensive income (loss) in the accompanying Condensed Consolidated Statements of Stockholders’ Equity. Gain or loss from these translations were not significant in the first quarter</w:t>
      </w:r>
      <w:r>
        <w:rPr>
          <w:sz w:val="20"/>
          <w:szCs w:val="20"/>
        </w:rPr>
        <w:t>s of 2022 and 2021. The Company and its subsidiaries that use the U.S. dollar as their functional currency remeasure monetary assets and liabilities at exchange rates in effect at the end of eac</w:t>
      </w:r>
      <w:r>
        <w:rPr>
          <w:sz w:val="20"/>
          <w:szCs w:val="20"/>
        </w:rPr>
        <w:t>h</w:t>
      </w:r>
      <w:r>
        <w:rPr>
          <w:sz w:val="20"/>
          <w:szCs w:val="20"/>
        </w:rPr>
        <w:t xml:space="preserve"> </w:t>
      </w:r>
    </w:p>
    <w:p w:rsidR="00000000" w:rsidRDefault="00DA50CE">
      <w:pPr>
        <w:pStyle w:val="a3"/>
        <w:spacing w:before="240" w:beforeAutospacing="0" w:after="0" w:afterAutospacing="0"/>
        <w:jc w:val="center"/>
        <w:divId w:val="484317674"/>
        <w:rPr>
          <w:sz w:val="20"/>
          <w:szCs w:val="20"/>
        </w:rPr>
      </w:pPr>
      <w:r>
        <w:rPr>
          <w:sz w:val="20"/>
          <w:szCs w:val="20"/>
        </w:rPr>
        <w:t>7</w:t>
      </w:r>
    </w:p>
    <w:p w:rsidR="00000000" w:rsidRDefault="00DA50CE">
      <w:pPr>
        <w:divId w:val="484317674"/>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A50CE">
      <w:pPr>
        <w:pStyle w:val="a3"/>
        <w:spacing w:before="120" w:beforeAutospacing="0" w:after="0" w:afterAutospacing="0"/>
        <w:divId w:val="484317674"/>
        <w:rPr>
          <w:sz w:val="20"/>
          <w:szCs w:val="20"/>
        </w:rPr>
      </w:pPr>
      <w:r>
        <w:rPr>
          <w:sz w:val="20"/>
          <w:szCs w:val="20"/>
        </w:rPr>
        <w:t>period,</w:t>
      </w:r>
      <w:r>
        <w:rPr>
          <w:sz w:val="20"/>
          <w:szCs w:val="20"/>
        </w:rPr>
        <w:t xml:space="preserve"> </w:t>
      </w:r>
      <w:r>
        <w:rPr>
          <w:sz w:val="20"/>
          <w:szCs w:val="20"/>
        </w:rPr>
        <w:t>whereas reag</w:t>
      </w:r>
      <w:r>
        <w:rPr>
          <w:sz w:val="20"/>
          <w:szCs w:val="20"/>
        </w:rPr>
        <w:t>ents and supplies, property and nonmonetary assets and liabilities are measured at historical rates. Losses from these remeasurements were not significant in the first quarters of 2022 and 2021</w:t>
      </w:r>
      <w:r>
        <w:rPr>
          <w:sz w:val="20"/>
          <w:szCs w:val="20"/>
        </w:rPr>
        <w:t>.</w:t>
      </w:r>
    </w:p>
    <w:p w:rsidR="00000000" w:rsidRDefault="00DA50CE">
      <w:pPr>
        <w:pStyle w:val="a3"/>
        <w:spacing w:before="360" w:beforeAutospacing="0" w:after="0" w:afterAutospacing="0"/>
        <w:divId w:val="778916833"/>
        <w:rPr>
          <w:sz w:val="20"/>
          <w:szCs w:val="20"/>
        </w:rPr>
      </w:pPr>
      <w:r>
        <w:rPr>
          <w:b/>
          <w:bCs/>
          <w:i/>
          <w:iCs/>
          <w:sz w:val="20"/>
          <w:szCs w:val="20"/>
        </w:rPr>
        <w:t>Comprehensive Income (Loss</w:t>
      </w:r>
      <w:r>
        <w:rPr>
          <w:b/>
          <w:bCs/>
          <w:i/>
          <w:iCs/>
          <w:sz w:val="20"/>
          <w:szCs w:val="20"/>
        </w:rPr>
        <w:t>)</w:t>
      </w:r>
    </w:p>
    <w:p w:rsidR="00000000" w:rsidRDefault="00DA50CE">
      <w:pPr>
        <w:pStyle w:val="a3"/>
        <w:spacing w:before="120" w:beforeAutospacing="0" w:after="0" w:afterAutospacing="0"/>
        <w:ind w:firstLine="555"/>
        <w:divId w:val="778916833"/>
        <w:rPr>
          <w:sz w:val="20"/>
          <w:szCs w:val="20"/>
        </w:rPr>
      </w:pPr>
      <w:r>
        <w:rPr>
          <w:sz w:val="20"/>
          <w:szCs w:val="20"/>
        </w:rPr>
        <w:t>Comprehensive income (loss) is comprised of net income (loss) and other comprehensive income (loss). Other comprehensive income (loss) consists of net unrealized gain or loss on available-for-sale debt securities, net of tax, and foreign currency translati</w:t>
      </w:r>
      <w:r>
        <w:rPr>
          <w:sz w:val="20"/>
          <w:szCs w:val="20"/>
        </w:rPr>
        <w:t xml:space="preserve">on adjustments </w:t>
      </w:r>
      <w:r>
        <w:rPr>
          <w:sz w:val="20"/>
          <w:szCs w:val="20"/>
        </w:rPr>
        <w:t>f</w:t>
      </w:r>
      <w:r>
        <w:rPr>
          <w:sz w:val="20"/>
          <w:szCs w:val="20"/>
        </w:rPr>
        <w:t>rom the Company's subsidiaries not using the U.S. dollar as their functional currency. Reclassifications from other comprehensive income (loss) to net earnings were not significant in the first quarters of 2022 and 2021. The tax effects rel</w:t>
      </w:r>
      <w:r>
        <w:rPr>
          <w:sz w:val="20"/>
          <w:szCs w:val="20"/>
        </w:rPr>
        <w:t xml:space="preserve">ated to net unrealized loss on available-for-sale debt securities were </w:t>
      </w:r>
      <w:r>
        <w:rPr>
          <w:sz w:val="20"/>
          <w:szCs w:val="20"/>
        </w:rPr>
        <w:t>$</w:t>
      </w:r>
      <w:r>
        <w:rPr>
          <w:sz w:val="20"/>
          <w:szCs w:val="20"/>
        </w:rPr>
        <w:t>4.</w:t>
      </w:r>
      <w:r>
        <w:rPr>
          <w:sz w:val="20"/>
          <w:szCs w:val="20"/>
        </w:rPr>
        <w:t>5</w:t>
      </w:r>
      <w:r>
        <w:rPr>
          <w:sz w:val="20"/>
          <w:szCs w:val="20"/>
        </w:rPr>
        <w:t xml:space="preserve"> million in the first quarter of 2022. The tax effects were</w:t>
      </w:r>
      <w:r>
        <w:rPr>
          <w:sz w:val="20"/>
          <w:szCs w:val="20"/>
        </w:rPr>
        <w:t xml:space="preserve"> </w:t>
      </w:r>
      <w:r>
        <w:rPr>
          <w:sz w:val="20"/>
          <w:szCs w:val="20"/>
        </w:rPr>
        <w:t>n</w:t>
      </w:r>
      <w:r>
        <w:rPr>
          <w:sz w:val="20"/>
          <w:szCs w:val="20"/>
        </w:rPr>
        <w:t>o</w:t>
      </w:r>
      <w:r>
        <w:rPr>
          <w:sz w:val="20"/>
          <w:szCs w:val="20"/>
        </w:rPr>
        <w:t>t significant in the first quarter of 2021</w:t>
      </w:r>
      <w:r>
        <w:rPr>
          <w:sz w:val="20"/>
          <w:szCs w:val="20"/>
        </w:rPr>
        <w:t>.</w:t>
      </w:r>
    </w:p>
    <w:p w:rsidR="00000000" w:rsidRDefault="00DA50CE">
      <w:pPr>
        <w:pStyle w:val="a3"/>
        <w:spacing w:before="360" w:beforeAutospacing="0" w:after="0" w:afterAutospacing="0"/>
        <w:divId w:val="105345455"/>
        <w:rPr>
          <w:sz w:val="20"/>
          <w:szCs w:val="20"/>
        </w:rPr>
      </w:pPr>
      <w:r>
        <w:rPr>
          <w:b/>
          <w:bCs/>
          <w:i/>
          <w:iCs/>
          <w:sz w:val="20"/>
          <w:szCs w:val="20"/>
        </w:rPr>
        <w:t>Lease</w:t>
      </w:r>
      <w:r>
        <w:rPr>
          <w:b/>
          <w:bCs/>
          <w:i/>
          <w:iCs/>
          <w:sz w:val="20"/>
          <w:szCs w:val="20"/>
        </w:rPr>
        <w:t>s</w:t>
      </w:r>
    </w:p>
    <w:p w:rsidR="00000000" w:rsidRDefault="00DA50CE">
      <w:pPr>
        <w:pStyle w:val="a3"/>
        <w:spacing w:before="120" w:beforeAutospacing="0" w:after="0" w:afterAutospacing="0"/>
        <w:ind w:firstLine="555"/>
        <w:divId w:val="105345455"/>
        <w:rPr>
          <w:sz w:val="20"/>
          <w:szCs w:val="20"/>
        </w:rPr>
      </w:pPr>
      <w:r>
        <w:rPr>
          <w:sz w:val="20"/>
          <w:szCs w:val="20"/>
        </w:rPr>
        <w:t xml:space="preserve">The Company determines if an arrangement is a lease at inception by </w:t>
      </w:r>
      <w:r>
        <w:rPr>
          <w:sz w:val="20"/>
          <w:szCs w:val="20"/>
        </w:rPr>
        <w:t>evaluating whether the arrangement conveys the right to use an identified asset and whether the Company obtains substantially all of the economic benefits from and has the ability to direct the use of the asset. Operating and finance lease right-of-use ass</w:t>
      </w:r>
      <w:r>
        <w:rPr>
          <w:sz w:val="20"/>
          <w:szCs w:val="20"/>
        </w:rPr>
        <w:t>ets, or ROU assets, short-term lease liabilities, and long-term lease liabilities are included in other long-term assets, accrued liabilities, and other long-term liabilities, respectively, in the accompanying Condensed Consolidated Balance Sheets</w:t>
      </w:r>
      <w:r>
        <w:rPr>
          <w:sz w:val="20"/>
          <w:szCs w:val="20"/>
        </w:rPr>
        <w:t>.</w:t>
      </w:r>
    </w:p>
    <w:p w:rsidR="00000000" w:rsidRDefault="00DA50CE">
      <w:pPr>
        <w:pStyle w:val="a3"/>
        <w:spacing w:before="240" w:beforeAutospacing="0" w:after="0" w:afterAutospacing="0"/>
        <w:ind w:firstLine="555"/>
        <w:divId w:val="105345455"/>
        <w:rPr>
          <w:sz w:val="20"/>
          <w:szCs w:val="20"/>
        </w:rPr>
      </w:pPr>
      <w:r>
        <w:rPr>
          <w:sz w:val="20"/>
          <w:szCs w:val="20"/>
        </w:rPr>
        <w:t>Lease R</w:t>
      </w:r>
      <w:r>
        <w:rPr>
          <w:sz w:val="20"/>
          <w:szCs w:val="20"/>
        </w:rPr>
        <w:t>OU assets represent the Company’s right to use an underlying asset for the lease term. Lease liabilities represent the Company’s obligation to make lease payments arising from the lease. Lease ROU assets and liabilities are recognized at the commencement d</w:t>
      </w:r>
      <w:r>
        <w:rPr>
          <w:sz w:val="20"/>
          <w:szCs w:val="20"/>
        </w:rPr>
        <w:t>ate based on the present value of lease payments over the lease term, including options to extend the lease when it is reasonably certain that the Company will exercise that option. The Company uses its incremental borrowing rate based on the information a</w:t>
      </w:r>
      <w:r>
        <w:rPr>
          <w:sz w:val="20"/>
          <w:szCs w:val="20"/>
        </w:rPr>
        <w:t>vailable at the commencement date, including inquiries with its bank, in determining the present value of lease payments since its leases do not provide an implicit rate. Lease ROU assets consist of initial measurement of lease liabilities, any lease payme</w:t>
      </w:r>
      <w:r>
        <w:rPr>
          <w:sz w:val="20"/>
          <w:szCs w:val="20"/>
        </w:rPr>
        <w:t>nts made to lessor on or before the lease commencement date, minus any lease incentive received, and any initial direct costs incurred by the Company. Operating lease expense for lease payments is recognized on a straight-line basis over the lease term. Fo</w:t>
      </w:r>
      <w:r>
        <w:rPr>
          <w:sz w:val="20"/>
          <w:szCs w:val="20"/>
        </w:rPr>
        <w:t>r finance lease, ROU assets are amortized on a straight-line basis from the commencement date to the earlier of the end of useful life of the ROU assets or the end of the lease term. Amortization of ROU assets and interest on the lease liability for financ</w:t>
      </w:r>
      <w:r>
        <w:rPr>
          <w:sz w:val="20"/>
          <w:szCs w:val="20"/>
        </w:rPr>
        <w:t>e leases are included as charges to the accompanying Condensed Consolidated Statements of Income</w:t>
      </w:r>
      <w:r>
        <w:rPr>
          <w:sz w:val="20"/>
          <w:szCs w:val="20"/>
        </w:rPr>
        <w:t>.</w:t>
      </w:r>
    </w:p>
    <w:p w:rsidR="00000000" w:rsidRDefault="00DA50CE">
      <w:pPr>
        <w:pStyle w:val="a3"/>
        <w:spacing w:before="240" w:beforeAutospacing="0" w:after="0" w:afterAutospacing="0"/>
        <w:ind w:firstLine="555"/>
        <w:divId w:val="105345455"/>
        <w:rPr>
          <w:sz w:val="20"/>
          <w:szCs w:val="20"/>
        </w:rPr>
      </w:pPr>
      <w:r>
        <w:rPr>
          <w:sz w:val="20"/>
          <w:szCs w:val="20"/>
        </w:rPr>
        <w:t>Lease ROU assets and liabilities arising from business combinations are recognized and measured at the acquisition dates as if an acquired lease were a new le</w:t>
      </w:r>
      <w:r>
        <w:rPr>
          <w:sz w:val="20"/>
          <w:szCs w:val="20"/>
        </w:rPr>
        <w:t>ase at the date of acquisition using the Company’s incremental borrowing rate unless the discount rate is implicit in the lease. The Company elects to not to recognize assets or liabilities as of the acquisition dates for leases that, on the acquisition da</w:t>
      </w:r>
      <w:r>
        <w:rPr>
          <w:sz w:val="20"/>
          <w:szCs w:val="20"/>
        </w:rPr>
        <w:t>tes, have a remaining lease term of 12 months or less. The Company also retains the acquirees’ classification of the leases if there are no modifications as part of the business combinations</w:t>
      </w:r>
      <w:r>
        <w:rPr>
          <w:sz w:val="20"/>
          <w:szCs w:val="20"/>
        </w:rPr>
        <w:t>.</w:t>
      </w:r>
    </w:p>
    <w:p w:rsidR="00000000" w:rsidRDefault="00DA50CE">
      <w:pPr>
        <w:pStyle w:val="a3"/>
        <w:spacing w:before="240" w:beforeAutospacing="0" w:after="0" w:afterAutospacing="0"/>
        <w:ind w:firstLine="555"/>
        <w:divId w:val="105345455"/>
        <w:rPr>
          <w:sz w:val="20"/>
          <w:szCs w:val="20"/>
        </w:rPr>
      </w:pPr>
      <w:r>
        <w:rPr>
          <w:sz w:val="20"/>
          <w:szCs w:val="20"/>
        </w:rPr>
        <w:t xml:space="preserve">The Company leases and subleases out space in buildings it owns </w:t>
      </w:r>
      <w:r>
        <w:rPr>
          <w:sz w:val="20"/>
          <w:szCs w:val="20"/>
        </w:rPr>
        <w:t>or leases to third-party tenants or subtenants under noncancelable operating leases. The Company recognizes lease payments as income over the lease terms on a straight-line basis and recognizes variable lease payments as income in the period in which the c</w:t>
      </w:r>
      <w:r>
        <w:rPr>
          <w:sz w:val="20"/>
          <w:szCs w:val="20"/>
        </w:rPr>
        <w:t>hanges in facts and circumstances on which the variable lease payments are based occur. The net rental income is included in the interest and other income, net, in the accompanying Condensed Consolidated Statement of Income</w:t>
      </w:r>
      <w:r>
        <w:rPr>
          <w:sz w:val="20"/>
          <w:szCs w:val="20"/>
        </w:rPr>
        <w:t>.</w:t>
      </w:r>
    </w:p>
    <w:p w:rsidR="00000000" w:rsidRDefault="00DA50CE">
      <w:pPr>
        <w:pStyle w:val="a3"/>
        <w:spacing w:before="360" w:beforeAutospacing="0" w:after="0" w:afterAutospacing="0"/>
        <w:divId w:val="61877435"/>
        <w:rPr>
          <w:sz w:val="20"/>
          <w:szCs w:val="20"/>
        </w:rPr>
      </w:pPr>
      <w:r>
        <w:rPr>
          <w:b/>
          <w:bCs/>
          <w:i/>
          <w:iCs/>
          <w:sz w:val="20"/>
          <w:szCs w:val="20"/>
        </w:rPr>
        <w:t>Concentration of Customer</w:t>
      </w:r>
      <w:r>
        <w:rPr>
          <w:b/>
          <w:bCs/>
          <w:i/>
          <w:iCs/>
          <w:sz w:val="20"/>
          <w:szCs w:val="20"/>
        </w:rPr>
        <w:t>s</w:t>
      </w:r>
    </w:p>
    <w:p w:rsidR="00000000" w:rsidRDefault="00DA50CE">
      <w:pPr>
        <w:pStyle w:val="a3"/>
        <w:spacing w:before="120" w:beforeAutospacing="0" w:after="0" w:afterAutospacing="0"/>
        <w:ind w:firstLine="555"/>
        <w:divId w:val="61877435"/>
        <w:rPr>
          <w:sz w:val="20"/>
          <w:szCs w:val="20"/>
        </w:rPr>
      </w:pPr>
      <w:r>
        <w:rPr>
          <w:sz w:val="20"/>
          <w:szCs w:val="20"/>
        </w:rPr>
        <w:t>In c</w:t>
      </w:r>
      <w:r>
        <w:rPr>
          <w:sz w:val="20"/>
          <w:szCs w:val="20"/>
        </w:rPr>
        <w:t>ertain periods, a small number of customers has accounted for a significant portion of the Company’s revenue. After aggregating customers that are under common control or affiliation,</w:t>
      </w:r>
      <w:r>
        <w:rPr>
          <w:sz w:val="20"/>
          <w:szCs w:val="20"/>
        </w:rPr>
        <w:t xml:space="preserve"> </w:t>
      </w:r>
      <w:r>
        <w:rPr>
          <w:sz w:val="20"/>
          <w:szCs w:val="20"/>
        </w:rPr>
        <w:t>on</w:t>
      </w:r>
      <w:r>
        <w:rPr>
          <w:sz w:val="20"/>
          <w:szCs w:val="20"/>
        </w:rPr>
        <w:t>e</w:t>
      </w:r>
      <w:r>
        <w:rPr>
          <w:sz w:val="20"/>
          <w:szCs w:val="20"/>
        </w:rPr>
        <w:t xml:space="preserve"> customer contributed</w:t>
      </w:r>
      <w:r>
        <w:rPr>
          <w:sz w:val="20"/>
          <w:szCs w:val="20"/>
        </w:rPr>
        <w:t xml:space="preserve"> </w:t>
      </w:r>
      <w:r>
        <w:rPr>
          <w:sz w:val="20"/>
          <w:szCs w:val="20"/>
        </w:rPr>
        <w:t>2</w:t>
      </w:r>
      <w:r>
        <w:rPr>
          <w:sz w:val="20"/>
          <w:szCs w:val="20"/>
        </w:rPr>
        <w:t>7</w:t>
      </w:r>
      <w:r>
        <w:rPr>
          <w:sz w:val="20"/>
          <w:szCs w:val="20"/>
        </w:rPr>
        <w:t>%</w:t>
      </w:r>
      <w:r>
        <w:rPr>
          <w:sz w:val="20"/>
          <w:szCs w:val="20"/>
        </w:rPr>
        <w:t xml:space="preserve"> and</w:t>
      </w:r>
      <w:r>
        <w:rPr>
          <w:sz w:val="20"/>
          <w:szCs w:val="20"/>
        </w:rPr>
        <w:t xml:space="preserve"> </w:t>
      </w:r>
      <w:r>
        <w:rPr>
          <w:sz w:val="20"/>
          <w:szCs w:val="20"/>
        </w:rPr>
        <w:t>2</w:t>
      </w:r>
      <w:r>
        <w:rPr>
          <w:sz w:val="20"/>
          <w:szCs w:val="20"/>
        </w:rPr>
        <w:t>5</w:t>
      </w:r>
      <w:r>
        <w:rPr>
          <w:sz w:val="20"/>
          <w:szCs w:val="20"/>
        </w:rPr>
        <w:t>% of the Company's revenue in the fir</w:t>
      </w:r>
      <w:r>
        <w:rPr>
          <w:sz w:val="20"/>
          <w:szCs w:val="20"/>
        </w:rPr>
        <w:t>st quarters of 2022 and 2021, respectively.</w:t>
      </w:r>
      <w:r>
        <w:rPr>
          <w:sz w:val="20"/>
          <w:szCs w:val="20"/>
        </w:rPr>
        <w:t xml:space="preserve"> </w:t>
      </w:r>
      <w:r>
        <w:rPr>
          <w:sz w:val="20"/>
          <w:szCs w:val="20"/>
        </w:rPr>
        <w:t>N</w:t>
      </w:r>
      <w:r>
        <w:rPr>
          <w:sz w:val="20"/>
          <w:szCs w:val="20"/>
        </w:rPr>
        <w:t>o</w:t>
      </w:r>
      <w:r>
        <w:rPr>
          <w:sz w:val="20"/>
          <w:szCs w:val="20"/>
        </w:rPr>
        <w:t xml:space="preserve"> customer comprised</w:t>
      </w:r>
      <w:r>
        <w:rPr>
          <w:sz w:val="20"/>
          <w:szCs w:val="20"/>
        </w:rPr>
        <w:t xml:space="preserve"> </w:t>
      </w:r>
      <w:r>
        <w:rPr>
          <w:sz w:val="20"/>
          <w:szCs w:val="20"/>
        </w:rPr>
        <w:t>1</w:t>
      </w:r>
      <w:r>
        <w:rPr>
          <w:sz w:val="20"/>
          <w:szCs w:val="20"/>
        </w:rPr>
        <w:t>0</w:t>
      </w:r>
      <w:r>
        <w:rPr>
          <w:sz w:val="20"/>
          <w:szCs w:val="20"/>
        </w:rPr>
        <w:t>% or more of total accounts receivable as of March 31, 2022 and December 31, 2021</w:t>
      </w:r>
      <w:r>
        <w:rPr>
          <w:sz w:val="20"/>
          <w:szCs w:val="20"/>
        </w:rPr>
        <w:t>.</w:t>
      </w:r>
    </w:p>
    <w:p w:rsidR="00000000" w:rsidRDefault="00DA50CE">
      <w:pPr>
        <w:pStyle w:val="a3"/>
        <w:spacing w:before="240" w:beforeAutospacing="0" w:after="0" w:afterAutospacing="0"/>
        <w:jc w:val="center"/>
        <w:divId w:val="1331909756"/>
        <w:rPr>
          <w:sz w:val="20"/>
          <w:szCs w:val="20"/>
        </w:rPr>
      </w:pPr>
      <w:r>
        <w:rPr>
          <w:sz w:val="20"/>
          <w:szCs w:val="20"/>
        </w:rPr>
        <w:t>8</w:t>
      </w:r>
    </w:p>
    <w:p w:rsidR="00000000" w:rsidRDefault="00DA50CE">
      <w:pPr>
        <w:divId w:val="1331909756"/>
        <w:rPr>
          <w:rFonts w:eastAsia="Times New Roman"/>
        </w:rPr>
      </w:pPr>
      <w:r>
        <w:rPr>
          <w:rFonts w:eastAsia="Times New Roman"/>
        </w:rPr>
        <w:pict>
          <v:rect id="_x0000_i1034" style="width:0;height:1.5pt" o:hralign="center" o:hrstd="t" o:hr="t" fillcolor="#a0a0a0" stroked="f"/>
        </w:pict>
      </w:r>
    </w:p>
    <w:p w:rsidR="00000000" w:rsidRDefault="00DA50CE">
      <w:pPr>
        <w:pStyle w:val="a3"/>
        <w:spacing w:before="360" w:beforeAutospacing="0" w:after="0" w:afterAutospacing="0"/>
        <w:divId w:val="1882664632"/>
        <w:rPr>
          <w:sz w:val="20"/>
          <w:szCs w:val="20"/>
        </w:rPr>
      </w:pPr>
      <w:r>
        <w:rPr>
          <w:b/>
          <w:bCs/>
          <w:i/>
          <w:iCs/>
          <w:sz w:val="20"/>
          <w:szCs w:val="20"/>
        </w:rPr>
        <w:t>Disaggregation of Revenu</w:t>
      </w:r>
      <w:r>
        <w:rPr>
          <w:b/>
          <w:bCs/>
          <w:i/>
          <w:iCs/>
          <w:sz w:val="20"/>
          <w:szCs w:val="20"/>
        </w:rPr>
        <w:t>e</w:t>
      </w:r>
    </w:p>
    <w:p w:rsidR="00000000" w:rsidRDefault="00DA50CE">
      <w:pPr>
        <w:pStyle w:val="a3"/>
        <w:spacing w:before="120" w:beforeAutospacing="0" w:after="0" w:afterAutospacing="0"/>
        <w:ind w:firstLine="555"/>
        <w:divId w:val="1882664632"/>
        <w:rPr>
          <w:sz w:val="20"/>
          <w:szCs w:val="20"/>
        </w:rPr>
      </w:pPr>
      <w:r>
        <w:rPr>
          <w:sz w:val="20"/>
          <w:szCs w:val="20"/>
        </w:rPr>
        <w:t>The Company classifies its customers int</w:t>
      </w:r>
      <w:r>
        <w:rPr>
          <w:sz w:val="20"/>
          <w:szCs w:val="20"/>
        </w:rPr>
        <w:t>o three payor types: (i) Insurance, including claim reimbursement from</w:t>
      </w:r>
      <w:r>
        <w:rPr>
          <w:sz w:val="20"/>
          <w:szCs w:val="20"/>
        </w:rPr>
        <w:t xml:space="preserve"> </w:t>
      </w:r>
      <w:r>
        <w:rPr>
          <w:sz w:val="20"/>
          <w:szCs w:val="20"/>
        </w:rPr>
        <w:t xml:space="preserve">the U.S. Health Resources and Services Administration, or </w:t>
      </w:r>
      <w:r>
        <w:rPr>
          <w:sz w:val="20"/>
          <w:szCs w:val="20"/>
        </w:rPr>
        <w:t>H</w:t>
      </w:r>
      <w:r>
        <w:rPr>
          <w:sz w:val="20"/>
          <w:szCs w:val="20"/>
        </w:rPr>
        <w:t>RSA, for uninsured individuals, (ii) Institutional customers, including hospitals, medical institutions, other laboratories, g</w:t>
      </w:r>
      <w:r>
        <w:rPr>
          <w:sz w:val="20"/>
          <w:szCs w:val="20"/>
        </w:rPr>
        <w:t>overnmental bodies, municipalities and large corporations, or (iii) Patients who pay directly, as the Company believes this best depicts how the nature, amount, timing, and uncertainty of its revenue and cash flows are affected by economic factors.</w:t>
      </w:r>
      <w:r>
        <w:rPr>
          <w:sz w:val="20"/>
          <w:szCs w:val="20"/>
        </w:rPr>
        <w:t xml:space="preserve"> </w:t>
      </w:r>
      <w:r>
        <w:rPr>
          <w:sz w:val="20"/>
          <w:szCs w:val="20"/>
        </w:rPr>
        <w:t>The fol</w:t>
      </w:r>
      <w:r>
        <w:rPr>
          <w:sz w:val="20"/>
          <w:szCs w:val="20"/>
        </w:rPr>
        <w:t>lowing table summarizes revenue from contracts with customers by payor type for the first quarters of 2022 and 2021</w:t>
      </w:r>
      <w:r>
        <w:rPr>
          <w:sz w:val="20"/>
          <w:szCs w:val="20"/>
        </w:rPr>
        <w:t>.</w:t>
      </w:r>
    </w:p>
    <w:p w:rsidR="00000000" w:rsidRDefault="00DA50CE">
      <w:pPr>
        <w:pStyle w:val="a3"/>
        <w:spacing w:before="0" w:beforeAutospacing="0" w:after="0" w:afterAutospacing="0"/>
        <w:divId w:val="4063464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gridCol w:w="160"/>
        <w:gridCol w:w="1370"/>
        <w:gridCol w:w="110"/>
        <w:gridCol w:w="160"/>
        <w:gridCol w:w="160"/>
        <w:gridCol w:w="1371"/>
        <w:gridCol w:w="125"/>
      </w:tblGrid>
      <w:tr w:rsidR="00000000">
        <w:trPr>
          <w:divId w:val="406346494"/>
          <w:tblCellSpacing w:w="15" w:type="dxa"/>
        </w:trPr>
        <w:tc>
          <w:tcPr>
            <w:tcW w:w="300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54"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101"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54"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406346494"/>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06346494"/>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06346494"/>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0634649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Testing Services by payo</w:t>
            </w:r>
            <w:r>
              <w:rPr>
                <w:b/>
                <w:bCs/>
                <w:sz w:val="20"/>
                <w:szCs w:val="20"/>
              </w:rPr>
              <w:t>r</w:t>
            </w:r>
          </w:p>
        </w:tc>
        <w:tc>
          <w:tcPr>
            <w:tcW w:w="0" w:type="auto"/>
            <w:gridSpan w:val="2"/>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r>
      <w:tr w:rsidR="00000000">
        <w:trPr>
          <w:divId w:val="406346494"/>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Insuranc</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210,67</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207,55</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06346494"/>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Institutional customer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109,46</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151,56</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06346494"/>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Patient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0634649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Total Revenu</w:t>
            </w:r>
            <w:r>
              <w:rPr>
                <w:b/>
                <w:bCs/>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320,26</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359,42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240" w:beforeAutospacing="0" w:after="0" w:afterAutospacing="0"/>
        <w:ind w:firstLine="555"/>
        <w:divId w:val="1882664632"/>
        <w:rPr>
          <w:sz w:val="20"/>
          <w:szCs w:val="20"/>
        </w:rPr>
      </w:pPr>
      <w:r>
        <w:rPr>
          <w:sz w:val="20"/>
          <w:szCs w:val="20"/>
        </w:rPr>
        <w:t xml:space="preserve">The insurance revenue category above includes </w:t>
      </w:r>
      <w:r>
        <w:rPr>
          <w:sz w:val="20"/>
          <w:szCs w:val="20"/>
        </w:rPr>
        <w:t>$</w:t>
      </w:r>
      <w:r>
        <w:rPr>
          <w:sz w:val="20"/>
          <w:szCs w:val="20"/>
        </w:rPr>
        <w:t>106.</w:t>
      </w:r>
      <w:r>
        <w:rPr>
          <w:sz w:val="20"/>
          <w:szCs w:val="20"/>
        </w:rPr>
        <w:t>7</w:t>
      </w:r>
      <w:r>
        <w:rPr>
          <w:sz w:val="20"/>
          <w:szCs w:val="20"/>
        </w:rPr>
        <w:t xml:space="preserve"> million and </w:t>
      </w:r>
      <w:r>
        <w:rPr>
          <w:sz w:val="20"/>
          <w:szCs w:val="20"/>
        </w:rPr>
        <w:t>$</w:t>
      </w:r>
      <w:r>
        <w:rPr>
          <w:sz w:val="20"/>
          <w:szCs w:val="20"/>
        </w:rPr>
        <w:t>112.</w:t>
      </w:r>
      <w:r>
        <w:rPr>
          <w:sz w:val="20"/>
          <w:szCs w:val="20"/>
        </w:rPr>
        <w:t>7</w:t>
      </w:r>
      <w:r>
        <w:rPr>
          <w:sz w:val="20"/>
          <w:szCs w:val="20"/>
        </w:rPr>
        <w:t xml:space="preserve"> million in the first quarters of 2022 and 2021, respectively, for services related to claims covered by the HRSA COVID-19 Uninsured Program. The HRSA program stopped accepting claims a</w:t>
      </w:r>
      <w:r>
        <w:rPr>
          <w:sz w:val="20"/>
          <w:szCs w:val="20"/>
        </w:rPr>
        <w:t>t 11:59 p.m. on March 22, 2022</w:t>
      </w:r>
      <w:r>
        <w:rPr>
          <w:sz w:val="20"/>
          <w:szCs w:val="20"/>
        </w:rPr>
        <w:t>.</w:t>
      </w:r>
    </w:p>
    <w:p w:rsidR="00000000" w:rsidRDefault="00DA50CE">
      <w:pPr>
        <w:pStyle w:val="a3"/>
        <w:spacing w:before="240" w:beforeAutospacing="0" w:after="0" w:afterAutospacing="0"/>
        <w:ind w:firstLine="555"/>
        <w:divId w:val="1882664632"/>
        <w:rPr>
          <w:sz w:val="20"/>
          <w:szCs w:val="20"/>
        </w:rPr>
      </w:pPr>
      <w:r>
        <w:rPr>
          <w:sz w:val="20"/>
          <w:szCs w:val="20"/>
        </w:rPr>
        <w:t>There was no material variable consideration recognized in the current period that relates to performance obligations that were completed in the prior period</w:t>
      </w:r>
      <w:r>
        <w:rPr>
          <w:sz w:val="20"/>
          <w:szCs w:val="20"/>
        </w:rPr>
        <w:t>.</w:t>
      </w:r>
      <w:r>
        <w:rPr>
          <w:sz w:val="20"/>
          <w:szCs w:val="20"/>
        </w:rPr>
        <w:t xml:space="preserve"> </w:t>
      </w:r>
    </w:p>
    <w:p w:rsidR="00000000" w:rsidRDefault="00DA50CE">
      <w:pPr>
        <w:pStyle w:val="a3"/>
        <w:spacing w:before="240" w:beforeAutospacing="0" w:after="0" w:afterAutospacing="0"/>
        <w:ind w:firstLine="555"/>
        <w:divId w:val="1882664632"/>
        <w:rPr>
          <w:sz w:val="20"/>
          <w:szCs w:val="20"/>
        </w:rPr>
      </w:pPr>
      <w:r>
        <w:rPr>
          <w:sz w:val="20"/>
          <w:szCs w:val="20"/>
        </w:rPr>
        <w:t>Collection of the Company’s net revenues from insurers is normal</w:t>
      </w:r>
      <w:r>
        <w:rPr>
          <w:sz w:val="20"/>
          <w:szCs w:val="20"/>
        </w:rPr>
        <w:t>ly a function of providing complete and correct billing information within the various filing deadlines. Provided the Company has billed insurers accurately with complete information prior to the established filing deadline, there has historically been lit</w:t>
      </w:r>
      <w:r>
        <w:rPr>
          <w:sz w:val="20"/>
          <w:szCs w:val="20"/>
        </w:rPr>
        <w:t>tle to no credit risk. If there has been a delay in billing, the Company determines if the amounts in question will likely go past the filing deadline, and if so, the Company will reserve accordingly for the billing</w:t>
      </w:r>
      <w:r>
        <w:rPr>
          <w:sz w:val="20"/>
          <w:szCs w:val="20"/>
        </w:rPr>
        <w:t>.</w:t>
      </w:r>
    </w:p>
    <w:p w:rsidR="00000000" w:rsidRDefault="00DA50CE">
      <w:pPr>
        <w:pStyle w:val="a3"/>
        <w:spacing w:before="360" w:beforeAutospacing="0" w:after="0" w:afterAutospacing="0"/>
        <w:divId w:val="1882664632"/>
        <w:rPr>
          <w:sz w:val="20"/>
          <w:szCs w:val="20"/>
        </w:rPr>
      </w:pPr>
      <w:r>
        <w:rPr>
          <w:b/>
          <w:bCs/>
          <w:i/>
          <w:iCs/>
          <w:sz w:val="20"/>
          <w:szCs w:val="20"/>
        </w:rPr>
        <w:t>Contract Balance</w:t>
      </w:r>
      <w:r>
        <w:rPr>
          <w:b/>
          <w:bCs/>
          <w:i/>
          <w:iCs/>
          <w:sz w:val="20"/>
          <w:szCs w:val="20"/>
        </w:rPr>
        <w:t>s</w:t>
      </w:r>
    </w:p>
    <w:p w:rsidR="00000000" w:rsidRDefault="00DA50CE">
      <w:pPr>
        <w:pStyle w:val="a3"/>
        <w:spacing w:before="120" w:beforeAutospacing="0" w:after="0" w:afterAutospacing="0"/>
        <w:ind w:firstLine="555"/>
        <w:divId w:val="1882664632"/>
        <w:rPr>
          <w:sz w:val="20"/>
          <w:szCs w:val="20"/>
        </w:rPr>
      </w:pPr>
      <w:r>
        <w:rPr>
          <w:i/>
          <w:iCs/>
          <w:sz w:val="20"/>
          <w:szCs w:val="20"/>
        </w:rPr>
        <w:t>Receivables from contracts with customers -</w:t>
      </w:r>
      <w:r>
        <w:rPr>
          <w:i/>
          <w:iCs/>
          <w:sz w:val="20"/>
          <w:szCs w:val="20"/>
        </w:rPr>
        <w:t xml:space="preserve"> </w:t>
      </w:r>
      <w:r>
        <w:rPr>
          <w:sz w:val="20"/>
          <w:szCs w:val="20"/>
        </w:rPr>
        <w:t>Receivables from contracts with customers are included within trade accounts receivable on the Condensed Consolidated Balance Sheets. Receivable from Insurance and Institutional customers represented</w:t>
      </w:r>
      <w:r>
        <w:rPr>
          <w:sz w:val="20"/>
          <w:szCs w:val="20"/>
        </w:rPr>
        <w:t xml:space="preserve"> </w:t>
      </w:r>
      <w:r>
        <w:rPr>
          <w:sz w:val="20"/>
          <w:szCs w:val="20"/>
        </w:rPr>
        <w:t>7</w:t>
      </w:r>
      <w:r>
        <w:rPr>
          <w:sz w:val="20"/>
          <w:szCs w:val="20"/>
        </w:rPr>
        <w:t>3</w:t>
      </w:r>
      <w:r>
        <w:rPr>
          <w:sz w:val="20"/>
          <w:szCs w:val="20"/>
        </w:rPr>
        <w:t>% and</w:t>
      </w:r>
      <w:r>
        <w:rPr>
          <w:sz w:val="20"/>
          <w:szCs w:val="20"/>
        </w:rPr>
        <w:t xml:space="preserve"> </w:t>
      </w:r>
      <w:r>
        <w:rPr>
          <w:sz w:val="20"/>
          <w:szCs w:val="20"/>
        </w:rPr>
        <w:t>2</w:t>
      </w:r>
      <w:r>
        <w:rPr>
          <w:sz w:val="20"/>
          <w:szCs w:val="20"/>
        </w:rPr>
        <w:t>7</w:t>
      </w:r>
      <w:r>
        <w:rPr>
          <w:sz w:val="20"/>
          <w:szCs w:val="20"/>
        </w:rPr>
        <w:t>%,</w:t>
      </w:r>
      <w:r>
        <w:rPr>
          <w:sz w:val="20"/>
          <w:szCs w:val="20"/>
        </w:rPr>
        <w:t xml:space="preserve"> respectively, as of March 31, 2022. Receivable from Insurance and Institutional customers represented</w:t>
      </w:r>
      <w:r>
        <w:rPr>
          <w:sz w:val="20"/>
          <w:szCs w:val="20"/>
        </w:rPr>
        <w:t xml:space="preserve"> </w:t>
      </w:r>
      <w:r>
        <w:rPr>
          <w:sz w:val="20"/>
          <w:szCs w:val="20"/>
        </w:rPr>
        <w:t>4</w:t>
      </w:r>
      <w:r>
        <w:rPr>
          <w:sz w:val="20"/>
          <w:szCs w:val="20"/>
        </w:rPr>
        <w:t>7</w:t>
      </w:r>
      <w:r>
        <w:rPr>
          <w:sz w:val="20"/>
          <w:szCs w:val="20"/>
        </w:rPr>
        <w:t>% and</w:t>
      </w:r>
      <w:r>
        <w:rPr>
          <w:sz w:val="20"/>
          <w:szCs w:val="20"/>
        </w:rPr>
        <w:t xml:space="preserve"> </w:t>
      </w:r>
      <w:r>
        <w:rPr>
          <w:sz w:val="20"/>
          <w:szCs w:val="20"/>
        </w:rPr>
        <w:t>5</w:t>
      </w:r>
      <w:r>
        <w:rPr>
          <w:sz w:val="20"/>
          <w:szCs w:val="20"/>
        </w:rPr>
        <w:t>3</w:t>
      </w:r>
      <w:r>
        <w:rPr>
          <w:sz w:val="20"/>
          <w:szCs w:val="20"/>
        </w:rPr>
        <w:t>%, respectively, as of December 31, 2021</w:t>
      </w:r>
      <w:r>
        <w:rPr>
          <w:sz w:val="20"/>
          <w:szCs w:val="20"/>
        </w:rPr>
        <w:t>.</w:t>
      </w:r>
    </w:p>
    <w:p w:rsidR="00000000" w:rsidRDefault="00DA50CE">
      <w:pPr>
        <w:pStyle w:val="a3"/>
        <w:spacing w:before="240" w:beforeAutospacing="0" w:after="0" w:afterAutospacing="0"/>
        <w:ind w:firstLine="555"/>
        <w:divId w:val="1882664632"/>
        <w:rPr>
          <w:sz w:val="20"/>
          <w:szCs w:val="20"/>
        </w:rPr>
      </w:pPr>
      <w:r>
        <w:rPr>
          <w:i/>
          <w:iCs/>
          <w:sz w:val="20"/>
          <w:szCs w:val="20"/>
        </w:rPr>
        <w:t>Contracts assets and liabilitie</w:t>
      </w:r>
      <w:r>
        <w:rPr>
          <w:i/>
          <w:iCs/>
          <w:sz w:val="20"/>
          <w:szCs w:val="20"/>
        </w:rPr>
        <w:t>s</w:t>
      </w:r>
      <w:r>
        <w:rPr>
          <w:sz w:val="20"/>
          <w:szCs w:val="20"/>
        </w:rPr>
        <w:t xml:space="preserve"> </w:t>
      </w:r>
      <w:r>
        <w:rPr>
          <w:sz w:val="20"/>
          <w:szCs w:val="20"/>
        </w:rPr>
        <w:t>- Contract assets from contracts with customers associated with contract execution and certain costs to fulfill a contract are included in other current assets in the accompanying Condensed Consolidated Balance Sheets. Contract liabilities are recorded whe</w:t>
      </w:r>
      <w:r>
        <w:rPr>
          <w:sz w:val="20"/>
          <w:szCs w:val="20"/>
        </w:rPr>
        <w:t xml:space="preserve">n the Company receives payment prior to completing its obligation to transfer goods or services to a customer. Contract liabilities are included in the Condensed Consolidated Balance Sheets. Revenues of </w:t>
      </w:r>
      <w:r>
        <w:rPr>
          <w:sz w:val="20"/>
          <w:szCs w:val="20"/>
        </w:rPr>
        <w:t>$</w:t>
      </w:r>
      <w:r>
        <w:rPr>
          <w:sz w:val="20"/>
          <w:szCs w:val="20"/>
        </w:rPr>
        <w:t>11.</w:t>
      </w:r>
      <w:r>
        <w:rPr>
          <w:sz w:val="20"/>
          <w:szCs w:val="20"/>
        </w:rPr>
        <w:t>1</w:t>
      </w:r>
      <w:r>
        <w:rPr>
          <w:sz w:val="20"/>
          <w:szCs w:val="20"/>
        </w:rPr>
        <w:t xml:space="preserve"> million and </w:t>
      </w:r>
      <w:r>
        <w:rPr>
          <w:sz w:val="20"/>
          <w:szCs w:val="20"/>
        </w:rPr>
        <w:t>$</w:t>
      </w:r>
      <w:r>
        <w:rPr>
          <w:sz w:val="20"/>
          <w:szCs w:val="20"/>
        </w:rPr>
        <w:t>18.</w:t>
      </w:r>
      <w:r>
        <w:rPr>
          <w:sz w:val="20"/>
          <w:szCs w:val="20"/>
        </w:rPr>
        <w:t>8</w:t>
      </w:r>
      <w:r>
        <w:rPr>
          <w:sz w:val="20"/>
          <w:szCs w:val="20"/>
        </w:rPr>
        <w:t xml:space="preserve"> million for the first quarter</w:t>
      </w:r>
      <w:r>
        <w:rPr>
          <w:sz w:val="20"/>
          <w:szCs w:val="20"/>
        </w:rPr>
        <w:t>s of 2022 and 2021, respectively, related to contract liabilities at the beginning of the respective periods were recognized</w:t>
      </w:r>
      <w:r>
        <w:rPr>
          <w:sz w:val="20"/>
          <w:szCs w:val="20"/>
        </w:rPr>
        <w:t>.</w:t>
      </w:r>
    </w:p>
    <w:p w:rsidR="00000000" w:rsidRDefault="00DA50CE">
      <w:pPr>
        <w:pStyle w:val="a3"/>
        <w:spacing w:before="360" w:beforeAutospacing="0" w:after="0" w:afterAutospacing="0"/>
        <w:divId w:val="1597982051"/>
        <w:rPr>
          <w:sz w:val="20"/>
          <w:szCs w:val="20"/>
        </w:rPr>
      </w:pPr>
      <w:r>
        <w:rPr>
          <w:b/>
          <w:bCs/>
          <w:i/>
          <w:iCs/>
          <w:sz w:val="20"/>
          <w:szCs w:val="20"/>
        </w:rPr>
        <w:t>Reagents and Supplie</w:t>
      </w:r>
      <w:r>
        <w:rPr>
          <w:b/>
          <w:bCs/>
          <w:i/>
          <w:iCs/>
          <w:sz w:val="20"/>
          <w:szCs w:val="20"/>
        </w:rPr>
        <w:t>s</w:t>
      </w:r>
    </w:p>
    <w:p w:rsidR="00000000" w:rsidRDefault="00DA50CE">
      <w:pPr>
        <w:pStyle w:val="a3"/>
        <w:spacing w:before="120" w:beforeAutospacing="0" w:after="0" w:afterAutospacing="0"/>
        <w:ind w:firstLine="555"/>
        <w:divId w:val="1597982051"/>
        <w:rPr>
          <w:sz w:val="20"/>
          <w:szCs w:val="20"/>
        </w:rPr>
      </w:pPr>
      <w:r>
        <w:rPr>
          <w:sz w:val="20"/>
          <w:szCs w:val="20"/>
        </w:rPr>
        <w:t xml:space="preserve">The Company maintains reagents and other consumables primarily used in sample collections and testing which </w:t>
      </w:r>
      <w:r>
        <w:rPr>
          <w:sz w:val="20"/>
          <w:szCs w:val="20"/>
        </w:rPr>
        <w:t>are valued at the lower of cost or net realizable value. Cost is determined using actual costs on a first-in, first-out basis. The reagents and supplies were included in other current assets in the accompanying Condensed Consolidated Balance Sheets</w:t>
      </w:r>
      <w:r>
        <w:rPr>
          <w:sz w:val="20"/>
          <w:szCs w:val="20"/>
        </w:rPr>
        <w:t>.</w:t>
      </w:r>
    </w:p>
    <w:p w:rsidR="00000000" w:rsidRDefault="00DA50CE">
      <w:pPr>
        <w:pStyle w:val="a3"/>
        <w:spacing w:before="360" w:beforeAutospacing="0" w:after="0" w:afterAutospacing="0"/>
        <w:divId w:val="1922257121"/>
        <w:rPr>
          <w:sz w:val="20"/>
          <w:szCs w:val="20"/>
        </w:rPr>
      </w:pPr>
      <w:r>
        <w:rPr>
          <w:b/>
          <w:bCs/>
          <w:i/>
          <w:iCs/>
          <w:sz w:val="20"/>
          <w:szCs w:val="20"/>
        </w:rPr>
        <w:t>Custom</w:t>
      </w:r>
      <w:r>
        <w:rPr>
          <w:b/>
          <w:bCs/>
          <w:i/>
          <w:iCs/>
          <w:sz w:val="20"/>
          <w:szCs w:val="20"/>
        </w:rPr>
        <w:t>er Deposi</w:t>
      </w:r>
      <w:r>
        <w:rPr>
          <w:b/>
          <w:bCs/>
          <w:i/>
          <w:iCs/>
          <w:sz w:val="20"/>
          <w:szCs w:val="20"/>
        </w:rPr>
        <w:t>t</w:t>
      </w:r>
    </w:p>
    <w:p w:rsidR="00000000" w:rsidRDefault="00DA50CE">
      <w:pPr>
        <w:pStyle w:val="a3"/>
        <w:spacing w:before="120" w:beforeAutospacing="0" w:after="0" w:afterAutospacing="0"/>
        <w:ind w:firstLine="555"/>
        <w:divId w:val="1922257121"/>
        <w:rPr>
          <w:sz w:val="20"/>
          <w:szCs w:val="20"/>
        </w:rPr>
      </w:pPr>
      <w:r>
        <w:rPr>
          <w:sz w:val="20"/>
          <w:szCs w:val="20"/>
        </w:rPr>
        <w:t xml:space="preserve">Customer deposit in the accompanying Condensed Consolidated Balance Sheets consists primarily of payments received from customers in excess of their outstanding trade accounts receivable balances, and the excess payments will be refunded to the </w:t>
      </w:r>
      <w:r>
        <w:rPr>
          <w:sz w:val="20"/>
          <w:szCs w:val="20"/>
        </w:rPr>
        <w:t>customers or offset against future testing receivables</w:t>
      </w:r>
      <w:r>
        <w:rPr>
          <w:sz w:val="20"/>
          <w:szCs w:val="20"/>
        </w:rPr>
        <w:t>.</w:t>
      </w:r>
    </w:p>
    <w:p w:rsidR="00000000" w:rsidRDefault="00DA50CE">
      <w:pPr>
        <w:pStyle w:val="a3"/>
        <w:spacing w:before="240" w:beforeAutospacing="0" w:after="0" w:afterAutospacing="0"/>
        <w:jc w:val="center"/>
        <w:divId w:val="1331909756"/>
        <w:rPr>
          <w:sz w:val="20"/>
          <w:szCs w:val="20"/>
        </w:rPr>
      </w:pPr>
      <w:r>
        <w:rPr>
          <w:sz w:val="20"/>
          <w:szCs w:val="20"/>
        </w:rPr>
        <w:t>9</w:t>
      </w:r>
    </w:p>
    <w:p w:rsidR="00000000" w:rsidRDefault="00DA50CE">
      <w:pPr>
        <w:divId w:val="1331909756"/>
        <w:rPr>
          <w:rFonts w:eastAsia="Times New Roman"/>
        </w:rPr>
      </w:pPr>
      <w:r>
        <w:rPr>
          <w:rFonts w:eastAsia="Times New Roman"/>
        </w:rPr>
        <w:pict>
          <v:rect id="_x0000_i1035" style="width:0;height:1.5pt" o:hralign="center" o:hrstd="t" o:hr="t" fillcolor="#a0a0a0" stroked="f"/>
        </w:pict>
      </w:r>
    </w:p>
    <w:p w:rsidR="00000000" w:rsidRDefault="00DA50CE">
      <w:pPr>
        <w:pStyle w:val="a3"/>
        <w:spacing w:before="360" w:beforeAutospacing="0" w:after="0" w:afterAutospacing="0"/>
        <w:divId w:val="1428187135"/>
        <w:rPr>
          <w:sz w:val="20"/>
          <w:szCs w:val="20"/>
        </w:rPr>
      </w:pPr>
      <w:r>
        <w:rPr>
          <w:b/>
          <w:bCs/>
          <w:i/>
          <w:iCs/>
          <w:sz w:val="20"/>
          <w:szCs w:val="20"/>
        </w:rPr>
        <w:t>Business Combinatio</w:t>
      </w:r>
      <w:r>
        <w:rPr>
          <w:b/>
          <w:bCs/>
          <w:i/>
          <w:iCs/>
          <w:sz w:val="20"/>
          <w:szCs w:val="20"/>
        </w:rPr>
        <w:t>n</w:t>
      </w:r>
    </w:p>
    <w:p w:rsidR="00000000" w:rsidRDefault="00DA50CE">
      <w:pPr>
        <w:pStyle w:val="a3"/>
        <w:spacing w:before="120" w:beforeAutospacing="0" w:after="0" w:afterAutospacing="0"/>
        <w:ind w:firstLine="555"/>
        <w:divId w:val="1428187135"/>
        <w:rPr>
          <w:sz w:val="20"/>
          <w:szCs w:val="20"/>
        </w:rPr>
      </w:pPr>
      <w:r>
        <w:rPr>
          <w:sz w:val="20"/>
          <w:szCs w:val="20"/>
        </w:rPr>
        <w:t>The Company uses the acquisition method of accounting and allocates the fair value of purchase consideration to the assets acquired and liabi</w:t>
      </w:r>
      <w:r>
        <w:rPr>
          <w:sz w:val="20"/>
          <w:szCs w:val="20"/>
        </w:rPr>
        <w:t>lities assumed from an acquiree based on their respective fair values as of the acquisition date. The excess of the fair value of purchase consideration over the fair value of these assets acquired and liabilities assumed is recorded as goodwill. When dete</w:t>
      </w:r>
      <w:r>
        <w:rPr>
          <w:sz w:val="20"/>
          <w:szCs w:val="20"/>
        </w:rPr>
        <w:t>rmining the fair values of assets acquired and liabilities assumed, management makes significant estimates and assumptions, especially with respect to intangible assets. Critical estimates in valuing intangible assets include, but are not limited to, expec</w:t>
      </w:r>
      <w:r>
        <w:rPr>
          <w:sz w:val="20"/>
          <w:szCs w:val="20"/>
        </w:rPr>
        <w:t>ted future cash flows, which includes consideration of future growth and margins, future changes in technology, expected cost and time to develop in-process research and development, brand awareness and discount rates. Fair value estimates are based on the</w:t>
      </w:r>
      <w:r>
        <w:rPr>
          <w:sz w:val="20"/>
          <w:szCs w:val="20"/>
        </w:rPr>
        <w:t xml:space="preserve"> assumptions that management believes a market participant would use in pricing the asset or liability</w:t>
      </w:r>
      <w:r>
        <w:rPr>
          <w:sz w:val="20"/>
          <w:szCs w:val="20"/>
        </w:rPr>
        <w:t>.</w:t>
      </w:r>
    </w:p>
    <w:p w:rsidR="00000000" w:rsidRDefault="00DA50CE">
      <w:pPr>
        <w:pStyle w:val="a3"/>
        <w:spacing w:before="360" w:beforeAutospacing="0" w:after="0" w:afterAutospacing="0"/>
        <w:divId w:val="1462382044"/>
        <w:rPr>
          <w:sz w:val="20"/>
          <w:szCs w:val="20"/>
        </w:rPr>
      </w:pPr>
      <w:r>
        <w:rPr>
          <w:b/>
          <w:bCs/>
          <w:i/>
          <w:iCs/>
          <w:sz w:val="20"/>
          <w:szCs w:val="20"/>
        </w:rPr>
        <w:t>Goodwil</w:t>
      </w:r>
      <w:r>
        <w:rPr>
          <w:b/>
          <w:bCs/>
          <w:i/>
          <w:iCs/>
          <w:sz w:val="20"/>
          <w:szCs w:val="20"/>
        </w:rPr>
        <w:t>l</w:t>
      </w:r>
    </w:p>
    <w:p w:rsidR="00000000" w:rsidRDefault="00DA50CE">
      <w:pPr>
        <w:pStyle w:val="a3"/>
        <w:spacing w:before="120" w:beforeAutospacing="0" w:after="0" w:afterAutospacing="0"/>
        <w:ind w:firstLine="555"/>
        <w:divId w:val="1462382044"/>
        <w:rPr>
          <w:sz w:val="20"/>
          <w:szCs w:val="20"/>
        </w:rPr>
      </w:pPr>
      <w:r>
        <w:rPr>
          <w:sz w:val="20"/>
          <w:szCs w:val="20"/>
        </w:rPr>
        <w:t>Goodwill is not amortized but is subject to impairment tests on an annual basis, or more frequently if indicators of potential impairment exist</w:t>
      </w:r>
      <w:r>
        <w:rPr>
          <w:sz w:val="20"/>
          <w:szCs w:val="20"/>
        </w:rPr>
        <w:t>, and goodwill is written down when it is determined to be impaired. The Company typically performs an annual impairment review in the fourth quarter of each fiscal year unless one had been performed previously within the past 12 months and compares the fa</w:t>
      </w:r>
      <w:r>
        <w:rPr>
          <w:sz w:val="20"/>
          <w:szCs w:val="20"/>
        </w:rPr>
        <w:t>ir value of the reporting unit in which the goodwill resides to its carrying value</w:t>
      </w:r>
      <w:r>
        <w:rPr>
          <w:sz w:val="20"/>
          <w:szCs w:val="20"/>
        </w:rPr>
        <w:t>.</w:t>
      </w:r>
      <w:r>
        <w:rPr>
          <w:sz w:val="20"/>
          <w:szCs w:val="20"/>
        </w:rPr>
        <w:t xml:space="preserve"> </w:t>
      </w:r>
    </w:p>
    <w:p w:rsidR="00000000" w:rsidRDefault="00DA50CE">
      <w:pPr>
        <w:pStyle w:val="a3"/>
        <w:spacing w:before="360" w:beforeAutospacing="0" w:after="0" w:afterAutospacing="0"/>
        <w:divId w:val="1529752621"/>
        <w:rPr>
          <w:sz w:val="20"/>
          <w:szCs w:val="20"/>
        </w:rPr>
      </w:pPr>
      <w:r>
        <w:rPr>
          <w:b/>
          <w:bCs/>
          <w:i/>
          <w:iCs/>
          <w:sz w:val="20"/>
          <w:szCs w:val="20"/>
        </w:rPr>
        <w:t>Recent Accounting Pronouncement</w:t>
      </w:r>
      <w:r>
        <w:rPr>
          <w:b/>
          <w:bCs/>
          <w:i/>
          <w:iCs/>
          <w:sz w:val="20"/>
          <w:szCs w:val="20"/>
        </w:rPr>
        <w:t>s</w:t>
      </w:r>
    </w:p>
    <w:p w:rsidR="00000000" w:rsidRDefault="00DA50CE">
      <w:pPr>
        <w:pStyle w:val="a3"/>
        <w:spacing w:before="120" w:beforeAutospacing="0" w:after="0" w:afterAutospacing="0"/>
        <w:ind w:firstLine="555"/>
        <w:divId w:val="1529752621"/>
        <w:rPr>
          <w:sz w:val="20"/>
          <w:szCs w:val="20"/>
        </w:rPr>
      </w:pPr>
      <w:r>
        <w:rPr>
          <w:sz w:val="20"/>
          <w:szCs w:val="20"/>
        </w:rPr>
        <w:t>The Company evaluates all Accounting Standards Updates, or ASUs, issued by the Financial Accounting Standards Board, or FASB, for consider</w:t>
      </w:r>
      <w:r>
        <w:rPr>
          <w:sz w:val="20"/>
          <w:szCs w:val="20"/>
        </w:rPr>
        <w:t>ation of their applicability. ASUs not included in the Company’s disclosures were assessed and determined to be either not applicable or are not expected to have a material impact on the Company’s condensed consolidated financial statements</w:t>
      </w:r>
      <w:r>
        <w:rPr>
          <w:sz w:val="20"/>
          <w:szCs w:val="20"/>
        </w:rPr>
        <w:t>.</w:t>
      </w:r>
    </w:p>
    <w:p w:rsidR="00000000" w:rsidRDefault="00DA50CE">
      <w:pPr>
        <w:pStyle w:val="a3"/>
        <w:spacing w:before="360" w:beforeAutospacing="0" w:after="0" w:afterAutospacing="0"/>
        <w:divId w:val="2013557017"/>
        <w:rPr>
          <w:sz w:val="20"/>
          <w:szCs w:val="20"/>
        </w:rPr>
      </w:pPr>
      <w:r>
        <w:rPr>
          <w:b/>
          <w:bCs/>
          <w:sz w:val="20"/>
          <w:szCs w:val="20"/>
        </w:rPr>
        <w:t>Note 3. Equity</w:t>
      </w:r>
      <w:r>
        <w:rPr>
          <w:b/>
          <w:bCs/>
          <w:sz w:val="20"/>
          <w:szCs w:val="20"/>
        </w:rPr>
        <w:t xml:space="preserve"> and Debt Securitie</w:t>
      </w:r>
      <w:r>
        <w:rPr>
          <w:b/>
          <w:bCs/>
          <w:sz w:val="20"/>
          <w:szCs w:val="20"/>
        </w:rPr>
        <w:t>s</w:t>
      </w:r>
    </w:p>
    <w:p w:rsidR="00000000" w:rsidRDefault="00DA50CE">
      <w:pPr>
        <w:pStyle w:val="a3"/>
        <w:spacing w:before="120" w:beforeAutospacing="0" w:after="0" w:afterAutospacing="0"/>
        <w:ind w:firstLine="539"/>
        <w:divId w:val="1414545035"/>
        <w:rPr>
          <w:sz w:val="20"/>
          <w:szCs w:val="20"/>
        </w:rPr>
      </w:pPr>
      <w:r>
        <w:rPr>
          <w:sz w:val="20"/>
          <w:szCs w:val="20"/>
        </w:rPr>
        <w:t>The Company’s equity and debt securities consisted of the following</w:t>
      </w:r>
      <w:r>
        <w:rPr>
          <w:sz w:val="20"/>
          <w:szCs w:val="20"/>
        </w:rPr>
        <w:t>:</w:t>
      </w:r>
    </w:p>
    <w:p w:rsidR="00000000" w:rsidRDefault="00DA50CE">
      <w:pPr>
        <w:pStyle w:val="a3"/>
        <w:spacing w:before="0" w:beforeAutospacing="0" w:after="0" w:afterAutospacing="0"/>
        <w:divId w:val="141454503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3"/>
        <w:gridCol w:w="160"/>
        <w:gridCol w:w="881"/>
        <w:gridCol w:w="127"/>
        <w:gridCol w:w="110"/>
        <w:gridCol w:w="161"/>
        <w:gridCol w:w="879"/>
        <w:gridCol w:w="110"/>
        <w:gridCol w:w="110"/>
        <w:gridCol w:w="160"/>
        <w:gridCol w:w="868"/>
        <w:gridCol w:w="127"/>
        <w:gridCol w:w="110"/>
        <w:gridCol w:w="160"/>
        <w:gridCol w:w="868"/>
        <w:gridCol w:w="142"/>
      </w:tblGrid>
      <w:tr w:rsidR="00000000">
        <w:trPr>
          <w:divId w:val="1414545035"/>
          <w:tblCellSpacing w:w="15" w:type="dxa"/>
        </w:trPr>
        <w:tc>
          <w:tcPr>
            <w:tcW w:w="212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7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r>
      <w:tr w:rsidR="00000000">
        <w:trPr>
          <w:divId w:val="1414545035"/>
          <w:trHeight w:val="160"/>
          <w:tblCellSpacing w:w="15" w:type="dxa"/>
        </w:trPr>
        <w:tc>
          <w:tcPr>
            <w:tcW w:w="0" w:type="auto"/>
            <w:vAlign w:val="center"/>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vAlign w:val="center"/>
            <w:hideMark/>
          </w:tcPr>
          <w:p w:rsidR="00000000" w:rsidRDefault="00DA50CE">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center"/>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Long-ter</w:t>
            </w:r>
            <w:r>
              <w:rPr>
                <w:sz w:val="20"/>
                <w:szCs w:val="20"/>
              </w:rPr>
              <w:t>m</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Investment in private equity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111,98</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81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111,17</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110,59</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109,89</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5,06</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5,98</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5,95</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233,62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1,58</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232,04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216,93</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4,93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212,01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194,43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5,77</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188,66</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69,95</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2,46</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25</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12,16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6,16</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5,94</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499,91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13,63</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486,27</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7,08</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2,39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27,08</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2,57</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24,51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760,61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17,79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742,83</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775,61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17,79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757,83</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414545035"/>
        <w:rPr>
          <w:sz w:val="20"/>
          <w:szCs w:val="20"/>
        </w:rPr>
      </w:pPr>
      <w:r>
        <w:rPr>
          <w:sz w:val="20"/>
          <w:szCs w:val="20"/>
        </w:rPr>
        <w:t> </w:t>
      </w:r>
    </w:p>
    <w:p w:rsidR="00000000" w:rsidRDefault="00DA50CE">
      <w:pPr>
        <w:pStyle w:val="a3"/>
        <w:spacing w:before="240" w:beforeAutospacing="0" w:after="0" w:afterAutospacing="0"/>
        <w:jc w:val="center"/>
        <w:divId w:val="1414545035"/>
        <w:rPr>
          <w:sz w:val="20"/>
          <w:szCs w:val="20"/>
        </w:rPr>
      </w:pPr>
      <w:r>
        <w:rPr>
          <w:sz w:val="20"/>
          <w:szCs w:val="20"/>
        </w:rPr>
        <w:t>1</w:t>
      </w:r>
      <w:r>
        <w:rPr>
          <w:sz w:val="20"/>
          <w:szCs w:val="20"/>
        </w:rPr>
        <w:t>0</w:t>
      </w:r>
    </w:p>
    <w:p w:rsidR="00000000" w:rsidRDefault="00DA50CE">
      <w:pPr>
        <w:divId w:val="1414545035"/>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A50CE">
      <w:pPr>
        <w:pStyle w:val="a3"/>
        <w:spacing w:before="0" w:beforeAutospacing="0" w:after="0" w:afterAutospacing="0"/>
        <w:divId w:val="141454503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2"/>
        <w:gridCol w:w="160"/>
        <w:gridCol w:w="881"/>
        <w:gridCol w:w="127"/>
        <w:gridCol w:w="110"/>
        <w:gridCol w:w="161"/>
        <w:gridCol w:w="879"/>
        <w:gridCol w:w="110"/>
        <w:gridCol w:w="110"/>
        <w:gridCol w:w="161"/>
        <w:gridCol w:w="868"/>
        <w:gridCol w:w="127"/>
        <w:gridCol w:w="110"/>
        <w:gridCol w:w="160"/>
        <w:gridCol w:w="868"/>
        <w:gridCol w:w="142"/>
      </w:tblGrid>
      <w:tr w:rsidR="00000000">
        <w:trPr>
          <w:divId w:val="1414545035"/>
          <w:tblCellSpacing w:w="15" w:type="dxa"/>
        </w:trPr>
        <w:tc>
          <w:tcPr>
            <w:tcW w:w="212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7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66"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68"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r>
      <w:tr w:rsidR="00000000">
        <w:trPr>
          <w:divId w:val="1414545035"/>
          <w:trHeight w:val="160"/>
          <w:tblCellSpacing w:w="15" w:type="dxa"/>
        </w:trPr>
        <w:tc>
          <w:tcPr>
            <w:tcW w:w="0" w:type="auto"/>
            <w:vAlign w:val="center"/>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vAlign w:val="center"/>
            <w:hideMark/>
          </w:tcPr>
          <w:p w:rsidR="00000000" w:rsidRDefault="00DA50C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center"/>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Bond fund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99,31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51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98,79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Exchange traded fund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35,17</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17</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134,48</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68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133,79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92,11</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91,99</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51,31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8</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51,23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4,96</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152,02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151,80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242,42</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1,91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240,53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147,69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146,92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70,06</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53</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69,53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11,92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11,92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8,63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8,54</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480,74</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3,33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477,45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7,63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7,59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27,63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29,55</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660,40</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2,03</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3,62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658,81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14545035"/>
          <w:trHeight w:val="200"/>
          <w:tblCellSpacing w:w="15" w:type="dxa"/>
        </w:trPr>
        <w:tc>
          <w:tcPr>
            <w:tcW w:w="0" w:type="auto"/>
            <w:vAlign w:val="bottom"/>
            <w:hideMark/>
          </w:tcPr>
          <w:p w:rsidR="00000000" w:rsidRDefault="00DA50CE">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794,89</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2,03</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4,31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792,61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2013557017"/>
        <w:rPr>
          <w:sz w:val="20"/>
          <w:szCs w:val="20"/>
        </w:rPr>
      </w:pPr>
      <w:r>
        <w:rPr>
          <w:sz w:val="20"/>
          <w:szCs w:val="20"/>
        </w:rPr>
        <w:t> </w:t>
      </w:r>
    </w:p>
    <w:p w:rsidR="00000000" w:rsidRDefault="00DA50CE">
      <w:pPr>
        <w:pStyle w:val="a3"/>
        <w:spacing w:before="0" w:beforeAutospacing="0" w:after="0" w:afterAutospacing="0"/>
        <w:ind w:firstLine="555"/>
        <w:divId w:val="2013557017"/>
        <w:rPr>
          <w:sz w:val="20"/>
          <w:szCs w:val="20"/>
        </w:rPr>
      </w:pPr>
      <w:r>
        <w:rPr>
          <w:sz w:val="20"/>
          <w:szCs w:val="20"/>
        </w:rPr>
        <w:t xml:space="preserve">Gross unrealized losses on the Company’s equity and debt securities were </w:t>
      </w:r>
      <w:r>
        <w:rPr>
          <w:sz w:val="20"/>
          <w:szCs w:val="20"/>
        </w:rPr>
        <w:t>$</w:t>
      </w:r>
      <w:r>
        <w:rPr>
          <w:sz w:val="20"/>
          <w:szCs w:val="20"/>
        </w:rPr>
        <w:t>17.</w:t>
      </w:r>
      <w:r>
        <w:rPr>
          <w:sz w:val="20"/>
          <w:szCs w:val="20"/>
        </w:rPr>
        <w:t>8</w:t>
      </w:r>
      <w:r>
        <w:rPr>
          <w:sz w:val="20"/>
          <w:szCs w:val="20"/>
        </w:rPr>
        <w:t xml:space="preserve"> millio</w:t>
      </w:r>
      <w:r>
        <w:rPr>
          <w:sz w:val="20"/>
          <w:szCs w:val="20"/>
        </w:rPr>
        <w:t>n</w:t>
      </w:r>
      <w:r>
        <w:rPr>
          <w:sz w:val="20"/>
          <w:szCs w:val="20"/>
        </w:rPr>
        <w:t xml:space="preserve"> as of March 31, 2022. Gross unrealized losses on the Company’s equity and debt securities were </w:t>
      </w:r>
      <w:r>
        <w:rPr>
          <w:sz w:val="20"/>
          <w:szCs w:val="20"/>
        </w:rPr>
        <w:t>$</w:t>
      </w:r>
      <w:r>
        <w:rPr>
          <w:sz w:val="20"/>
          <w:szCs w:val="20"/>
        </w:rPr>
        <w:t>4.</w:t>
      </w:r>
      <w:r>
        <w:rPr>
          <w:sz w:val="20"/>
          <w:szCs w:val="20"/>
        </w:rPr>
        <w:t>3</w:t>
      </w:r>
      <w:r>
        <w:rPr>
          <w:sz w:val="20"/>
          <w:szCs w:val="20"/>
        </w:rPr>
        <w:t xml:space="preserve"> million as of December 31, 2021. During the first quarters of 2022 an</w:t>
      </w:r>
      <w:r>
        <w:rPr>
          <w:sz w:val="20"/>
          <w:szCs w:val="20"/>
        </w:rPr>
        <w:t>d 2021, the Company did not recognize any credit losses</w:t>
      </w:r>
      <w:r>
        <w:rPr>
          <w:sz w:val="20"/>
          <w:szCs w:val="20"/>
        </w:rPr>
        <w:t>.</w:t>
      </w:r>
    </w:p>
    <w:p w:rsidR="00000000" w:rsidRDefault="00DA50CE">
      <w:pPr>
        <w:pStyle w:val="a3"/>
        <w:spacing w:before="240" w:beforeAutospacing="0" w:after="0" w:afterAutospacing="0"/>
        <w:ind w:firstLine="555"/>
        <w:divId w:val="2013557017"/>
        <w:rPr>
          <w:sz w:val="20"/>
          <w:szCs w:val="20"/>
        </w:rPr>
      </w:pPr>
      <w:r>
        <w:rPr>
          <w:sz w:val="20"/>
          <w:szCs w:val="20"/>
        </w:rPr>
        <w:t xml:space="preserve">The Company’s securities of </w:t>
      </w:r>
      <w:r>
        <w:rPr>
          <w:sz w:val="20"/>
          <w:szCs w:val="20"/>
        </w:rPr>
        <w:t>$</w:t>
      </w:r>
      <w:r>
        <w:rPr>
          <w:sz w:val="20"/>
          <w:szCs w:val="20"/>
        </w:rPr>
        <w:t>492.</w:t>
      </w:r>
      <w:r>
        <w:rPr>
          <w:sz w:val="20"/>
          <w:szCs w:val="20"/>
        </w:rPr>
        <w:t>4</w:t>
      </w:r>
      <w:r>
        <w:rPr>
          <w:sz w:val="20"/>
          <w:szCs w:val="20"/>
        </w:rPr>
        <w:t xml:space="preserve"> millio</w:t>
      </w:r>
      <w:r>
        <w:rPr>
          <w:sz w:val="20"/>
          <w:szCs w:val="20"/>
        </w:rPr>
        <w:t>n</w:t>
      </w:r>
      <w:r>
        <w:rPr>
          <w:sz w:val="20"/>
          <w:szCs w:val="20"/>
        </w:rPr>
        <w:t xml:space="preserve"> are used as collateral for an outstanding margin account borrowing. As of March 31, 2022, the Company had an outstanding borrowing of</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w:t>
      </w:r>
      <w:r>
        <w:rPr>
          <w:sz w:val="20"/>
          <w:szCs w:val="20"/>
        </w:rPr>
        <w:t>s margin account. Margin account borrowings were used for the purchase of real property located in El Monte, California in 2020</w:t>
      </w:r>
      <w:r>
        <w:rPr>
          <w:sz w:val="20"/>
          <w:szCs w:val="20"/>
        </w:rPr>
        <w:t>.</w:t>
      </w:r>
    </w:p>
    <w:p w:rsidR="00000000" w:rsidRDefault="00DA50CE">
      <w:pPr>
        <w:pStyle w:val="a3"/>
        <w:spacing w:before="360" w:beforeAutospacing="0" w:after="0" w:afterAutospacing="0"/>
        <w:divId w:val="1247768909"/>
        <w:rPr>
          <w:sz w:val="20"/>
          <w:szCs w:val="20"/>
        </w:rPr>
      </w:pPr>
      <w:r>
        <w:rPr>
          <w:b/>
          <w:bCs/>
          <w:sz w:val="20"/>
          <w:szCs w:val="20"/>
        </w:rPr>
        <w:t>Note 4.</w:t>
      </w:r>
      <w:r>
        <w:rPr>
          <w:b/>
          <w:bCs/>
          <w:sz w:val="20"/>
          <w:szCs w:val="20"/>
        </w:rPr>
        <w:t xml:space="preserve"> </w:t>
      </w:r>
      <w:r>
        <w:rPr>
          <w:b/>
          <w:bCs/>
          <w:sz w:val="20"/>
          <w:szCs w:val="20"/>
        </w:rPr>
        <w:t>Fair Value Measurement</w:t>
      </w:r>
      <w:r>
        <w:rPr>
          <w:b/>
          <w:bCs/>
          <w:sz w:val="20"/>
          <w:szCs w:val="20"/>
        </w:rPr>
        <w:t>s</w:t>
      </w:r>
    </w:p>
    <w:p w:rsidR="00000000" w:rsidRDefault="00DA50CE">
      <w:pPr>
        <w:pStyle w:val="a3"/>
        <w:spacing w:before="120" w:beforeAutospacing="0" w:after="0" w:afterAutospacing="0"/>
        <w:ind w:firstLine="555"/>
        <w:divId w:val="1247768909"/>
        <w:rPr>
          <w:sz w:val="20"/>
          <w:szCs w:val="20"/>
        </w:rPr>
      </w:pPr>
      <w:r>
        <w:rPr>
          <w:sz w:val="20"/>
          <w:szCs w:val="20"/>
        </w:rPr>
        <w:t>The authoritative guidance on fair value measurements establishes a framework with respect to m</w:t>
      </w:r>
      <w:r>
        <w:rPr>
          <w:sz w:val="20"/>
          <w:szCs w:val="20"/>
        </w:rPr>
        <w:t>easuring assets and liabilities at fair value on a recurring basis and non-recurring basis. Under the framework, fair value is defined as the exit price, or the amount that would be received to sell an asset or paid to transfer a liability in an orderly tr</w:t>
      </w:r>
      <w:r>
        <w:rPr>
          <w:sz w:val="20"/>
          <w:szCs w:val="20"/>
        </w:rPr>
        <w:t>ansaction between market participants, as of the measurement date. The framework also establishes a three-tier hierarchy for inputs used in measuring fair value that maximizes the use of observable inputs and minimizes the use of unobservable inputs by req</w:t>
      </w:r>
      <w:r>
        <w:rPr>
          <w:sz w:val="20"/>
          <w:szCs w:val="20"/>
        </w:rPr>
        <w:t>uiring that the most observable inputs be used when available. Observable inputs are inputs market participants would use in valuing the asset or liability and are developed based on market data obtained from sources independent of the Company. Unobservabl</w:t>
      </w:r>
      <w:r>
        <w:rPr>
          <w:sz w:val="20"/>
          <w:szCs w:val="20"/>
        </w:rPr>
        <w:t>e inputs are inputs that reflect the Company’s assumptions about the factors market participants would use in valuing the asset or liability and are developed based on the best information available in the circumstances. The hierarchy consists of the follo</w:t>
      </w:r>
      <w:r>
        <w:rPr>
          <w:sz w:val="20"/>
          <w:szCs w:val="20"/>
        </w:rPr>
        <w:t>wing three levels</w:t>
      </w:r>
      <w:r>
        <w:rPr>
          <w:sz w:val="20"/>
          <w:szCs w:val="20"/>
        </w:rPr>
        <w:t>:</w:t>
      </w:r>
      <w:r>
        <w:rPr>
          <w:sz w:val="20"/>
          <w:szCs w:val="20"/>
        </w:rPr>
        <w:t xml:space="preserve"> </w:t>
      </w:r>
    </w:p>
    <w:p w:rsidR="00000000" w:rsidRDefault="00DA50CE">
      <w:pPr>
        <w:pStyle w:val="a3"/>
        <w:spacing w:before="0" w:beforeAutospacing="0" w:after="0" w:afterAutospacing="0"/>
        <w:divId w:val="1247768909"/>
        <w:rPr>
          <w:sz w:val="20"/>
          <w:szCs w:val="20"/>
        </w:rPr>
      </w:pPr>
      <w:r>
        <w:rPr>
          <w:sz w:val="20"/>
          <w:szCs w:val="20"/>
        </w:rPr>
        <w:t> </w:t>
      </w:r>
    </w:p>
    <w:p w:rsidR="00000000" w:rsidRDefault="00DA50CE">
      <w:pPr>
        <w:pStyle w:val="a3"/>
        <w:spacing w:before="240" w:beforeAutospacing="0" w:after="0" w:afterAutospacing="0"/>
        <w:jc w:val="center"/>
        <w:divId w:val="1247768909"/>
        <w:rPr>
          <w:sz w:val="20"/>
          <w:szCs w:val="20"/>
        </w:rPr>
      </w:pPr>
      <w:r>
        <w:rPr>
          <w:sz w:val="20"/>
          <w:szCs w:val="20"/>
        </w:rPr>
        <w:t>1</w:t>
      </w:r>
      <w:r>
        <w:rPr>
          <w:sz w:val="20"/>
          <w:szCs w:val="20"/>
        </w:rPr>
        <w:t>1</w:t>
      </w:r>
    </w:p>
    <w:p w:rsidR="00000000" w:rsidRDefault="00DA50CE">
      <w:pPr>
        <w:divId w:val="1247768909"/>
        <w:rPr>
          <w:rFonts w:eastAsia="Times New Roman"/>
        </w:rPr>
      </w:pPr>
      <w:r>
        <w:rPr>
          <w:rFonts w:eastAsia="Times New Roman"/>
        </w:rPr>
        <w:pict>
          <v:rect id="_x0000_i1037" style="width:0;height:1.5pt" o:hralign="center" o:hrstd="t" o:hr="t" fillcolor="#a0a0a0" stroked="f"/>
        </w:pict>
      </w:r>
    </w:p>
    <w:tbl>
      <w:tblPr>
        <w:tblW w:w="4700" w:type="pct"/>
        <w:tblCellSpacing w:w="15" w:type="dxa"/>
        <w:tblInd w:w="546" w:type="dxa"/>
        <w:tblCellMar>
          <w:top w:w="15" w:type="dxa"/>
          <w:left w:w="15" w:type="dxa"/>
          <w:bottom w:w="15" w:type="dxa"/>
          <w:right w:w="15" w:type="dxa"/>
        </w:tblCellMar>
        <w:tblLook w:val="04A0" w:firstRow="1" w:lastRow="0" w:firstColumn="1" w:lastColumn="0" w:noHBand="0" w:noVBand="1"/>
      </w:tblPr>
      <w:tblGrid>
        <w:gridCol w:w="794"/>
        <w:gridCol w:w="7014"/>
      </w:tblGrid>
      <w:tr w:rsidR="00000000">
        <w:trPr>
          <w:divId w:val="1247768909"/>
          <w:tblCellSpacing w:w="15" w:type="dxa"/>
        </w:trPr>
        <w:tc>
          <w:tcPr>
            <w:tcW w:w="485" w:type="pct"/>
            <w:vAlign w:val="center"/>
            <w:hideMark/>
          </w:tcPr>
          <w:p w:rsidR="00000000" w:rsidRDefault="00DA50CE">
            <w:pPr>
              <w:rPr>
                <w:rFonts w:eastAsia="Times New Roman"/>
              </w:rPr>
            </w:pPr>
          </w:p>
        </w:tc>
        <w:tc>
          <w:tcPr>
            <w:tcW w:w="4514" w:type="pct"/>
            <w:vAlign w:val="center"/>
            <w:hideMark/>
          </w:tcPr>
          <w:p w:rsidR="00000000" w:rsidRDefault="00DA50CE">
            <w:pPr>
              <w:rPr>
                <w:rFonts w:eastAsia="Times New Roman"/>
                <w:sz w:val="20"/>
                <w:szCs w:val="20"/>
              </w:rPr>
            </w:pPr>
          </w:p>
        </w:tc>
      </w:tr>
      <w:tr w:rsidR="00000000">
        <w:trPr>
          <w:divId w:val="1247768909"/>
          <w:trHeight w:val="613"/>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Level 1</w:t>
            </w:r>
            <w:r>
              <w:rPr>
                <w:sz w:val="20"/>
                <w:szCs w:val="20"/>
              </w:rPr>
              <w:t>:</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Inputs are quoted prices (unadjusted) in active markets for identical assets or liabilities that the reporting entity can access at the measurement date</w:t>
            </w:r>
            <w:r>
              <w:rPr>
                <w:sz w:val="20"/>
                <w:szCs w:val="20"/>
              </w:rPr>
              <w:t>.</w:t>
            </w:r>
          </w:p>
        </w:tc>
      </w:tr>
      <w:tr w:rsidR="00000000">
        <w:trPr>
          <w:divId w:val="1247768909"/>
          <w:trHeight w:val="623"/>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Level 2</w:t>
            </w:r>
            <w:r>
              <w:rPr>
                <w:sz w:val="20"/>
                <w:szCs w:val="20"/>
              </w:rPr>
              <w:t>:</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Inputs are inputs other than quoted prices included within Level 1 that are observable for t</w:t>
            </w:r>
            <w:r>
              <w:rPr>
                <w:sz w:val="20"/>
                <w:szCs w:val="20"/>
              </w:rPr>
              <w:t>he asset or liability, either directly or indirectly</w:t>
            </w:r>
            <w:r>
              <w:rPr>
                <w:sz w:val="20"/>
                <w:szCs w:val="20"/>
              </w:rPr>
              <w:t>.</w:t>
            </w:r>
          </w:p>
        </w:tc>
      </w:tr>
      <w:tr w:rsidR="00000000">
        <w:trPr>
          <w:divId w:val="1247768909"/>
          <w:trHeight w:val="301"/>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Level 3</w:t>
            </w:r>
            <w:r>
              <w:rPr>
                <w:sz w:val="20"/>
                <w:szCs w:val="20"/>
              </w:rPr>
              <w:t>:</w:t>
            </w:r>
          </w:p>
        </w:tc>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Inputs are unobservable for the asset or liability</w:t>
            </w:r>
            <w:r>
              <w:rPr>
                <w:sz w:val="20"/>
                <w:szCs w:val="20"/>
              </w:rPr>
              <w:t>.</w:t>
            </w:r>
          </w:p>
        </w:tc>
      </w:tr>
    </w:tbl>
    <w:p w:rsidR="00000000" w:rsidRDefault="00DA50CE">
      <w:pPr>
        <w:pStyle w:val="a3"/>
        <w:spacing w:before="0" w:beforeAutospacing="0" w:after="0" w:afterAutospacing="0"/>
        <w:divId w:val="1247768909"/>
        <w:rPr>
          <w:sz w:val="20"/>
          <w:szCs w:val="20"/>
        </w:rPr>
      </w:pPr>
      <w:r>
        <w:t> </w:t>
      </w:r>
    </w:p>
    <w:p w:rsidR="00000000" w:rsidRDefault="00DA50CE">
      <w:pPr>
        <w:pStyle w:val="a3"/>
        <w:spacing w:before="0" w:beforeAutospacing="0" w:after="0" w:afterAutospacing="0"/>
        <w:ind w:firstLine="555"/>
        <w:divId w:val="1465080256"/>
        <w:rPr>
          <w:sz w:val="20"/>
          <w:szCs w:val="20"/>
        </w:rPr>
      </w:pPr>
      <w:r>
        <w:rPr>
          <w:sz w:val="20"/>
          <w:szCs w:val="20"/>
        </w:rPr>
        <w:t>The following tables present information about the Company’s financial assets measured at fair value on a recurring basis, based on the a</w:t>
      </w:r>
      <w:r>
        <w:rPr>
          <w:sz w:val="20"/>
          <w:szCs w:val="20"/>
        </w:rPr>
        <w:t>bove three-tier fair value hierarchy</w:t>
      </w:r>
      <w:r>
        <w:rPr>
          <w:sz w:val="20"/>
          <w:szCs w:val="20"/>
        </w:rPr>
        <w:t>:</w:t>
      </w:r>
    </w:p>
    <w:p w:rsidR="00000000" w:rsidRDefault="00DA50CE">
      <w:pPr>
        <w:pStyle w:val="a3"/>
        <w:spacing w:before="0" w:beforeAutospacing="0" w:after="0" w:afterAutospacing="0"/>
        <w:divId w:val="1465080256"/>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0"/>
        <w:gridCol w:w="160"/>
        <w:gridCol w:w="897"/>
        <w:gridCol w:w="110"/>
        <w:gridCol w:w="110"/>
        <w:gridCol w:w="160"/>
        <w:gridCol w:w="892"/>
        <w:gridCol w:w="110"/>
        <w:gridCol w:w="110"/>
        <w:gridCol w:w="160"/>
        <w:gridCol w:w="892"/>
        <w:gridCol w:w="110"/>
        <w:gridCol w:w="110"/>
        <w:gridCol w:w="160"/>
        <w:gridCol w:w="890"/>
        <w:gridCol w:w="125"/>
      </w:tblGrid>
      <w:tr w:rsidR="00000000">
        <w:trPr>
          <w:divId w:val="1465080256"/>
          <w:tblCellSpacing w:w="15" w:type="dxa"/>
        </w:trPr>
        <w:tc>
          <w:tcPr>
            <w:tcW w:w="2114" w:type="pct"/>
            <w:vAlign w:val="center"/>
            <w:hideMark/>
          </w:tcPr>
          <w:p w:rsidR="00000000" w:rsidRDefault="00DA50CE">
            <w:pPr>
              <w:rPr>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7"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hideMark/>
          </w:tcPr>
          <w:p w:rsidR="00000000" w:rsidRDefault="00DA50CE">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Investment in private equity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321,90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321,90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299,83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299,83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24,10</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24,10</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11,89</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11,89</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863,25</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105,41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725,22</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32,60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46508025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0"/>
        <w:gridCol w:w="160"/>
        <w:gridCol w:w="897"/>
        <w:gridCol w:w="110"/>
        <w:gridCol w:w="110"/>
        <w:gridCol w:w="160"/>
        <w:gridCol w:w="892"/>
        <w:gridCol w:w="110"/>
        <w:gridCol w:w="110"/>
        <w:gridCol w:w="160"/>
        <w:gridCol w:w="892"/>
        <w:gridCol w:w="110"/>
        <w:gridCol w:w="110"/>
        <w:gridCol w:w="160"/>
        <w:gridCol w:w="890"/>
        <w:gridCol w:w="125"/>
      </w:tblGrid>
      <w:tr w:rsidR="00000000">
        <w:trPr>
          <w:divId w:val="1465080256"/>
          <w:tblCellSpacing w:w="15" w:type="dxa"/>
        </w:trPr>
        <w:tc>
          <w:tcPr>
            <w:tcW w:w="2114" w:type="pct"/>
            <w:vAlign w:val="center"/>
            <w:hideMark/>
          </w:tcPr>
          <w:p w:rsidR="00000000" w:rsidRDefault="00DA50CE">
            <w:pPr>
              <w:rPr>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8"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1"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577"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hideMark/>
          </w:tcPr>
          <w:p w:rsidR="00000000" w:rsidRDefault="00DA50C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332,52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332,52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198,15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198,15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Bond fund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98,79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98,79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69,53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69,53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Exchange traded fund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24,48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24,48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12,15</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12,15</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77,06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465080256"/>
          <w:trHeight w:val="200"/>
          <w:tblCellSpacing w:w="15" w:type="dxa"/>
        </w:trPr>
        <w:tc>
          <w:tcPr>
            <w:tcW w:w="0" w:type="auto"/>
            <w:vAlign w:val="bottom"/>
            <w:hideMark/>
          </w:tcPr>
          <w:p w:rsidR="00000000" w:rsidRDefault="00DA50CE">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869,68</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210,86</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636,85</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21,96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247768909"/>
        <w:rPr>
          <w:sz w:val="20"/>
          <w:szCs w:val="20"/>
        </w:rPr>
      </w:pPr>
      <w:r>
        <w:rPr>
          <w:sz w:val="20"/>
          <w:szCs w:val="20"/>
        </w:rPr>
        <w:t> </w:t>
      </w:r>
    </w:p>
    <w:p w:rsidR="00000000" w:rsidRDefault="00DA50CE">
      <w:pPr>
        <w:pStyle w:val="a3"/>
        <w:spacing w:before="0" w:beforeAutospacing="0" w:after="0" w:afterAutospacing="0"/>
        <w:ind w:firstLine="555"/>
        <w:divId w:val="1247768909"/>
        <w:rPr>
          <w:sz w:val="20"/>
          <w:szCs w:val="20"/>
        </w:rPr>
      </w:pPr>
      <w:r>
        <w:rPr>
          <w:sz w:val="20"/>
          <w:szCs w:val="20"/>
        </w:rPr>
        <w:t>The Company’</w:t>
      </w:r>
      <w:r>
        <w:rPr>
          <w:sz w:val="20"/>
          <w:szCs w:val="20"/>
        </w:rPr>
        <w:t>s Level 1 assets include bond funds, exchange traded funds, and money market instruments and are valued based upon observable market prices. Level 2 assets consist of U.S. government and U.S. agency debt securities, municipal bonds, corporate debt securiti</w:t>
      </w:r>
      <w:r>
        <w:rPr>
          <w:sz w:val="20"/>
          <w:szCs w:val="20"/>
        </w:rPr>
        <w:t>es and Yankee debt securities. Level 2 securities are valued based upon observable inputs that include reported trades, broker/dealer quotes, bids and offers. As of March 31, 2022, the Company had</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of investment in private equity securities an</w:t>
      </w:r>
      <w:r>
        <w:rPr>
          <w:sz w:val="20"/>
          <w:szCs w:val="20"/>
        </w:rPr>
        <w:t>d</w:t>
      </w:r>
      <w:r>
        <w:rPr>
          <w:sz w:val="20"/>
          <w:szCs w:val="20"/>
        </w:rPr>
        <w:t xml:space="preserve"> </w:t>
      </w:r>
      <w:r>
        <w:rPr>
          <w:sz w:val="20"/>
          <w:szCs w:val="20"/>
        </w:rPr>
        <w:t>$</w:t>
      </w:r>
      <w:r>
        <w:rPr>
          <w:sz w:val="20"/>
          <w:szCs w:val="20"/>
        </w:rPr>
        <w:t>17.</w:t>
      </w:r>
      <w:r>
        <w:rPr>
          <w:sz w:val="20"/>
          <w:szCs w:val="20"/>
        </w:rPr>
        <w:t>6</w:t>
      </w:r>
      <w:r>
        <w:rPr>
          <w:sz w:val="20"/>
          <w:szCs w:val="20"/>
        </w:rPr>
        <w:t xml:space="preserve"> millio</w:t>
      </w:r>
      <w:r>
        <w:rPr>
          <w:sz w:val="20"/>
          <w:szCs w:val="20"/>
        </w:rPr>
        <w:t>n</w:t>
      </w:r>
      <w:r>
        <w:rPr>
          <w:sz w:val="20"/>
          <w:szCs w:val="20"/>
        </w:rPr>
        <w:t xml:space="preserve"> of redeemable preferred stock of Helio Health that were measured using unobservable (Level 3) inputs. The fair value of redeemable preferred stock is based on the most recent valuation as of March 31, 2022 performed by a third-party valuati</w:t>
      </w:r>
      <w:r>
        <w:rPr>
          <w:sz w:val="20"/>
          <w:szCs w:val="20"/>
        </w:rPr>
        <w:t>on company utilizing the guideline public company method under market approach and the discounted cash flow method under income approach. For the value of the investment in private equity securities, the Company elected to measure it at cost minus impairme</w:t>
      </w:r>
      <w:r>
        <w:rPr>
          <w:sz w:val="20"/>
          <w:szCs w:val="20"/>
        </w:rPr>
        <w:t>nt as the private equity securities did not have a readily determinable fair value, and the Company did not believe the investment was impaired as of March 31, 2022</w:t>
      </w:r>
      <w:r>
        <w:rPr>
          <w:sz w:val="20"/>
          <w:szCs w:val="20"/>
        </w:rPr>
        <w:t>.</w:t>
      </w:r>
    </w:p>
    <w:p w:rsidR="00000000" w:rsidRDefault="00DA50CE">
      <w:pPr>
        <w:pStyle w:val="a3"/>
        <w:spacing w:before="240" w:beforeAutospacing="0" w:after="0" w:afterAutospacing="0"/>
        <w:ind w:firstLine="555"/>
        <w:divId w:val="1247768909"/>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w:t>
      </w:r>
      <w:r>
        <w:rPr>
          <w:sz w:val="20"/>
          <w:szCs w:val="20"/>
        </w:rPr>
        <w:t>transfers between fair value measurement levels during the first quarter of 2022</w:t>
      </w:r>
      <w:r>
        <w:rPr>
          <w:sz w:val="20"/>
          <w:szCs w:val="20"/>
        </w:rPr>
        <w:t>.</w:t>
      </w:r>
    </w:p>
    <w:p w:rsidR="00000000" w:rsidRDefault="00DA50CE">
      <w:pPr>
        <w:pStyle w:val="a3"/>
        <w:spacing w:before="240" w:beforeAutospacing="0" w:after="0" w:afterAutospacing="0"/>
        <w:jc w:val="center"/>
        <w:rPr>
          <w:sz w:val="20"/>
          <w:szCs w:val="20"/>
        </w:rPr>
      </w:pPr>
      <w:r>
        <w:rPr>
          <w:sz w:val="20"/>
          <w:szCs w:val="20"/>
        </w:rPr>
        <w:t>1</w:t>
      </w:r>
      <w:r>
        <w:rPr>
          <w:sz w:val="20"/>
          <w:szCs w:val="20"/>
        </w:rPr>
        <w:t>2</w:t>
      </w:r>
    </w:p>
    <w:p w:rsidR="00000000" w:rsidRDefault="00DA50CE">
      <w:pPr>
        <w:rPr>
          <w:rFonts w:eastAsia="Times New Roman"/>
        </w:rPr>
      </w:pPr>
      <w:r>
        <w:rPr>
          <w:rFonts w:eastAsia="Times New Roman"/>
        </w:rPr>
        <w:pict>
          <v:rect id="_x0000_i1038" style="width:0;height:1.5pt" o:hralign="center" o:hrstd="t" o:hr="t" fillcolor="#a0a0a0" stroked="f"/>
        </w:pict>
      </w:r>
    </w:p>
    <w:p w:rsidR="00000000" w:rsidRDefault="00DA50CE">
      <w:pPr>
        <w:pStyle w:val="a3"/>
        <w:spacing w:before="360" w:beforeAutospacing="0" w:after="0" w:afterAutospacing="0"/>
        <w:divId w:val="1580014982"/>
        <w:rPr>
          <w:sz w:val="20"/>
          <w:szCs w:val="20"/>
        </w:rPr>
      </w:pPr>
      <w:r>
        <w:rPr>
          <w:b/>
          <w:bCs/>
          <w:sz w:val="20"/>
          <w:szCs w:val="20"/>
        </w:rPr>
        <w:t>Note 5. Fixed Asset</w:t>
      </w:r>
      <w:r>
        <w:rPr>
          <w:b/>
          <w:bCs/>
          <w:sz w:val="20"/>
          <w:szCs w:val="20"/>
        </w:rPr>
        <w:t>s</w:t>
      </w:r>
    </w:p>
    <w:p w:rsidR="00000000" w:rsidRDefault="00DA50CE">
      <w:pPr>
        <w:pStyle w:val="a3"/>
        <w:spacing w:before="120" w:beforeAutospacing="0" w:after="0" w:afterAutospacing="0"/>
        <w:ind w:firstLine="555"/>
        <w:divId w:val="449057269"/>
        <w:rPr>
          <w:sz w:val="20"/>
          <w:szCs w:val="20"/>
        </w:rPr>
      </w:pPr>
      <w:r>
        <w:rPr>
          <w:sz w:val="20"/>
          <w:szCs w:val="20"/>
        </w:rPr>
        <w:t>Major classes of fixed assets consisted of the following</w:t>
      </w:r>
      <w:r>
        <w:rPr>
          <w:sz w:val="20"/>
          <w:szCs w:val="20"/>
        </w:rPr>
        <w:t>:</w:t>
      </w:r>
    </w:p>
    <w:p w:rsidR="00000000" w:rsidRDefault="00DA50CE">
      <w:pPr>
        <w:pStyle w:val="a3"/>
        <w:spacing w:before="0" w:beforeAutospacing="0" w:after="0" w:afterAutospacing="0"/>
        <w:divId w:val="44905726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5"/>
        <w:gridCol w:w="3058"/>
        <w:gridCol w:w="160"/>
        <w:gridCol w:w="797"/>
        <w:gridCol w:w="127"/>
        <w:gridCol w:w="110"/>
        <w:gridCol w:w="160"/>
        <w:gridCol w:w="677"/>
        <w:gridCol w:w="142"/>
      </w:tblGrid>
      <w:tr w:rsidR="00000000">
        <w:trPr>
          <w:divId w:val="449057269"/>
          <w:tblCellSpacing w:w="15" w:type="dxa"/>
        </w:trPr>
        <w:tc>
          <w:tcPr>
            <w:tcW w:w="1908" w:type="pct"/>
            <w:vAlign w:val="center"/>
            <w:hideMark/>
          </w:tcPr>
          <w:p w:rsidR="00000000" w:rsidRDefault="00DA50CE">
            <w:pPr>
              <w:rPr>
                <w:sz w:val="20"/>
                <w:szCs w:val="20"/>
              </w:rPr>
            </w:pPr>
          </w:p>
        </w:tc>
        <w:tc>
          <w:tcPr>
            <w:tcW w:w="1907"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496"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c>
          <w:tcPr>
            <w:tcW w:w="57"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411"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r>
      <w:tr w:rsidR="00000000">
        <w:trPr>
          <w:divId w:val="449057269"/>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49057269"/>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b/>
                <w:bCs/>
                <w:sz w:val="16"/>
                <w:szCs w:val="16"/>
              </w:rPr>
              <w:t>Useful Live</w:t>
            </w:r>
            <w:r>
              <w:rPr>
                <w:b/>
                <w:bCs/>
                <w:sz w:val="16"/>
                <w:szCs w:val="16"/>
              </w:rPr>
              <w:t>s</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49057269"/>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Medical lab equipmen</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12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40,07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35,93</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Buildin</w:t>
            </w:r>
            <w:r>
              <w:rPr>
                <w:sz w:val="20"/>
                <w:szCs w:val="20"/>
              </w:rPr>
              <w:t>g</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3</w:t>
            </w:r>
            <w:r>
              <w:rPr>
                <w:sz w:val="20"/>
                <w:szCs w:val="20"/>
              </w:rPr>
              <w:t>9</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Aircraf</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Computer hardwar</w:t>
            </w:r>
            <w:r>
              <w:rPr>
                <w:sz w:val="20"/>
                <w:szCs w:val="20"/>
              </w:rPr>
              <w:t>e</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3</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5,72</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5,66</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Shorter of lease term or estimated useful lif</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Building improvement</w:t>
            </w:r>
            <w:r>
              <w:rPr>
                <w:sz w:val="20"/>
                <w:szCs w:val="20"/>
              </w:rPr>
              <w:t>s</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6</w:t>
            </w:r>
            <w:r>
              <w:rPr>
                <w:sz w:val="20"/>
                <w:szCs w:val="20"/>
              </w:rPr>
              <w:t> months to</w:t>
            </w:r>
            <w:r>
              <w:rPr>
                <w:sz w:val="20"/>
                <w:szCs w:val="20"/>
              </w:rPr>
              <w:t xml:space="preserve"> </w:t>
            </w:r>
            <w:r>
              <w:rPr>
                <w:sz w:val="20"/>
                <w:szCs w:val="20"/>
              </w:rPr>
              <w:t>3</w:t>
            </w:r>
            <w:r>
              <w:rPr>
                <w:sz w:val="20"/>
                <w:szCs w:val="20"/>
              </w:rPr>
              <w:t>9</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4,65</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3,93</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2</w:t>
            </w:r>
            <w:r>
              <w:rPr>
                <w:sz w:val="20"/>
                <w:szCs w:val="20"/>
              </w:rPr>
              <w:t> to</w:t>
            </w:r>
            <w:r>
              <w:rPr>
                <w:sz w:val="20"/>
                <w:szCs w:val="20"/>
              </w:rPr>
              <w:t xml:space="preserve"> </w:t>
            </w:r>
            <w:r>
              <w:rPr>
                <w:sz w:val="20"/>
                <w:szCs w:val="20"/>
              </w:rPr>
              <w:t>10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2,25</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Computer softwar</w:t>
            </w:r>
            <w:r>
              <w:rPr>
                <w:sz w:val="20"/>
                <w:szCs w:val="20"/>
              </w:rPr>
              <w:t>e</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3</w:t>
            </w:r>
            <w:r>
              <w:rPr>
                <w:sz w:val="20"/>
                <w:szCs w:val="20"/>
              </w:rPr>
              <w:t> to</w:t>
            </w:r>
            <w:r>
              <w:rPr>
                <w:sz w:val="20"/>
                <w:szCs w:val="20"/>
              </w:rPr>
              <w:t xml:space="preserve"> </w:t>
            </w:r>
            <w:r>
              <w:rPr>
                <w:sz w:val="20"/>
                <w:szCs w:val="20"/>
              </w:rPr>
              <w:t>5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1,40</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Automobil</w:t>
            </w:r>
            <w:r>
              <w:rPr>
                <w:sz w:val="20"/>
                <w:szCs w:val="20"/>
              </w:rPr>
              <w:t>e</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2</w:t>
            </w:r>
            <w:r>
              <w:rPr>
                <w:sz w:val="20"/>
                <w:szCs w:val="20"/>
              </w:rPr>
              <w:t xml:space="preserve"> </w:t>
            </w:r>
            <w:r>
              <w:rPr>
                <w:sz w:val="20"/>
                <w:szCs w:val="20"/>
              </w:rPr>
              <w:t>to</w:t>
            </w:r>
            <w:r>
              <w:rPr>
                <w:sz w:val="20"/>
                <w:szCs w:val="20"/>
              </w:rPr>
              <w:t xml:space="preserve"> </w:t>
            </w:r>
            <w:r>
              <w:rPr>
                <w:sz w:val="20"/>
                <w:szCs w:val="20"/>
              </w:rPr>
              <w:t>7</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82</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Land improvement</w:t>
            </w:r>
            <w:r>
              <w:rPr>
                <w:sz w:val="20"/>
                <w:szCs w:val="20"/>
              </w:rPr>
              <w:t>s</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5</w:t>
            </w:r>
            <w:r>
              <w:rPr>
                <w:sz w:val="20"/>
                <w:szCs w:val="20"/>
              </w:rPr>
              <w:t> to</w:t>
            </w:r>
            <w:r>
              <w:rPr>
                <w:sz w:val="20"/>
                <w:szCs w:val="20"/>
              </w:rPr>
              <w:t xml:space="preserve"> </w:t>
            </w:r>
            <w:r>
              <w:rPr>
                <w:sz w:val="20"/>
                <w:szCs w:val="20"/>
              </w:rPr>
              <w:t>1</w:t>
            </w:r>
            <w:r>
              <w:rPr>
                <w:sz w:val="20"/>
                <w:szCs w:val="20"/>
              </w:rPr>
              <w:t>5</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55</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General equipmen</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3</w:t>
            </w:r>
            <w:r>
              <w:rPr>
                <w:sz w:val="20"/>
                <w:szCs w:val="20"/>
              </w:rPr>
              <w:t> to</w:t>
            </w:r>
            <w:r>
              <w:rPr>
                <w:sz w:val="20"/>
                <w:szCs w:val="20"/>
              </w:rPr>
              <w:t xml:space="preserve"> </w:t>
            </w:r>
            <w:r>
              <w:rPr>
                <w:sz w:val="20"/>
                <w:szCs w:val="20"/>
              </w:rPr>
              <w:t>5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Lan</w:t>
            </w:r>
            <w:r>
              <w:rPr>
                <w:sz w:val="20"/>
                <w:szCs w:val="20"/>
              </w:rPr>
              <w:t>d</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7,50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7,50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Assets not yet placed in servic</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10,69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91,83</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81,91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23,21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19,63</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449057269"/>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Fixed assets,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68,62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62,28</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580014982"/>
        <w:rPr>
          <w:sz w:val="20"/>
          <w:szCs w:val="20"/>
        </w:rPr>
      </w:pPr>
      <w:r>
        <w:rPr>
          <w:sz w:val="20"/>
          <w:szCs w:val="20"/>
        </w:rPr>
        <w:t> </w:t>
      </w:r>
    </w:p>
    <w:p w:rsidR="00000000" w:rsidRDefault="00DA50CE">
      <w:pPr>
        <w:pStyle w:val="a3"/>
        <w:spacing w:before="40" w:beforeAutospacing="0" w:after="0" w:afterAutospacing="0"/>
        <w:ind w:firstLine="555"/>
        <w:divId w:val="1580014982"/>
        <w:rPr>
          <w:sz w:val="20"/>
          <w:szCs w:val="20"/>
        </w:rPr>
      </w:pPr>
      <w:r>
        <w:rPr>
          <w:sz w:val="20"/>
          <w:szCs w:val="20"/>
        </w:rPr>
        <w:t xml:space="preserve">Depreciation expenses on fixed assets totaled </w:t>
      </w:r>
      <w:r>
        <w:rPr>
          <w:sz w:val="20"/>
          <w:szCs w:val="20"/>
        </w:rPr>
        <w:t>$</w:t>
      </w:r>
      <w:r>
        <w:rPr>
          <w:sz w:val="20"/>
          <w:szCs w:val="20"/>
        </w:rPr>
        <w:t>3.</w:t>
      </w:r>
      <w:r>
        <w:rPr>
          <w:sz w:val="20"/>
          <w:szCs w:val="20"/>
        </w:rPr>
        <w:t>7</w:t>
      </w:r>
      <w:r>
        <w:rPr>
          <w:sz w:val="20"/>
          <w:szCs w:val="20"/>
        </w:rPr>
        <w:t xml:space="preserve"> millio</w:t>
      </w:r>
      <w:r>
        <w:rPr>
          <w:sz w:val="20"/>
          <w:szCs w:val="20"/>
        </w:rPr>
        <w:t>n</w:t>
      </w:r>
      <w:r>
        <w:rPr>
          <w:sz w:val="20"/>
          <w:szCs w:val="20"/>
        </w:rPr>
        <w:t xml:space="preserve"> and </w:t>
      </w:r>
      <w:r>
        <w:rPr>
          <w:sz w:val="20"/>
          <w:szCs w:val="20"/>
        </w:rPr>
        <w:t>$</w:t>
      </w:r>
      <w:r>
        <w:rPr>
          <w:sz w:val="20"/>
          <w:szCs w:val="20"/>
        </w:rPr>
        <w:t>1.</w:t>
      </w:r>
      <w:r>
        <w:rPr>
          <w:sz w:val="20"/>
          <w:szCs w:val="20"/>
        </w:rPr>
        <w:t>9</w:t>
      </w:r>
      <w:r>
        <w:rPr>
          <w:sz w:val="20"/>
          <w:szCs w:val="20"/>
        </w:rPr>
        <w:t xml:space="preserve"> million for the first quarters of 2022 and 2021, respectively.</w:t>
      </w:r>
      <w:r>
        <w:rPr>
          <w:sz w:val="20"/>
          <w:szCs w:val="20"/>
        </w:rPr>
        <w:t xml:space="preserve"> </w:t>
      </w:r>
      <w:r>
        <w:rPr>
          <w:sz w:val="20"/>
          <w:szCs w:val="20"/>
        </w:rPr>
        <w:t>During March 2022, the Company revised the estimated useful lives of certain fixed assets dedicated to the Company’s COVID-19</w:t>
      </w:r>
      <w:r>
        <w:rPr>
          <w:sz w:val="20"/>
          <w:szCs w:val="20"/>
        </w:rPr>
        <w:t xml:space="preserve"> testing to conclude at the end of 2022 which resulted in an incremental depreciation expense of </w:t>
      </w:r>
      <w:r>
        <w:rPr>
          <w:sz w:val="20"/>
          <w:szCs w:val="20"/>
        </w:rPr>
        <w:t>$</w:t>
      </w:r>
      <w:r>
        <w:rPr>
          <w:sz w:val="20"/>
          <w:szCs w:val="20"/>
        </w:rPr>
        <w:t>866,00</w:t>
      </w:r>
      <w:r>
        <w:rPr>
          <w:sz w:val="20"/>
          <w:szCs w:val="20"/>
        </w:rPr>
        <w:t>0</w:t>
      </w:r>
      <w:r>
        <w:rPr>
          <w:sz w:val="20"/>
          <w:szCs w:val="20"/>
        </w:rPr>
        <w:t xml:space="preserve"> in the first quarter of 2022</w:t>
      </w:r>
      <w:r>
        <w:rPr>
          <w:sz w:val="20"/>
          <w:szCs w:val="20"/>
        </w:rPr>
        <w:t>.</w:t>
      </w:r>
    </w:p>
    <w:p w:rsidR="00000000" w:rsidRDefault="00DA50CE">
      <w:pPr>
        <w:pStyle w:val="a3"/>
        <w:spacing w:before="360" w:beforeAutospacing="0" w:after="0" w:afterAutospacing="0"/>
        <w:divId w:val="813522533"/>
        <w:rPr>
          <w:sz w:val="20"/>
          <w:szCs w:val="20"/>
        </w:rPr>
      </w:pPr>
      <w:r>
        <w:rPr>
          <w:b/>
          <w:bCs/>
          <w:sz w:val="20"/>
          <w:szCs w:val="20"/>
        </w:rPr>
        <w:t>Note 6. Other Current Asset</w:t>
      </w:r>
      <w:r>
        <w:rPr>
          <w:b/>
          <w:bCs/>
          <w:sz w:val="20"/>
          <w:szCs w:val="20"/>
        </w:rPr>
        <w:t>s</w:t>
      </w:r>
    </w:p>
    <w:p w:rsidR="00000000" w:rsidRDefault="00DA50CE">
      <w:pPr>
        <w:pStyle w:val="a3"/>
        <w:spacing w:before="120" w:beforeAutospacing="0" w:after="0" w:afterAutospacing="0"/>
        <w:ind w:firstLine="555"/>
        <w:divId w:val="505248738"/>
        <w:rPr>
          <w:sz w:val="20"/>
          <w:szCs w:val="20"/>
        </w:rPr>
      </w:pPr>
      <w:r>
        <w:rPr>
          <w:sz w:val="20"/>
          <w:szCs w:val="20"/>
        </w:rPr>
        <w:t>Other current assets consisted of the following</w:t>
      </w:r>
      <w:r>
        <w:rPr>
          <w:sz w:val="20"/>
          <w:szCs w:val="20"/>
        </w:rPr>
        <w:t>:</w:t>
      </w:r>
    </w:p>
    <w:p w:rsidR="00000000" w:rsidRDefault="00DA50CE">
      <w:pPr>
        <w:pStyle w:val="a3"/>
        <w:spacing w:before="0" w:beforeAutospacing="0" w:after="0" w:afterAutospacing="0"/>
        <w:divId w:val="50524873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2"/>
        <w:gridCol w:w="160"/>
        <w:gridCol w:w="1350"/>
        <w:gridCol w:w="110"/>
        <w:gridCol w:w="173"/>
        <w:gridCol w:w="160"/>
        <w:gridCol w:w="1356"/>
        <w:gridCol w:w="125"/>
      </w:tblGrid>
      <w:tr w:rsidR="00000000">
        <w:trPr>
          <w:divId w:val="505248738"/>
          <w:tblCellSpacing w:w="15" w:type="dxa"/>
        </w:trPr>
        <w:tc>
          <w:tcPr>
            <w:tcW w:w="3013"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2" w:type="pct"/>
            <w:vAlign w:val="center"/>
            <w:hideMark/>
          </w:tcPr>
          <w:p w:rsidR="00000000" w:rsidRDefault="00DA50CE">
            <w:pPr>
              <w:rPr>
                <w:rFonts w:eastAsia="Times New Roman"/>
                <w:sz w:val="20"/>
                <w:szCs w:val="20"/>
              </w:rPr>
            </w:pPr>
          </w:p>
        </w:tc>
        <w:tc>
          <w:tcPr>
            <w:tcW w:w="48" w:type="pct"/>
            <w:vAlign w:val="center"/>
            <w:hideMark/>
          </w:tcPr>
          <w:p w:rsidR="00000000" w:rsidRDefault="00DA50CE">
            <w:pPr>
              <w:rPr>
                <w:rFonts w:eastAsia="Times New Roman"/>
                <w:sz w:val="20"/>
                <w:szCs w:val="20"/>
              </w:rPr>
            </w:pPr>
          </w:p>
        </w:tc>
        <w:tc>
          <w:tcPr>
            <w:tcW w:w="100"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48" w:type="pct"/>
            <w:vAlign w:val="center"/>
            <w:hideMark/>
          </w:tcPr>
          <w:p w:rsidR="00000000" w:rsidRDefault="00DA50CE">
            <w:pPr>
              <w:rPr>
                <w:rFonts w:eastAsia="Times New Roman"/>
                <w:sz w:val="20"/>
                <w:szCs w:val="20"/>
              </w:rPr>
            </w:pPr>
          </w:p>
        </w:tc>
      </w:tr>
      <w:tr w:rsidR="00000000">
        <w:trPr>
          <w:divId w:val="505248738"/>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505248738"/>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505248738"/>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Reagents and supplie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10,61</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12,20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Prepaid expense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4,69</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4,24</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Marketable securities interest receivabl</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2,74</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Other receivabl</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Contract asset</w:t>
            </w:r>
            <w:r>
              <w:rPr>
                <w:sz w:val="20"/>
                <w:szCs w:val="20"/>
              </w:rPr>
              <w:t>s</w:t>
            </w:r>
          </w:p>
        </w:tc>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hideMark/>
          </w:tcPr>
          <w:p w:rsidR="00000000" w:rsidRDefault="00DA50CE">
            <w:pPr>
              <w:pStyle w:val="a3"/>
              <w:spacing w:before="0" w:beforeAutospacing="0" w:after="0" w:afterAutospacing="0"/>
              <w:jc w:val="right"/>
              <w:rPr>
                <w:sz w:val="20"/>
                <w:szCs w:val="20"/>
              </w:rPr>
            </w:pPr>
            <w:r>
              <w:rPr>
                <w:sz w:val="20"/>
                <w:szCs w:val="20"/>
              </w:rPr>
              <w:t>23</w:t>
            </w:r>
            <w:r>
              <w:rPr>
                <w:sz w:val="20"/>
                <w:szCs w:val="20"/>
              </w:rPr>
              <w:t>1</w:t>
            </w:r>
          </w:p>
        </w:tc>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Prepaid income taxe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1,71</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505248738"/>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19,95</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22,54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ind w:firstLine="555"/>
        <w:divId w:val="813522533"/>
        <w:rPr>
          <w:sz w:val="20"/>
          <w:szCs w:val="20"/>
        </w:rPr>
      </w:pPr>
      <w:r>
        <w:rPr>
          <w:sz w:val="20"/>
          <w:szCs w:val="20"/>
        </w:rPr>
        <w:t> </w:t>
      </w:r>
    </w:p>
    <w:p w:rsidR="00000000" w:rsidRDefault="00DA50CE">
      <w:pPr>
        <w:pStyle w:val="a3"/>
        <w:spacing w:before="40" w:beforeAutospacing="0" w:after="0" w:afterAutospacing="0"/>
        <w:ind w:firstLine="555"/>
        <w:divId w:val="813522533"/>
        <w:rPr>
          <w:sz w:val="20"/>
          <w:szCs w:val="20"/>
        </w:rPr>
      </w:pPr>
      <w:r>
        <w:rPr>
          <w:sz w:val="20"/>
          <w:szCs w:val="20"/>
        </w:rPr>
        <w:t>Reagents and supplies include reagents and consumables used for COVID-19 testing and genetics testing and collection kits for COVID-19 testing</w:t>
      </w:r>
      <w:r>
        <w:rPr>
          <w:sz w:val="20"/>
          <w:szCs w:val="20"/>
        </w:rPr>
        <w:t>.</w:t>
      </w:r>
      <w:r>
        <w:rPr>
          <w:sz w:val="20"/>
          <w:szCs w:val="20"/>
        </w:rPr>
        <w:t xml:space="preserve"> </w:t>
      </w:r>
    </w:p>
    <w:p w:rsidR="00000000" w:rsidRDefault="00DA50CE">
      <w:pPr>
        <w:pStyle w:val="a3"/>
        <w:spacing w:before="360" w:beforeAutospacing="0" w:after="0" w:afterAutospacing="0"/>
        <w:divId w:val="98256373"/>
        <w:rPr>
          <w:sz w:val="20"/>
          <w:szCs w:val="20"/>
        </w:rPr>
      </w:pPr>
      <w:r>
        <w:rPr>
          <w:b/>
          <w:bCs/>
          <w:sz w:val="20"/>
          <w:szCs w:val="20"/>
        </w:rPr>
        <w:t>Note</w:t>
      </w:r>
      <w:r>
        <w:rPr>
          <w:b/>
          <w:bCs/>
          <w:sz w:val="20"/>
          <w:szCs w:val="20"/>
        </w:rPr>
        <w:t xml:space="preserve"> </w:t>
      </w:r>
      <w:r>
        <w:rPr>
          <w:b/>
          <w:bCs/>
          <w:sz w:val="20"/>
          <w:szCs w:val="20"/>
        </w:rPr>
        <w:t>7. Reporting Segment and Geographic Informatio</w:t>
      </w:r>
      <w:r>
        <w:rPr>
          <w:b/>
          <w:bCs/>
          <w:sz w:val="20"/>
          <w:szCs w:val="20"/>
        </w:rPr>
        <w:t>n</w:t>
      </w:r>
    </w:p>
    <w:p w:rsidR="00000000" w:rsidRDefault="00DA50CE">
      <w:pPr>
        <w:pStyle w:val="a3"/>
        <w:spacing w:before="120" w:beforeAutospacing="0" w:after="0" w:afterAutospacing="0"/>
        <w:ind w:firstLine="555"/>
        <w:divId w:val="98256373"/>
        <w:rPr>
          <w:sz w:val="20"/>
          <w:szCs w:val="20"/>
        </w:rPr>
      </w:pPr>
      <w:r>
        <w:rPr>
          <w:sz w:val="20"/>
          <w:szCs w:val="20"/>
        </w:rPr>
        <w:t xml:space="preserve">The Company views its operations and manages its business </w:t>
      </w:r>
      <w:r>
        <w:rPr>
          <w:sz w:val="20"/>
          <w:szCs w:val="20"/>
        </w:rPr>
        <w:t>in</w:t>
      </w:r>
      <w:r>
        <w:rPr>
          <w:sz w:val="20"/>
          <w:szCs w:val="20"/>
        </w:rPr>
        <w:t xml:space="preserve"> </w:t>
      </w:r>
      <w:r>
        <w:rPr>
          <w:sz w:val="20"/>
          <w:szCs w:val="20"/>
        </w:rPr>
        <w:t>on</w:t>
      </w:r>
      <w:r>
        <w:rPr>
          <w:sz w:val="20"/>
          <w:szCs w:val="20"/>
        </w:rPr>
        <w:t>e</w:t>
      </w:r>
      <w:r>
        <w:rPr>
          <w:sz w:val="20"/>
          <w:szCs w:val="20"/>
        </w:rPr>
        <w:t xml:space="preserve"> reporting segment. Long-lived assets were primarily located in the United States as of March 31, 2022 and December 31, 2021.</w:t>
      </w:r>
      <w:r>
        <w:rPr>
          <w:sz w:val="20"/>
          <w:szCs w:val="20"/>
        </w:rPr>
        <w:t xml:space="preserve"> </w:t>
      </w:r>
      <w:r>
        <w:rPr>
          <w:sz w:val="20"/>
          <w:szCs w:val="20"/>
        </w:rPr>
        <w:t>Revenue by region during the first quarters of 2022 and 2021 were as follows</w:t>
      </w:r>
      <w:r>
        <w:rPr>
          <w:sz w:val="20"/>
          <w:szCs w:val="20"/>
        </w:rPr>
        <w:t>:</w:t>
      </w:r>
    </w:p>
    <w:p w:rsidR="00000000" w:rsidRDefault="00DA50CE">
      <w:pPr>
        <w:pStyle w:val="a3"/>
        <w:spacing w:before="0" w:beforeAutospacing="0" w:after="0" w:afterAutospacing="0"/>
        <w:divId w:val="212607459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0"/>
        <w:gridCol w:w="160"/>
        <w:gridCol w:w="1342"/>
        <w:gridCol w:w="110"/>
        <w:gridCol w:w="163"/>
        <w:gridCol w:w="160"/>
        <w:gridCol w:w="1343"/>
        <w:gridCol w:w="110"/>
        <w:gridCol w:w="178"/>
      </w:tblGrid>
      <w:tr w:rsidR="00000000">
        <w:trPr>
          <w:divId w:val="2126074592"/>
          <w:tblCellSpacing w:w="15" w:type="dxa"/>
        </w:trPr>
        <w:tc>
          <w:tcPr>
            <w:tcW w:w="2948"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6"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6"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r>
      <w:tr w:rsidR="00000000">
        <w:trPr>
          <w:divId w:val="2126074592"/>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2126074592"/>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2126074592"/>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8"/>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r>
      <w:tr w:rsidR="00000000">
        <w:trPr>
          <w:divId w:val="2126074592"/>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Revenue</w:t>
            </w:r>
            <w:r>
              <w:rPr>
                <w:b/>
                <w:bCs/>
                <w:sz w:val="20"/>
                <w:szCs w:val="20"/>
              </w:rPr>
              <w:t>:</w:t>
            </w:r>
          </w:p>
        </w:tc>
        <w:tc>
          <w:tcPr>
            <w:tcW w:w="0" w:type="auto"/>
            <w:gridSpan w:val="2"/>
            <w:hideMark/>
          </w:tcPr>
          <w:p w:rsidR="00000000" w:rsidRDefault="00DA50CE">
            <w:pPr>
              <w:pStyle w:val="a3"/>
              <w:spacing w:before="0" w:beforeAutospacing="0" w:after="0" w:afterAutospacing="0"/>
              <w:jc w:val="center"/>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hideMark/>
          </w:tcPr>
          <w:p w:rsidR="00000000" w:rsidRDefault="00DA50CE">
            <w:pPr>
              <w:pStyle w:val="a3"/>
              <w:spacing w:before="0" w:beforeAutospacing="0" w:after="0" w:afterAutospacing="0"/>
              <w:jc w:val="center"/>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sz w:val="20"/>
                <w:szCs w:val="20"/>
              </w:rPr>
              <w:t> </w:t>
            </w:r>
          </w:p>
        </w:tc>
      </w:tr>
      <w:tr w:rsidR="00000000">
        <w:trPr>
          <w:divId w:val="2126074592"/>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United State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317,19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357,53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2126074592"/>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Foreig</w:t>
            </w:r>
            <w:r>
              <w:rPr>
                <w:sz w:val="20"/>
                <w:szCs w:val="20"/>
              </w:rPr>
              <w:t>n</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3,07</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1,89</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2126074592"/>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Tota</w:t>
            </w:r>
            <w:r>
              <w:rPr>
                <w:sz w:val="20"/>
                <w:szCs w:val="20"/>
              </w:rPr>
              <w:t>l</w:t>
            </w:r>
          </w:p>
        </w:tc>
        <w:tc>
          <w:tcPr>
            <w:tcW w:w="0" w:type="auto"/>
            <w:hideMark/>
          </w:tcPr>
          <w:p w:rsidR="00000000" w:rsidRDefault="00DA50CE">
            <w:pPr>
              <w:pStyle w:val="a3"/>
              <w:spacing w:before="0" w:beforeAutospacing="0" w:after="0" w:afterAutospacing="0"/>
              <w:rPr>
                <w:sz w:val="20"/>
                <w:szCs w:val="20"/>
              </w:rPr>
            </w:pPr>
            <w:r>
              <w:rPr>
                <w:sz w:val="20"/>
                <w:szCs w:val="20"/>
              </w:rPr>
              <w:t>$</w:t>
            </w:r>
          </w:p>
        </w:tc>
        <w:tc>
          <w:tcPr>
            <w:tcW w:w="0" w:type="auto"/>
            <w:hideMark/>
          </w:tcPr>
          <w:p w:rsidR="00000000" w:rsidRDefault="00DA50CE">
            <w:pPr>
              <w:pStyle w:val="a3"/>
              <w:spacing w:before="0" w:beforeAutospacing="0" w:after="0" w:afterAutospacing="0"/>
              <w:jc w:val="right"/>
              <w:rPr>
                <w:sz w:val="20"/>
                <w:szCs w:val="20"/>
              </w:rPr>
            </w:pPr>
            <w:r>
              <w:rPr>
                <w:sz w:val="20"/>
                <w:szCs w:val="20"/>
              </w:rPr>
              <w:t>320,26</w:t>
            </w:r>
            <w:r>
              <w:rPr>
                <w:sz w:val="20"/>
                <w:szCs w:val="20"/>
              </w:rPr>
              <w:t>8</w:t>
            </w:r>
          </w:p>
        </w:tc>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hideMark/>
          </w:tcPr>
          <w:p w:rsidR="00000000" w:rsidRDefault="00DA50CE">
            <w:pPr>
              <w:pStyle w:val="a3"/>
              <w:spacing w:before="0" w:beforeAutospacing="0" w:after="0" w:afterAutospacing="0"/>
              <w:rPr>
                <w:sz w:val="20"/>
                <w:szCs w:val="20"/>
              </w:rPr>
            </w:pPr>
            <w:r>
              <w:rPr>
                <w:sz w:val="20"/>
                <w:szCs w:val="20"/>
              </w:rPr>
              <w:t>$</w:t>
            </w:r>
          </w:p>
        </w:tc>
        <w:tc>
          <w:tcPr>
            <w:tcW w:w="0" w:type="auto"/>
            <w:hideMark/>
          </w:tcPr>
          <w:p w:rsidR="00000000" w:rsidRDefault="00DA50CE">
            <w:pPr>
              <w:pStyle w:val="a3"/>
              <w:spacing w:before="0" w:beforeAutospacing="0" w:after="0" w:afterAutospacing="0"/>
              <w:jc w:val="right"/>
              <w:rPr>
                <w:sz w:val="20"/>
                <w:szCs w:val="20"/>
              </w:rPr>
            </w:pPr>
            <w:r>
              <w:rPr>
                <w:sz w:val="20"/>
                <w:szCs w:val="20"/>
              </w:rPr>
              <w:t>359,42</w:t>
            </w:r>
            <w:r>
              <w:rPr>
                <w:sz w:val="20"/>
                <w:szCs w:val="20"/>
              </w:rPr>
              <w:t>9</w:t>
            </w:r>
          </w:p>
        </w:tc>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hideMark/>
          </w:tcPr>
          <w:p w:rsidR="00000000" w:rsidRDefault="00DA50CE">
            <w:pPr>
              <w:pStyle w:val="a3"/>
              <w:spacing w:before="0" w:beforeAutospacing="0" w:after="0" w:afterAutospacing="0"/>
              <w:jc w:val="right"/>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1</w:t>
      </w:r>
      <w:r>
        <w:rPr>
          <w:sz w:val="20"/>
          <w:szCs w:val="20"/>
        </w:rPr>
        <w:t>3</w:t>
      </w:r>
    </w:p>
    <w:p w:rsidR="00000000" w:rsidRDefault="00DA50CE">
      <w:pPr>
        <w:rPr>
          <w:rFonts w:eastAsia="Times New Roman"/>
        </w:rPr>
      </w:pPr>
      <w:r>
        <w:rPr>
          <w:rFonts w:eastAsia="Times New Roman"/>
        </w:rPr>
        <w:pict>
          <v:rect id="_x0000_i1039" style="width:0;height:1.5pt" o:hralign="center" o:hrstd="t" o:hr="t" fillcolor="#a0a0a0" stroked="f"/>
        </w:pict>
      </w:r>
    </w:p>
    <w:p w:rsidR="00000000" w:rsidRDefault="00DA50CE">
      <w:pPr>
        <w:pStyle w:val="a3"/>
        <w:spacing w:before="360" w:beforeAutospacing="0" w:after="0" w:afterAutospacing="0"/>
        <w:divId w:val="1375933363"/>
        <w:rPr>
          <w:sz w:val="20"/>
          <w:szCs w:val="20"/>
        </w:rPr>
      </w:pPr>
      <w:r>
        <w:rPr>
          <w:b/>
          <w:bCs/>
          <w:sz w:val="20"/>
          <w:szCs w:val="20"/>
        </w:rPr>
        <w:t>Note</w:t>
      </w:r>
      <w:r>
        <w:rPr>
          <w:b/>
          <w:bCs/>
          <w:sz w:val="20"/>
          <w:szCs w:val="20"/>
        </w:rPr>
        <w:t xml:space="preserve"> </w:t>
      </w:r>
      <w:r>
        <w:rPr>
          <w:b/>
          <w:bCs/>
          <w:sz w:val="20"/>
          <w:szCs w:val="20"/>
        </w:rPr>
        <w:t>8. Debt, Commitments and Contingencie</w:t>
      </w:r>
      <w:r>
        <w:rPr>
          <w:b/>
          <w:bCs/>
          <w:sz w:val="20"/>
          <w:szCs w:val="20"/>
        </w:rPr>
        <w:t>s</w:t>
      </w:r>
    </w:p>
    <w:p w:rsidR="00000000" w:rsidRDefault="00DA50CE">
      <w:pPr>
        <w:pStyle w:val="a3"/>
        <w:spacing w:before="0" w:beforeAutospacing="0" w:after="0" w:afterAutospacing="0"/>
        <w:divId w:val="1375933363"/>
        <w:rPr>
          <w:sz w:val="20"/>
          <w:szCs w:val="20"/>
        </w:rPr>
      </w:pPr>
      <w:r>
        <w:rPr>
          <w:sz w:val="20"/>
          <w:szCs w:val="20"/>
        </w:rPr>
        <w:t> </w:t>
      </w:r>
    </w:p>
    <w:p w:rsidR="00000000" w:rsidRDefault="00DA50CE">
      <w:pPr>
        <w:pStyle w:val="a3"/>
        <w:spacing w:before="0" w:beforeAutospacing="0" w:after="0" w:afterAutospacing="0"/>
        <w:divId w:val="1375933363"/>
        <w:rPr>
          <w:sz w:val="20"/>
          <w:szCs w:val="20"/>
        </w:rPr>
      </w:pPr>
      <w:r>
        <w:rPr>
          <w:b/>
          <w:bCs/>
          <w:i/>
          <w:iCs/>
          <w:sz w:val="20"/>
          <w:szCs w:val="20"/>
        </w:rPr>
        <w:t>Deb</w:t>
      </w:r>
      <w:r>
        <w:rPr>
          <w:b/>
          <w:bCs/>
          <w:i/>
          <w:iCs/>
          <w:sz w:val="20"/>
          <w:szCs w:val="20"/>
        </w:rPr>
        <w:t>t</w:t>
      </w:r>
    </w:p>
    <w:p w:rsidR="00000000" w:rsidRDefault="00DA50CE">
      <w:pPr>
        <w:pStyle w:val="a3"/>
        <w:spacing w:before="120" w:beforeAutospacing="0" w:after="0" w:afterAutospacing="0"/>
        <w:ind w:firstLine="555"/>
        <w:divId w:val="1375933363"/>
        <w:rPr>
          <w:sz w:val="20"/>
          <w:szCs w:val="20"/>
        </w:rPr>
      </w:pPr>
      <w:r>
        <w:rPr>
          <w:sz w:val="20"/>
          <w:szCs w:val="20"/>
        </w:rPr>
        <w:t xml:space="preserve">As of March 31, 2022, the Company had an outstanding borrowing of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its margin account with the custodian of the Company’s marketable debt security inv</w:t>
      </w:r>
      <w:r>
        <w:rPr>
          <w:sz w:val="20"/>
          <w:szCs w:val="20"/>
        </w:rPr>
        <w:t>estment account, Pershing Advisor Solutions, LLC, a BNY Mellon Company. Margin account borrowings were used for the purchase of real property located in El Monte, California in 2020. The securities in the brokerage account were used as collateral for the m</w:t>
      </w:r>
      <w:r>
        <w:rPr>
          <w:sz w:val="20"/>
          <w:szCs w:val="20"/>
        </w:rPr>
        <w:t>argin loan. The custodian can issue a margin call at any time. The interest rate on the margin loan was the effective federal funds rate, or EFFR, plus a spread. The EFFR and/or the spread can be changed by BNY Mellon at any time. The interest was</w:t>
      </w:r>
      <w:r>
        <w:rPr>
          <w:sz w:val="20"/>
          <w:szCs w:val="20"/>
        </w:rPr>
        <w:t xml:space="preserve"> </w:t>
      </w:r>
      <w:r>
        <w:rPr>
          <w:sz w:val="20"/>
          <w:szCs w:val="20"/>
        </w:rPr>
        <w:t>1</w:t>
      </w:r>
      <w:r>
        <w:rPr>
          <w:sz w:val="20"/>
          <w:szCs w:val="20"/>
        </w:rPr>
        <w:t>% at th</w:t>
      </w:r>
      <w:r>
        <w:rPr>
          <w:sz w:val="20"/>
          <w:szCs w:val="20"/>
        </w:rPr>
        <w:t xml:space="preserve">e time of withdrawal of </w:t>
      </w:r>
      <w:r>
        <w:rPr>
          <w:sz w:val="20"/>
          <w:szCs w:val="20"/>
        </w:rPr>
        <w:t>$</w:t>
      </w:r>
      <w:r>
        <w:rPr>
          <w:sz w:val="20"/>
          <w:szCs w:val="20"/>
        </w:rPr>
        <w:t>15.</w:t>
      </w:r>
      <w:r>
        <w:rPr>
          <w:sz w:val="20"/>
          <w:szCs w:val="20"/>
        </w:rPr>
        <w:t>0</w:t>
      </w:r>
      <w:r>
        <w:rPr>
          <w:sz w:val="20"/>
          <w:szCs w:val="20"/>
        </w:rPr>
        <w:t xml:space="preserve"> million from the margin account, and the interest rate at March 31, 2022 was less than</w:t>
      </w:r>
      <w:r>
        <w:rPr>
          <w:sz w:val="20"/>
          <w:szCs w:val="20"/>
        </w:rPr>
        <w:t xml:space="preserve"> </w:t>
      </w:r>
      <w:r>
        <w:rPr>
          <w:sz w:val="20"/>
          <w:szCs w:val="20"/>
        </w:rPr>
        <w:t>1</w:t>
      </w:r>
      <w:r>
        <w:rPr>
          <w:sz w:val="20"/>
          <w:szCs w:val="20"/>
        </w:rPr>
        <w:t>%</w:t>
      </w:r>
      <w:r>
        <w:rPr>
          <w:sz w:val="20"/>
          <w:szCs w:val="20"/>
        </w:rPr>
        <w:t>. The Company did not make any other withdrawals from the margin account, and the outstanding balance is included in the accompanying Con</w:t>
      </w:r>
      <w:r>
        <w:rPr>
          <w:sz w:val="20"/>
          <w:szCs w:val="20"/>
        </w:rPr>
        <w:t>densed Consolidated Balance Sheets. The related interest expenses for the first quarters of 2022 and 2021 were both</w:t>
      </w:r>
      <w:r>
        <w:rPr>
          <w:sz w:val="20"/>
          <w:szCs w:val="20"/>
        </w:rPr>
        <w:t xml:space="preserve"> </w:t>
      </w:r>
      <w:r>
        <w:rPr>
          <w:sz w:val="20"/>
          <w:szCs w:val="20"/>
        </w:rPr>
        <w:t>$</w:t>
      </w:r>
      <w:r>
        <w:rPr>
          <w:sz w:val="20"/>
          <w:szCs w:val="20"/>
        </w:rPr>
        <w:t>29,00</w:t>
      </w:r>
      <w:r>
        <w:rPr>
          <w:sz w:val="20"/>
          <w:szCs w:val="20"/>
        </w:rPr>
        <w:t>0</w:t>
      </w:r>
      <w:r>
        <w:rPr>
          <w:sz w:val="20"/>
          <w:szCs w:val="20"/>
        </w:rPr>
        <w:t>.</w:t>
      </w:r>
    </w:p>
    <w:p w:rsidR="00000000" w:rsidRDefault="00DA50CE">
      <w:pPr>
        <w:pStyle w:val="a3"/>
        <w:spacing w:before="240" w:beforeAutospacing="0" w:after="0" w:afterAutospacing="0"/>
        <w:ind w:firstLine="555"/>
        <w:divId w:val="1375933363"/>
        <w:rPr>
          <w:sz w:val="20"/>
          <w:szCs w:val="20"/>
        </w:rPr>
      </w:pPr>
      <w:r>
        <w:rPr>
          <w:sz w:val="20"/>
          <w:szCs w:val="20"/>
        </w:rPr>
        <w:t>Notes payable as of March 31, 2022 consisted of</w:t>
      </w:r>
      <w:r>
        <w:rPr>
          <w:sz w:val="20"/>
          <w:szCs w:val="20"/>
        </w:rPr>
        <w:t xml:space="preserve"> </w:t>
      </w:r>
      <w:r>
        <w:rPr>
          <w:sz w:val="20"/>
          <w:szCs w:val="20"/>
        </w:rPr>
        <w:t>$</w:t>
      </w:r>
      <w:r>
        <w:rPr>
          <w:sz w:val="20"/>
          <w:szCs w:val="20"/>
        </w:rPr>
        <w:t>3.</w:t>
      </w:r>
      <w:r>
        <w:rPr>
          <w:sz w:val="20"/>
          <w:szCs w:val="20"/>
        </w:rPr>
        <w:t>8</w:t>
      </w:r>
      <w:r>
        <w:rPr>
          <w:sz w:val="20"/>
          <w:szCs w:val="20"/>
        </w:rPr>
        <w:t xml:space="preserve"> millio</w:t>
      </w:r>
      <w:r>
        <w:rPr>
          <w:sz w:val="20"/>
          <w:szCs w:val="20"/>
        </w:rPr>
        <w:t>n</w:t>
      </w:r>
      <w:r>
        <w:rPr>
          <w:sz w:val="20"/>
          <w:szCs w:val="20"/>
        </w:rPr>
        <w:t xml:space="preserve"> of notes payable related to an installment sale contract the Company e</w:t>
      </w:r>
      <w:r>
        <w:rPr>
          <w:sz w:val="20"/>
          <w:szCs w:val="20"/>
        </w:rPr>
        <w:t xml:space="preserve">ntered in February 2022 for a building and </w:t>
      </w:r>
      <w:r>
        <w:rPr>
          <w:sz w:val="20"/>
          <w:szCs w:val="20"/>
        </w:rPr>
        <w:t>$</w:t>
      </w:r>
      <w:r>
        <w:rPr>
          <w:sz w:val="20"/>
          <w:szCs w:val="20"/>
        </w:rPr>
        <w:t>5.</w:t>
      </w:r>
      <w:r>
        <w:rPr>
          <w:sz w:val="20"/>
          <w:szCs w:val="20"/>
        </w:rPr>
        <w:t>6</w:t>
      </w:r>
      <w:r>
        <w:rPr>
          <w:sz w:val="20"/>
          <w:szCs w:val="20"/>
        </w:rPr>
        <w:t xml:space="preserve"> millio</w:t>
      </w:r>
      <w:r>
        <w:rPr>
          <w:sz w:val="20"/>
          <w:szCs w:val="20"/>
        </w:rPr>
        <w:t>n</w:t>
      </w:r>
      <w:r>
        <w:rPr>
          <w:sz w:val="20"/>
          <w:szCs w:val="20"/>
        </w:rPr>
        <w:t xml:space="preserve"> of notes payable to Xilong Scientific Co., Ltd, or Xilong Scientific, by Fujian Fujun Gene Biotech Co., Ltd., or FF Gene Biotech.</w:t>
      </w:r>
      <w:r>
        <w:rPr>
          <w:sz w:val="20"/>
          <w:szCs w:val="20"/>
        </w:rPr>
        <w:t xml:space="preserve"> </w:t>
      </w:r>
      <w:r>
        <w:rPr>
          <w:sz w:val="20"/>
          <w:szCs w:val="20"/>
        </w:rPr>
        <w:t>The notes payable related to the installment sale is due in February 2</w:t>
      </w:r>
      <w:r>
        <w:rPr>
          <w:sz w:val="20"/>
          <w:szCs w:val="20"/>
        </w:rPr>
        <w:t>030, and the interest rate is</w:t>
      </w:r>
      <w:r>
        <w:rPr>
          <w:sz w:val="20"/>
          <w:szCs w:val="20"/>
        </w:rPr>
        <w:t xml:space="preserve"> </w:t>
      </w:r>
      <w:r>
        <w:rPr>
          <w:sz w:val="20"/>
          <w:szCs w:val="20"/>
        </w:rPr>
        <w:t>1.0</w:t>
      </w:r>
      <w:r>
        <w:rPr>
          <w:sz w:val="20"/>
          <w:szCs w:val="20"/>
        </w:rPr>
        <w:t>8</w:t>
      </w:r>
      <w:r>
        <w:rPr>
          <w:sz w:val="20"/>
          <w:szCs w:val="20"/>
        </w:rPr>
        <w:t>%</w:t>
      </w:r>
      <w:r>
        <w:rPr>
          <w:sz w:val="20"/>
          <w:szCs w:val="20"/>
        </w:rPr>
        <w:t>.</w:t>
      </w:r>
      <w:r>
        <w:rPr>
          <w:sz w:val="20"/>
          <w:szCs w:val="20"/>
        </w:rPr>
        <w:t xml:space="preserve"> The current portion and noncurrent portion are </w:t>
      </w:r>
      <w:r>
        <w:rPr>
          <w:sz w:val="20"/>
          <w:szCs w:val="20"/>
        </w:rPr>
        <w:t>$</w:t>
      </w:r>
      <w:r>
        <w:rPr>
          <w:sz w:val="20"/>
          <w:szCs w:val="20"/>
        </w:rPr>
        <w:t>461,00</w:t>
      </w:r>
      <w:r>
        <w:rPr>
          <w:sz w:val="20"/>
          <w:szCs w:val="20"/>
        </w:rPr>
        <w:t>0</w:t>
      </w:r>
      <w:r>
        <w:rPr>
          <w:sz w:val="20"/>
          <w:szCs w:val="20"/>
        </w:rPr>
        <w:t xml:space="preserve"> and </w:t>
      </w:r>
      <w:r>
        <w:rPr>
          <w:sz w:val="20"/>
          <w:szCs w:val="20"/>
        </w:rPr>
        <w:t>$</w:t>
      </w:r>
      <w:r>
        <w:rPr>
          <w:sz w:val="20"/>
          <w:szCs w:val="20"/>
        </w:rPr>
        <w:t>3.</w:t>
      </w:r>
      <w:r>
        <w:rPr>
          <w:sz w:val="20"/>
          <w:szCs w:val="20"/>
        </w:rPr>
        <w:t>4</w:t>
      </w:r>
      <w:r>
        <w:rPr>
          <w:sz w:val="20"/>
          <w:szCs w:val="20"/>
        </w:rPr>
        <w:t xml:space="preserve"> million, respectively, and the noncurrent portion is included in the Other Long-Term Liabilities in the accompanying Condensed Consolidated Balance Sheet.</w:t>
      </w:r>
      <w:r>
        <w:rPr>
          <w:sz w:val="20"/>
          <w:szCs w:val="20"/>
        </w:rPr>
        <w:t xml:space="preserve"> </w:t>
      </w:r>
      <w:r>
        <w:rPr>
          <w:sz w:val="20"/>
          <w:szCs w:val="20"/>
        </w:rPr>
        <w:t>The notes payable to Xilong Scientific are due on December 31, 2022, and the interest rate on the loan is</w:t>
      </w:r>
      <w:r>
        <w:rPr>
          <w:sz w:val="20"/>
          <w:szCs w:val="20"/>
        </w:rPr>
        <w:t xml:space="preserve"> </w:t>
      </w:r>
      <w:r>
        <w:rPr>
          <w:sz w:val="20"/>
          <w:szCs w:val="20"/>
        </w:rPr>
        <w:t>4.9</w:t>
      </w:r>
      <w:r>
        <w:rPr>
          <w:sz w:val="20"/>
          <w:szCs w:val="20"/>
        </w:rPr>
        <w:t>7</w:t>
      </w:r>
      <w:r>
        <w:rPr>
          <w:sz w:val="20"/>
          <w:szCs w:val="20"/>
        </w:rPr>
        <w:t>%</w:t>
      </w:r>
      <w:r>
        <w:rPr>
          <w:sz w:val="20"/>
          <w:szCs w:val="20"/>
        </w:rPr>
        <w:t>.</w:t>
      </w:r>
      <w:r>
        <w:rPr>
          <w:sz w:val="20"/>
          <w:szCs w:val="20"/>
        </w:rPr>
        <w:t xml:space="preserve"> The related interest expenses for the first quarter of 2022 were</w:t>
      </w:r>
      <w:r>
        <w:rPr>
          <w:sz w:val="20"/>
          <w:szCs w:val="20"/>
        </w:rPr>
        <w:t xml:space="preserve"> </w:t>
      </w:r>
      <w:r>
        <w:rPr>
          <w:sz w:val="20"/>
          <w:szCs w:val="20"/>
        </w:rPr>
        <w:t>$</w:t>
      </w:r>
      <w:r>
        <w:rPr>
          <w:sz w:val="20"/>
          <w:szCs w:val="20"/>
        </w:rPr>
        <w:t>78,00</w:t>
      </w:r>
      <w:r>
        <w:rPr>
          <w:sz w:val="20"/>
          <w:szCs w:val="20"/>
        </w:rPr>
        <w:t>0</w:t>
      </w:r>
      <w:r>
        <w:rPr>
          <w:sz w:val="20"/>
          <w:szCs w:val="20"/>
        </w:rPr>
        <w:t>, and there were</w:t>
      </w:r>
      <w:r>
        <w:rPr>
          <w:sz w:val="20"/>
          <w:szCs w:val="20"/>
        </w:rPr>
        <w:t xml:space="preserve"> </w:t>
      </w:r>
      <w:r>
        <w:rPr>
          <w:sz w:val="20"/>
          <w:szCs w:val="20"/>
        </w:rPr>
        <w:t>n</w:t>
      </w:r>
      <w:r>
        <w:rPr>
          <w:sz w:val="20"/>
          <w:szCs w:val="20"/>
        </w:rPr>
        <w:t>o</w:t>
      </w:r>
      <w:r>
        <w:rPr>
          <w:sz w:val="20"/>
          <w:szCs w:val="20"/>
        </w:rPr>
        <w:t xml:space="preserve"> related interest expenses in the first quarter of </w:t>
      </w:r>
      <w:r>
        <w:rPr>
          <w:sz w:val="20"/>
          <w:szCs w:val="20"/>
        </w:rPr>
        <w:t>2021 as the Company did not have such notes payable in the first quarter of 2021</w:t>
      </w:r>
      <w:r>
        <w:rPr>
          <w:sz w:val="20"/>
          <w:szCs w:val="20"/>
        </w:rPr>
        <w:t>.</w:t>
      </w:r>
    </w:p>
    <w:p w:rsidR="00000000" w:rsidRDefault="00DA50CE">
      <w:pPr>
        <w:pStyle w:val="a3"/>
        <w:spacing w:before="360" w:beforeAutospacing="0" w:after="0" w:afterAutospacing="0"/>
        <w:divId w:val="1375933363"/>
        <w:rPr>
          <w:sz w:val="20"/>
          <w:szCs w:val="20"/>
        </w:rPr>
      </w:pPr>
      <w:r>
        <w:rPr>
          <w:b/>
          <w:bCs/>
          <w:i/>
          <w:iCs/>
          <w:sz w:val="20"/>
          <w:szCs w:val="20"/>
        </w:rPr>
        <w:t>Operating Lease</w:t>
      </w:r>
      <w:r>
        <w:rPr>
          <w:b/>
          <w:bCs/>
          <w:i/>
          <w:iCs/>
          <w:sz w:val="20"/>
          <w:szCs w:val="20"/>
        </w:rPr>
        <w:t>s</w:t>
      </w:r>
    </w:p>
    <w:p w:rsidR="00000000" w:rsidRDefault="00DA50CE">
      <w:pPr>
        <w:pStyle w:val="a3"/>
        <w:spacing w:before="120" w:beforeAutospacing="0" w:after="0" w:afterAutospacing="0"/>
        <w:ind w:firstLine="555"/>
        <w:divId w:val="1375933363"/>
        <w:rPr>
          <w:sz w:val="20"/>
          <w:szCs w:val="20"/>
        </w:rPr>
      </w:pPr>
      <w:r>
        <w:rPr>
          <w:sz w:val="20"/>
          <w:szCs w:val="20"/>
        </w:rPr>
        <w:t>See Note 9, Leases, for further information</w:t>
      </w:r>
      <w:r>
        <w:rPr>
          <w:sz w:val="20"/>
          <w:szCs w:val="20"/>
        </w:rPr>
        <w:t>.</w:t>
      </w:r>
      <w:r>
        <w:rPr>
          <w:sz w:val="20"/>
          <w:szCs w:val="20"/>
        </w:rPr>
        <w:t xml:space="preserve"> </w:t>
      </w:r>
    </w:p>
    <w:p w:rsidR="00000000" w:rsidRDefault="00DA50CE">
      <w:pPr>
        <w:pStyle w:val="a3"/>
        <w:spacing w:before="360" w:beforeAutospacing="0" w:after="0" w:afterAutospacing="0"/>
        <w:divId w:val="1375933363"/>
        <w:rPr>
          <w:sz w:val="20"/>
          <w:szCs w:val="20"/>
        </w:rPr>
      </w:pPr>
      <w:r>
        <w:rPr>
          <w:b/>
          <w:bCs/>
          <w:i/>
          <w:iCs/>
          <w:sz w:val="20"/>
          <w:szCs w:val="20"/>
        </w:rPr>
        <w:t>Purchase Obligation</w:t>
      </w:r>
      <w:r>
        <w:rPr>
          <w:b/>
          <w:bCs/>
          <w:i/>
          <w:iCs/>
          <w:sz w:val="20"/>
          <w:szCs w:val="20"/>
        </w:rPr>
        <w:t>s</w:t>
      </w:r>
    </w:p>
    <w:p w:rsidR="00000000" w:rsidRDefault="00DA50CE">
      <w:pPr>
        <w:pStyle w:val="a3"/>
        <w:spacing w:before="120" w:beforeAutospacing="0" w:after="0" w:afterAutospacing="0"/>
        <w:ind w:firstLine="555"/>
        <w:divId w:val="1375933363"/>
        <w:rPr>
          <w:sz w:val="20"/>
          <w:szCs w:val="20"/>
        </w:rPr>
      </w:pPr>
      <w:r>
        <w:rPr>
          <w:sz w:val="20"/>
          <w:szCs w:val="20"/>
        </w:rPr>
        <w:t xml:space="preserve">As of March 31, 2022, the Company had non-cancelable purchase obligations of </w:t>
      </w:r>
      <w:r>
        <w:rPr>
          <w:sz w:val="20"/>
          <w:szCs w:val="20"/>
        </w:rPr>
        <w:t>$</w:t>
      </w:r>
      <w:r>
        <w:rPr>
          <w:sz w:val="20"/>
          <w:szCs w:val="20"/>
        </w:rPr>
        <w:t>9.</w:t>
      </w:r>
      <w:r>
        <w:rPr>
          <w:sz w:val="20"/>
          <w:szCs w:val="20"/>
        </w:rPr>
        <w:t>0</w:t>
      </w:r>
      <w:r>
        <w:rPr>
          <w:sz w:val="20"/>
          <w:szCs w:val="20"/>
        </w:rPr>
        <w:t xml:space="preserve"> million,</w:t>
      </w:r>
      <w:r>
        <w:rPr>
          <w:sz w:val="20"/>
          <w:szCs w:val="20"/>
        </w:rPr>
        <w:t xml:space="preserve"> of which, </w:t>
      </w:r>
      <w:r>
        <w:rPr>
          <w:sz w:val="20"/>
          <w:szCs w:val="20"/>
        </w:rPr>
        <w:t>$</w:t>
      </w:r>
      <w:r>
        <w:rPr>
          <w:sz w:val="20"/>
          <w:szCs w:val="20"/>
        </w:rPr>
        <w:t>8.</w:t>
      </w:r>
      <w:r>
        <w:rPr>
          <w:sz w:val="20"/>
          <w:szCs w:val="20"/>
        </w:rPr>
        <w:t>3</w:t>
      </w:r>
      <w:r>
        <w:rPr>
          <w:sz w:val="20"/>
          <w:szCs w:val="20"/>
        </w:rPr>
        <w:t xml:space="preserve"> millio</w:t>
      </w:r>
      <w:r>
        <w:rPr>
          <w:sz w:val="20"/>
          <w:szCs w:val="20"/>
        </w:rPr>
        <w:t>n</w:t>
      </w:r>
      <w:r>
        <w:rPr>
          <w:sz w:val="20"/>
          <w:szCs w:val="20"/>
        </w:rPr>
        <w:t xml:space="preserve"> for reagents and other supplies,</w:t>
      </w:r>
      <w:r>
        <w:rPr>
          <w:sz w:val="20"/>
          <w:szCs w:val="20"/>
        </w:rPr>
        <w:t xml:space="preserve"> </w:t>
      </w:r>
      <w:r>
        <w:rPr>
          <w:sz w:val="20"/>
          <w:szCs w:val="20"/>
        </w:rPr>
        <w:t>$</w:t>
      </w:r>
      <w:r>
        <w:rPr>
          <w:sz w:val="20"/>
          <w:szCs w:val="20"/>
        </w:rPr>
        <w:t>400,00</w:t>
      </w:r>
      <w:r>
        <w:rPr>
          <w:sz w:val="20"/>
          <w:szCs w:val="20"/>
        </w:rPr>
        <w:t>0</w:t>
      </w:r>
      <w:r>
        <w:rPr>
          <w:sz w:val="20"/>
          <w:szCs w:val="20"/>
        </w:rPr>
        <w:t xml:space="preserve"> for medical lab equipment, and</w:t>
      </w:r>
      <w:r>
        <w:rPr>
          <w:sz w:val="20"/>
          <w:szCs w:val="20"/>
        </w:rPr>
        <w:t xml:space="preserve"> </w:t>
      </w:r>
      <w:r>
        <w:rPr>
          <w:sz w:val="20"/>
          <w:szCs w:val="20"/>
        </w:rPr>
        <w:t>$</w:t>
      </w:r>
      <w:r>
        <w:rPr>
          <w:sz w:val="20"/>
          <w:szCs w:val="20"/>
        </w:rPr>
        <w:t>300,00</w:t>
      </w:r>
      <w:r>
        <w:rPr>
          <w:sz w:val="20"/>
          <w:szCs w:val="20"/>
        </w:rPr>
        <w:t>0</w:t>
      </w:r>
      <w:r>
        <w:rPr>
          <w:sz w:val="20"/>
          <w:szCs w:val="20"/>
        </w:rPr>
        <w:t xml:space="preserve"> for medical lab furniture are payable within twelve months</w:t>
      </w:r>
      <w:r>
        <w:rPr>
          <w:sz w:val="20"/>
          <w:szCs w:val="20"/>
        </w:rPr>
        <w:t>.</w:t>
      </w:r>
    </w:p>
    <w:p w:rsidR="00000000" w:rsidRDefault="00DA50CE">
      <w:pPr>
        <w:pStyle w:val="a3"/>
        <w:spacing w:before="360" w:beforeAutospacing="0" w:after="0" w:afterAutospacing="0"/>
        <w:divId w:val="1375933363"/>
        <w:rPr>
          <w:sz w:val="20"/>
          <w:szCs w:val="20"/>
        </w:rPr>
      </w:pPr>
      <w:r>
        <w:rPr>
          <w:b/>
          <w:bCs/>
          <w:i/>
          <w:iCs/>
          <w:sz w:val="20"/>
          <w:szCs w:val="20"/>
        </w:rPr>
        <w:t>Contingencie</w:t>
      </w:r>
      <w:r>
        <w:rPr>
          <w:b/>
          <w:bCs/>
          <w:i/>
          <w:iCs/>
          <w:sz w:val="20"/>
          <w:szCs w:val="20"/>
        </w:rPr>
        <w:t>s</w:t>
      </w:r>
    </w:p>
    <w:p w:rsidR="00000000" w:rsidRDefault="00DA50CE">
      <w:pPr>
        <w:pStyle w:val="a3"/>
        <w:spacing w:before="120" w:beforeAutospacing="0" w:after="0" w:afterAutospacing="0"/>
        <w:ind w:firstLine="555"/>
        <w:divId w:val="1375933363"/>
        <w:rPr>
          <w:sz w:val="20"/>
          <w:szCs w:val="20"/>
        </w:rPr>
      </w:pPr>
      <w:r>
        <w:rPr>
          <w:sz w:val="20"/>
          <w:szCs w:val="20"/>
        </w:rPr>
        <w:t>From time to time, the Company may be subject to legal proceedings and claim</w:t>
      </w:r>
      <w:r>
        <w:rPr>
          <w:sz w:val="20"/>
          <w:szCs w:val="20"/>
        </w:rPr>
        <w:t>s arising in the ordinary course of business. In the opinion of management, the outcome of these matters would not have a material effect on the Company’s condensed consolidated financial position, results of operations or cash flows</w:t>
      </w:r>
      <w:r>
        <w:rPr>
          <w:sz w:val="20"/>
          <w:szCs w:val="20"/>
        </w:rPr>
        <w:t>.</w:t>
      </w:r>
    </w:p>
    <w:p w:rsidR="00000000" w:rsidRDefault="00DA50CE">
      <w:pPr>
        <w:pStyle w:val="a3"/>
        <w:spacing w:before="240" w:beforeAutospacing="0" w:after="0" w:afterAutospacing="0"/>
        <w:ind w:firstLine="555"/>
        <w:divId w:val="1375933363"/>
        <w:rPr>
          <w:sz w:val="20"/>
          <w:szCs w:val="20"/>
        </w:rPr>
      </w:pPr>
      <w:r>
        <w:rPr>
          <w:sz w:val="20"/>
          <w:szCs w:val="20"/>
        </w:rPr>
        <w:t>The Company has received a Civil Investigative Demand, or CID, issued by the U.S. Department of Justice pursuant to the False Claims Act related to its investigation of allegations of medically unnecessary laboratory testing, improper billing for laborator</w:t>
      </w:r>
      <w:r>
        <w:rPr>
          <w:sz w:val="20"/>
          <w:szCs w:val="20"/>
        </w:rPr>
        <w:t xml:space="preserve">y testing, and remuneration received or provided in violation of the Anti-Kickback Statute and the Stark Law. This CID requests information and records relating to certain of the Company’s customers named in the CID, which represent a small portion of the </w:t>
      </w:r>
      <w:r>
        <w:rPr>
          <w:sz w:val="20"/>
          <w:szCs w:val="20"/>
        </w:rPr>
        <w:t>Company’s revenues. The Company is fully cooperating with the U.S. Department of Justice to promptly respond to the requests for information in this CID, and does not presently expect this CID or resulting investigation to have a material adverse impact. H</w:t>
      </w:r>
      <w:r>
        <w:rPr>
          <w:sz w:val="20"/>
          <w:szCs w:val="20"/>
        </w:rPr>
        <w:t>owever, the Company cannot predict when the investigation will be resolved, the outcome of the investigation or its potential impact, which may ultimately be greater than the Company currently expects</w:t>
      </w:r>
      <w:r>
        <w:rPr>
          <w:sz w:val="20"/>
          <w:szCs w:val="20"/>
        </w:rPr>
        <w:t>.</w:t>
      </w:r>
      <w:r>
        <w:rPr>
          <w:sz w:val="20"/>
          <w:szCs w:val="20"/>
        </w:rPr>
        <w:t xml:space="preserve"> </w:t>
      </w:r>
    </w:p>
    <w:p w:rsidR="00000000" w:rsidRDefault="00DA50CE">
      <w:pPr>
        <w:pStyle w:val="a3"/>
        <w:spacing w:before="360" w:beforeAutospacing="0" w:after="0" w:afterAutospacing="0"/>
        <w:divId w:val="667366854"/>
        <w:rPr>
          <w:sz w:val="20"/>
          <w:szCs w:val="20"/>
        </w:rPr>
      </w:pPr>
      <w:r>
        <w:rPr>
          <w:b/>
          <w:bCs/>
          <w:sz w:val="20"/>
          <w:szCs w:val="20"/>
        </w:rPr>
        <w:t>Note 9. Lease</w:t>
      </w:r>
      <w:r>
        <w:rPr>
          <w:b/>
          <w:bCs/>
          <w:sz w:val="20"/>
          <w:szCs w:val="20"/>
        </w:rPr>
        <w:t>s</w:t>
      </w:r>
    </w:p>
    <w:p w:rsidR="00000000" w:rsidRDefault="00DA50CE">
      <w:pPr>
        <w:pStyle w:val="a3"/>
        <w:spacing w:before="360" w:beforeAutospacing="0" w:after="0" w:afterAutospacing="0"/>
        <w:divId w:val="667366854"/>
        <w:rPr>
          <w:sz w:val="20"/>
          <w:szCs w:val="20"/>
        </w:rPr>
      </w:pPr>
      <w:r>
        <w:rPr>
          <w:b/>
          <w:bCs/>
          <w:i/>
          <w:iCs/>
          <w:sz w:val="20"/>
          <w:szCs w:val="20"/>
        </w:rPr>
        <w:t>Lesse</w:t>
      </w:r>
      <w:r>
        <w:rPr>
          <w:b/>
          <w:bCs/>
          <w:i/>
          <w:iCs/>
          <w:sz w:val="20"/>
          <w:szCs w:val="20"/>
        </w:rPr>
        <w:t>e</w:t>
      </w:r>
    </w:p>
    <w:p w:rsidR="00000000" w:rsidRDefault="00DA50CE">
      <w:pPr>
        <w:pStyle w:val="a3"/>
        <w:spacing w:before="120" w:beforeAutospacing="0" w:after="0" w:afterAutospacing="0"/>
        <w:ind w:firstLine="555"/>
        <w:divId w:val="667366854"/>
        <w:rPr>
          <w:sz w:val="20"/>
          <w:szCs w:val="20"/>
        </w:rPr>
      </w:pPr>
      <w:r>
        <w:rPr>
          <w:sz w:val="20"/>
          <w:szCs w:val="20"/>
        </w:rPr>
        <w:t>The Company is party as a lessee to various non-cancelable operating leases with varying terms through</w:t>
      </w:r>
      <w:r>
        <w:rPr>
          <w:sz w:val="20"/>
          <w:szCs w:val="20"/>
        </w:rPr>
        <w:t xml:space="preserve"> </w:t>
      </w:r>
      <w:r>
        <w:rPr>
          <w:sz w:val="20"/>
          <w:szCs w:val="20"/>
        </w:rPr>
        <w:t>March 202</w:t>
      </w:r>
      <w:r>
        <w:rPr>
          <w:sz w:val="20"/>
          <w:szCs w:val="20"/>
        </w:rPr>
        <w:t>8</w:t>
      </w:r>
      <w:r>
        <w:rPr>
          <w:sz w:val="20"/>
          <w:szCs w:val="20"/>
        </w:rPr>
        <w:t xml:space="preserve"> primarily for laboratory and office space and equipment. The Company has options to renew some of these leases after their expirations. On a l</w:t>
      </w:r>
      <w:r>
        <w:rPr>
          <w:sz w:val="20"/>
          <w:szCs w:val="20"/>
        </w:rPr>
        <w:t>ease-by-lease basis, the Company considers such options, which may be elected at the Company’s sole discretion, in determining the lease term. The Company also has two finance leases for lab equipment through December 2026, one of which was acquired in the</w:t>
      </w:r>
      <w:r>
        <w:rPr>
          <w:sz w:val="20"/>
          <w:szCs w:val="20"/>
        </w:rPr>
        <w:t xml:space="preserve"> acquisition of Cytometry Specialists, Inc., or CSI. The Company retained CSI’s classification of its leases. The Company does not have any leases with variable lease payments. The Company’s operating lease agreements do not contain any residual value guar</w:t>
      </w:r>
      <w:r>
        <w:rPr>
          <w:sz w:val="20"/>
          <w:szCs w:val="20"/>
        </w:rPr>
        <w:t>antees, material restrictive covenants, bargain purchase options or asset retirement obligations</w:t>
      </w:r>
      <w:r>
        <w:rPr>
          <w:sz w:val="20"/>
          <w:szCs w:val="20"/>
        </w:rPr>
        <w:t>.</w:t>
      </w:r>
    </w:p>
    <w:p w:rsidR="00000000" w:rsidRDefault="00DA50CE">
      <w:pPr>
        <w:pStyle w:val="a3"/>
        <w:spacing w:before="240" w:beforeAutospacing="0" w:after="0" w:afterAutospacing="0"/>
        <w:jc w:val="center"/>
        <w:divId w:val="667366854"/>
        <w:rPr>
          <w:sz w:val="20"/>
          <w:szCs w:val="20"/>
        </w:rPr>
      </w:pPr>
      <w:r>
        <w:rPr>
          <w:sz w:val="20"/>
          <w:szCs w:val="20"/>
        </w:rPr>
        <w:t>1</w:t>
      </w:r>
      <w:r>
        <w:rPr>
          <w:sz w:val="20"/>
          <w:szCs w:val="20"/>
        </w:rPr>
        <w:t>4</w:t>
      </w:r>
    </w:p>
    <w:p w:rsidR="00000000" w:rsidRDefault="00DA50CE">
      <w:pPr>
        <w:divId w:val="667366854"/>
        <w:rPr>
          <w:rFonts w:eastAsia="Times New Roman"/>
        </w:rPr>
      </w:pPr>
      <w:r>
        <w:rPr>
          <w:rFonts w:eastAsia="Times New Roman"/>
        </w:rPr>
        <w:pict>
          <v:rect id="_x0000_i1040" style="width:0;height:1.5pt" o:hralign="center" o:hrstd="t" o:hr="t" fillcolor="#a0a0a0" stroked="f"/>
        </w:pict>
      </w:r>
    </w:p>
    <w:p w:rsidR="00000000" w:rsidRDefault="00DA50CE">
      <w:pPr>
        <w:pStyle w:val="a3"/>
        <w:spacing w:before="240" w:beforeAutospacing="0" w:after="0" w:afterAutospacing="0"/>
        <w:ind w:firstLine="555"/>
        <w:divId w:val="667366854"/>
        <w:rPr>
          <w:sz w:val="20"/>
          <w:szCs w:val="20"/>
        </w:rPr>
      </w:pPr>
      <w:r>
        <w:rPr>
          <w:sz w:val="20"/>
          <w:szCs w:val="20"/>
        </w:rPr>
        <w:t>The Company’s headquarters are located in Temple City, California, which is comprised of various corporate offices and</w:t>
      </w:r>
      <w:r>
        <w:rPr>
          <w:sz w:val="20"/>
          <w:szCs w:val="20"/>
        </w:rPr>
        <w:t xml:space="preserve"> a laboratory certified under the Clinical Laboratory Improvement Amendments of 1988, or CLIA, accredited by the College of American Pathologists, or CAP, and licensed by the State of California Department of Public Health. Other CLIA-certified laboratorie</w:t>
      </w:r>
      <w:r>
        <w:rPr>
          <w:sz w:val="20"/>
          <w:szCs w:val="20"/>
        </w:rPr>
        <w:t>s are located in Houston, Texas and Alpharetta, Georgia. Additional offices are located in Atlanta, Georgia and are used for certain report generation functions</w:t>
      </w:r>
      <w:r>
        <w:rPr>
          <w:sz w:val="20"/>
          <w:szCs w:val="20"/>
        </w:rPr>
        <w:t>.</w:t>
      </w:r>
    </w:p>
    <w:p w:rsidR="00000000" w:rsidRDefault="00DA50CE">
      <w:pPr>
        <w:pStyle w:val="a3"/>
        <w:spacing w:before="240" w:beforeAutospacing="0" w:after="0" w:afterAutospacing="0"/>
        <w:ind w:firstLine="555"/>
        <w:divId w:val="1275866207"/>
        <w:rPr>
          <w:sz w:val="20"/>
          <w:szCs w:val="20"/>
        </w:rPr>
      </w:pPr>
      <w:r>
        <w:rPr>
          <w:sz w:val="20"/>
          <w:szCs w:val="20"/>
        </w:rPr>
        <w:t>The operating and finance lease right-of-use asset, short-term lease liabilities, and long-ter</w:t>
      </w:r>
      <w:r>
        <w:rPr>
          <w:sz w:val="20"/>
          <w:szCs w:val="20"/>
        </w:rPr>
        <w:t>m lease liabilities as of March 31, 2022 and December 31, 2021 were as follows</w:t>
      </w:r>
      <w:r>
        <w:rPr>
          <w:sz w:val="20"/>
          <w:szCs w:val="20"/>
        </w:rPr>
        <w:t>:</w:t>
      </w:r>
    </w:p>
    <w:p w:rsidR="00000000" w:rsidRDefault="00DA50CE">
      <w:pPr>
        <w:pStyle w:val="a3"/>
        <w:spacing w:before="0" w:beforeAutospacing="0" w:after="0" w:afterAutospacing="0"/>
        <w:ind w:firstLine="555"/>
        <w:divId w:val="127586620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0"/>
        <w:gridCol w:w="160"/>
        <w:gridCol w:w="1347"/>
        <w:gridCol w:w="110"/>
        <w:gridCol w:w="169"/>
        <w:gridCol w:w="161"/>
        <w:gridCol w:w="1354"/>
        <w:gridCol w:w="125"/>
      </w:tblGrid>
      <w:tr w:rsidR="00000000">
        <w:trPr>
          <w:divId w:val="1275866207"/>
          <w:tblCellSpacing w:w="15" w:type="dxa"/>
        </w:trPr>
        <w:tc>
          <w:tcPr>
            <w:tcW w:w="301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2" w:type="pct"/>
            <w:vAlign w:val="center"/>
            <w:hideMark/>
          </w:tcPr>
          <w:p w:rsidR="00000000" w:rsidRDefault="00DA50CE">
            <w:pPr>
              <w:rPr>
                <w:rFonts w:eastAsia="Times New Roman"/>
                <w:sz w:val="20"/>
                <w:szCs w:val="20"/>
              </w:rPr>
            </w:pPr>
          </w:p>
        </w:tc>
        <w:tc>
          <w:tcPr>
            <w:tcW w:w="45"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47" w:type="pct"/>
            <w:vAlign w:val="center"/>
            <w:hideMark/>
          </w:tcPr>
          <w:p w:rsidR="00000000" w:rsidRDefault="00DA50CE">
            <w:pPr>
              <w:rPr>
                <w:rFonts w:eastAsia="Times New Roman"/>
                <w:sz w:val="20"/>
                <w:szCs w:val="20"/>
              </w:rPr>
            </w:pPr>
          </w:p>
        </w:tc>
      </w:tr>
      <w:tr w:rsidR="00000000">
        <w:trPr>
          <w:divId w:val="1275866207"/>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275866207"/>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275866207"/>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lease ROU asset,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6,66</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7,14</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lease liabilities, short ter</w:t>
            </w:r>
            <w:r>
              <w:rPr>
                <w:sz w:val="20"/>
                <w:szCs w:val="20"/>
              </w:rPr>
              <w:t>m</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1,75</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1,84</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lease liabilities, long ter</w:t>
            </w:r>
            <w:r>
              <w:rPr>
                <w:sz w:val="20"/>
                <w:szCs w:val="20"/>
              </w:rPr>
              <w:t>m</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5,34</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Finance lease ROU asset,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1,64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1,73</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Finance lease liabilities, short ter</w:t>
            </w:r>
            <w:r>
              <w:rPr>
                <w:sz w:val="20"/>
                <w:szCs w:val="20"/>
              </w:rPr>
              <w:t>m</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33</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275866207"/>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Finance lease liabilities, long ter</w:t>
            </w:r>
            <w:r>
              <w:rPr>
                <w:sz w:val="20"/>
                <w:szCs w:val="20"/>
              </w:rPr>
              <w:t>m</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1,39</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240" w:beforeAutospacing="0" w:after="0" w:afterAutospacing="0"/>
        <w:ind w:firstLine="555"/>
        <w:divId w:val="308900120"/>
        <w:rPr>
          <w:sz w:val="20"/>
          <w:szCs w:val="20"/>
        </w:rPr>
      </w:pPr>
      <w:r>
        <w:rPr>
          <w:sz w:val="20"/>
          <w:szCs w:val="20"/>
        </w:rPr>
        <w:t>The following was operating and finance lease expense</w:t>
      </w:r>
      <w:r>
        <w:rPr>
          <w:sz w:val="20"/>
          <w:szCs w:val="20"/>
        </w:rPr>
        <w:t>:</w:t>
      </w:r>
    </w:p>
    <w:p w:rsidR="00000000" w:rsidRDefault="00DA50CE">
      <w:pPr>
        <w:pStyle w:val="a3"/>
        <w:spacing w:before="0" w:beforeAutospacing="0" w:after="0" w:afterAutospacing="0"/>
        <w:divId w:val="30890012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3"/>
        <w:gridCol w:w="160"/>
        <w:gridCol w:w="1369"/>
        <w:gridCol w:w="110"/>
        <w:gridCol w:w="160"/>
        <w:gridCol w:w="160"/>
        <w:gridCol w:w="1369"/>
        <w:gridCol w:w="125"/>
      </w:tblGrid>
      <w:tr w:rsidR="00000000">
        <w:trPr>
          <w:divId w:val="308900120"/>
          <w:tblCellSpacing w:w="15" w:type="dxa"/>
        </w:trPr>
        <w:tc>
          <w:tcPr>
            <w:tcW w:w="3011"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53"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101"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53"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308900120"/>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308900120"/>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308900120"/>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Operating lease cos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53</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Finance lease cost</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Amortization of ROU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Interest on lease liabilitie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Short-term lease cos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308900120"/>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Total lease cos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240" w:beforeAutospacing="0" w:after="0" w:afterAutospacing="0"/>
        <w:ind w:firstLine="555"/>
        <w:divId w:val="355039374"/>
        <w:rPr>
          <w:sz w:val="20"/>
          <w:szCs w:val="20"/>
        </w:rPr>
      </w:pPr>
      <w:r>
        <w:rPr>
          <w:sz w:val="20"/>
          <w:szCs w:val="20"/>
        </w:rPr>
        <w:t>Supplemental information related to operating leases and finance lease was the following</w:t>
      </w:r>
      <w:r>
        <w:rPr>
          <w:sz w:val="20"/>
          <w:szCs w:val="20"/>
        </w:rPr>
        <w:t>:</w:t>
      </w:r>
    </w:p>
    <w:p w:rsidR="00000000" w:rsidRDefault="00DA50CE">
      <w:pPr>
        <w:pStyle w:val="a3"/>
        <w:spacing w:before="0" w:beforeAutospacing="0" w:after="0" w:afterAutospacing="0"/>
        <w:divId w:val="35503937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19"/>
        <w:gridCol w:w="110"/>
        <w:gridCol w:w="1735"/>
        <w:gridCol w:w="242"/>
      </w:tblGrid>
      <w:tr w:rsidR="00000000">
        <w:trPr>
          <w:divId w:val="355039374"/>
          <w:tblCellSpacing w:w="15" w:type="dxa"/>
        </w:trPr>
        <w:tc>
          <w:tcPr>
            <w:tcW w:w="3804" w:type="pct"/>
            <w:vAlign w:val="center"/>
            <w:hideMark/>
          </w:tcPr>
          <w:p w:rsidR="00000000" w:rsidRDefault="00DA50CE">
            <w:pPr>
              <w:rPr>
                <w:sz w:val="20"/>
                <w:szCs w:val="20"/>
              </w:rPr>
            </w:pPr>
          </w:p>
        </w:tc>
        <w:tc>
          <w:tcPr>
            <w:tcW w:w="30" w:type="pct"/>
            <w:vAlign w:val="center"/>
            <w:hideMark/>
          </w:tcPr>
          <w:p w:rsidR="00000000" w:rsidRDefault="00DA50CE">
            <w:pPr>
              <w:rPr>
                <w:rFonts w:eastAsia="Times New Roman"/>
                <w:sz w:val="20"/>
                <w:szCs w:val="20"/>
              </w:rPr>
            </w:pPr>
          </w:p>
        </w:tc>
        <w:tc>
          <w:tcPr>
            <w:tcW w:w="1065" w:type="pct"/>
            <w:vAlign w:val="center"/>
            <w:hideMark/>
          </w:tcPr>
          <w:p w:rsidR="00000000" w:rsidRDefault="00DA50CE">
            <w:pPr>
              <w:rPr>
                <w:rFonts w:eastAsia="Times New Roman"/>
                <w:sz w:val="20"/>
                <w:szCs w:val="20"/>
              </w:rPr>
            </w:pPr>
          </w:p>
        </w:tc>
        <w:tc>
          <w:tcPr>
            <w:tcW w:w="100" w:type="pct"/>
            <w:vAlign w:val="center"/>
            <w:hideMark/>
          </w:tcPr>
          <w:p w:rsidR="00000000" w:rsidRDefault="00DA50CE">
            <w:pPr>
              <w:rPr>
                <w:rFonts w:eastAsia="Times New Roman"/>
                <w:sz w:val="20"/>
                <w:szCs w:val="20"/>
              </w:rPr>
            </w:pPr>
          </w:p>
        </w:tc>
      </w:tr>
      <w:tr w:rsidR="00000000">
        <w:trPr>
          <w:divId w:val="355039374"/>
          <w:trHeight w:val="16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35503937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Weighted average remaining lease term - operating lease</w:t>
            </w:r>
            <w:r>
              <w:rPr>
                <w:sz w:val="20"/>
                <w:szCs w:val="20"/>
              </w:rPr>
              <w:t>s</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4.83</w:t>
            </w:r>
            <w:r>
              <w:rPr>
                <w:sz w:val="20"/>
                <w:szCs w:val="20"/>
              </w:rPr>
              <w:t xml:space="preserve"> </w:t>
            </w:r>
            <w:r>
              <w:rPr>
                <w:sz w:val="20"/>
                <w:szCs w:val="20"/>
              </w:rPr>
              <w:t>year</w:t>
            </w:r>
            <w:r>
              <w:rPr>
                <w:sz w:val="20"/>
                <w:szCs w:val="20"/>
              </w:rPr>
              <w:t>s</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divId w:val="35503937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Weighted average discount rate - operating lease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35503937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Weighted average remaining lease term -finance leas</w:t>
            </w:r>
            <w:r>
              <w:rPr>
                <w:sz w:val="20"/>
                <w:szCs w:val="20"/>
              </w:rPr>
              <w:t>e</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4.69</w:t>
            </w:r>
            <w:r>
              <w:rPr>
                <w:sz w:val="20"/>
                <w:szCs w:val="20"/>
              </w:rPr>
              <w:t xml:space="preserve"> </w:t>
            </w:r>
            <w:r>
              <w:rPr>
                <w:sz w:val="20"/>
                <w:szCs w:val="20"/>
              </w:rPr>
              <w:t>year</w:t>
            </w:r>
            <w:r>
              <w:rPr>
                <w:sz w:val="20"/>
                <w:szCs w:val="20"/>
              </w:rPr>
              <w:t>s</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divId w:val="355039374"/>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Weighted average discount rate - finance leas</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bl>
    <w:p w:rsidR="00000000" w:rsidRDefault="00DA50CE">
      <w:pPr>
        <w:pStyle w:val="a3"/>
        <w:spacing w:before="240" w:beforeAutospacing="0" w:after="0" w:afterAutospacing="0"/>
        <w:ind w:firstLine="555"/>
        <w:divId w:val="842353247"/>
        <w:rPr>
          <w:sz w:val="20"/>
          <w:szCs w:val="20"/>
        </w:rPr>
      </w:pPr>
      <w:r>
        <w:rPr>
          <w:sz w:val="20"/>
          <w:szCs w:val="20"/>
        </w:rPr>
        <w:t>The following is a maturity analysis of operating and finance lease liabilities using undiscounted cash flows on an annual basis with renewal periods included</w:t>
      </w:r>
      <w:r>
        <w:rPr>
          <w:sz w:val="20"/>
          <w:szCs w:val="20"/>
        </w:rPr>
        <w:t>:</w:t>
      </w:r>
    </w:p>
    <w:p w:rsidR="00000000" w:rsidRDefault="00DA50CE">
      <w:pPr>
        <w:pStyle w:val="a3"/>
        <w:spacing w:before="0" w:beforeAutospacing="0" w:after="0" w:afterAutospacing="0"/>
        <w:divId w:val="84235324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3"/>
        <w:gridCol w:w="161"/>
        <w:gridCol w:w="1341"/>
        <w:gridCol w:w="127"/>
        <w:gridCol w:w="165"/>
        <w:gridCol w:w="160"/>
        <w:gridCol w:w="1347"/>
        <w:gridCol w:w="142"/>
      </w:tblGrid>
      <w:tr w:rsidR="00000000">
        <w:trPr>
          <w:divId w:val="842353247"/>
          <w:tblCellSpacing w:w="15" w:type="dxa"/>
        </w:trPr>
        <w:tc>
          <w:tcPr>
            <w:tcW w:w="3013"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2"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c>
          <w:tcPr>
            <w:tcW w:w="100"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r>
      <w:tr w:rsidR="00000000">
        <w:trPr>
          <w:divId w:val="842353247"/>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Finance Leas</w:t>
            </w:r>
            <w:r>
              <w:rPr>
                <w:b/>
                <w:bCs/>
                <w:sz w:val="16"/>
                <w:szCs w:val="16"/>
              </w:rPr>
              <w:t>e</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842353247"/>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2022 (remaining 9 months</w:t>
            </w: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38</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1,15</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37</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88</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86</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ind w:left="100"/>
              <w:rPr>
                <w:sz w:val="20"/>
                <w:szCs w:val="20"/>
              </w:rPr>
            </w:pPr>
            <w:r>
              <w:rPr>
                <w:sz w:val="20"/>
                <w:szCs w:val="20"/>
              </w:rPr>
              <w:t>Total lease payment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7,25</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imputed interes</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54</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13</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842353247"/>
          <w:trHeight w:val="200"/>
          <w:tblCellSpacing w:w="15" w:type="dxa"/>
        </w:trPr>
        <w:tc>
          <w:tcPr>
            <w:tcW w:w="0" w:type="auto"/>
            <w:vAlign w:val="bottom"/>
            <w:hideMark/>
          </w:tcPr>
          <w:p w:rsidR="00000000" w:rsidRDefault="00DA50CE">
            <w:pPr>
              <w:pStyle w:val="a3"/>
              <w:spacing w:before="0" w:beforeAutospacing="0" w:after="0" w:afterAutospacing="0"/>
              <w:ind w:left="10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1,64</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842353247"/>
        <w:rPr>
          <w:sz w:val="20"/>
          <w:szCs w:val="20"/>
        </w:rPr>
      </w:pPr>
      <w:r>
        <w:rPr>
          <w:sz w:val="20"/>
          <w:szCs w:val="20"/>
        </w:rPr>
        <w:t> </w:t>
      </w:r>
    </w:p>
    <w:p w:rsidR="00000000" w:rsidRDefault="00DA50CE">
      <w:pPr>
        <w:pStyle w:val="a3"/>
        <w:spacing w:before="240" w:beforeAutospacing="0" w:after="0" w:afterAutospacing="0"/>
        <w:jc w:val="center"/>
        <w:divId w:val="842353247"/>
        <w:rPr>
          <w:sz w:val="20"/>
          <w:szCs w:val="20"/>
        </w:rPr>
      </w:pPr>
      <w:r>
        <w:rPr>
          <w:sz w:val="20"/>
          <w:szCs w:val="20"/>
        </w:rPr>
        <w:t>1</w:t>
      </w:r>
      <w:r>
        <w:rPr>
          <w:sz w:val="20"/>
          <w:szCs w:val="20"/>
        </w:rPr>
        <w:t>5</w:t>
      </w:r>
    </w:p>
    <w:p w:rsidR="00000000" w:rsidRDefault="00DA50CE">
      <w:pPr>
        <w:divId w:val="842353247"/>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A50CE">
      <w:pPr>
        <w:pStyle w:val="a3"/>
        <w:spacing w:before="360" w:beforeAutospacing="0" w:after="0" w:afterAutospacing="0"/>
        <w:divId w:val="667366854"/>
        <w:rPr>
          <w:sz w:val="20"/>
          <w:szCs w:val="20"/>
        </w:rPr>
      </w:pPr>
      <w:r>
        <w:rPr>
          <w:b/>
          <w:bCs/>
          <w:i/>
          <w:iCs/>
          <w:sz w:val="20"/>
          <w:szCs w:val="20"/>
        </w:rPr>
        <w:t>Lesso</w:t>
      </w:r>
      <w:r>
        <w:rPr>
          <w:b/>
          <w:bCs/>
          <w:i/>
          <w:iCs/>
          <w:sz w:val="20"/>
          <w:szCs w:val="20"/>
        </w:rPr>
        <w:t>r</w:t>
      </w:r>
    </w:p>
    <w:p w:rsidR="00000000" w:rsidRDefault="00DA50CE">
      <w:pPr>
        <w:pStyle w:val="a3"/>
        <w:spacing w:before="120" w:beforeAutospacing="0" w:after="0" w:afterAutospacing="0"/>
        <w:ind w:firstLine="555"/>
        <w:divId w:val="667366854"/>
        <w:rPr>
          <w:sz w:val="20"/>
          <w:szCs w:val="20"/>
        </w:rPr>
      </w:pPr>
      <w:r>
        <w:rPr>
          <w:sz w:val="20"/>
          <w:szCs w:val="20"/>
        </w:rPr>
        <w:t>The Company leases out space in buildings it owns and leases to third-party tenants under noncancelable operating leases. As of March 31, 2022, the remaining lease terms left range from</w:t>
      </w:r>
      <w:r>
        <w:rPr>
          <w:sz w:val="20"/>
          <w:szCs w:val="20"/>
        </w:rPr>
        <w:t xml:space="preserve"> </w:t>
      </w:r>
      <w:r>
        <w:rPr>
          <w:sz w:val="20"/>
          <w:szCs w:val="20"/>
        </w:rPr>
        <w:t>8</w:t>
      </w:r>
      <w:r>
        <w:rPr>
          <w:sz w:val="20"/>
          <w:szCs w:val="20"/>
        </w:rPr>
        <w:t xml:space="preserve"> months to</w:t>
      </w:r>
      <w:r>
        <w:rPr>
          <w:sz w:val="20"/>
          <w:szCs w:val="20"/>
        </w:rPr>
        <w:t xml:space="preserve"> </w:t>
      </w:r>
      <w:r>
        <w:rPr>
          <w:sz w:val="20"/>
          <w:szCs w:val="20"/>
        </w:rPr>
        <w:t>4</w:t>
      </w:r>
      <w:r>
        <w:rPr>
          <w:sz w:val="20"/>
          <w:szCs w:val="20"/>
        </w:rPr>
        <w:t>1</w:t>
      </w:r>
      <w:r>
        <w:rPr>
          <w:sz w:val="20"/>
          <w:szCs w:val="20"/>
        </w:rPr>
        <w:t xml:space="preserve"> months, incl</w:t>
      </w:r>
      <w:r>
        <w:rPr>
          <w:sz w:val="20"/>
          <w:szCs w:val="20"/>
        </w:rPr>
        <w:t>uding renewal options and may include rent escalation clauses. Lease income primarily represents fixed lease payments from tenants recognized on a straight-line basis over the application lease term. Variable lease income represents tenant payments for rea</w:t>
      </w:r>
      <w:r>
        <w:rPr>
          <w:sz w:val="20"/>
          <w:szCs w:val="20"/>
        </w:rPr>
        <w:t>l estate taxes, insurance and maintenance</w:t>
      </w:r>
      <w:r>
        <w:rPr>
          <w:sz w:val="20"/>
          <w:szCs w:val="20"/>
        </w:rPr>
        <w:t>.</w:t>
      </w:r>
    </w:p>
    <w:p w:rsidR="00000000" w:rsidRDefault="00DA50CE">
      <w:pPr>
        <w:pStyle w:val="a3"/>
        <w:spacing w:before="240" w:beforeAutospacing="0" w:after="0" w:afterAutospacing="0"/>
        <w:ind w:firstLine="555"/>
        <w:divId w:val="667366854"/>
        <w:rPr>
          <w:sz w:val="20"/>
          <w:szCs w:val="20"/>
        </w:rPr>
      </w:pPr>
      <w:r>
        <w:rPr>
          <w:sz w:val="20"/>
          <w:szCs w:val="20"/>
        </w:rPr>
        <w:t>The lease income was included in interest and other income, net, in the accompanying Condensed Consolidated Statements of Income.</w:t>
      </w:r>
      <w:r>
        <w:rPr>
          <w:sz w:val="20"/>
          <w:szCs w:val="20"/>
        </w:rPr>
        <w:t xml:space="preserve"> </w:t>
      </w:r>
      <w:r>
        <w:rPr>
          <w:sz w:val="20"/>
          <w:szCs w:val="20"/>
        </w:rPr>
        <w:t>Total lease income was as follows</w:t>
      </w:r>
      <w:r>
        <w:rPr>
          <w:sz w:val="20"/>
          <w:szCs w:val="20"/>
        </w:rPr>
        <w:t>:</w:t>
      </w:r>
    </w:p>
    <w:p w:rsidR="00000000" w:rsidRDefault="00DA50CE">
      <w:pPr>
        <w:pStyle w:val="a3"/>
        <w:spacing w:before="240" w:beforeAutospacing="0" w:after="0" w:afterAutospacing="0"/>
        <w:ind w:firstLine="506"/>
        <w:divId w:val="213660619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2"/>
        <w:gridCol w:w="160"/>
        <w:gridCol w:w="1342"/>
        <w:gridCol w:w="110"/>
        <w:gridCol w:w="162"/>
        <w:gridCol w:w="160"/>
        <w:gridCol w:w="1342"/>
        <w:gridCol w:w="110"/>
        <w:gridCol w:w="178"/>
      </w:tblGrid>
      <w:tr w:rsidR="00000000">
        <w:trPr>
          <w:divId w:val="2136606199"/>
          <w:tblCellSpacing w:w="15" w:type="dxa"/>
        </w:trPr>
        <w:tc>
          <w:tcPr>
            <w:tcW w:w="2948"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r>
      <w:tr w:rsidR="00000000">
        <w:trPr>
          <w:divId w:val="2136606199"/>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r>
      <w:tr w:rsidR="00000000">
        <w:trPr>
          <w:divId w:val="2136606199"/>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r>
      <w:tr w:rsidR="00000000">
        <w:trPr>
          <w:divId w:val="2136606199"/>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2136606199"/>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Lease incom</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divId w:val="2136606199"/>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Variable lease incom</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divId w:val="2136606199"/>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lease incom</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bl>
    <w:p w:rsidR="00000000" w:rsidRDefault="00DA50CE">
      <w:pPr>
        <w:pStyle w:val="a3"/>
        <w:spacing w:before="240" w:beforeAutospacing="0" w:after="0" w:afterAutospacing="0"/>
        <w:ind w:firstLine="555"/>
        <w:divId w:val="475099985"/>
        <w:rPr>
          <w:sz w:val="20"/>
          <w:szCs w:val="20"/>
        </w:rPr>
      </w:pPr>
      <w:r>
        <w:rPr>
          <w:sz w:val="20"/>
          <w:szCs w:val="20"/>
        </w:rPr>
        <w:t>Future fixed lease payments from tenants for all noncancelable operating leases as of March 31, 2022 are as follows</w:t>
      </w:r>
      <w:r>
        <w:rPr>
          <w:sz w:val="20"/>
          <w:szCs w:val="20"/>
        </w:rPr>
        <w:t>:</w:t>
      </w:r>
    </w:p>
    <w:p w:rsidR="00000000" w:rsidRDefault="00DA50CE">
      <w:pPr>
        <w:pStyle w:val="a3"/>
        <w:spacing w:before="0" w:beforeAutospacing="0" w:after="0" w:afterAutospacing="0"/>
        <w:divId w:val="47509998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6"/>
        <w:gridCol w:w="161"/>
        <w:gridCol w:w="1794"/>
        <w:gridCol w:w="125"/>
      </w:tblGrid>
      <w:tr w:rsidR="00000000">
        <w:trPr>
          <w:divId w:val="475099985"/>
          <w:tblCellSpacing w:w="15" w:type="dxa"/>
        </w:trPr>
        <w:tc>
          <w:tcPr>
            <w:tcW w:w="3808"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1101"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475099985"/>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Lease Payment</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75099985"/>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from Tenant</w:t>
            </w:r>
            <w:r>
              <w:rPr>
                <w:b/>
                <w:bCs/>
                <w:sz w:val="16"/>
                <w:szCs w:val="16"/>
              </w:rPr>
              <w:t>s</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75099985"/>
          <w:trHeight w:val="16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2022 (remaining 9 months</w:t>
            </w: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475099985"/>
          <w:trHeight w:val="200"/>
          <w:tblCellSpacing w:w="15" w:type="dxa"/>
        </w:trPr>
        <w:tc>
          <w:tcPr>
            <w:tcW w:w="0" w:type="auto"/>
            <w:vAlign w:val="bottom"/>
            <w:hideMark/>
          </w:tcPr>
          <w:p w:rsidR="00000000" w:rsidRDefault="00DA50CE">
            <w:pPr>
              <w:pStyle w:val="a3"/>
              <w:spacing w:before="0" w:beforeAutospacing="0" w:after="0" w:afterAutospacing="0"/>
              <w:ind w:left="10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83</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360" w:beforeAutospacing="0" w:after="0" w:afterAutospacing="0"/>
        <w:divId w:val="739013747"/>
        <w:rPr>
          <w:sz w:val="20"/>
          <w:szCs w:val="20"/>
        </w:rPr>
      </w:pPr>
      <w:r>
        <w:rPr>
          <w:b/>
          <w:bCs/>
          <w:sz w:val="20"/>
          <w:szCs w:val="20"/>
        </w:rPr>
        <w:t>Note 10. Equity-Based Compensatio</w:t>
      </w:r>
      <w:r>
        <w:rPr>
          <w:b/>
          <w:bCs/>
          <w:sz w:val="20"/>
          <w:szCs w:val="20"/>
        </w:rPr>
        <w:t>n</w:t>
      </w:r>
    </w:p>
    <w:p w:rsidR="00000000" w:rsidRDefault="00DA50CE">
      <w:pPr>
        <w:pStyle w:val="a3"/>
        <w:spacing w:before="120" w:beforeAutospacing="0" w:after="0" w:afterAutospacing="0"/>
        <w:ind w:firstLine="555"/>
        <w:divId w:val="68963334"/>
        <w:rPr>
          <w:sz w:val="20"/>
          <w:szCs w:val="20"/>
        </w:rPr>
      </w:pPr>
      <w:r>
        <w:rPr>
          <w:sz w:val="20"/>
          <w:szCs w:val="20"/>
        </w:rPr>
        <w:t>The Company has included equity-based compensation expense as part of cost of revenue and operating expenses in the accompanying Condensed Consolidated Statements of Income as follows</w:t>
      </w:r>
      <w:r>
        <w:rPr>
          <w:sz w:val="20"/>
          <w:szCs w:val="20"/>
        </w:rPr>
        <w:t>:</w:t>
      </w:r>
    </w:p>
    <w:p w:rsidR="00000000" w:rsidRDefault="00DA50CE">
      <w:pPr>
        <w:pStyle w:val="a3"/>
        <w:spacing w:before="0" w:beforeAutospacing="0" w:after="0" w:afterAutospacing="0"/>
        <w:divId w:val="6896333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3"/>
        <w:gridCol w:w="160"/>
        <w:gridCol w:w="1342"/>
        <w:gridCol w:w="110"/>
        <w:gridCol w:w="162"/>
        <w:gridCol w:w="160"/>
        <w:gridCol w:w="1342"/>
        <w:gridCol w:w="110"/>
        <w:gridCol w:w="177"/>
      </w:tblGrid>
      <w:tr w:rsidR="00000000">
        <w:trPr>
          <w:divId w:val="68963334"/>
          <w:tblCellSpacing w:w="15" w:type="dxa"/>
        </w:trPr>
        <w:tc>
          <w:tcPr>
            <w:tcW w:w="2949"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99" w:type="pct"/>
            <w:vAlign w:val="center"/>
            <w:hideMark/>
          </w:tcPr>
          <w:p w:rsidR="00000000" w:rsidRDefault="00DA50CE">
            <w:pPr>
              <w:rPr>
                <w:rFonts w:eastAsia="Times New Roman"/>
                <w:sz w:val="20"/>
                <w:szCs w:val="20"/>
              </w:rPr>
            </w:pPr>
          </w:p>
        </w:tc>
      </w:tr>
      <w:tr w:rsidR="00000000">
        <w:trPr>
          <w:divId w:val="68963334"/>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68963334"/>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68963334"/>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8"/>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r>
      <w:tr w:rsidR="00000000">
        <w:trPr>
          <w:divId w:val="6896333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1,46</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67</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divId w:val="6896333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1,92</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6896333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Selling and marketin</w:t>
            </w:r>
            <w:r>
              <w:rPr>
                <w:sz w:val="20"/>
                <w:szCs w:val="20"/>
              </w:rPr>
              <w:t>g</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6896333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1,40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63</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6896333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5,61</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2,96</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1</w:t>
      </w:r>
      <w:r>
        <w:rPr>
          <w:sz w:val="20"/>
          <w:szCs w:val="20"/>
        </w:rPr>
        <w:t>6</w:t>
      </w:r>
    </w:p>
    <w:p w:rsidR="00000000" w:rsidRDefault="00DA50CE">
      <w:pPr>
        <w:rPr>
          <w:rFonts w:eastAsia="Times New Roman"/>
        </w:rPr>
      </w:pPr>
      <w:r>
        <w:rPr>
          <w:rFonts w:eastAsia="Times New Roman"/>
        </w:rPr>
        <w:pict>
          <v:rect id="_x0000_i1042" style="width:0;height:1.5pt" o:hralign="center" o:hrstd="t" o:hr="t" fillcolor="#a0a0a0" stroked="f"/>
        </w:pict>
      </w:r>
    </w:p>
    <w:p w:rsidR="00000000" w:rsidRDefault="00DA50CE">
      <w:pPr>
        <w:pStyle w:val="a3"/>
        <w:spacing w:before="160" w:beforeAutospacing="0" w:after="0" w:afterAutospacing="0"/>
        <w:divId w:val="7216759"/>
        <w:rPr>
          <w:sz w:val="20"/>
          <w:szCs w:val="20"/>
        </w:rPr>
      </w:pPr>
      <w:r>
        <w:rPr>
          <w:b/>
          <w:bCs/>
          <w:sz w:val="20"/>
          <w:szCs w:val="20"/>
        </w:rPr>
        <w:t>Note 11. Provision for Income Taxe</w:t>
      </w:r>
      <w:r>
        <w:rPr>
          <w:b/>
          <w:bCs/>
          <w:sz w:val="20"/>
          <w:szCs w:val="20"/>
        </w:rPr>
        <w:t>s</w:t>
      </w:r>
    </w:p>
    <w:p w:rsidR="00000000" w:rsidRDefault="00DA50CE">
      <w:pPr>
        <w:pStyle w:val="a3"/>
        <w:spacing w:before="120" w:beforeAutospacing="0" w:after="0" w:afterAutospacing="0"/>
        <w:ind w:firstLine="555"/>
        <w:divId w:val="7216759"/>
        <w:rPr>
          <w:sz w:val="20"/>
          <w:szCs w:val="20"/>
        </w:rPr>
      </w:pPr>
      <w:r>
        <w:rPr>
          <w:sz w:val="20"/>
          <w:szCs w:val="20"/>
        </w:rPr>
        <w:t>The effective tax rate used for interim periods is the estimated annual effective consolidated tax rate, based on the current estimate of full year results, except that taxes related to specific events, if any, are recorded in the interim period in which t</w:t>
      </w:r>
      <w:r>
        <w:rPr>
          <w:sz w:val="20"/>
          <w:szCs w:val="20"/>
        </w:rPr>
        <w:t>hey occur. The annual effective tax rate is based upon several significant estimates and judgments, including the estimated annual pre-tax income of the Company in each tax jurisdiction in which it operates, and the development of tax planning strategies d</w:t>
      </w:r>
      <w:r>
        <w:rPr>
          <w:sz w:val="20"/>
          <w:szCs w:val="20"/>
        </w:rPr>
        <w:t>uring the year. In addition, the Company’s tax expense can be impacted by changes in tax rates or laws and other factors that cannot be predicted with certainty. As such, there can be significant volatility in interim tax provisions</w:t>
      </w:r>
      <w:r>
        <w:rPr>
          <w:sz w:val="20"/>
          <w:szCs w:val="20"/>
        </w:rPr>
        <w:t>.</w:t>
      </w:r>
    </w:p>
    <w:p w:rsidR="00000000" w:rsidRDefault="00DA50CE">
      <w:pPr>
        <w:pStyle w:val="a3"/>
        <w:spacing w:before="240" w:beforeAutospacing="0" w:after="0" w:afterAutospacing="0"/>
        <w:ind w:firstLine="555"/>
        <w:divId w:val="7216759"/>
        <w:rPr>
          <w:sz w:val="20"/>
          <w:szCs w:val="20"/>
        </w:rPr>
      </w:pPr>
      <w:r>
        <w:rPr>
          <w:sz w:val="20"/>
          <w:szCs w:val="20"/>
        </w:rPr>
        <w:t>The Company recorded c</w:t>
      </w:r>
      <w:r>
        <w:rPr>
          <w:sz w:val="20"/>
          <w:szCs w:val="20"/>
        </w:rPr>
        <w:t>onsolidated provision for income taxes of</w:t>
      </w:r>
      <w:r>
        <w:rPr>
          <w:sz w:val="20"/>
          <w:szCs w:val="20"/>
        </w:rPr>
        <w:t xml:space="preserve"> </w:t>
      </w:r>
      <w:r>
        <w:rPr>
          <w:sz w:val="20"/>
          <w:szCs w:val="20"/>
        </w:rPr>
        <w:t>$</w:t>
      </w:r>
      <w:r>
        <w:rPr>
          <w:sz w:val="20"/>
          <w:szCs w:val="20"/>
        </w:rPr>
        <w:t>48.</w:t>
      </w:r>
      <w:r>
        <w:rPr>
          <w:sz w:val="20"/>
          <w:szCs w:val="20"/>
        </w:rPr>
        <w:t>4</w:t>
      </w:r>
      <w:r>
        <w:rPr>
          <w:sz w:val="20"/>
          <w:szCs w:val="20"/>
        </w:rPr>
        <w:t xml:space="preserve"> millio</w:t>
      </w:r>
      <w:r>
        <w:rPr>
          <w:sz w:val="20"/>
          <w:szCs w:val="20"/>
        </w:rPr>
        <w:t>n</w:t>
      </w:r>
      <w:r>
        <w:rPr>
          <w:sz w:val="20"/>
          <w:szCs w:val="20"/>
        </w:rPr>
        <w:t xml:space="preserve"> and </w:t>
      </w:r>
      <w:r>
        <w:rPr>
          <w:sz w:val="20"/>
          <w:szCs w:val="20"/>
        </w:rPr>
        <w:t>$</w:t>
      </w:r>
      <w:r>
        <w:rPr>
          <w:sz w:val="20"/>
          <w:szCs w:val="20"/>
        </w:rPr>
        <w:t>66.</w:t>
      </w:r>
      <w:r>
        <w:rPr>
          <w:sz w:val="20"/>
          <w:szCs w:val="20"/>
        </w:rPr>
        <w:t>5</w:t>
      </w:r>
      <w:r>
        <w:rPr>
          <w:sz w:val="20"/>
          <w:szCs w:val="20"/>
        </w:rPr>
        <w:t xml:space="preserve"> million for the first quarters of 2022 and 2021, respectively, or</w:t>
      </w:r>
      <w:r>
        <w:rPr>
          <w:sz w:val="20"/>
          <w:szCs w:val="20"/>
        </w:rPr>
        <w:t xml:space="preserve"> </w:t>
      </w:r>
      <w:r>
        <w:rPr>
          <w:sz w:val="20"/>
          <w:szCs w:val="20"/>
        </w:rPr>
        <w:t>2</w:t>
      </w:r>
      <w:r>
        <w:rPr>
          <w:sz w:val="20"/>
          <w:szCs w:val="20"/>
        </w:rPr>
        <w:t>4</w:t>
      </w:r>
      <w:r>
        <w:rPr>
          <w:sz w:val="20"/>
          <w:szCs w:val="20"/>
        </w:rPr>
        <w:t>%</w:t>
      </w:r>
      <w:r>
        <w:rPr>
          <w:sz w:val="20"/>
          <w:szCs w:val="20"/>
        </w:rPr>
        <w:t xml:space="preserve"> of earnings before income taxes for the first quarter of 2022, compared to</w:t>
      </w:r>
      <w:r>
        <w:rPr>
          <w:sz w:val="20"/>
          <w:szCs w:val="20"/>
        </w:rPr>
        <w:t xml:space="preserve"> </w:t>
      </w:r>
      <w:r>
        <w:rPr>
          <w:sz w:val="20"/>
          <w:szCs w:val="20"/>
        </w:rPr>
        <w:t>2</w:t>
      </w:r>
      <w:r>
        <w:rPr>
          <w:sz w:val="20"/>
          <w:szCs w:val="20"/>
        </w:rPr>
        <w:t>5</w:t>
      </w:r>
      <w:r>
        <w:rPr>
          <w:sz w:val="20"/>
          <w:szCs w:val="20"/>
        </w:rPr>
        <w:t>% of earnings before income taxes for the f</w:t>
      </w:r>
      <w:r>
        <w:rPr>
          <w:sz w:val="20"/>
          <w:szCs w:val="20"/>
        </w:rPr>
        <w:t>irst quarter of 2021. The decrease in the effective tax rate for the first quarter of 2022, relative to 2021, was primarily attributable to international restructuring</w:t>
      </w:r>
      <w:r>
        <w:rPr>
          <w:sz w:val="20"/>
          <w:szCs w:val="20"/>
        </w:rPr>
        <w:t>.</w:t>
      </w:r>
    </w:p>
    <w:p w:rsidR="00000000" w:rsidRDefault="00DA50CE">
      <w:pPr>
        <w:pStyle w:val="a3"/>
        <w:spacing w:before="240" w:beforeAutospacing="0" w:after="0" w:afterAutospacing="0"/>
        <w:ind w:firstLine="555"/>
        <w:divId w:val="7216759"/>
        <w:rPr>
          <w:sz w:val="20"/>
          <w:szCs w:val="20"/>
        </w:rPr>
      </w:pPr>
      <w:r>
        <w:rPr>
          <w:sz w:val="20"/>
          <w:szCs w:val="20"/>
        </w:rPr>
        <w:t>The Company is not currently under examination by any major income tax jurisdiction. Du</w:t>
      </w:r>
      <w:r>
        <w:rPr>
          <w:sz w:val="20"/>
          <w:szCs w:val="20"/>
        </w:rPr>
        <w:t>ring 2022, the statutes of limitations will lapse on the Company's 2018 federal tax year and certain 2017 and 2018 state tax years. The Company does not believe the federal or state statute lapses or any other event will significantly impact the balance of</w:t>
      </w:r>
      <w:r>
        <w:rPr>
          <w:sz w:val="20"/>
          <w:szCs w:val="20"/>
        </w:rPr>
        <w:t xml:space="preserve"> unrecognized tax benefits in the next twelve months. The net balance of unrecognized tax benefits was not material to the interim financial statements for the first quarters of 2022 and 2021</w:t>
      </w:r>
      <w:r>
        <w:rPr>
          <w:sz w:val="20"/>
          <w:szCs w:val="20"/>
        </w:rPr>
        <w:t>.</w:t>
      </w:r>
    </w:p>
    <w:p w:rsidR="00000000" w:rsidRDefault="00DA50CE">
      <w:pPr>
        <w:pStyle w:val="a3"/>
        <w:spacing w:before="360" w:beforeAutospacing="0" w:after="0" w:afterAutospacing="0"/>
        <w:divId w:val="1582447066"/>
        <w:rPr>
          <w:sz w:val="20"/>
          <w:szCs w:val="20"/>
        </w:rPr>
      </w:pPr>
      <w:r>
        <w:rPr>
          <w:b/>
          <w:bCs/>
          <w:sz w:val="20"/>
          <w:szCs w:val="20"/>
        </w:rPr>
        <w:t>Note 12. Income per Shar</w:t>
      </w:r>
      <w:r>
        <w:rPr>
          <w:b/>
          <w:bCs/>
          <w:sz w:val="20"/>
          <w:szCs w:val="20"/>
        </w:rPr>
        <w:t>e</w:t>
      </w:r>
    </w:p>
    <w:p w:rsidR="00000000" w:rsidRDefault="00DA50CE">
      <w:pPr>
        <w:pStyle w:val="a3"/>
        <w:spacing w:before="120" w:beforeAutospacing="0" w:after="0" w:afterAutospacing="0"/>
        <w:ind w:firstLine="555"/>
        <w:divId w:val="1855148464"/>
        <w:rPr>
          <w:sz w:val="20"/>
          <w:szCs w:val="20"/>
        </w:rPr>
      </w:pPr>
      <w:r>
        <w:rPr>
          <w:sz w:val="20"/>
          <w:szCs w:val="20"/>
        </w:rPr>
        <w:t>The following table presents</w:t>
      </w:r>
      <w:r>
        <w:rPr>
          <w:sz w:val="20"/>
          <w:szCs w:val="20"/>
        </w:rPr>
        <w:t xml:space="preserve"> </w:t>
      </w:r>
      <w:r>
        <w:rPr>
          <w:sz w:val="20"/>
          <w:szCs w:val="20"/>
        </w:rPr>
        <w:t>the calc</w:t>
      </w:r>
      <w:r>
        <w:rPr>
          <w:sz w:val="20"/>
          <w:szCs w:val="20"/>
        </w:rPr>
        <w:t>ulation of basic and diluted income per share</w:t>
      </w:r>
      <w:r>
        <w:rPr>
          <w:sz w:val="20"/>
          <w:szCs w:val="20"/>
        </w:rPr>
        <w:t xml:space="preserve"> </w:t>
      </w:r>
      <w:r>
        <w:rPr>
          <w:sz w:val="20"/>
          <w:szCs w:val="20"/>
        </w:rPr>
        <w:t>for the first quarters of 2022 and 2021</w:t>
      </w:r>
      <w:r>
        <w:rPr>
          <w:sz w:val="20"/>
          <w:szCs w:val="20"/>
        </w:rPr>
        <w:t>:</w:t>
      </w:r>
    </w:p>
    <w:p w:rsidR="00000000" w:rsidRDefault="00DA50CE">
      <w:pPr>
        <w:pStyle w:val="a3"/>
        <w:spacing w:before="0" w:beforeAutospacing="0" w:after="0" w:afterAutospacing="0"/>
        <w:divId w:val="185514846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2"/>
        <w:gridCol w:w="160"/>
        <w:gridCol w:w="1370"/>
        <w:gridCol w:w="110"/>
        <w:gridCol w:w="159"/>
        <w:gridCol w:w="160"/>
        <w:gridCol w:w="1370"/>
        <w:gridCol w:w="125"/>
      </w:tblGrid>
      <w:tr w:rsidR="00000000">
        <w:trPr>
          <w:divId w:val="1855148464"/>
          <w:tblCellSpacing w:w="15" w:type="dxa"/>
        </w:trPr>
        <w:tc>
          <w:tcPr>
            <w:tcW w:w="3010"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53"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101"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53"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1855148464"/>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855148464"/>
          <w:trHeight w:val="16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855148464"/>
          <w:trHeight w:val="16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 except per share data</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85514846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153,97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85514846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Weighted-average common shares—outstanding, basi</w:t>
            </w:r>
            <w:r>
              <w:rPr>
                <w:sz w:val="20"/>
                <w:szCs w:val="20"/>
              </w:rPr>
              <w:t>c</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30,23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28,83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85514846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Weighted-average common shares—outstanding, dilute</w:t>
            </w:r>
            <w:r>
              <w:rPr>
                <w:sz w:val="20"/>
                <w:szCs w:val="20"/>
              </w:rPr>
              <w:t>d</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31,24</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30,77</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85514846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per common share, basi</w:t>
            </w:r>
            <w:r>
              <w:rPr>
                <w:sz w:val="20"/>
                <w:szCs w:val="20"/>
              </w:rPr>
              <w:t>c</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6.9</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855148464"/>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per common share, dilute</w:t>
            </w:r>
            <w:r>
              <w:rPr>
                <w:sz w:val="20"/>
                <w:szCs w:val="20"/>
              </w:rPr>
              <w:t>d</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4.9</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240" w:beforeAutospacing="0" w:after="0" w:afterAutospacing="0"/>
        <w:ind w:firstLine="555"/>
        <w:divId w:val="1189024932"/>
        <w:rPr>
          <w:sz w:val="20"/>
          <w:szCs w:val="20"/>
        </w:rPr>
      </w:pPr>
      <w:r>
        <w:rPr>
          <w:sz w:val="20"/>
          <w:szCs w:val="20"/>
        </w:rPr>
        <w:t>The following securities have been excluded from the calculation of diluted income per share because their effect would have been anti-dilutive</w:t>
      </w:r>
      <w:r>
        <w:rPr>
          <w:sz w:val="20"/>
          <w:szCs w:val="20"/>
        </w:rPr>
        <w:t>:</w:t>
      </w:r>
    </w:p>
    <w:p w:rsidR="00000000" w:rsidRDefault="00DA50CE">
      <w:pPr>
        <w:pStyle w:val="a3"/>
        <w:spacing w:before="0" w:beforeAutospacing="0" w:after="0" w:afterAutospacing="0"/>
        <w:divId w:val="118902493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9"/>
        <w:gridCol w:w="110"/>
        <w:gridCol w:w="1415"/>
        <w:gridCol w:w="110"/>
        <w:gridCol w:w="160"/>
        <w:gridCol w:w="111"/>
        <w:gridCol w:w="1416"/>
        <w:gridCol w:w="125"/>
      </w:tblGrid>
      <w:tr w:rsidR="00000000">
        <w:trPr>
          <w:divId w:val="1189024932"/>
          <w:tblCellSpacing w:w="15" w:type="dxa"/>
        </w:trPr>
        <w:tc>
          <w:tcPr>
            <w:tcW w:w="3014" w:type="pct"/>
            <w:vAlign w:val="center"/>
            <w:hideMark/>
          </w:tcPr>
          <w:p w:rsidR="00000000" w:rsidRDefault="00DA50CE">
            <w:pPr>
              <w:rPr>
                <w:sz w:val="20"/>
                <w:szCs w:val="20"/>
              </w:rPr>
            </w:pPr>
          </w:p>
        </w:tc>
        <w:tc>
          <w:tcPr>
            <w:tcW w:w="30" w:type="pct"/>
            <w:vAlign w:val="center"/>
            <w:hideMark/>
          </w:tcPr>
          <w:p w:rsidR="00000000" w:rsidRDefault="00DA50CE">
            <w:pPr>
              <w:rPr>
                <w:rFonts w:eastAsia="Times New Roman"/>
                <w:sz w:val="20"/>
                <w:szCs w:val="20"/>
              </w:rPr>
            </w:pPr>
          </w:p>
        </w:tc>
        <w:tc>
          <w:tcPr>
            <w:tcW w:w="881"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101"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881"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1189024932"/>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89024932"/>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89024932"/>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89024932"/>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89024932"/>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Restricted Stock Unit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582447066"/>
        <w:rPr>
          <w:sz w:val="20"/>
          <w:szCs w:val="20"/>
        </w:rPr>
      </w:pPr>
      <w:r>
        <w:rPr>
          <w:sz w:val="20"/>
          <w:szCs w:val="20"/>
        </w:rPr>
        <w:t> </w:t>
      </w:r>
    </w:p>
    <w:p w:rsidR="00000000" w:rsidRDefault="00DA50CE">
      <w:pPr>
        <w:pStyle w:val="a3"/>
        <w:spacing w:before="0" w:beforeAutospacing="0" w:after="0" w:afterAutospacing="0"/>
        <w:ind w:firstLine="555"/>
        <w:divId w:val="1582447066"/>
        <w:rPr>
          <w:sz w:val="20"/>
          <w:szCs w:val="20"/>
        </w:rPr>
      </w:pPr>
      <w:r>
        <w:rPr>
          <w:sz w:val="20"/>
          <w:szCs w:val="20"/>
        </w:rPr>
        <w:t>The anti-dilutive shares described above were calculated using the treasury stock method</w:t>
      </w:r>
      <w:r>
        <w:rPr>
          <w:sz w:val="20"/>
          <w:szCs w:val="20"/>
        </w:rPr>
        <w:t>.</w:t>
      </w:r>
      <w:r>
        <w:rPr>
          <w:sz w:val="20"/>
          <w:szCs w:val="20"/>
        </w:rPr>
        <w:t xml:space="preserve"> </w:t>
      </w:r>
    </w:p>
    <w:p w:rsidR="00000000" w:rsidRDefault="00DA50CE">
      <w:pPr>
        <w:pStyle w:val="a3"/>
        <w:spacing w:before="360" w:beforeAutospacing="0" w:after="0" w:afterAutospacing="0"/>
        <w:divId w:val="2114278904"/>
        <w:rPr>
          <w:sz w:val="20"/>
          <w:szCs w:val="20"/>
        </w:rPr>
      </w:pPr>
      <w:r>
        <w:rPr>
          <w:b/>
          <w:bCs/>
          <w:sz w:val="20"/>
          <w:szCs w:val="20"/>
        </w:rPr>
        <w:t>Note 13. Related Partie</w:t>
      </w:r>
      <w:r>
        <w:rPr>
          <w:b/>
          <w:bCs/>
          <w:sz w:val="20"/>
          <w:szCs w:val="20"/>
        </w:rPr>
        <w:t>s</w:t>
      </w:r>
    </w:p>
    <w:p w:rsidR="00000000" w:rsidRDefault="00DA50CE">
      <w:pPr>
        <w:pStyle w:val="a3"/>
        <w:spacing w:before="120" w:beforeAutospacing="0" w:after="0" w:afterAutospacing="0"/>
        <w:ind w:firstLine="555"/>
        <w:divId w:val="2114278904"/>
        <w:rPr>
          <w:sz w:val="20"/>
          <w:szCs w:val="20"/>
        </w:rPr>
      </w:pPr>
      <w:r>
        <w:rPr>
          <w:sz w:val="20"/>
          <w:szCs w:val="20"/>
        </w:rPr>
        <w:t>Linda Marsh, who is a member of the Company’s board of directors, is currently the Senior Executive Vice President of AHMC Healthcare Inc., or AHMC. The Company performs genetic testing and other testing services, on an arms-length basis, for AHMC, and the</w:t>
      </w:r>
      <w:r>
        <w:rPr>
          <w:sz w:val="20"/>
          <w:szCs w:val="20"/>
        </w:rPr>
        <w:t xml:space="preserve"> Company recognized </w:t>
      </w:r>
      <w:r>
        <w:rPr>
          <w:sz w:val="20"/>
          <w:szCs w:val="20"/>
        </w:rPr>
        <w:t>$</w:t>
      </w:r>
      <w:r>
        <w:rPr>
          <w:sz w:val="20"/>
          <w:szCs w:val="20"/>
        </w:rPr>
        <w:t>775,00</w:t>
      </w:r>
      <w:r>
        <w:rPr>
          <w:sz w:val="20"/>
          <w:szCs w:val="20"/>
        </w:rPr>
        <w:t>0</w:t>
      </w:r>
      <w:r>
        <w:rPr>
          <w:sz w:val="20"/>
          <w:szCs w:val="20"/>
        </w:rPr>
        <w:t xml:space="preserve"> and </w:t>
      </w:r>
      <w:r>
        <w:rPr>
          <w:sz w:val="20"/>
          <w:szCs w:val="20"/>
        </w:rPr>
        <w:t>$</w:t>
      </w:r>
      <w:r>
        <w:rPr>
          <w:sz w:val="20"/>
          <w:szCs w:val="20"/>
        </w:rPr>
        <w:t>1.</w:t>
      </w:r>
      <w:r>
        <w:rPr>
          <w:sz w:val="20"/>
          <w:szCs w:val="20"/>
        </w:rPr>
        <w:t>1</w:t>
      </w:r>
      <w:r>
        <w:rPr>
          <w:sz w:val="20"/>
          <w:szCs w:val="20"/>
        </w:rPr>
        <w:t xml:space="preserve"> million in revenue from AHMC in the first quarters of 2022 and 2021, respectively. As of March 31, 2022 and December 31, 2021, </w:t>
      </w:r>
      <w:r>
        <w:rPr>
          <w:sz w:val="20"/>
          <w:szCs w:val="20"/>
        </w:rPr>
        <w:t>$</w:t>
      </w:r>
      <w:r>
        <w:rPr>
          <w:sz w:val="20"/>
          <w:szCs w:val="20"/>
        </w:rPr>
        <w:t>509,00</w:t>
      </w:r>
      <w:r>
        <w:rPr>
          <w:sz w:val="20"/>
          <w:szCs w:val="20"/>
        </w:rPr>
        <w:t>0</w:t>
      </w:r>
      <w:r>
        <w:rPr>
          <w:sz w:val="20"/>
          <w:szCs w:val="20"/>
        </w:rPr>
        <w:t xml:space="preserve"> and </w:t>
      </w:r>
      <w:r>
        <w:rPr>
          <w:sz w:val="20"/>
          <w:szCs w:val="20"/>
        </w:rPr>
        <w:t>$</w:t>
      </w:r>
      <w:r>
        <w:rPr>
          <w:sz w:val="20"/>
          <w:szCs w:val="20"/>
        </w:rPr>
        <w:t>556,00</w:t>
      </w:r>
      <w:r>
        <w:rPr>
          <w:sz w:val="20"/>
          <w:szCs w:val="20"/>
        </w:rPr>
        <w:t>0</w:t>
      </w:r>
      <w:r>
        <w:rPr>
          <w:sz w:val="20"/>
          <w:szCs w:val="20"/>
        </w:rPr>
        <w:t xml:space="preserve">, respectively, was owed to the Company by AHMC, which is included in </w:t>
      </w:r>
      <w:r>
        <w:rPr>
          <w:sz w:val="20"/>
          <w:szCs w:val="20"/>
        </w:rPr>
        <w:t>trade accounts receivable, net, in the accompanying Condensed Consolidated Balance Sheets, in connection with this relationship</w:t>
      </w:r>
      <w:r>
        <w:rPr>
          <w:sz w:val="20"/>
          <w:szCs w:val="20"/>
        </w:rPr>
        <w:t>.</w:t>
      </w:r>
    </w:p>
    <w:p w:rsidR="00000000" w:rsidRDefault="00DA50CE">
      <w:pPr>
        <w:pStyle w:val="a3"/>
        <w:spacing w:before="240" w:beforeAutospacing="0" w:after="0" w:afterAutospacing="0"/>
        <w:ind w:firstLine="555"/>
        <w:divId w:val="2114278904"/>
        <w:rPr>
          <w:sz w:val="20"/>
          <w:szCs w:val="20"/>
        </w:rPr>
      </w:pPr>
      <w:r>
        <w:rPr>
          <w:sz w:val="20"/>
          <w:szCs w:val="20"/>
        </w:rPr>
        <w:t>The Company and Fulgent Pharma LLC, the Company’s former subsidiary, are party to shared services arrangements where research a</w:t>
      </w:r>
      <w:r>
        <w:rPr>
          <w:sz w:val="20"/>
          <w:szCs w:val="20"/>
        </w:rPr>
        <w:t>nd development, administrative services and office space and equipment are provided between the companies, on an arms-length basis. Ming Hsieh is the Manager and a member of Fulgent Pharma LLC. The cost of research and development services rendered by Fulg</w:t>
      </w:r>
      <w:r>
        <w:rPr>
          <w:sz w:val="20"/>
          <w:szCs w:val="20"/>
        </w:rPr>
        <w:t>ent Pharma LLC for the Company was</w:t>
      </w:r>
      <w:r>
        <w:rPr>
          <w:sz w:val="20"/>
          <w:szCs w:val="20"/>
        </w:rPr>
        <w:t xml:space="preserve"> </w:t>
      </w:r>
      <w:r>
        <w:rPr>
          <w:sz w:val="20"/>
          <w:szCs w:val="20"/>
        </w:rPr>
        <w:t>n</w:t>
      </w:r>
      <w:r>
        <w:rPr>
          <w:sz w:val="20"/>
          <w:szCs w:val="20"/>
        </w:rPr>
        <w:t>o</w:t>
      </w:r>
      <w:r>
        <w:rPr>
          <w:sz w:val="20"/>
          <w:szCs w:val="20"/>
        </w:rPr>
        <w:t xml:space="preserve">t significant in the first quarter of 2022. During the first quarter of 2021, the cost of research and development services rendered by Fulgent Pharma LLC for the Company was </w:t>
      </w:r>
      <w:r>
        <w:rPr>
          <w:sz w:val="20"/>
          <w:szCs w:val="20"/>
        </w:rPr>
        <w:t>$</w:t>
      </w:r>
      <w:r>
        <w:rPr>
          <w:sz w:val="20"/>
          <w:szCs w:val="20"/>
        </w:rPr>
        <w:t>108,00</w:t>
      </w:r>
      <w:r>
        <w:rPr>
          <w:sz w:val="20"/>
          <w:szCs w:val="20"/>
        </w:rPr>
        <w:t>0</w:t>
      </w:r>
      <w:r>
        <w:rPr>
          <w:sz w:val="20"/>
          <w:szCs w:val="20"/>
        </w:rPr>
        <w:t xml:space="preserve">. Amounts for services performed by </w:t>
      </w:r>
      <w:r>
        <w:rPr>
          <w:sz w:val="20"/>
          <w:szCs w:val="20"/>
        </w:rPr>
        <w:t>the Company for Fulgent Pharma LLC were</w:t>
      </w:r>
      <w:r>
        <w:rPr>
          <w:sz w:val="20"/>
          <w:szCs w:val="20"/>
        </w:rPr>
        <w:t xml:space="preserve"> </w:t>
      </w:r>
      <w:r>
        <w:rPr>
          <w:sz w:val="20"/>
          <w:szCs w:val="20"/>
        </w:rPr>
        <w:t>n</w:t>
      </w:r>
      <w:r>
        <w:rPr>
          <w:sz w:val="20"/>
          <w:szCs w:val="20"/>
        </w:rPr>
        <w:t>o</w:t>
      </w:r>
      <w:r>
        <w:rPr>
          <w:sz w:val="20"/>
          <w:szCs w:val="20"/>
        </w:rPr>
        <w:t xml:space="preserve">t significant during the first quarters of 2022 and 2021. As of March 31, 2022, and December 31, 2021, </w:t>
      </w:r>
      <w:r>
        <w:rPr>
          <w:sz w:val="20"/>
          <w:szCs w:val="20"/>
        </w:rPr>
        <w:t>$</w:t>
      </w:r>
      <w:r>
        <w:rPr>
          <w:sz w:val="20"/>
          <w:szCs w:val="20"/>
        </w:rPr>
        <w:t>689,00</w:t>
      </w:r>
      <w:r>
        <w:rPr>
          <w:sz w:val="20"/>
          <w:szCs w:val="20"/>
        </w:rPr>
        <w:t>0</w:t>
      </w:r>
      <w:r>
        <w:rPr>
          <w:sz w:val="20"/>
          <w:szCs w:val="20"/>
        </w:rPr>
        <w:t xml:space="preserve"> and </w:t>
      </w:r>
      <w:r>
        <w:rPr>
          <w:sz w:val="20"/>
          <w:szCs w:val="20"/>
        </w:rPr>
        <w:t>$</w:t>
      </w:r>
      <w:r>
        <w:rPr>
          <w:sz w:val="20"/>
          <w:szCs w:val="20"/>
        </w:rPr>
        <w:t>679,00</w:t>
      </w:r>
      <w:r>
        <w:rPr>
          <w:sz w:val="20"/>
          <w:szCs w:val="20"/>
        </w:rPr>
        <w:t>0</w:t>
      </w:r>
      <w:r>
        <w:rPr>
          <w:sz w:val="20"/>
          <w:szCs w:val="20"/>
        </w:rPr>
        <w:t>,</w:t>
      </w:r>
      <w:r>
        <w:rPr>
          <w:sz w:val="20"/>
          <w:szCs w:val="20"/>
        </w:rPr>
        <w:t xml:space="preserve"> </w:t>
      </w:r>
      <w:r>
        <w:rPr>
          <w:sz w:val="20"/>
          <w:szCs w:val="20"/>
        </w:rPr>
        <w:t>respectively, were owed to Fulgent Pharma LLC by the Company, which ar</w:t>
      </w:r>
      <w:r>
        <w:rPr>
          <w:sz w:val="20"/>
          <w:szCs w:val="20"/>
        </w:rPr>
        <w:t>e</w:t>
      </w:r>
      <w:r>
        <w:rPr>
          <w:sz w:val="20"/>
          <w:szCs w:val="20"/>
        </w:rPr>
        <w:t xml:space="preserve"> </w:t>
      </w:r>
    </w:p>
    <w:p w:rsidR="00000000" w:rsidRDefault="00DA50CE">
      <w:pPr>
        <w:pStyle w:val="a3"/>
        <w:spacing w:before="240" w:beforeAutospacing="0" w:after="0" w:afterAutospacing="0"/>
        <w:jc w:val="center"/>
        <w:divId w:val="2114278904"/>
        <w:rPr>
          <w:sz w:val="20"/>
          <w:szCs w:val="20"/>
        </w:rPr>
      </w:pPr>
      <w:r>
        <w:rPr>
          <w:sz w:val="20"/>
          <w:szCs w:val="20"/>
        </w:rPr>
        <w:t>1</w:t>
      </w:r>
      <w:r>
        <w:rPr>
          <w:sz w:val="20"/>
          <w:szCs w:val="20"/>
        </w:rPr>
        <w:t>7</w:t>
      </w:r>
    </w:p>
    <w:p w:rsidR="00000000" w:rsidRDefault="00DA50CE">
      <w:pPr>
        <w:divId w:val="211427890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A50CE">
      <w:pPr>
        <w:pStyle w:val="a3"/>
        <w:spacing w:before="240" w:beforeAutospacing="0" w:after="0" w:afterAutospacing="0"/>
        <w:divId w:val="2114278904"/>
        <w:rPr>
          <w:sz w:val="20"/>
          <w:szCs w:val="20"/>
        </w:rPr>
      </w:pPr>
      <w:r>
        <w:rPr>
          <w:sz w:val="20"/>
          <w:szCs w:val="20"/>
        </w:rPr>
        <w:t>included</w:t>
      </w:r>
      <w:r>
        <w:rPr>
          <w:sz w:val="20"/>
          <w:szCs w:val="20"/>
        </w:rPr>
        <w:t xml:space="preserve"> </w:t>
      </w:r>
      <w:r>
        <w:rPr>
          <w:sz w:val="20"/>
          <w:szCs w:val="20"/>
        </w:rPr>
        <w:t>in in other current liabilities in the accompanying Condensed Consolidated Balance Sheets, in connection with these relationships</w:t>
      </w:r>
      <w:r>
        <w:rPr>
          <w:sz w:val="20"/>
          <w:szCs w:val="20"/>
        </w:rPr>
        <w:t>.</w:t>
      </w:r>
    </w:p>
    <w:p w:rsidR="00000000" w:rsidRDefault="00DA50CE">
      <w:pPr>
        <w:pStyle w:val="a3"/>
        <w:spacing w:before="240" w:beforeAutospacing="0" w:after="0" w:afterAutospacing="0"/>
        <w:ind w:firstLine="555"/>
        <w:divId w:val="2114278904"/>
        <w:rPr>
          <w:sz w:val="20"/>
          <w:szCs w:val="20"/>
        </w:rPr>
      </w:pPr>
      <w:r>
        <w:rPr>
          <w:sz w:val="20"/>
          <w:szCs w:val="20"/>
        </w:rPr>
        <w:t>The Chief Executive Officer and Chairman of the Company’s board of directors, Mi</w:t>
      </w:r>
      <w:r>
        <w:rPr>
          <w:sz w:val="20"/>
          <w:szCs w:val="20"/>
        </w:rPr>
        <w:t xml:space="preserve">ng Hsieh, is the owner of PTJ Associates Inc., or PTJ. PTJ provides flight services to the Company on an arms-length basis. During the first quarter of 2022, the Company incurred </w:t>
      </w:r>
      <w:r>
        <w:rPr>
          <w:sz w:val="20"/>
          <w:szCs w:val="20"/>
        </w:rPr>
        <w:t>$</w:t>
      </w:r>
      <w:r>
        <w:rPr>
          <w:sz w:val="20"/>
          <w:szCs w:val="20"/>
        </w:rPr>
        <w:t>136,00</w:t>
      </w:r>
      <w:r>
        <w:rPr>
          <w:sz w:val="20"/>
          <w:szCs w:val="20"/>
        </w:rPr>
        <w:t>0</w:t>
      </w:r>
      <w:r>
        <w:rPr>
          <w:sz w:val="20"/>
          <w:szCs w:val="20"/>
        </w:rPr>
        <w:t xml:space="preserve"> in expenses for flights between California and Texas to transport em</w:t>
      </w:r>
      <w:r>
        <w:rPr>
          <w:sz w:val="20"/>
          <w:szCs w:val="20"/>
        </w:rPr>
        <w:t>ployees and supplies. Such expenses were</w:t>
      </w:r>
      <w:r>
        <w:rPr>
          <w:sz w:val="20"/>
          <w:szCs w:val="20"/>
        </w:rPr>
        <w:t xml:space="preserve"> </w:t>
      </w:r>
      <w:r>
        <w:rPr>
          <w:sz w:val="20"/>
          <w:szCs w:val="20"/>
        </w:rPr>
        <w:t>n</w:t>
      </w:r>
      <w:r>
        <w:rPr>
          <w:sz w:val="20"/>
          <w:szCs w:val="20"/>
        </w:rPr>
        <w:t>o</w:t>
      </w:r>
      <w:r>
        <w:rPr>
          <w:sz w:val="20"/>
          <w:szCs w:val="20"/>
        </w:rPr>
        <w:t>t significant in the first quarter of 2021. As of March 31, 2022 and December 31, 2021,</w:t>
      </w:r>
      <w:r>
        <w:rPr>
          <w:sz w:val="20"/>
          <w:szCs w:val="20"/>
        </w:rPr>
        <w:t xml:space="preserve"> </w:t>
      </w:r>
      <w:r>
        <w:rPr>
          <w:sz w:val="20"/>
          <w:szCs w:val="20"/>
        </w:rPr>
        <w:t>n</w:t>
      </w:r>
      <w:r>
        <w:rPr>
          <w:sz w:val="20"/>
          <w:szCs w:val="20"/>
        </w:rPr>
        <w:t>o</w:t>
      </w:r>
      <w:r>
        <w:rPr>
          <w:sz w:val="20"/>
          <w:szCs w:val="20"/>
        </w:rPr>
        <w:t xml:space="preserve"> amount was owed to PTJ by the Company in connection with this relationship</w:t>
      </w:r>
      <w:r>
        <w:rPr>
          <w:sz w:val="20"/>
          <w:szCs w:val="20"/>
        </w:rPr>
        <w:t>.</w:t>
      </w:r>
    </w:p>
    <w:p w:rsidR="00000000" w:rsidRDefault="00DA50CE">
      <w:pPr>
        <w:pStyle w:val="a3"/>
        <w:spacing w:before="360" w:beforeAutospacing="0" w:after="0" w:afterAutospacing="0"/>
        <w:divId w:val="1053120880"/>
        <w:rPr>
          <w:sz w:val="20"/>
          <w:szCs w:val="20"/>
        </w:rPr>
      </w:pPr>
      <w:r>
        <w:rPr>
          <w:b/>
          <w:bCs/>
          <w:sz w:val="20"/>
          <w:szCs w:val="20"/>
        </w:rPr>
        <w:t>Note 14. Equity Distribution Agreemen</w:t>
      </w:r>
      <w:r>
        <w:rPr>
          <w:b/>
          <w:bCs/>
          <w:sz w:val="20"/>
          <w:szCs w:val="20"/>
        </w:rPr>
        <w:t>t</w:t>
      </w:r>
    </w:p>
    <w:p w:rsidR="00000000" w:rsidRDefault="00DA50CE">
      <w:pPr>
        <w:pStyle w:val="a3"/>
        <w:spacing w:before="120" w:beforeAutospacing="0" w:after="0" w:afterAutospacing="0"/>
        <w:ind w:firstLine="555"/>
        <w:divId w:val="1053120880"/>
        <w:rPr>
          <w:sz w:val="20"/>
          <w:szCs w:val="20"/>
        </w:rPr>
      </w:pPr>
      <w:r>
        <w:rPr>
          <w:sz w:val="20"/>
          <w:szCs w:val="20"/>
        </w:rPr>
        <w:t>In Nove</w:t>
      </w:r>
      <w:r>
        <w:rPr>
          <w:sz w:val="20"/>
          <w:szCs w:val="20"/>
        </w:rPr>
        <w:t>mber 2020,</w:t>
      </w:r>
      <w:r>
        <w:rPr>
          <w:sz w:val="20"/>
          <w:szCs w:val="20"/>
        </w:rPr>
        <w:t xml:space="preserve"> </w:t>
      </w:r>
      <w:r>
        <w:rPr>
          <w:sz w:val="20"/>
          <w:szCs w:val="20"/>
        </w:rPr>
        <w:t>the Company entered into an Equity Distribution Agreement, or the November 2020 Equity Distribution Agreement, with Piper Sandler &amp; Co. (f/k/a Piper Jaffray &amp; Co.), or Piper, Oppenheimer &amp; Co. Inc., and BTIG LLC, as sales agents, pursuant to whi</w:t>
      </w:r>
      <w:r>
        <w:rPr>
          <w:sz w:val="20"/>
          <w:szCs w:val="20"/>
        </w:rPr>
        <w:t xml:space="preserve">ch the Company may offer and sell, from time to time through Piper, shares of its common stock having an aggregate offering price of up to </w:t>
      </w:r>
      <w:r>
        <w:rPr>
          <w:sz w:val="20"/>
          <w:szCs w:val="20"/>
        </w:rPr>
        <w:t>$</w:t>
      </w:r>
      <w:r>
        <w:rPr>
          <w:sz w:val="20"/>
          <w:szCs w:val="20"/>
        </w:rPr>
        <w:t>175.</w:t>
      </w:r>
      <w:r>
        <w:rPr>
          <w:sz w:val="20"/>
          <w:szCs w:val="20"/>
        </w:rPr>
        <w:t>0</w:t>
      </w:r>
      <w:r>
        <w:rPr>
          <w:sz w:val="20"/>
          <w:szCs w:val="20"/>
        </w:rPr>
        <w:t xml:space="preserve"> million. Piper may receive a commission of up to</w:t>
      </w:r>
      <w:r>
        <w:rPr>
          <w:sz w:val="20"/>
          <w:szCs w:val="20"/>
        </w:rPr>
        <w:t xml:space="preserve"> </w:t>
      </w:r>
      <w:r>
        <w:rPr>
          <w:sz w:val="20"/>
          <w:szCs w:val="20"/>
        </w:rPr>
        <w:t>3</w:t>
      </w:r>
      <w:r>
        <w:rPr>
          <w:sz w:val="20"/>
          <w:szCs w:val="20"/>
        </w:rPr>
        <w:t>% of the gross proceeds received by the Company for sales pu</w:t>
      </w:r>
      <w:r>
        <w:rPr>
          <w:sz w:val="20"/>
          <w:szCs w:val="20"/>
        </w:rPr>
        <w:t>rsuant to the November 2020 Equity Distribution Agreement. During the first quarter of 2021, the Company sold approximately</w:t>
      </w:r>
      <w:r>
        <w:rPr>
          <w:sz w:val="20"/>
          <w:szCs w:val="20"/>
        </w:rPr>
        <w:t xml:space="preserve"> </w:t>
      </w:r>
      <w:r>
        <w:rPr>
          <w:sz w:val="20"/>
          <w:szCs w:val="20"/>
        </w:rPr>
        <w:t>583,00</w:t>
      </w:r>
      <w:r>
        <w:rPr>
          <w:sz w:val="20"/>
          <w:szCs w:val="20"/>
        </w:rPr>
        <w:t>0</w:t>
      </w:r>
      <w:r>
        <w:rPr>
          <w:sz w:val="20"/>
          <w:szCs w:val="20"/>
        </w:rPr>
        <w:t xml:space="preserve"> shares of its common stock pursuant to the November 2020 Equity Distribution Agreement at a weighted-average net selling pri</w:t>
      </w:r>
      <w:r>
        <w:rPr>
          <w:sz w:val="20"/>
          <w:szCs w:val="20"/>
        </w:rPr>
        <w:t xml:space="preserve">ce of </w:t>
      </w:r>
      <w:r>
        <w:rPr>
          <w:sz w:val="20"/>
          <w:szCs w:val="20"/>
        </w:rPr>
        <w:t>$</w:t>
      </w:r>
      <w:r>
        <w:rPr>
          <w:sz w:val="20"/>
          <w:szCs w:val="20"/>
        </w:rPr>
        <w:t>52.0</w:t>
      </w:r>
      <w:r>
        <w:rPr>
          <w:sz w:val="20"/>
          <w:szCs w:val="20"/>
        </w:rPr>
        <w:t>0</w:t>
      </w:r>
      <w:r>
        <w:rPr>
          <w:sz w:val="20"/>
          <w:szCs w:val="20"/>
        </w:rPr>
        <w:t>, and</w:t>
      </w:r>
      <w:r>
        <w:rPr>
          <w:sz w:val="20"/>
          <w:szCs w:val="20"/>
        </w:rPr>
        <w:t xml:space="preserve"> </w:t>
      </w:r>
      <w:r>
        <w:rPr>
          <w:sz w:val="20"/>
          <w:szCs w:val="20"/>
        </w:rPr>
        <w:t>n</w:t>
      </w:r>
      <w:r>
        <w:rPr>
          <w:sz w:val="20"/>
          <w:szCs w:val="20"/>
        </w:rPr>
        <w:t>o</w:t>
      </w:r>
      <w:r>
        <w:rPr>
          <w:sz w:val="20"/>
          <w:szCs w:val="20"/>
        </w:rPr>
        <w:t xml:space="preserve"> shares of common stock were sold during the first quarter of 2022</w:t>
      </w:r>
      <w:r>
        <w:rPr>
          <w:sz w:val="20"/>
          <w:szCs w:val="20"/>
        </w:rPr>
        <w:t>.</w:t>
      </w:r>
    </w:p>
    <w:p w:rsidR="00000000" w:rsidRDefault="00DA50CE">
      <w:pPr>
        <w:pStyle w:val="a3"/>
        <w:spacing w:before="360" w:beforeAutospacing="0" w:after="0" w:afterAutospacing="0"/>
        <w:divId w:val="1099179618"/>
        <w:rPr>
          <w:sz w:val="20"/>
          <w:szCs w:val="20"/>
        </w:rPr>
      </w:pPr>
      <w:r>
        <w:rPr>
          <w:b/>
          <w:bCs/>
          <w:sz w:val="20"/>
          <w:szCs w:val="20"/>
        </w:rPr>
        <w:t>Note 15. Goodwill and Acquisition-Related Intangible</w:t>
      </w:r>
      <w:r>
        <w:rPr>
          <w:b/>
          <w:bCs/>
          <w:sz w:val="20"/>
          <w:szCs w:val="20"/>
        </w:rPr>
        <w:t>s</w:t>
      </w:r>
    </w:p>
    <w:p w:rsidR="00000000" w:rsidRDefault="00DA50CE">
      <w:pPr>
        <w:pStyle w:val="a3"/>
        <w:spacing w:before="120" w:beforeAutospacing="0" w:after="0" w:afterAutospacing="0"/>
        <w:ind w:firstLine="555"/>
        <w:divId w:val="1126198065"/>
        <w:rPr>
          <w:sz w:val="20"/>
          <w:szCs w:val="20"/>
        </w:rPr>
      </w:pPr>
      <w:r>
        <w:rPr>
          <w:sz w:val="20"/>
          <w:szCs w:val="20"/>
        </w:rPr>
        <w:t>Summaries of goodwill and intangibles balances assets as of March 31, 2022 and December 31, 2021 were as follows</w:t>
      </w:r>
      <w:r>
        <w:rPr>
          <w:sz w:val="20"/>
          <w:szCs w:val="20"/>
        </w:rPr>
        <w:t>:</w:t>
      </w:r>
    </w:p>
    <w:p w:rsidR="00000000" w:rsidRDefault="00DA50CE">
      <w:pPr>
        <w:pStyle w:val="a3"/>
        <w:spacing w:before="0" w:beforeAutospacing="0" w:after="0" w:afterAutospacing="0"/>
        <w:divId w:val="112619806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8"/>
        <w:gridCol w:w="2623"/>
        <w:gridCol w:w="160"/>
        <w:gridCol w:w="1152"/>
        <w:gridCol w:w="127"/>
        <w:gridCol w:w="127"/>
        <w:gridCol w:w="160"/>
        <w:gridCol w:w="957"/>
        <w:gridCol w:w="142"/>
      </w:tblGrid>
      <w:tr w:rsidR="00000000">
        <w:trPr>
          <w:divId w:val="1126198065"/>
          <w:tblCellSpacing w:w="15" w:type="dxa"/>
        </w:trPr>
        <w:tc>
          <w:tcPr>
            <w:tcW w:w="1772" w:type="pct"/>
            <w:vAlign w:val="center"/>
            <w:hideMark/>
          </w:tcPr>
          <w:p w:rsidR="00000000" w:rsidRDefault="00DA50CE">
            <w:pPr>
              <w:rPr>
                <w:sz w:val="20"/>
                <w:szCs w:val="20"/>
              </w:rPr>
            </w:pPr>
          </w:p>
        </w:tc>
        <w:tc>
          <w:tcPr>
            <w:tcW w:w="1635"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717"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78"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595"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r>
      <w:tr w:rsidR="00000000">
        <w:trPr>
          <w:divId w:val="1126198065"/>
          <w:trHeight w:val="160"/>
          <w:tblCellSpacing w:w="15" w:type="dxa"/>
        </w:trPr>
        <w:tc>
          <w:tcPr>
            <w:tcW w:w="0" w:type="auto"/>
            <w:vAlign w:val="bottom"/>
            <w:hideMark/>
          </w:tcPr>
          <w:p w:rsidR="00000000" w:rsidRDefault="00DA50CE">
            <w:pPr>
              <w:pStyle w:val="a3"/>
              <w:spacing w:before="0" w:beforeAutospacing="0" w:after="0" w:afterAutospacing="0"/>
              <w:rPr>
                <w:sz w:val="22"/>
                <w:szCs w:val="22"/>
              </w:rPr>
            </w:pPr>
            <w:r>
              <w:rPr>
                <w:sz w:val="22"/>
                <w:szCs w:val="22"/>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26198065"/>
          <w:trHeight w:val="160"/>
          <w:tblCellSpacing w:w="15" w:type="dxa"/>
        </w:trPr>
        <w:tc>
          <w:tcPr>
            <w:tcW w:w="0" w:type="auto"/>
            <w:vAlign w:val="bottom"/>
            <w:hideMark/>
          </w:tcPr>
          <w:p w:rsidR="00000000" w:rsidRDefault="00DA50CE">
            <w:pPr>
              <w:pStyle w:val="a3"/>
              <w:spacing w:before="0" w:beforeAutospacing="0" w:after="0" w:afterAutospacing="0"/>
              <w:rPr>
                <w:sz w:val="22"/>
                <w:szCs w:val="22"/>
              </w:rPr>
            </w:pPr>
            <w:r>
              <w:rPr>
                <w:sz w:val="22"/>
                <w:szCs w:val="22"/>
              </w:rPr>
              <w:t> </w:t>
            </w:r>
          </w:p>
        </w:tc>
        <w:tc>
          <w:tcPr>
            <w:tcW w:w="0" w:type="auto"/>
            <w:hideMark/>
          </w:tcPr>
          <w:p w:rsidR="00000000" w:rsidRDefault="00DA50CE">
            <w:pPr>
              <w:pStyle w:val="a3"/>
              <w:spacing w:before="0" w:beforeAutospacing="0" w:after="0" w:afterAutospacing="0"/>
              <w:jc w:val="center"/>
              <w:rPr>
                <w:sz w:val="16"/>
                <w:szCs w:val="16"/>
              </w:rPr>
            </w:pPr>
            <w:r>
              <w:rPr>
                <w:b/>
                <w:bCs/>
                <w:sz w:val="16"/>
                <w:szCs w:val="16"/>
              </w:rPr>
              <w:t>Weighted-Average Amortization Perio</w:t>
            </w:r>
            <w:r>
              <w:rPr>
                <w:b/>
                <w:bCs/>
                <w:sz w:val="16"/>
                <w:szCs w:val="16"/>
              </w:rPr>
              <w:t>d</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26198065"/>
          <w:trHeight w:val="160"/>
          <w:tblCellSpacing w:w="15" w:type="dxa"/>
        </w:trPr>
        <w:tc>
          <w:tcPr>
            <w:tcW w:w="0" w:type="auto"/>
            <w:vAlign w:val="bottom"/>
            <w:hideMark/>
          </w:tcPr>
          <w:p w:rsidR="00000000" w:rsidRDefault="00DA50CE">
            <w:pPr>
              <w:pStyle w:val="a3"/>
              <w:spacing w:before="0" w:beforeAutospacing="0" w:after="0" w:afterAutospacing="0"/>
              <w:rPr>
                <w:sz w:val="22"/>
                <w:szCs w:val="22"/>
              </w:rPr>
            </w:pPr>
            <w:r>
              <w:rPr>
                <w:sz w:val="22"/>
                <w:szCs w:val="22"/>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50,99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50,89</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Royalty-free technolog</w:t>
            </w:r>
            <w:r>
              <w:rPr>
                <w:sz w:val="20"/>
                <w:szCs w:val="20"/>
              </w:rPr>
              <w:t>y</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5,82</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5,80</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53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38</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Royalty-free technology,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5,29</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5,41</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r>
              <w:rPr>
                <w:sz w:val="20"/>
                <w:szCs w:val="20"/>
              </w:rPr>
              <w:t>2</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28,85</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28,84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1,76</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1,12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Customer relationships,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27,08</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27,72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1,09</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7</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Trade name,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1,01</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1,04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Laboratory information system platfor</w:t>
            </w:r>
            <w:r>
              <w:rPr>
                <w:sz w:val="20"/>
                <w:szCs w:val="20"/>
              </w:rPr>
              <w:t>m</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1,86</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1,86</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24</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15</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Laboratory information system platform,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1,61</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1,70</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Purchased paten</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Purchased patent,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26198065"/>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Total intangible assets, ne</w:t>
            </w:r>
            <w:r>
              <w:rPr>
                <w:sz w:val="20"/>
                <w:szCs w:val="20"/>
              </w:rPr>
              <w:t>t</w:t>
            </w:r>
          </w:p>
        </w:tc>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divId w:val="1126198065"/>
        <w:rPr>
          <w:sz w:val="20"/>
          <w:szCs w:val="20"/>
        </w:rPr>
      </w:pPr>
      <w:r>
        <w:rPr>
          <w:sz w:val="20"/>
          <w:szCs w:val="20"/>
        </w:rPr>
        <w:t> </w:t>
      </w:r>
    </w:p>
    <w:p w:rsidR="00000000" w:rsidRDefault="00DA50CE">
      <w:pPr>
        <w:pStyle w:val="a3"/>
        <w:spacing w:before="240" w:beforeAutospacing="0" w:after="0" w:afterAutospacing="0"/>
        <w:jc w:val="center"/>
        <w:divId w:val="1126198065"/>
        <w:rPr>
          <w:sz w:val="20"/>
          <w:szCs w:val="20"/>
        </w:rPr>
      </w:pPr>
      <w:r>
        <w:rPr>
          <w:sz w:val="20"/>
          <w:szCs w:val="20"/>
        </w:rPr>
        <w:t>1</w:t>
      </w:r>
      <w:r>
        <w:rPr>
          <w:sz w:val="20"/>
          <w:szCs w:val="20"/>
        </w:rPr>
        <w:t>8</w:t>
      </w:r>
    </w:p>
    <w:p w:rsidR="00000000" w:rsidRDefault="00DA50CE">
      <w:pPr>
        <w:divId w:val="1126198065"/>
        <w:rPr>
          <w:rFonts w:eastAsia="Times New Roman"/>
          <w:sz w:val="22"/>
          <w:szCs w:val="22"/>
        </w:rPr>
      </w:pPr>
      <w:r>
        <w:rPr>
          <w:rFonts w:eastAsia="Times New Roman"/>
          <w:sz w:val="22"/>
          <w:szCs w:val="22"/>
        </w:rPr>
        <w:pict>
          <v:rect id="_x0000_i1044" style="width:0;height:1.5pt" o:hralign="center" o:hrstd="t" o:hr="t" fillcolor="#a0a0a0" stroked="f"/>
        </w:pict>
      </w:r>
    </w:p>
    <w:p w:rsidR="00000000" w:rsidRDefault="00DA50CE">
      <w:pPr>
        <w:pStyle w:val="a3"/>
        <w:spacing w:before="240" w:beforeAutospacing="0" w:after="0" w:afterAutospacing="0"/>
        <w:ind w:firstLine="555"/>
        <w:divId w:val="1105466481"/>
        <w:rPr>
          <w:sz w:val="20"/>
          <w:szCs w:val="20"/>
        </w:rPr>
      </w:pPr>
      <w:r>
        <w:rPr>
          <w:sz w:val="20"/>
          <w:szCs w:val="20"/>
        </w:rPr>
        <w:t>Based on the carrying value of intangible assets recorded as of March 31, 2022, and assuming no subsequent impairment of the underlying assets, the annual amortization expense for intangible assets is expected to be as f</w:t>
      </w:r>
      <w:r>
        <w:rPr>
          <w:sz w:val="20"/>
          <w:szCs w:val="20"/>
        </w:rPr>
        <w:t>ollows</w:t>
      </w:r>
      <w:r>
        <w:rPr>
          <w:sz w:val="20"/>
          <w:szCs w:val="20"/>
        </w:rPr>
        <w:t>:</w:t>
      </w:r>
    </w:p>
    <w:p w:rsidR="00000000" w:rsidRDefault="00DA50CE">
      <w:pPr>
        <w:pStyle w:val="a3"/>
        <w:spacing w:before="0" w:beforeAutospacing="0" w:after="0" w:afterAutospacing="0"/>
        <w:divId w:val="110546648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85"/>
        <w:gridCol w:w="161"/>
        <w:gridCol w:w="2535"/>
        <w:gridCol w:w="125"/>
      </w:tblGrid>
      <w:tr w:rsidR="00000000">
        <w:trPr>
          <w:divId w:val="1105466481"/>
          <w:tblCellSpacing w:w="15" w:type="dxa"/>
        </w:trPr>
        <w:tc>
          <w:tcPr>
            <w:tcW w:w="3354"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155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r>
      <w:tr w:rsidR="00000000">
        <w:trPr>
          <w:divId w:val="1105466481"/>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05466481"/>
          <w:trHeight w:val="160"/>
          <w:tblCellSpacing w:w="15" w:type="dxa"/>
        </w:trPr>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hideMark/>
          </w:tcPr>
          <w:p w:rsidR="00000000" w:rsidRDefault="00DA50CE">
            <w:pPr>
              <w:pStyle w:val="a3"/>
              <w:spacing w:before="0" w:beforeAutospacing="0" w:after="0" w:afterAutospacing="0"/>
              <w:jc w:val="center"/>
              <w:rPr>
                <w:sz w:val="20"/>
                <w:szCs w:val="20"/>
              </w:rPr>
            </w:pPr>
            <w:r>
              <w:rPr>
                <w:sz w:val="20"/>
                <w:szCs w:val="20"/>
              </w:rPr>
              <w:t> </w:t>
            </w:r>
          </w:p>
        </w:tc>
        <w:tc>
          <w:tcPr>
            <w:tcW w:w="0" w:type="auto"/>
            <w:hideMark/>
          </w:tcPr>
          <w:p w:rsidR="00000000" w:rsidRDefault="00DA50CE">
            <w:pPr>
              <w:pStyle w:val="a3"/>
              <w:spacing w:before="0" w:beforeAutospacing="0" w:after="0" w:afterAutospacing="0"/>
              <w:jc w:val="center"/>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2022 (remaining 9 months</w:t>
            </w: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2,71</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3,61</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3,29</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2,99</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15,18</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divId w:val="1105466481"/>
          <w:trHeight w:val="200"/>
          <w:tblCellSpacing w:w="15" w:type="dxa"/>
        </w:trPr>
        <w:tc>
          <w:tcPr>
            <w:tcW w:w="0" w:type="auto"/>
            <w:vAlign w:val="bottom"/>
            <w:hideMark/>
          </w:tcPr>
          <w:p w:rsidR="00000000" w:rsidRDefault="00DA50CE">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35,03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360" w:beforeAutospacing="0" w:after="0" w:afterAutospacing="0"/>
        <w:divId w:val="360863717"/>
        <w:rPr>
          <w:sz w:val="20"/>
          <w:szCs w:val="20"/>
        </w:rPr>
      </w:pPr>
      <w:r>
        <w:rPr>
          <w:b/>
          <w:bCs/>
          <w:sz w:val="20"/>
          <w:szCs w:val="20"/>
        </w:rPr>
        <w:t>Note 16. Subsequent Event</w:t>
      </w:r>
      <w:r>
        <w:rPr>
          <w:b/>
          <w:bCs/>
          <w:sz w:val="20"/>
          <w:szCs w:val="20"/>
        </w:rPr>
        <w:t>s</w:t>
      </w:r>
    </w:p>
    <w:p w:rsidR="00000000" w:rsidRDefault="00DA50CE">
      <w:pPr>
        <w:pStyle w:val="a3"/>
        <w:spacing w:before="120" w:beforeAutospacing="0" w:after="0" w:afterAutospacing="0"/>
        <w:ind w:firstLine="539"/>
        <w:divId w:val="360863717"/>
        <w:rPr>
          <w:sz w:val="20"/>
          <w:szCs w:val="20"/>
        </w:rPr>
      </w:pPr>
      <w:r>
        <w:rPr>
          <w:sz w:val="20"/>
          <w:szCs w:val="20"/>
        </w:rPr>
        <w:t>In April 2022, the Company entered into an Agreement and Plan of Merger, or the Merger Agreement, pursuant to which the Company acquired Symphony Buyer, Inc., an indirect parent of Inform Diagnostics, Inc., or InformDx. InformDx is a leading national indep</w:t>
      </w:r>
      <w:r>
        <w:rPr>
          <w:sz w:val="20"/>
          <w:szCs w:val="20"/>
        </w:rPr>
        <w:t xml:space="preserve">endent pathology laboratory based in Irving, Texas. The acquisition was completed on April 26, 2022. Under the terms of the Merger Agreement, the total purchase price payable to the securityholders of Symphony Buyer, Inc. was approximately </w:t>
      </w:r>
      <w:r>
        <w:rPr>
          <w:sz w:val="20"/>
          <w:szCs w:val="20"/>
        </w:rPr>
        <w:t>$</w:t>
      </w:r>
      <w:r>
        <w:rPr>
          <w:sz w:val="20"/>
          <w:szCs w:val="20"/>
        </w:rPr>
        <w:t>17</w:t>
      </w:r>
      <w:r>
        <w:rPr>
          <w:sz w:val="20"/>
          <w:szCs w:val="20"/>
        </w:rPr>
        <w:t>0</w:t>
      </w:r>
      <w:r>
        <w:rPr>
          <w:sz w:val="20"/>
          <w:szCs w:val="20"/>
        </w:rPr>
        <w:t xml:space="preserve"> million, as</w:t>
      </w:r>
      <w:r>
        <w:rPr>
          <w:sz w:val="20"/>
          <w:szCs w:val="20"/>
        </w:rPr>
        <w:t xml:space="preserve"> adjusted for closing cash, closing indebtedness, closing working capital, closing transaction expenses and other transaction matters. With the addition of InformDx, the Company will extend its test menu into breast pathology, gastrointestinal pathology, d</w:t>
      </w:r>
      <w:r>
        <w:rPr>
          <w:sz w:val="20"/>
          <w:szCs w:val="20"/>
        </w:rPr>
        <w:t>ermatopathology, urologic pathology, neuropathology, and hematopathology</w:t>
      </w:r>
      <w:r>
        <w:rPr>
          <w:sz w:val="20"/>
          <w:szCs w:val="20"/>
        </w:rPr>
        <w:t>.</w:t>
      </w:r>
    </w:p>
    <w:p w:rsidR="00000000" w:rsidRDefault="00DA50CE">
      <w:pPr>
        <w:pStyle w:val="a3"/>
        <w:spacing w:before="240" w:beforeAutospacing="0" w:after="0" w:afterAutospacing="0"/>
        <w:jc w:val="center"/>
        <w:rPr>
          <w:sz w:val="20"/>
          <w:szCs w:val="20"/>
        </w:rPr>
      </w:pPr>
      <w:r>
        <w:rPr>
          <w:sz w:val="20"/>
          <w:szCs w:val="20"/>
        </w:rPr>
        <w:t>1</w:t>
      </w:r>
      <w:r>
        <w:rPr>
          <w:sz w:val="20"/>
          <w:szCs w:val="20"/>
        </w:rPr>
        <w:t>9</w:t>
      </w:r>
    </w:p>
    <w:p w:rsidR="00000000" w:rsidRDefault="00DA50CE">
      <w:pPr>
        <w:rPr>
          <w:rFonts w:eastAsia="Times New Roman"/>
        </w:rPr>
      </w:pPr>
      <w:r>
        <w:rPr>
          <w:rFonts w:eastAsia="Times New Roman"/>
        </w:rPr>
        <w:pict>
          <v:rect id="_x0000_i1045" style="width:0;height:1.5pt" o:hralign="center" o:hrstd="t" o:hr="t" fillcolor="#a0a0a0" stroked="f"/>
        </w:pict>
      </w:r>
    </w:p>
    <w:p w:rsidR="00000000" w:rsidRDefault="00DA50CE">
      <w:pPr>
        <w:pStyle w:val="a3"/>
        <w:spacing w:before="36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rsidR="00000000" w:rsidRDefault="00DA50CE">
      <w:pPr>
        <w:pStyle w:val="a3"/>
        <w:spacing w:before="120" w:beforeAutospacing="0" w:after="0" w:afterAutospacing="0"/>
        <w:rPr>
          <w:sz w:val="20"/>
          <w:szCs w:val="20"/>
        </w:rPr>
      </w:pPr>
      <w:r>
        <w:rPr>
          <w:i/>
          <w:iCs/>
          <w:sz w:val="20"/>
          <w:szCs w:val="20"/>
        </w:rPr>
        <w:t>The following discussion and analysis of our fi</w:t>
      </w:r>
      <w:r>
        <w:rPr>
          <w:i/>
          <w:iCs/>
          <w:sz w:val="20"/>
          <w:szCs w:val="20"/>
        </w:rPr>
        <w:t>nancial condition and results of operations should be read together with our condensed consolidated financial statements and related notes included in this report. Additionally, pursuant to Instruction 2 to paragraph (b) of Item 303 of Regulation S-K promu</w:t>
      </w:r>
      <w:r>
        <w:rPr>
          <w:i/>
          <w:iCs/>
          <w:sz w:val="20"/>
          <w:szCs w:val="20"/>
        </w:rPr>
        <w:t xml:space="preserve">lgated by the Securities and Exchange Commission in preparing this discussion and analysis, we presume that readers have access to and have read the discussion and analysis of our financial condition and results of operations included in our annual report </w:t>
      </w:r>
      <w:r>
        <w:rPr>
          <w:i/>
          <w:iCs/>
          <w:sz w:val="20"/>
          <w:szCs w:val="20"/>
        </w:rPr>
        <w:t>on Form 10-K for our fiscal year ended December 31, 2021 filed with the SEC on February 28, 2022, or the 2021 Annual Report. As used in this discussion and analysis and elsewhere in this report, unless the context otherwise requires, the terms “Fulgent,” t</w:t>
      </w:r>
      <w:r>
        <w:rPr>
          <w:i/>
          <w:iCs/>
          <w:sz w:val="20"/>
          <w:szCs w:val="20"/>
        </w:rPr>
        <w:t>he “Company,” “we,” “us” and “our” refer to Fulgent Genetics, Inc. and its consolidated subsidiaries</w:t>
      </w:r>
      <w:r>
        <w:rPr>
          <w:i/>
          <w:iCs/>
          <w:sz w:val="20"/>
          <w:szCs w:val="20"/>
        </w:rPr>
        <w:t>.</w:t>
      </w:r>
    </w:p>
    <w:p w:rsidR="00000000" w:rsidRDefault="00DA50CE">
      <w:pPr>
        <w:pStyle w:val="a3"/>
        <w:spacing w:before="360" w:beforeAutospacing="0" w:after="0" w:afterAutospacing="0"/>
        <w:jc w:val="center"/>
        <w:rPr>
          <w:sz w:val="20"/>
          <w:szCs w:val="20"/>
        </w:rPr>
      </w:pPr>
      <w:r>
        <w:rPr>
          <w:b/>
          <w:bCs/>
          <w:i/>
          <w:iCs/>
          <w:sz w:val="20"/>
          <w:szCs w:val="20"/>
        </w:rPr>
        <w:t>Forward-Looking Statement</w:t>
      </w:r>
      <w:r>
        <w:rPr>
          <w:b/>
          <w:bCs/>
          <w:i/>
          <w:iCs/>
          <w:sz w:val="20"/>
          <w:szCs w:val="20"/>
        </w:rPr>
        <w:t>s</w:t>
      </w:r>
    </w:p>
    <w:p w:rsidR="00000000" w:rsidRDefault="00DA50CE">
      <w:pPr>
        <w:pStyle w:val="a3"/>
        <w:spacing w:before="120" w:beforeAutospacing="0" w:after="0" w:afterAutospacing="0"/>
        <w:rPr>
          <w:sz w:val="20"/>
          <w:szCs w:val="20"/>
        </w:rPr>
      </w:pPr>
      <w:r>
        <w:rPr>
          <w:i/>
          <w:iCs/>
          <w:sz w:val="20"/>
          <w:szCs w:val="20"/>
        </w:rPr>
        <w:t>The following discussion and analysis contains forward-looking statements within the meaning of Section 27A of the Securities A</w:t>
      </w:r>
      <w:r>
        <w:rPr>
          <w:i/>
          <w:iCs/>
          <w:sz w:val="20"/>
          <w:szCs w:val="20"/>
        </w:rPr>
        <w:t>ct of 1933, as amended, or the Securities Act, and Section 21E of the Securities Exchange Act of 1934, as amended, or the Exchange Act. Forward-looking statements are statements other than historical facts and relate to future events or circumstances or ou</w:t>
      </w:r>
      <w:r>
        <w:rPr>
          <w:i/>
          <w:iCs/>
          <w:sz w:val="20"/>
          <w:szCs w:val="20"/>
        </w:rPr>
        <w:t>r future performance, and they are based on our current assumptions, expectations and beliefs concerning future developments and their potential effect on our business. The forward-looking statements in this discussion and analysis include statements about</w:t>
      </w:r>
      <w:r>
        <w:rPr>
          <w:i/>
          <w:iCs/>
          <w:sz w:val="20"/>
          <w:szCs w:val="20"/>
        </w:rPr>
        <w:t>, among other things, our future financial and operating performance, our future cash flows and liquidity and our growth strategies, as well as anticipated trends in our business and industry. These forward-looking statements are subject to a number of ris</w:t>
      </w:r>
      <w:r>
        <w:rPr>
          <w:i/>
          <w:iCs/>
          <w:sz w:val="20"/>
          <w:szCs w:val="20"/>
        </w:rPr>
        <w:t>ks and uncertainties, including, among others, those described under “Item 1A. Risk Factors” in Part I of the 2021 Annual Report. Moreover, we operate in a competitive and rapidly evolving industry and new risks emerge from time to time. It is not possible</w:t>
      </w:r>
      <w:r>
        <w:rPr>
          <w:i/>
          <w:iCs/>
          <w:sz w:val="20"/>
          <w:szCs w:val="20"/>
        </w:rPr>
        <w:t xml:space="preserve"> for us to predict all of the risks we may face, nor can we assess the impact of all factors on our business or the extent to which any factor or combination of factors could cause actual results to differ from our expectations</w:t>
      </w:r>
      <w:r>
        <w:rPr>
          <w:i/>
          <w:iCs/>
          <w:sz w:val="20"/>
          <w:szCs w:val="20"/>
        </w:rPr>
        <w:t>.</w:t>
      </w:r>
      <w:r>
        <w:rPr>
          <w:sz w:val="20"/>
          <w:szCs w:val="20"/>
        </w:rPr>
        <w:t xml:space="preserve"> </w:t>
      </w:r>
      <w:r>
        <w:rPr>
          <w:i/>
          <w:iCs/>
          <w:sz w:val="20"/>
          <w:szCs w:val="20"/>
        </w:rPr>
        <w:t>In light of these risks and</w:t>
      </w:r>
      <w:r>
        <w:rPr>
          <w:i/>
          <w:iCs/>
          <w:sz w:val="20"/>
          <w:szCs w:val="20"/>
        </w:rPr>
        <w:t xml:space="preserve"> uncertainties, the forward-looking events and circumstances described in this discussion and analysis may not occur, and actual results could differ materially and adversely from those described in or implied by any forward-looking statements we make. Alt</w:t>
      </w:r>
      <w:r>
        <w:rPr>
          <w:i/>
          <w:iCs/>
          <w:sz w:val="20"/>
          <w:szCs w:val="20"/>
        </w:rPr>
        <w:t>hough we have based our forward-looking statements on assumptions and expectations we believe are reasonable, we cannot guarantee future results, levels of activity, performance or achievements or other future events. As a result, forward-looking statement</w:t>
      </w:r>
      <w:r>
        <w:rPr>
          <w:i/>
          <w:iCs/>
          <w:sz w:val="20"/>
          <w:szCs w:val="20"/>
        </w:rPr>
        <w:t>s should not be relied on or viewed as predictions of future events, and this discussion and analysis should be read with the understanding that actual future results, levels of activity, performance and achievements may be materially different than our cu</w:t>
      </w:r>
      <w:r>
        <w:rPr>
          <w:i/>
          <w:iCs/>
          <w:sz w:val="20"/>
          <w:szCs w:val="20"/>
        </w:rPr>
        <w:t>rrent expectations. The forward-looking statements in this discussion and analysis speak only as of the date of this report, and except as required by law, we undertake no obligation to update publicly any forward-looking statements for any reason after th</w:t>
      </w:r>
      <w:r>
        <w:rPr>
          <w:i/>
          <w:iCs/>
          <w:sz w:val="20"/>
          <w:szCs w:val="20"/>
        </w:rPr>
        <w:t>e date of this report to conform these statements to actual results or to changes in our expectations</w:t>
      </w:r>
      <w:r>
        <w:rPr>
          <w:i/>
          <w:iCs/>
          <w:sz w:val="20"/>
          <w:szCs w:val="20"/>
        </w:rPr>
        <w:t>.</w:t>
      </w:r>
    </w:p>
    <w:p w:rsidR="00000000" w:rsidRDefault="00DA50CE">
      <w:pPr>
        <w:pStyle w:val="a3"/>
        <w:spacing w:before="360" w:beforeAutospacing="0" w:after="0" w:afterAutospacing="0"/>
        <w:jc w:val="center"/>
        <w:rPr>
          <w:sz w:val="20"/>
          <w:szCs w:val="20"/>
        </w:rPr>
      </w:pPr>
      <w:r>
        <w:rPr>
          <w:b/>
          <w:bCs/>
          <w:sz w:val="20"/>
          <w:szCs w:val="20"/>
        </w:rPr>
        <w:t>Overvie</w:t>
      </w:r>
      <w:r>
        <w:rPr>
          <w:b/>
          <w:bCs/>
          <w:sz w:val="20"/>
          <w:szCs w:val="20"/>
        </w:rPr>
        <w:t>w</w:t>
      </w:r>
    </w:p>
    <w:p w:rsidR="00000000" w:rsidRDefault="00DA50CE">
      <w:pPr>
        <w:pStyle w:val="a3"/>
        <w:spacing w:before="120" w:beforeAutospacing="0" w:after="0" w:afterAutospacing="0"/>
        <w:ind w:firstLine="555"/>
        <w:rPr>
          <w:sz w:val="20"/>
          <w:szCs w:val="20"/>
        </w:rPr>
      </w:pPr>
      <w:r>
        <w:rPr>
          <w:sz w:val="20"/>
          <w:szCs w:val="20"/>
        </w:rPr>
        <w:t>We are a technology company offering large-scale COVID-19 testing services, molecular diagnostic testing services and comprehensive genetic test</w:t>
      </w:r>
      <w:r>
        <w:rPr>
          <w:sz w:val="20"/>
          <w:szCs w:val="20"/>
        </w:rPr>
        <w:t>ing designed to provide physicians and patients with clinically actionable diagnostic information to improve the quality of patient care. A cornerstone of our business is our ability to provide expansive options and flexibility for all clients’ unique test</w:t>
      </w:r>
      <w:r>
        <w:rPr>
          <w:sz w:val="20"/>
          <w:szCs w:val="20"/>
        </w:rPr>
        <w:t>ing needs. To this end, we have developed a proprietary technology platform allowing us to offer a broad and flexible test menu and to continually expand and improve our proprietary genetic reference library, while maintaining accessible pricing, high accu</w:t>
      </w:r>
      <w:r>
        <w:rPr>
          <w:sz w:val="20"/>
          <w:szCs w:val="20"/>
        </w:rPr>
        <w:t>racy and competitive turnaround times. Combining next generation sequencing, or NGS, with our technology platform, we perform full-gene sequencing with deletion/duplication analysis in single-gene tests; pre-established, multi-gene, disease-specific panels</w:t>
      </w:r>
      <w:r>
        <w:rPr>
          <w:sz w:val="20"/>
          <w:szCs w:val="20"/>
        </w:rPr>
        <w:t>; and customized panels that can be tailored to meet specific customer needs</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Our technology platform, which integrates sophisticated data comparison and suppression algorithms, adaptive learning software, in comparison to our competitors advanced genetic</w:t>
      </w:r>
      <w:r>
        <w:rPr>
          <w:sz w:val="20"/>
          <w:szCs w:val="20"/>
        </w:rPr>
        <w:t xml:space="preserve"> diagnostics tools and integrated laboratory processes, allows us to offer a test menu with expansive genetic coverage. We believe the comprehensive data output and high detection rates of our tests, both made possible by this expansive genetic coverage, p</w:t>
      </w:r>
      <w:r>
        <w:rPr>
          <w:sz w:val="20"/>
          <w:szCs w:val="20"/>
        </w:rPr>
        <w:t>rovide physicians with information they can readily incorporate into treatment decisions for their patients, which we refer to as clinical actionability. In addition, our technology platform facilitates our ability to perform customized genetic tests using</w:t>
      </w:r>
      <w:r>
        <w:rPr>
          <w:sz w:val="20"/>
          <w:szCs w:val="20"/>
        </w:rPr>
        <w:t xml:space="preserve"> our expansive library of genes, and we believe this flexibility increases the utility of the genetic data we produce. Further, our technology platform provides us with operating efficiencies that help lower our internal costs, which allows us to offer our</w:t>
      </w:r>
      <w:r>
        <w:rPr>
          <w:sz w:val="20"/>
          <w:szCs w:val="20"/>
        </w:rPr>
        <w:t xml:space="preserve"> tests at accessible price points. As a result, our efforts to build and continually enhance our technology platform allow us to deliver comprehensive, adaptable, clinically actionable and affordable genetic analysis while maintaining a low cost per billab</w:t>
      </w:r>
      <w:r>
        <w:rPr>
          <w:sz w:val="20"/>
          <w:szCs w:val="20"/>
        </w:rPr>
        <w:t>le test, enabling us to efficiently meet the needs of our growing base of customers</w:t>
      </w:r>
      <w:r>
        <w:rPr>
          <w:sz w:val="20"/>
          <w:szCs w:val="20"/>
        </w:rPr>
        <w:t>.</w:t>
      </w:r>
      <w:r>
        <w:rPr>
          <w:sz w:val="20"/>
          <w:szCs w:val="20"/>
        </w:rPr>
        <w:t xml:space="preserve"> </w:t>
      </w:r>
    </w:p>
    <w:p w:rsidR="00000000" w:rsidRDefault="00DA50CE">
      <w:pPr>
        <w:pStyle w:val="a3"/>
        <w:spacing w:before="240" w:beforeAutospacing="0" w:after="0" w:afterAutospacing="0"/>
        <w:jc w:val="center"/>
        <w:rPr>
          <w:sz w:val="20"/>
          <w:szCs w:val="20"/>
        </w:rPr>
      </w:pPr>
      <w:r>
        <w:rPr>
          <w:sz w:val="20"/>
          <w:szCs w:val="20"/>
        </w:rPr>
        <w:t>2</w:t>
      </w:r>
      <w:r>
        <w:rPr>
          <w:sz w:val="20"/>
          <w:szCs w:val="20"/>
        </w:rPr>
        <w:t>0</w:t>
      </w:r>
    </w:p>
    <w:p w:rsidR="00000000" w:rsidRDefault="00DA50CE">
      <w:pPr>
        <w:rPr>
          <w:rFonts w:eastAsia="Times New Roman"/>
        </w:rPr>
      </w:pPr>
      <w:r>
        <w:rPr>
          <w:rFonts w:eastAsia="Times New Roman"/>
        </w:rPr>
        <w:pict>
          <v:rect id="_x0000_i1046" style="width:0;height:1.5pt" o:hralign="center" o:hrstd="t" o:hr="t" fillcolor="#a0a0a0" stroked="f"/>
        </w:pict>
      </w:r>
    </w:p>
    <w:p w:rsidR="00000000" w:rsidRDefault="00DA50CE">
      <w:pPr>
        <w:pStyle w:val="a3"/>
        <w:spacing w:before="240" w:beforeAutospacing="0" w:after="0" w:afterAutospacing="0"/>
        <w:ind w:firstLine="555"/>
        <w:rPr>
          <w:sz w:val="20"/>
          <w:szCs w:val="20"/>
        </w:rPr>
      </w:pPr>
      <w:r>
        <w:rPr>
          <w:sz w:val="20"/>
          <w:szCs w:val="20"/>
        </w:rPr>
        <w:t>We offer tests at competitive prices, averaging approximately $99 per billable test delivered in the first quarter of 2022, and at a low cost to us, averaging approximately $24 per billable test delivered in the first quarter of 2022. We delivered over 3.2</w:t>
      </w:r>
      <w:r>
        <w:rPr>
          <w:sz w:val="20"/>
          <w:szCs w:val="20"/>
        </w:rPr>
        <w:t xml:space="preserve"> million billable tests in the first quarter of 2022, compared to approximately 3.8 million billable tests delivered in the first quarter of 2021. We recorded revenue and net income of $320.3 million and $154.0 million, respectively, in the first quarter o</w:t>
      </w:r>
      <w:r>
        <w:rPr>
          <w:sz w:val="20"/>
          <w:szCs w:val="20"/>
        </w:rPr>
        <w:t>f 2022, compared to revenue and net income of $359.4 million and $200.7 million, respectively, in the first quarter of 2021. As of March 31, 2022, an aggregate of approximately 17.7 million billable tests have been delivered to approximately 1,900 customer</w:t>
      </w:r>
      <w:r>
        <w:rPr>
          <w:sz w:val="20"/>
          <w:szCs w:val="20"/>
        </w:rPr>
        <w:t>s since launching our first commercial genetic tests in 2013. We have experienced compound quarterly growth of 51% in the number of billable tests delivered in our last eight completed fiscal quarters. We achieved profitability in the first half of 2017, a</w:t>
      </w:r>
      <w:r>
        <w:rPr>
          <w:sz w:val="20"/>
          <w:szCs w:val="20"/>
        </w:rPr>
        <w:t>nd in the second and the third quarter of 2019, the second, third and fourth quarters of 2020, each quarter of 2021, and the first quarter of 2022, but we have recorded losses in all other periods since our inception</w:t>
      </w:r>
      <w:r>
        <w:rPr>
          <w:sz w:val="20"/>
          <w:szCs w:val="20"/>
        </w:rPr>
        <w:t>.</w:t>
      </w:r>
    </w:p>
    <w:p w:rsidR="00000000" w:rsidRDefault="00DA50CE">
      <w:pPr>
        <w:pStyle w:val="a3"/>
        <w:spacing w:before="360" w:beforeAutospacing="0" w:after="0" w:afterAutospacing="0"/>
        <w:jc w:val="center"/>
        <w:rPr>
          <w:sz w:val="20"/>
          <w:szCs w:val="20"/>
        </w:rPr>
      </w:pPr>
      <w:r>
        <w:rPr>
          <w:b/>
          <w:bCs/>
          <w:sz w:val="20"/>
          <w:szCs w:val="20"/>
        </w:rPr>
        <w:t>COVID-19 Consideration</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During the fir</w:t>
      </w:r>
      <w:r>
        <w:rPr>
          <w:sz w:val="20"/>
          <w:szCs w:val="20"/>
        </w:rPr>
        <w:t>st quarter of 2022, and for the entirety of the COVID-19 pandemic to such point, we continued to operate as an essential business in response to COVID-19. In the first quarter of 2022 and 2021, the COVID-19 pandemic did not have a negative impact on our co</w:t>
      </w:r>
      <w:r>
        <w:rPr>
          <w:sz w:val="20"/>
          <w:szCs w:val="20"/>
        </w:rPr>
        <w:t>nsolidated operating results. Since the outbreak of the current COVID-19 pandemic there has been strong demand for accurate COVID-19 testing with rapid turn-around times as private businesses, municipalities and healthcare providers began to increasingly r</w:t>
      </w:r>
      <w:r>
        <w:rPr>
          <w:sz w:val="20"/>
          <w:szCs w:val="20"/>
        </w:rPr>
        <w:t>ely on diagnostic testing to continue operations and as a tool to aide containment efforts, and as result we have recognized significant revenue growth in connection with sales of our COVID-19 tests. The duration of the ongoing COVID-19 pandemic and contin</w:t>
      </w:r>
      <w:r>
        <w:rPr>
          <w:sz w:val="20"/>
          <w:szCs w:val="20"/>
        </w:rPr>
        <w:t>uing market for COVID-19 diagnostic tests remains subject to a number of uncertainties, including uncertainties regarding the effectiveness of disease containment efforts, speed and effectiveness of global COVID-19 vaccine distributions, newly emerging vir</w:t>
      </w:r>
      <w:r>
        <w:rPr>
          <w:sz w:val="20"/>
          <w:szCs w:val="20"/>
        </w:rPr>
        <w:t>al variants, continuing government actions in response to the pandemic and regulatory requirements or preferences that may emerge following the pandemic, a robust market for COVID-19 diagnostic testing persists to present day. The responses of the federal,</w:t>
      </w:r>
      <w:r>
        <w:rPr>
          <w:sz w:val="20"/>
          <w:szCs w:val="20"/>
        </w:rPr>
        <w:t xml:space="preserve"> international, state and regional governments to the pandemic, including any shelter in place orders and the allocation of healthcare resources to treating those infected with the virus, previously caused a significant decline in the number of our core ge</w:t>
      </w:r>
      <w:r>
        <w:rPr>
          <w:sz w:val="20"/>
          <w:szCs w:val="20"/>
        </w:rPr>
        <w:t>netic tests ordered and, if repeated, may again cause the volume of our core genetic tests to decline. Even after the COVID-19 outbreak has subsided, we may experience materially adverse impacts on our financial condition and results of operations. Our abi</w:t>
      </w:r>
      <w:r>
        <w:rPr>
          <w:sz w:val="20"/>
          <w:szCs w:val="20"/>
        </w:rPr>
        <w:t>lity to continue to operate as currently planned, including our ability to continue to offer our COVID</w:t>
      </w:r>
      <w:r>
        <w:rPr>
          <w:sz w:val="20"/>
          <w:szCs w:val="20"/>
        </w:rPr>
        <w:noBreakHyphen/>
        <w:t>19 tests with accurate results and competitive turn-around times without any significant negative operational impact from the COVID-19 pandemic will depe</w:t>
      </w:r>
      <w:r>
        <w:rPr>
          <w:sz w:val="20"/>
          <w:szCs w:val="20"/>
        </w:rPr>
        <w:t>nd in part on our, and any of our third</w:t>
      </w:r>
      <w:r>
        <w:rPr>
          <w:sz w:val="20"/>
          <w:szCs w:val="20"/>
        </w:rPr>
        <w:noBreakHyphen/>
        <w:t>party service providers’ and suppliers’ ability to protect our respective employees and supply chains. We have endeavored to follow the recommended actions of government and health authorities to protect our employee</w:t>
      </w:r>
      <w:r>
        <w:rPr>
          <w:sz w:val="20"/>
          <w:szCs w:val="20"/>
        </w:rPr>
        <w:t>s. We intend to continue to adhere to our employee safety measures to ensure that any disruptions to our operations remain minimal during the pandemic. However, the uncertainty resulting from the pandemic could result in an unforeseen disruption to our, or</w:t>
      </w:r>
      <w:r>
        <w:rPr>
          <w:sz w:val="20"/>
          <w:szCs w:val="20"/>
        </w:rPr>
        <w:t xml:space="preserve"> our third-party service providers’ and suppliers’, workforce and supply chain</w:t>
      </w:r>
      <w:r>
        <w:rPr>
          <w:sz w:val="20"/>
          <w:szCs w:val="20"/>
        </w:rPr>
        <w:t>.</w:t>
      </w:r>
    </w:p>
    <w:p w:rsidR="00000000" w:rsidRDefault="00DA50CE">
      <w:pPr>
        <w:pStyle w:val="a3"/>
        <w:spacing w:before="240" w:beforeAutospacing="0" w:after="0" w:afterAutospacing="0"/>
        <w:ind w:firstLine="555"/>
        <w:rPr>
          <w:sz w:val="20"/>
          <w:szCs w:val="20"/>
        </w:rPr>
      </w:pPr>
      <w:r>
        <w:rPr>
          <w:sz w:val="20"/>
          <w:szCs w:val="20"/>
        </w:rPr>
        <w:t>The COVID-19 pandemic has not negatively impacted the Company’s liquidity position as of March 31, 2022. We have not incurred any material impairments of our assets or a signif</w:t>
      </w:r>
      <w:r>
        <w:rPr>
          <w:sz w:val="20"/>
          <w:szCs w:val="20"/>
        </w:rPr>
        <w:t>icant change in the fair value of our assets due to the COVID-19 pandemic as of March 31, 2022</w:t>
      </w:r>
      <w:r>
        <w:rPr>
          <w:sz w:val="20"/>
          <w:szCs w:val="20"/>
        </w:rPr>
        <w:t>.</w:t>
      </w:r>
    </w:p>
    <w:p w:rsidR="00000000" w:rsidRDefault="00DA50CE">
      <w:pPr>
        <w:pStyle w:val="a3"/>
        <w:spacing w:before="240" w:beforeAutospacing="0" w:after="0" w:afterAutospacing="0"/>
        <w:ind w:firstLine="555"/>
        <w:rPr>
          <w:sz w:val="20"/>
          <w:szCs w:val="20"/>
        </w:rPr>
      </w:pPr>
      <w:r>
        <w:rPr>
          <w:sz w:val="20"/>
          <w:szCs w:val="20"/>
        </w:rPr>
        <w:t>For additional information on risk factors related to the COVID-19 pandemic or other risks that could impact our results, please refer to “Item 1A. Risk Factors</w:t>
      </w:r>
      <w:r>
        <w:rPr>
          <w:sz w:val="20"/>
          <w:szCs w:val="20"/>
        </w:rPr>
        <w:t>” in Part I of the 2021 Annual Report</w:t>
      </w:r>
      <w:r>
        <w:rPr>
          <w:sz w:val="20"/>
          <w:szCs w:val="20"/>
        </w:rPr>
        <w:t>.</w:t>
      </w:r>
    </w:p>
    <w:p w:rsidR="00000000" w:rsidRDefault="00DA50CE">
      <w:pPr>
        <w:pStyle w:val="a3"/>
        <w:spacing w:before="360" w:beforeAutospacing="0" w:after="0" w:afterAutospacing="0"/>
        <w:jc w:val="center"/>
        <w:rPr>
          <w:sz w:val="20"/>
          <w:szCs w:val="20"/>
        </w:rPr>
      </w:pPr>
      <w:r>
        <w:rPr>
          <w:b/>
          <w:bCs/>
          <w:sz w:val="20"/>
          <w:szCs w:val="20"/>
        </w:rPr>
        <w:t>Business Risks and Uncertainties and Other Factors Affecting Our Performanc</w:t>
      </w:r>
      <w:r>
        <w:rPr>
          <w:b/>
          <w:bCs/>
          <w:sz w:val="20"/>
          <w:szCs w:val="20"/>
        </w:rPr>
        <w:t>e</w:t>
      </w:r>
    </w:p>
    <w:p w:rsidR="00000000" w:rsidRDefault="00DA50CE">
      <w:pPr>
        <w:pStyle w:val="a3"/>
        <w:spacing w:before="120" w:beforeAutospacing="0" w:after="0" w:afterAutospacing="0"/>
        <w:ind w:firstLine="555"/>
        <w:rPr>
          <w:sz w:val="20"/>
          <w:szCs w:val="20"/>
        </w:rPr>
      </w:pPr>
      <w:r>
        <w:rPr>
          <w:sz w:val="20"/>
          <w:szCs w:val="20"/>
        </w:rPr>
        <w:t>Our business and prospects are exposed to numerous risks and uncertainties. For more information, see “Item 1A. Risk Factors” in Part I of t</w:t>
      </w:r>
      <w:r>
        <w:rPr>
          <w:sz w:val="20"/>
          <w:szCs w:val="20"/>
        </w:rPr>
        <w:t>he 2021 Annual Report. In addition, our performance in any period is affected by a number of other factors. See the description of some of the material factors affecting our performance in “Item 7. Management’s Discussion and Analysis of Financial Conditio</w:t>
      </w:r>
      <w:r>
        <w:rPr>
          <w:sz w:val="20"/>
          <w:szCs w:val="20"/>
        </w:rPr>
        <w:t>n and Results of Operations” of the 2021 Annual Report</w:t>
      </w:r>
      <w:r>
        <w:rPr>
          <w:sz w:val="20"/>
          <w:szCs w:val="20"/>
        </w:rPr>
        <w:t>.</w:t>
      </w:r>
    </w:p>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2</w:t>
      </w:r>
      <w:r>
        <w:rPr>
          <w:sz w:val="20"/>
          <w:szCs w:val="20"/>
        </w:rPr>
        <w:t>1</w:t>
      </w:r>
    </w:p>
    <w:p w:rsidR="00000000" w:rsidRDefault="00DA50CE">
      <w:pPr>
        <w:rPr>
          <w:rFonts w:eastAsia="Times New Roman"/>
        </w:rPr>
      </w:pPr>
      <w:r>
        <w:rPr>
          <w:rFonts w:eastAsia="Times New Roman"/>
        </w:rPr>
        <w:pict>
          <v:rect id="_x0000_i1047" style="width:0;height:1.5pt" o:hralign="center" o:hrstd="t" o:hr="t" fillcolor="#a0a0a0" stroked="f"/>
        </w:pict>
      </w:r>
    </w:p>
    <w:p w:rsidR="00000000" w:rsidRDefault="00DA50CE">
      <w:pPr>
        <w:pStyle w:val="a3"/>
        <w:spacing w:before="360" w:beforeAutospacing="0" w:after="0" w:afterAutospacing="0"/>
        <w:jc w:val="center"/>
        <w:rPr>
          <w:sz w:val="20"/>
          <w:szCs w:val="20"/>
        </w:rPr>
      </w:pPr>
      <w:r>
        <w:rPr>
          <w:b/>
          <w:bCs/>
          <w:sz w:val="20"/>
          <w:szCs w:val="20"/>
        </w:rPr>
        <w:t>Results of Operation</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The table below summarizes our results of operations for the periods indicated. For a financial overview relating to our results of operations, including general descriptions of the make-up of mater</w:t>
      </w:r>
      <w:r>
        <w:rPr>
          <w:sz w:val="20"/>
          <w:szCs w:val="20"/>
        </w:rPr>
        <w:t>ial line items of our statement of income data, see</w:t>
      </w:r>
      <w:r>
        <w:rPr>
          <w:sz w:val="20"/>
          <w:szCs w:val="20"/>
        </w:rPr>
        <w:t xml:space="preserve"> </w:t>
      </w:r>
      <w:r>
        <w:rPr>
          <w:sz w:val="20"/>
          <w:szCs w:val="20"/>
        </w:rPr>
        <w:t>“Item 7. Management’s Discussion and Analysis of Financial Condition and Results of Operations” of the 2021 Annual Report</w:t>
      </w:r>
      <w:r>
        <w:rPr>
          <w:sz w:val="20"/>
          <w:szCs w:val="20"/>
        </w:rPr>
        <w:t>.</w:t>
      </w:r>
    </w:p>
    <w:p w:rsidR="00000000" w:rsidRDefault="00DA50C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3"/>
        <w:gridCol w:w="160"/>
        <w:gridCol w:w="935"/>
        <w:gridCol w:w="110"/>
        <w:gridCol w:w="110"/>
        <w:gridCol w:w="160"/>
        <w:gridCol w:w="915"/>
        <w:gridCol w:w="110"/>
        <w:gridCol w:w="110"/>
        <w:gridCol w:w="160"/>
        <w:gridCol w:w="901"/>
        <w:gridCol w:w="127"/>
        <w:gridCol w:w="110"/>
        <w:gridCol w:w="111"/>
        <w:gridCol w:w="495"/>
        <w:gridCol w:w="309"/>
      </w:tblGrid>
      <w:tr w:rsidR="00000000">
        <w:trPr>
          <w:tblCellSpacing w:w="15" w:type="dxa"/>
        </w:trPr>
        <w:tc>
          <w:tcPr>
            <w:tcW w:w="2241" w:type="pct"/>
            <w:vAlign w:val="center"/>
            <w:hideMark/>
          </w:tcPr>
          <w:p w:rsidR="00000000" w:rsidRDefault="00DA50CE">
            <w:pPr>
              <w:rPr>
                <w:sz w:val="20"/>
                <w:szCs w:val="20"/>
              </w:rPr>
            </w:pPr>
          </w:p>
        </w:tc>
        <w:tc>
          <w:tcPr>
            <w:tcW w:w="59" w:type="pct"/>
            <w:vAlign w:val="center"/>
            <w:hideMark/>
          </w:tcPr>
          <w:p w:rsidR="00000000" w:rsidRDefault="00DA50CE">
            <w:pPr>
              <w:rPr>
                <w:rFonts w:eastAsia="Times New Roman"/>
                <w:sz w:val="20"/>
                <w:szCs w:val="20"/>
              </w:rPr>
            </w:pPr>
          </w:p>
        </w:tc>
        <w:tc>
          <w:tcPr>
            <w:tcW w:w="619"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5"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619" w:type="pct"/>
            <w:vAlign w:val="center"/>
            <w:hideMark/>
          </w:tcPr>
          <w:p w:rsidR="00000000" w:rsidRDefault="00DA50CE">
            <w:pPr>
              <w:rPr>
                <w:rFonts w:eastAsia="Times New Roman"/>
                <w:sz w:val="20"/>
                <w:szCs w:val="20"/>
              </w:rPr>
            </w:pPr>
          </w:p>
        </w:tc>
        <w:tc>
          <w:tcPr>
            <w:tcW w:w="29" w:type="pct"/>
            <w:vAlign w:val="center"/>
            <w:hideMark/>
          </w:tcPr>
          <w:p w:rsidR="00000000" w:rsidRDefault="00DA50CE">
            <w:pPr>
              <w:rPr>
                <w:rFonts w:eastAsia="Times New Roman"/>
                <w:sz w:val="20"/>
                <w:szCs w:val="20"/>
              </w:rPr>
            </w:pPr>
          </w:p>
        </w:tc>
        <w:tc>
          <w:tcPr>
            <w:tcW w:w="75" w:type="pct"/>
            <w:vAlign w:val="center"/>
            <w:hideMark/>
          </w:tcPr>
          <w:p w:rsidR="00000000" w:rsidRDefault="00DA50CE">
            <w:pPr>
              <w:rPr>
                <w:rFonts w:eastAsia="Times New Roman"/>
                <w:sz w:val="20"/>
                <w:szCs w:val="20"/>
              </w:rPr>
            </w:pPr>
          </w:p>
        </w:tc>
        <w:tc>
          <w:tcPr>
            <w:tcW w:w="59" w:type="pct"/>
            <w:vAlign w:val="center"/>
            <w:hideMark/>
          </w:tcPr>
          <w:p w:rsidR="00000000" w:rsidRDefault="00DA50CE">
            <w:pPr>
              <w:rPr>
                <w:rFonts w:eastAsia="Times New Roman"/>
                <w:sz w:val="20"/>
                <w:szCs w:val="20"/>
              </w:rPr>
            </w:pPr>
          </w:p>
        </w:tc>
        <w:tc>
          <w:tcPr>
            <w:tcW w:w="610" w:type="pct"/>
            <w:vAlign w:val="center"/>
            <w:hideMark/>
          </w:tcPr>
          <w:p w:rsidR="00000000" w:rsidRDefault="00DA50CE">
            <w:pPr>
              <w:rPr>
                <w:rFonts w:eastAsia="Times New Roman"/>
                <w:sz w:val="20"/>
                <w:szCs w:val="20"/>
              </w:rPr>
            </w:pPr>
          </w:p>
        </w:tc>
        <w:tc>
          <w:tcPr>
            <w:tcW w:w="39" w:type="pct"/>
            <w:vAlign w:val="center"/>
            <w:hideMark/>
          </w:tcPr>
          <w:p w:rsidR="00000000" w:rsidRDefault="00DA50CE">
            <w:pPr>
              <w:rPr>
                <w:rFonts w:eastAsia="Times New Roman"/>
                <w:sz w:val="20"/>
                <w:szCs w:val="20"/>
              </w:rPr>
            </w:pPr>
          </w:p>
        </w:tc>
        <w:tc>
          <w:tcPr>
            <w:tcW w:w="75" w:type="pct"/>
            <w:vAlign w:val="center"/>
            <w:hideMark/>
          </w:tcPr>
          <w:p w:rsidR="00000000" w:rsidRDefault="00DA50CE">
            <w:pPr>
              <w:rPr>
                <w:rFonts w:eastAsia="Times New Roman"/>
                <w:sz w:val="20"/>
                <w:szCs w:val="20"/>
              </w:rPr>
            </w:pPr>
          </w:p>
        </w:tc>
        <w:tc>
          <w:tcPr>
            <w:tcW w:w="30" w:type="pct"/>
            <w:vAlign w:val="center"/>
            <w:hideMark/>
          </w:tcPr>
          <w:p w:rsidR="00000000" w:rsidRDefault="00DA50CE">
            <w:pPr>
              <w:rPr>
                <w:rFonts w:eastAsia="Times New Roman"/>
                <w:sz w:val="20"/>
                <w:szCs w:val="20"/>
              </w:rPr>
            </w:pPr>
          </w:p>
        </w:tc>
        <w:tc>
          <w:tcPr>
            <w:tcW w:w="233" w:type="pct"/>
            <w:vAlign w:val="center"/>
            <w:hideMark/>
          </w:tcPr>
          <w:p w:rsidR="00000000" w:rsidRDefault="00DA50CE">
            <w:pPr>
              <w:rPr>
                <w:rFonts w:eastAsia="Times New Roman"/>
                <w:sz w:val="20"/>
                <w:szCs w:val="20"/>
              </w:rPr>
            </w:pPr>
          </w:p>
        </w:tc>
        <w:tc>
          <w:tcPr>
            <w:tcW w:w="139"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right"/>
              <w:rPr>
                <w:sz w:val="16"/>
                <w:szCs w:val="16"/>
              </w:rPr>
            </w:pPr>
            <w:r>
              <w:rPr>
                <w:b/>
                <w:bCs/>
                <w:sz w:val="16"/>
                <w:szCs w:val="16"/>
              </w:rPr>
              <w:t>%</w:t>
            </w:r>
          </w:p>
        </w:tc>
        <w:tc>
          <w:tcPr>
            <w:tcW w:w="0" w:type="auto"/>
            <w:vAlign w:val="bottom"/>
            <w:hideMark/>
          </w:tcPr>
          <w:p w:rsidR="00000000" w:rsidRDefault="00DA50C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right"/>
              <w:rPr>
                <w:sz w:val="16"/>
                <w:szCs w:val="16"/>
              </w:rPr>
            </w:pPr>
            <w:r>
              <w:rPr>
                <w:b/>
                <w:bCs/>
                <w:sz w:val="16"/>
                <w:szCs w:val="16"/>
              </w:rPr>
              <w:t>Chang</w:t>
            </w:r>
            <w:r>
              <w:rPr>
                <w:b/>
                <w:bCs/>
                <w:sz w:val="16"/>
                <w:szCs w:val="16"/>
              </w:rPr>
              <w:t>e</w:t>
            </w:r>
          </w:p>
        </w:tc>
        <w:tc>
          <w:tcPr>
            <w:tcW w:w="0" w:type="auto"/>
            <w:vAlign w:val="bottom"/>
            <w:hideMark/>
          </w:tcPr>
          <w:p w:rsidR="00000000" w:rsidRDefault="00DA50CE">
            <w:pPr>
              <w:pStyle w:val="a3"/>
              <w:spacing w:before="0" w:beforeAutospacing="0" w:after="0" w:afterAutospacing="0"/>
              <w:jc w:val="right"/>
              <w:rPr>
                <w:sz w:val="16"/>
                <w:szCs w:val="16"/>
              </w:rPr>
            </w:pPr>
            <w:r>
              <w:rPr>
                <w:sz w:val="16"/>
                <w:szCs w:val="16"/>
              </w:rPr>
              <w:t> </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Statement of Income Data</w:t>
            </w:r>
            <w:r>
              <w:rPr>
                <w:b/>
                <w:bCs/>
                <w:sz w:val="20"/>
                <w:szCs w:val="20"/>
              </w:rPr>
              <w:t>:</w:t>
            </w:r>
          </w:p>
        </w:tc>
        <w:tc>
          <w:tcPr>
            <w:tcW w:w="0" w:type="auto"/>
            <w:gridSpan w:val="14"/>
            <w:vAlign w:val="bottom"/>
            <w:hideMark/>
          </w:tcPr>
          <w:p w:rsidR="00000000" w:rsidRDefault="00DA50CE">
            <w:pPr>
              <w:pStyle w:val="a3"/>
              <w:spacing w:before="0" w:beforeAutospacing="0" w:after="0" w:afterAutospacing="0"/>
              <w:jc w:val="center"/>
              <w:rPr>
                <w:sz w:val="16"/>
                <w:szCs w:val="16"/>
              </w:rPr>
            </w:pPr>
            <w:r>
              <w:rPr>
                <w:b/>
                <w:bCs/>
                <w:sz w:val="16"/>
                <w:szCs w:val="16"/>
              </w:rPr>
              <w:t>(dollars and billable tests in thousands, except per billable test data</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Revenu</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320,26</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359,42</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(39,16</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77,72</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74,07</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3,65</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Gross profi</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242,54</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285,35</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(42,81</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5,98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56</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7,94</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5,00</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2,93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25,77</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8,00</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17,77</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90</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40,61</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18,43</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22,17</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201,93</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266,92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(64,98</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28</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(8</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Income before income taxe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201,97</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267,20</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(65,22</w:t>
            </w:r>
            <w:r>
              <w:rPr>
                <w:sz w:val="20"/>
                <w:szCs w:val="20"/>
              </w:rPr>
              <w:t>6</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48,42</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66,51</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(18,09</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153,55</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(47,13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42</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153,97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200,69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(46,71</w:t>
            </w:r>
            <w:r>
              <w:rPr>
                <w:sz w:val="20"/>
                <w:szCs w:val="20"/>
              </w:rPr>
              <w:t>2</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b/>
                <w:bCs/>
                <w:sz w:val="20"/>
                <w:szCs w:val="20"/>
              </w:rPr>
              <w:t>Other Operating Data</w:t>
            </w:r>
            <w:r>
              <w:rPr>
                <w:b/>
                <w:bCs/>
                <w:sz w:val="20"/>
                <w:szCs w:val="20"/>
              </w:rPr>
              <w:t>:</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Billable tests delivere</w:t>
            </w:r>
            <w:r>
              <w:rPr>
                <w:sz w:val="20"/>
                <w:szCs w:val="20"/>
              </w:rPr>
              <w:t>d</w:t>
            </w:r>
            <w:r>
              <w:rPr>
                <w:sz w:val="13"/>
                <w:szCs w:val="13"/>
              </w:rPr>
              <w:t>(1</w:t>
            </w:r>
            <w:r>
              <w:rPr>
                <w:sz w:val="13"/>
                <w:szCs w:val="13"/>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3,22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3,77</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(55</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Average price per billable test delivere</w:t>
            </w:r>
            <w:r>
              <w:rPr>
                <w:sz w:val="20"/>
                <w:szCs w:val="20"/>
              </w:rPr>
              <w:t>d</w:t>
            </w:r>
            <w:r>
              <w:rPr>
                <w:sz w:val="13"/>
                <w:szCs w:val="13"/>
              </w:rPr>
              <w:t>(2</w:t>
            </w:r>
            <w:r>
              <w:rPr>
                <w:sz w:val="13"/>
                <w:szCs w:val="13"/>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w:t>
            </w:r>
            <w:r>
              <w:rPr>
                <w:sz w:val="20"/>
                <w:szCs w:val="20"/>
              </w:rPr>
              <w:t>5</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DA50CE">
            <w:pPr>
              <w:pStyle w:val="a3"/>
              <w:spacing w:before="0" w:beforeAutospacing="0" w:after="0" w:afterAutospacing="0"/>
              <w:rPr>
                <w:sz w:val="20"/>
                <w:szCs w:val="20"/>
              </w:rPr>
            </w:pPr>
            <w:r>
              <w:rPr>
                <w:sz w:val="20"/>
                <w:szCs w:val="20"/>
              </w:rPr>
              <w:t>Cost per billable test delivere</w:t>
            </w:r>
            <w:r>
              <w:rPr>
                <w:sz w:val="20"/>
                <w:szCs w:val="20"/>
              </w:rPr>
              <w:t>d</w:t>
            </w:r>
            <w:r>
              <w:rPr>
                <w:sz w:val="13"/>
                <w:szCs w:val="13"/>
              </w:rPr>
              <w:t>(3</w:t>
            </w:r>
            <w:r>
              <w:rPr>
                <w:sz w:val="13"/>
                <w:szCs w:val="13"/>
              </w:rPr>
              <w:t>)</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bl>
    <w:p w:rsidR="00000000" w:rsidRDefault="00DA50CE">
      <w:pPr>
        <w:pStyle w:val="a3"/>
        <w:spacing w:before="120" w:beforeAutospacing="0" w:after="0" w:afterAutospacing="0"/>
        <w:ind w:hanging="422"/>
        <w:rPr>
          <w:sz w:val="20"/>
          <w:szCs w:val="20"/>
        </w:rPr>
      </w:pPr>
      <w:r>
        <w:rPr>
          <w:sz w:val="20"/>
          <w:szCs w:val="20"/>
        </w:rPr>
        <w:t>* Percentage not meaningful</w:t>
      </w:r>
      <w:r>
        <w:rPr>
          <w:sz w:val="20"/>
          <w:szCs w:val="20"/>
        </w:rPr>
        <w:t>.</w:t>
      </w:r>
    </w:p>
    <w:p w:rsidR="00000000" w:rsidRDefault="00DA50CE">
      <w:pPr>
        <w:pStyle w:val="a3"/>
        <w:spacing w:before="120" w:beforeAutospacing="0" w:after="0" w:afterAutospacing="0"/>
        <w:ind w:hanging="422"/>
        <w:rPr>
          <w:sz w:val="20"/>
          <w:szCs w:val="20"/>
        </w:rPr>
      </w:pPr>
      <w:r>
        <w:rPr>
          <w:sz w:val="20"/>
          <w:szCs w:val="20"/>
        </w:rPr>
        <w:t>(1) We determine the number of billable tests delivered in a period by counting the number of tests which are delivered to our customers and for which we bill our customers and recognize some amount of revenue in the period</w:t>
      </w:r>
      <w:r>
        <w:rPr>
          <w:sz w:val="20"/>
          <w:szCs w:val="20"/>
        </w:rPr>
        <w:t>.</w:t>
      </w:r>
    </w:p>
    <w:p w:rsidR="00000000" w:rsidRDefault="00DA50CE">
      <w:pPr>
        <w:pStyle w:val="a3"/>
        <w:spacing w:before="120" w:beforeAutospacing="0" w:after="0" w:afterAutospacing="0"/>
        <w:ind w:hanging="422"/>
        <w:rPr>
          <w:sz w:val="20"/>
          <w:szCs w:val="20"/>
        </w:rPr>
      </w:pPr>
      <w:r>
        <w:rPr>
          <w:sz w:val="20"/>
          <w:szCs w:val="20"/>
        </w:rPr>
        <w:t>(2</w:t>
      </w:r>
      <w:r>
        <w:rPr>
          <w:sz w:val="20"/>
          <w:szCs w:val="20"/>
        </w:rPr>
        <w:t>) We calculate the average price per billable test delivered by dividing the amount of revenue we recognized from the billable tests delivered in a period by the number of billable tests delivered in the same period</w:t>
      </w:r>
      <w:r>
        <w:rPr>
          <w:sz w:val="20"/>
          <w:szCs w:val="20"/>
        </w:rPr>
        <w:t>.</w:t>
      </w:r>
      <w:r>
        <w:rPr>
          <w:sz w:val="20"/>
          <w:szCs w:val="20"/>
        </w:rPr>
        <w:t xml:space="preserve"> </w:t>
      </w:r>
    </w:p>
    <w:p w:rsidR="00000000" w:rsidRDefault="00DA50CE">
      <w:pPr>
        <w:pStyle w:val="a3"/>
        <w:spacing w:before="120" w:beforeAutospacing="0" w:after="0" w:afterAutospacing="0"/>
        <w:ind w:hanging="422"/>
        <w:rPr>
          <w:sz w:val="20"/>
          <w:szCs w:val="20"/>
        </w:rPr>
      </w:pPr>
      <w:r>
        <w:rPr>
          <w:sz w:val="20"/>
          <w:szCs w:val="20"/>
        </w:rPr>
        <w:t>(3) We calculate cost per billable tes</w:t>
      </w:r>
      <w:r>
        <w:rPr>
          <w:sz w:val="20"/>
          <w:szCs w:val="20"/>
        </w:rPr>
        <w:t>t delivered by dividing our cost of revenue in a period by the number of billable tests delivered in the same period</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2</w:t>
      </w:r>
    </w:p>
    <w:p w:rsidR="00000000" w:rsidRDefault="00DA50CE">
      <w:pPr>
        <w:rPr>
          <w:rFonts w:eastAsia="Times New Roman"/>
        </w:rPr>
      </w:pPr>
      <w:r>
        <w:rPr>
          <w:rFonts w:eastAsia="Times New Roman"/>
        </w:rPr>
        <w:pict>
          <v:rect id="_x0000_i1048" style="width:0;height:1.5pt" o:hralign="center" o:hrstd="t" o:hr="t" fillcolor="#a0a0a0" stroked="f"/>
        </w:pict>
      </w:r>
    </w:p>
    <w:p w:rsidR="00000000" w:rsidRDefault="00DA50CE">
      <w:pPr>
        <w:pStyle w:val="a3"/>
        <w:spacing w:before="360" w:beforeAutospacing="0" w:after="0" w:afterAutospacing="0"/>
        <w:rPr>
          <w:sz w:val="20"/>
          <w:szCs w:val="20"/>
        </w:rPr>
      </w:pPr>
      <w:r>
        <w:rPr>
          <w:b/>
          <w:bCs/>
          <w:sz w:val="20"/>
          <w:szCs w:val="20"/>
        </w:rPr>
        <w:t>Revenu</w:t>
      </w:r>
      <w:r>
        <w:rPr>
          <w:b/>
          <w:bCs/>
          <w:sz w:val="20"/>
          <w:szCs w:val="20"/>
        </w:rPr>
        <w:t>e</w:t>
      </w:r>
    </w:p>
    <w:p w:rsidR="00000000" w:rsidRDefault="00DA50CE">
      <w:pPr>
        <w:pStyle w:val="a3"/>
        <w:spacing w:before="120" w:beforeAutospacing="0" w:after="0" w:afterAutospacing="0"/>
        <w:ind w:firstLine="555"/>
        <w:rPr>
          <w:sz w:val="20"/>
          <w:szCs w:val="20"/>
        </w:rPr>
      </w:pPr>
      <w:r>
        <w:rPr>
          <w:sz w:val="20"/>
          <w:szCs w:val="20"/>
        </w:rPr>
        <w:t>Revenue decreased $39.2 million, or 11%, from $359.4 million in the first quarter of 2021 to $320.3 million in the first quarter of 2022. The decreases in revenue between periods were primarily due to decreases in the number of billable tests delivered, pr</w:t>
      </w:r>
      <w:r>
        <w:rPr>
          <w:sz w:val="20"/>
          <w:szCs w:val="20"/>
        </w:rPr>
        <w:t>imarily related to decreased orders for our COVID-19 tests</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 xml:space="preserve">The average price of the billable tests we delivered increased from $95 in the first quarter of 2021 to $99 in the first quarter of 2022. The increase in the first quarter of 2022 was due to the </w:t>
      </w:r>
      <w:r>
        <w:rPr>
          <w:sz w:val="20"/>
          <w:szCs w:val="20"/>
        </w:rPr>
        <w:t>mix of tests we delivered in 2022 and the mix of customers ordering tests in these periods, who may order tests at different rates depending on the arrangements we have negotiated with them</w:t>
      </w:r>
      <w:r>
        <w:rPr>
          <w:sz w:val="20"/>
          <w:szCs w:val="20"/>
        </w:rPr>
        <w:t>.</w:t>
      </w:r>
    </w:p>
    <w:p w:rsidR="00000000" w:rsidRDefault="00DA50CE">
      <w:pPr>
        <w:pStyle w:val="a3"/>
        <w:spacing w:before="240" w:beforeAutospacing="0" w:after="0" w:afterAutospacing="0"/>
        <w:ind w:firstLine="555"/>
        <w:rPr>
          <w:sz w:val="20"/>
          <w:szCs w:val="20"/>
        </w:rPr>
      </w:pPr>
      <w:r>
        <w:rPr>
          <w:sz w:val="20"/>
          <w:szCs w:val="20"/>
        </w:rPr>
        <w:t>Revenue from non-U.S. sources increased $1.2 million, or 63%, fro</w:t>
      </w:r>
      <w:r>
        <w:rPr>
          <w:sz w:val="20"/>
          <w:szCs w:val="20"/>
        </w:rPr>
        <w:t>m $1.9 million in the first quarter of 2021 to $3.1 million in the first quarter of 2022. The increase in revenue from non-U.S. sources between periods were primarily due to increased sales of our core genetic testing services to customers in China through</w:t>
      </w:r>
      <w:r>
        <w:rPr>
          <w:sz w:val="20"/>
          <w:szCs w:val="20"/>
        </w:rPr>
        <w:t xml:space="preserve"> FF Gene Biotech</w:t>
      </w:r>
      <w:r>
        <w:rPr>
          <w:sz w:val="20"/>
          <w:szCs w:val="20"/>
        </w:rPr>
        <w:t>.</w:t>
      </w:r>
    </w:p>
    <w:p w:rsidR="00000000" w:rsidRDefault="00DA50CE">
      <w:pPr>
        <w:pStyle w:val="a3"/>
        <w:spacing w:before="240" w:beforeAutospacing="0" w:after="0" w:afterAutospacing="0"/>
        <w:ind w:firstLine="555"/>
        <w:rPr>
          <w:sz w:val="20"/>
          <w:szCs w:val="20"/>
        </w:rPr>
      </w:pPr>
      <w:r>
        <w:rPr>
          <w:sz w:val="20"/>
          <w:szCs w:val="20"/>
        </w:rPr>
        <w:t>The number of billable tests we delivered decreased 550,000, from 3.8 million in the first quarter of 2021 to 3.2 million in the first quarter of 2022. The decrease was primarily attributable to the decrease of COVID-19 tests</w:t>
      </w:r>
      <w:r>
        <w:rPr>
          <w:sz w:val="20"/>
          <w:szCs w:val="20"/>
        </w:rPr>
        <w:t>.</w:t>
      </w:r>
    </w:p>
    <w:p w:rsidR="00000000" w:rsidRDefault="00DA50CE">
      <w:pPr>
        <w:pStyle w:val="a3"/>
        <w:spacing w:before="240" w:beforeAutospacing="0" w:after="0" w:afterAutospacing="0"/>
        <w:ind w:firstLine="555"/>
        <w:rPr>
          <w:sz w:val="20"/>
          <w:szCs w:val="20"/>
        </w:rPr>
      </w:pPr>
      <w:r>
        <w:rPr>
          <w:sz w:val="20"/>
          <w:szCs w:val="20"/>
        </w:rPr>
        <w:t>After aggre</w:t>
      </w:r>
      <w:r>
        <w:rPr>
          <w:sz w:val="20"/>
          <w:szCs w:val="20"/>
        </w:rPr>
        <w:t>gating customers that are under common control or</w:t>
      </w:r>
      <w:r>
        <w:rPr>
          <w:sz w:val="20"/>
          <w:szCs w:val="20"/>
        </w:rPr>
        <w:t xml:space="preserve"> </w:t>
      </w:r>
      <w:r>
        <w:rPr>
          <w:sz w:val="20"/>
          <w:szCs w:val="20"/>
        </w:rPr>
        <w:t>affiliatio</w:t>
      </w:r>
      <w:r>
        <w:rPr>
          <w:sz w:val="20"/>
          <w:szCs w:val="20"/>
        </w:rPr>
        <w:t>n</w:t>
      </w:r>
      <w:r>
        <w:rPr>
          <w:sz w:val="20"/>
          <w:szCs w:val="20"/>
        </w:rPr>
        <w:t>, one customer contributed 27% and 25% of the Company’s revenue in the first quarters of 2022 and 2021, respectively</w:t>
      </w:r>
      <w:r>
        <w:rPr>
          <w:sz w:val="20"/>
          <w:szCs w:val="20"/>
        </w:rPr>
        <w:t>.</w:t>
      </w:r>
    </w:p>
    <w:p w:rsidR="00000000" w:rsidRDefault="00DA50CE">
      <w:pPr>
        <w:pStyle w:val="a3"/>
        <w:spacing w:before="360" w:beforeAutospacing="0" w:after="0" w:afterAutospacing="0"/>
        <w:rPr>
          <w:sz w:val="20"/>
          <w:szCs w:val="20"/>
        </w:rPr>
      </w:pPr>
      <w:r>
        <w:rPr>
          <w:b/>
          <w:bCs/>
          <w:sz w:val="20"/>
          <w:szCs w:val="20"/>
        </w:rPr>
        <w:t>Cost of Revenu</w:t>
      </w:r>
      <w:r>
        <w:rPr>
          <w:b/>
          <w:bCs/>
          <w:sz w:val="20"/>
          <w:szCs w:val="20"/>
        </w:rPr>
        <w:t>e</w:t>
      </w:r>
    </w:p>
    <w:p w:rsidR="00000000" w:rsidRDefault="00DA50CE">
      <w:pPr>
        <w:pStyle w:val="a3"/>
        <w:spacing w:before="120" w:beforeAutospacing="0" w:after="0" w:afterAutospacing="0"/>
        <w:ind w:firstLine="555"/>
        <w:rPr>
          <w:sz w:val="20"/>
          <w:szCs w:val="20"/>
        </w:rPr>
      </w:pPr>
      <w:r>
        <w:rPr>
          <w:sz w:val="20"/>
          <w:szCs w:val="20"/>
        </w:rPr>
        <w:t>Cost of revenue increased $3.7 million, or 5%, from $74.1 mil</w:t>
      </w:r>
      <w:r>
        <w:rPr>
          <w:sz w:val="20"/>
          <w:szCs w:val="20"/>
        </w:rPr>
        <w:t>lion in the first quarter of 2021 to $77.7 million in the first quarter of 2022. The increase was primarily due to increases of $7.1 million in consulting and outside labor costs for production, $4.2 million in personnel costs including equity-based compen</w:t>
      </w:r>
      <w:r>
        <w:rPr>
          <w:sz w:val="20"/>
          <w:szCs w:val="20"/>
        </w:rPr>
        <w:t xml:space="preserve">sation expense related to increased headcount and market price of the Company’s stock at grant dates, and $1.6 million in depreciation expenses related to medical lab equipment purchased, partially offset by decreases of $6.8 million in reagent and supply </w:t>
      </w:r>
      <w:r>
        <w:rPr>
          <w:sz w:val="20"/>
          <w:szCs w:val="20"/>
        </w:rPr>
        <w:t>expenses related to decreased billable tests delivered, $1.7 million in software expense related to usage of COVID-19 testing software, and $850,000 in shipping and handling expense related to delivery of collection kits for of COVID-19 tests</w:t>
      </w:r>
      <w:r>
        <w:rPr>
          <w:sz w:val="20"/>
          <w:szCs w:val="20"/>
        </w:rPr>
        <w:t>.</w:t>
      </w:r>
    </w:p>
    <w:p w:rsidR="00000000" w:rsidRDefault="00DA50CE">
      <w:pPr>
        <w:pStyle w:val="a3"/>
        <w:spacing w:before="240" w:beforeAutospacing="0" w:after="0" w:afterAutospacing="0"/>
        <w:ind w:firstLine="555"/>
        <w:rPr>
          <w:sz w:val="20"/>
          <w:szCs w:val="20"/>
        </w:rPr>
      </w:pPr>
      <w:r>
        <w:rPr>
          <w:sz w:val="20"/>
          <w:szCs w:val="20"/>
        </w:rPr>
        <w:t>Cost per bil</w:t>
      </w:r>
      <w:r>
        <w:rPr>
          <w:sz w:val="20"/>
          <w:szCs w:val="20"/>
        </w:rPr>
        <w:t>lable test delivered increased $4, or 20%, from $20 in the first quarter of 2021 to $24 in the first quarter of 2022. The increase in cost per billable tests was primarily due to the mix of tests we delivered in 2022</w:t>
      </w:r>
      <w:r>
        <w:rPr>
          <w:sz w:val="20"/>
          <w:szCs w:val="20"/>
        </w:rPr>
        <w:t>.</w:t>
      </w:r>
    </w:p>
    <w:p w:rsidR="00000000" w:rsidRDefault="00DA50CE">
      <w:pPr>
        <w:pStyle w:val="a3"/>
        <w:spacing w:before="240" w:beforeAutospacing="0" w:after="0" w:afterAutospacing="0"/>
        <w:ind w:firstLine="555"/>
        <w:rPr>
          <w:sz w:val="20"/>
          <w:szCs w:val="20"/>
        </w:rPr>
      </w:pPr>
      <w:r>
        <w:rPr>
          <w:sz w:val="20"/>
          <w:szCs w:val="20"/>
        </w:rPr>
        <w:t>Our gross profit decreased $42.8 milli</w:t>
      </w:r>
      <w:r>
        <w:rPr>
          <w:sz w:val="20"/>
          <w:szCs w:val="20"/>
        </w:rPr>
        <w:t>on, from $285.4 million in the first quarter of 2021 to $242.5 million in the first quarter of 2022. Our gross profit as a percentage of revenue, or gross margin, decreased from 79.4% to 75.7% between periods due to the decrease in revenue and increases in</w:t>
      </w:r>
      <w:r>
        <w:rPr>
          <w:sz w:val="20"/>
          <w:szCs w:val="20"/>
        </w:rPr>
        <w:t xml:space="preserve"> our cost per billable test and cost of revenue described above</w:t>
      </w:r>
      <w:r>
        <w:rPr>
          <w:sz w:val="20"/>
          <w:szCs w:val="20"/>
        </w:rPr>
        <w:t>.</w:t>
      </w:r>
    </w:p>
    <w:p w:rsidR="00000000" w:rsidRDefault="00DA50CE">
      <w:pPr>
        <w:pStyle w:val="a3"/>
        <w:spacing w:before="360" w:beforeAutospacing="0" w:after="0" w:afterAutospacing="0"/>
        <w:rPr>
          <w:sz w:val="20"/>
          <w:szCs w:val="20"/>
        </w:rPr>
      </w:pPr>
      <w:r>
        <w:rPr>
          <w:b/>
          <w:bCs/>
          <w:sz w:val="20"/>
          <w:szCs w:val="20"/>
        </w:rPr>
        <w:t>Research and Developmen</w:t>
      </w:r>
      <w:r>
        <w:rPr>
          <w:b/>
          <w:bCs/>
          <w:sz w:val="20"/>
          <w:szCs w:val="20"/>
        </w:rPr>
        <w:t>t</w:t>
      </w:r>
    </w:p>
    <w:p w:rsidR="00000000" w:rsidRDefault="00DA50CE">
      <w:pPr>
        <w:pStyle w:val="a3"/>
        <w:spacing w:before="120" w:beforeAutospacing="0" w:after="0" w:afterAutospacing="0"/>
        <w:ind w:firstLine="555"/>
        <w:rPr>
          <w:sz w:val="20"/>
          <w:szCs w:val="20"/>
        </w:rPr>
      </w:pPr>
      <w:r>
        <w:rPr>
          <w:sz w:val="20"/>
          <w:szCs w:val="20"/>
        </w:rPr>
        <w:t>Research and development expenses increased $567,000, or 10%, from $5.4 million in the first quarter of 2021 to $6.0 million in the first quarter of 2022. The increas</w:t>
      </w:r>
      <w:r>
        <w:rPr>
          <w:sz w:val="20"/>
          <w:szCs w:val="20"/>
        </w:rPr>
        <w:t>e was primarily due to increases of $1.3 million in personnel costs including equity-based compensation expense related to increased headcount and market price of the Company’s stock at grant dates, and partially offset by a decrease of $1.0 million in rea</w:t>
      </w:r>
      <w:r>
        <w:rPr>
          <w:sz w:val="20"/>
          <w:szCs w:val="20"/>
        </w:rPr>
        <w:t>gent and supply expenses related to decreased reagent usage for COVID-19 research</w:t>
      </w:r>
      <w:r>
        <w:rPr>
          <w:sz w:val="20"/>
          <w:szCs w:val="20"/>
        </w:rPr>
        <w:t>.</w:t>
      </w:r>
    </w:p>
    <w:p w:rsidR="00000000" w:rsidRDefault="00DA50CE">
      <w:pPr>
        <w:pStyle w:val="a3"/>
        <w:spacing w:before="360" w:beforeAutospacing="0" w:after="0" w:afterAutospacing="0"/>
        <w:rPr>
          <w:sz w:val="20"/>
          <w:szCs w:val="20"/>
        </w:rPr>
      </w:pPr>
      <w:r>
        <w:rPr>
          <w:b/>
          <w:bCs/>
          <w:sz w:val="20"/>
          <w:szCs w:val="20"/>
        </w:rPr>
        <w:t>Selling and Marketin</w:t>
      </w:r>
      <w:r>
        <w:rPr>
          <w:b/>
          <w:bCs/>
          <w:sz w:val="20"/>
          <w:szCs w:val="20"/>
        </w:rPr>
        <w:t>g</w:t>
      </w:r>
    </w:p>
    <w:p w:rsidR="00000000" w:rsidRDefault="00DA50CE">
      <w:pPr>
        <w:pStyle w:val="a3"/>
        <w:spacing w:before="120" w:beforeAutospacing="0" w:after="0" w:afterAutospacing="0"/>
        <w:ind w:firstLine="555"/>
        <w:rPr>
          <w:sz w:val="20"/>
          <w:szCs w:val="20"/>
        </w:rPr>
      </w:pPr>
      <w:r>
        <w:rPr>
          <w:sz w:val="20"/>
          <w:szCs w:val="20"/>
        </w:rPr>
        <w:t>Sellin</w:t>
      </w:r>
      <w:r>
        <w:rPr>
          <w:sz w:val="20"/>
          <w:szCs w:val="20"/>
        </w:rPr>
        <w:t>g</w:t>
      </w:r>
      <w:r>
        <w:rPr>
          <w:sz w:val="20"/>
          <w:szCs w:val="20"/>
        </w:rPr>
        <w:t xml:space="preserve"> and marketing expenses increased $2.9 million, or 59% from $5.0 million in the first quarter of 2021 to $7.9 million in the first quarter of 20</w:t>
      </w:r>
      <w:r>
        <w:rPr>
          <w:sz w:val="20"/>
          <w:szCs w:val="20"/>
        </w:rPr>
        <w:t>22. The increase was primarily due to increases of $1.8 million in personnel costs including equity-based compensation expense related to increased commission expense and market price of the Company’s stock at grant dates and $839,000 in consulting and out</w:t>
      </w:r>
      <w:r>
        <w:rPr>
          <w:sz w:val="20"/>
          <w:szCs w:val="20"/>
        </w:rPr>
        <w:t>side labor related to marketing projects in the current period</w:t>
      </w:r>
      <w:r>
        <w:rPr>
          <w:sz w:val="20"/>
          <w:szCs w:val="20"/>
        </w:rPr>
        <w:t>.</w:t>
      </w:r>
      <w:r>
        <w:rPr>
          <w:sz w:val="20"/>
          <w:szCs w:val="20"/>
        </w:rPr>
        <w:t xml:space="preserve"> </w:t>
      </w:r>
    </w:p>
    <w:p w:rsidR="00000000" w:rsidRDefault="00DA50CE">
      <w:pPr>
        <w:pStyle w:val="a3"/>
        <w:spacing w:before="360" w:beforeAutospacing="0" w:after="0" w:afterAutospacing="0"/>
        <w:rPr>
          <w:sz w:val="20"/>
          <w:szCs w:val="20"/>
        </w:rPr>
      </w:pPr>
      <w:r>
        <w:rPr>
          <w:b/>
          <w:bCs/>
          <w:sz w:val="20"/>
          <w:szCs w:val="20"/>
        </w:rPr>
        <w:t>General and Administrativ</w:t>
      </w:r>
      <w:r>
        <w:rPr>
          <w:b/>
          <w:bCs/>
          <w:sz w:val="20"/>
          <w:szCs w:val="20"/>
        </w:rPr>
        <w:t>e</w:t>
      </w:r>
    </w:p>
    <w:p w:rsidR="00000000" w:rsidRDefault="00DA50CE">
      <w:pPr>
        <w:pStyle w:val="a3"/>
        <w:spacing w:before="120" w:beforeAutospacing="0" w:after="0" w:afterAutospacing="0"/>
        <w:ind w:firstLine="555"/>
        <w:rPr>
          <w:sz w:val="20"/>
          <w:szCs w:val="20"/>
        </w:rPr>
      </w:pPr>
      <w:r>
        <w:rPr>
          <w:sz w:val="20"/>
          <w:szCs w:val="20"/>
        </w:rPr>
        <w:t>Genera</w:t>
      </w:r>
      <w:r>
        <w:rPr>
          <w:sz w:val="20"/>
          <w:szCs w:val="20"/>
        </w:rPr>
        <w:t>l</w:t>
      </w:r>
      <w:r>
        <w:rPr>
          <w:sz w:val="20"/>
          <w:szCs w:val="20"/>
        </w:rPr>
        <w:t xml:space="preserve"> and</w:t>
      </w:r>
      <w:r>
        <w:rPr>
          <w:sz w:val="20"/>
          <w:szCs w:val="20"/>
        </w:rPr>
        <w:t xml:space="preserve"> </w:t>
      </w:r>
      <w:r>
        <w:rPr>
          <w:sz w:val="20"/>
          <w:szCs w:val="20"/>
        </w:rPr>
        <w:t>administrativ</w:t>
      </w:r>
      <w:r>
        <w:rPr>
          <w:sz w:val="20"/>
          <w:szCs w:val="20"/>
        </w:rPr>
        <w:t>e</w:t>
      </w:r>
      <w:r>
        <w:rPr>
          <w:sz w:val="20"/>
          <w:szCs w:val="20"/>
        </w:rPr>
        <w:t xml:space="preserve"> expenses increased $17.8 million, or 222% from $8.0 million in the first quarter of 2021 to $25.8 million in the first quarter of 2022. T</w:t>
      </w:r>
      <w:r>
        <w:rPr>
          <w:sz w:val="20"/>
          <w:szCs w:val="20"/>
        </w:rPr>
        <w:t>he increase was primarily due to increases of $10.5 million in</w:t>
      </w:r>
      <w:r>
        <w:rPr>
          <w:sz w:val="20"/>
          <w:szCs w:val="20"/>
        </w:rPr>
        <w:t xml:space="preserve"> </w:t>
      </w:r>
      <w:r>
        <w:rPr>
          <w:sz w:val="20"/>
          <w:szCs w:val="20"/>
        </w:rPr>
        <w:t>additional provision for credit losse</w:t>
      </w:r>
      <w:r>
        <w:rPr>
          <w:sz w:val="20"/>
          <w:szCs w:val="20"/>
        </w:rPr>
        <w:t>s</w:t>
      </w:r>
      <w:r>
        <w:rPr>
          <w:sz w:val="20"/>
          <w:szCs w:val="20"/>
        </w:rPr>
        <w:t>, $2.9 million in personnel costs including equity-based compensation expense related to increased headcount and market price of the Company’s stock at gra</w:t>
      </w:r>
      <w:r>
        <w:rPr>
          <w:sz w:val="20"/>
          <w:szCs w:val="20"/>
        </w:rPr>
        <w:t>nt dates, $2.6 million in legal and professional fees primarily related to business acquisitions and general corporate matters, $965,000 in accounting fees related to financial statement and internal control audits, $401,000 in business insurance expenses,</w:t>
      </w:r>
      <w:r>
        <w:rPr>
          <w:sz w:val="20"/>
          <w:szCs w:val="20"/>
        </w:rPr>
        <w:t xml:space="preserve"> and $399,000 in consulting and outside labor costs</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3</w:t>
      </w:r>
    </w:p>
    <w:p w:rsidR="00000000" w:rsidRDefault="00DA50CE">
      <w:pPr>
        <w:rPr>
          <w:rFonts w:eastAsia="Times New Roman"/>
        </w:rPr>
      </w:pPr>
      <w:r>
        <w:rPr>
          <w:rFonts w:eastAsia="Times New Roman"/>
        </w:rPr>
        <w:pict>
          <v:rect id="_x0000_i1049" style="width:0;height:1.5pt" o:hralign="center" o:hrstd="t" o:hr="t" fillcolor="#a0a0a0" stroked="f"/>
        </w:pict>
      </w:r>
    </w:p>
    <w:p w:rsidR="00000000" w:rsidRDefault="00DA50CE">
      <w:pPr>
        <w:pStyle w:val="a3"/>
        <w:spacing w:before="360" w:beforeAutospacing="0" w:after="0" w:afterAutospacing="0"/>
        <w:rPr>
          <w:sz w:val="20"/>
          <w:szCs w:val="20"/>
        </w:rPr>
      </w:pPr>
      <w:r>
        <w:rPr>
          <w:b/>
          <w:bCs/>
          <w:sz w:val="20"/>
          <w:szCs w:val="20"/>
        </w:rPr>
        <w:t>Amortization of Intangible Asset</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Amortization of intangible assets represents amortization expenses on the intangible assets arising from the business combinations</w:t>
      </w:r>
      <w:r>
        <w:rPr>
          <w:sz w:val="20"/>
          <w:szCs w:val="20"/>
        </w:rPr>
        <w:t xml:space="preserve"> and a patent purchased after the first quarter of 2021</w:t>
      </w:r>
      <w:r>
        <w:rPr>
          <w:sz w:val="20"/>
          <w:szCs w:val="20"/>
        </w:rPr>
        <w:t>.</w:t>
      </w:r>
    </w:p>
    <w:p w:rsidR="00000000" w:rsidRDefault="00DA50CE">
      <w:pPr>
        <w:pStyle w:val="a3"/>
        <w:spacing w:before="360" w:beforeAutospacing="0" w:after="0" w:afterAutospacing="0"/>
        <w:rPr>
          <w:sz w:val="20"/>
          <w:szCs w:val="20"/>
        </w:rPr>
      </w:pPr>
      <w:r>
        <w:rPr>
          <w:b/>
          <w:bCs/>
          <w:sz w:val="20"/>
          <w:szCs w:val="20"/>
        </w:rPr>
        <w:t>Interest and Other Income, ne</w:t>
      </w:r>
      <w:r>
        <w:rPr>
          <w:b/>
          <w:bCs/>
          <w:sz w:val="20"/>
          <w:szCs w:val="20"/>
        </w:rPr>
        <w:t>t</w:t>
      </w:r>
    </w:p>
    <w:p w:rsidR="00000000" w:rsidRDefault="00DA50CE">
      <w:pPr>
        <w:pStyle w:val="a3"/>
        <w:spacing w:before="120" w:beforeAutospacing="0" w:after="0" w:afterAutospacing="0"/>
        <w:ind w:firstLine="555"/>
        <w:rPr>
          <w:sz w:val="20"/>
          <w:szCs w:val="20"/>
        </w:rPr>
      </w:pPr>
      <w:r>
        <w:rPr>
          <w:sz w:val="20"/>
          <w:szCs w:val="20"/>
        </w:rPr>
        <w:t>Net interest (expense) income was $(50,000) and $230,000 in the first quarters of 2022 and 2021, respectively. This interest (expense) income related to interest earned</w:t>
      </w:r>
      <w:r>
        <w:rPr>
          <w:sz w:val="20"/>
          <w:szCs w:val="20"/>
        </w:rPr>
        <w:t xml:space="preserve"> on various investments in marketable securities including realized and holding gain (loss) on marketable equity securities, net of interest expenses incurred for our notes payable and margin loan</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Other income (expense) was not significant in the first q</w:t>
      </w:r>
      <w:r>
        <w:rPr>
          <w:sz w:val="20"/>
          <w:szCs w:val="20"/>
        </w:rPr>
        <w:t>uarters of 2022 and 2021, respectively. The primary components of other income (expense) were rental income net of rental expenses and foreign currency exchange gain (loss)</w:t>
      </w:r>
      <w:r>
        <w:rPr>
          <w:sz w:val="20"/>
          <w:szCs w:val="20"/>
        </w:rPr>
        <w:t>.</w:t>
      </w:r>
      <w:r>
        <w:rPr>
          <w:sz w:val="20"/>
          <w:szCs w:val="20"/>
        </w:rPr>
        <w:t xml:space="preserve"> </w:t>
      </w:r>
    </w:p>
    <w:p w:rsidR="00000000" w:rsidRDefault="00DA50CE">
      <w:pPr>
        <w:pStyle w:val="a3"/>
        <w:spacing w:before="360" w:beforeAutospacing="0" w:after="0" w:afterAutospacing="0"/>
        <w:rPr>
          <w:sz w:val="20"/>
          <w:szCs w:val="20"/>
        </w:rPr>
      </w:pPr>
      <w:r>
        <w:rPr>
          <w:b/>
          <w:bCs/>
          <w:sz w:val="20"/>
          <w:szCs w:val="20"/>
        </w:rPr>
        <w:t>Provision for Income Taxe</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Provision for income taxes were $48.4 million and $66.</w:t>
      </w:r>
      <w:r>
        <w:rPr>
          <w:sz w:val="20"/>
          <w:szCs w:val="20"/>
        </w:rPr>
        <w:t>5 million for the first quarters of 2022 and 2021, respectively. The effective tax rate was 24% and 25% for the first quarters of 2022 and 2021, respectively. The decrease in the effective tax rate for the first quarter of 2022, relative to 2021, was prima</w:t>
      </w:r>
      <w:r>
        <w:rPr>
          <w:sz w:val="20"/>
          <w:szCs w:val="20"/>
        </w:rPr>
        <w:t>rily attributable to international restructuring</w:t>
      </w:r>
      <w:r>
        <w:rPr>
          <w:sz w:val="20"/>
          <w:szCs w:val="20"/>
        </w:rPr>
        <w:t>.</w:t>
      </w:r>
    </w:p>
    <w:p w:rsidR="00000000" w:rsidRDefault="00DA50CE">
      <w:pPr>
        <w:pStyle w:val="a3"/>
        <w:spacing w:before="360" w:beforeAutospacing="0" w:after="0" w:afterAutospacing="0"/>
        <w:rPr>
          <w:sz w:val="20"/>
          <w:szCs w:val="20"/>
        </w:rPr>
      </w:pPr>
      <w:r>
        <w:rPr>
          <w:b/>
          <w:bCs/>
          <w:sz w:val="20"/>
          <w:szCs w:val="20"/>
        </w:rPr>
        <w:t>Net Loss Attributable to Noncontrolling Interes</w:t>
      </w:r>
      <w:r>
        <w:rPr>
          <w:b/>
          <w:bCs/>
          <w:sz w:val="20"/>
          <w:szCs w:val="20"/>
        </w:rPr>
        <w:t>t</w:t>
      </w:r>
    </w:p>
    <w:p w:rsidR="00000000" w:rsidRDefault="00DA50CE">
      <w:pPr>
        <w:pStyle w:val="a3"/>
        <w:spacing w:before="120" w:beforeAutospacing="0" w:after="0" w:afterAutospacing="0"/>
        <w:ind w:firstLine="555"/>
        <w:rPr>
          <w:sz w:val="20"/>
          <w:szCs w:val="20"/>
        </w:rPr>
      </w:pPr>
      <w:r>
        <w:rPr>
          <w:sz w:val="20"/>
          <w:szCs w:val="20"/>
        </w:rPr>
        <w:t>Net loss attributable to noncontrolling interest represents net loss of FF Gene Biotech attributable to the minority shareholders, Xilong Scientific and FJIP</w:t>
      </w:r>
      <w:r>
        <w:rPr>
          <w:sz w:val="20"/>
          <w:szCs w:val="20"/>
        </w:rPr>
        <w:t>.</w:t>
      </w:r>
    </w:p>
    <w:p w:rsidR="00000000" w:rsidRDefault="00DA50CE">
      <w:pPr>
        <w:pStyle w:val="a3"/>
        <w:spacing w:before="120" w:beforeAutospacing="0" w:after="0" w:afterAutospacing="0"/>
        <w:ind w:firstLine="555"/>
        <w:rPr>
          <w:sz w:val="20"/>
          <w:szCs w:val="20"/>
        </w:rPr>
      </w:pPr>
      <w:r>
        <w:rPr>
          <w:sz w:val="20"/>
          <w:szCs w:val="20"/>
        </w:rPr>
        <w:t> </w:t>
      </w:r>
    </w:p>
    <w:p w:rsidR="00000000" w:rsidRDefault="00DA50CE">
      <w:pPr>
        <w:pStyle w:val="a3"/>
        <w:spacing w:before="360" w:beforeAutospacing="0" w:after="0" w:afterAutospacing="0"/>
        <w:jc w:val="center"/>
        <w:rPr>
          <w:sz w:val="20"/>
          <w:szCs w:val="20"/>
        </w:rPr>
      </w:pPr>
      <w:r>
        <w:rPr>
          <w:b/>
          <w:bCs/>
          <w:sz w:val="20"/>
          <w:szCs w:val="20"/>
        </w:rPr>
        <w:t>Liquidity and Capital Resource</w:t>
      </w:r>
      <w:r>
        <w:rPr>
          <w:b/>
          <w:bCs/>
          <w:sz w:val="20"/>
          <w:szCs w:val="20"/>
        </w:rPr>
        <w:t>s</w:t>
      </w:r>
    </w:p>
    <w:p w:rsidR="00000000" w:rsidRDefault="00DA50CE">
      <w:pPr>
        <w:pStyle w:val="a3"/>
        <w:spacing w:before="360" w:beforeAutospacing="0" w:after="0" w:afterAutospacing="0"/>
        <w:rPr>
          <w:sz w:val="20"/>
          <w:szCs w:val="20"/>
        </w:rPr>
      </w:pPr>
      <w:r>
        <w:rPr>
          <w:b/>
          <w:bCs/>
          <w:sz w:val="20"/>
          <w:szCs w:val="20"/>
        </w:rPr>
        <w:t>Liquidity and Sources of Cas</w:t>
      </w:r>
      <w:r>
        <w:rPr>
          <w:b/>
          <w:bCs/>
          <w:sz w:val="20"/>
          <w:szCs w:val="20"/>
        </w:rPr>
        <w:t>h</w:t>
      </w:r>
    </w:p>
    <w:p w:rsidR="00000000" w:rsidRDefault="00DA50CE">
      <w:pPr>
        <w:pStyle w:val="a3"/>
        <w:spacing w:before="120" w:beforeAutospacing="0" w:after="0" w:afterAutospacing="0"/>
        <w:ind w:firstLine="555"/>
        <w:rPr>
          <w:sz w:val="20"/>
          <w:szCs w:val="20"/>
        </w:rPr>
      </w:pPr>
      <w:r>
        <w:rPr>
          <w:sz w:val="20"/>
          <w:szCs w:val="20"/>
        </w:rPr>
        <w:t>We had $1.1 billion and $935.5 mi</w:t>
      </w:r>
      <w:r>
        <w:rPr>
          <w:sz w:val="20"/>
          <w:szCs w:val="20"/>
        </w:rPr>
        <w:t>llion in cash, cash equivalents and marketable securities as of March 31, 2022 and December 31, 2021, respectively. Our marketable securities primarily consist of corporate bonds,</w:t>
      </w:r>
      <w:r>
        <w:rPr>
          <w:sz w:val="20"/>
          <w:szCs w:val="20"/>
        </w:rPr>
        <w:t xml:space="preserve"> </w:t>
      </w:r>
      <w:r>
        <w:rPr>
          <w:sz w:val="20"/>
          <w:szCs w:val="20"/>
        </w:rPr>
        <w:t>municipal bonds, and U.S. government and U.S. agency debt securitie</w:t>
      </w:r>
      <w:r>
        <w:rPr>
          <w:sz w:val="20"/>
          <w:szCs w:val="20"/>
        </w:rPr>
        <w:t>s</w:t>
      </w:r>
      <w:r>
        <w:rPr>
          <w:sz w:val="20"/>
          <w:szCs w:val="20"/>
        </w:rPr>
        <w:t xml:space="preserve"> as of M</w:t>
      </w:r>
      <w:r>
        <w:rPr>
          <w:sz w:val="20"/>
          <w:szCs w:val="20"/>
        </w:rPr>
        <w:t>arch 31, 2022 and December 31, 2021</w:t>
      </w:r>
      <w:r>
        <w:rPr>
          <w:sz w:val="20"/>
          <w:szCs w:val="20"/>
        </w:rPr>
        <w:t>.</w:t>
      </w:r>
    </w:p>
    <w:p w:rsidR="00000000" w:rsidRDefault="00DA50CE">
      <w:pPr>
        <w:pStyle w:val="a3"/>
        <w:spacing w:before="240" w:beforeAutospacing="0" w:after="0" w:afterAutospacing="0"/>
        <w:ind w:firstLine="555"/>
        <w:rPr>
          <w:sz w:val="20"/>
          <w:szCs w:val="20"/>
        </w:rPr>
      </w:pPr>
      <w:r>
        <w:rPr>
          <w:sz w:val="20"/>
          <w:szCs w:val="20"/>
        </w:rPr>
        <w:t xml:space="preserve">Our primary uses of cash are to fund our operations as we continue to invest in and seek to grow our business. Cash used to fund operating expenses is impacted by the timing of our expense payments, as reflected in the </w:t>
      </w:r>
      <w:r>
        <w:rPr>
          <w:sz w:val="20"/>
          <w:szCs w:val="20"/>
        </w:rPr>
        <w:t>changes in our outstanding accounts payable and accrued expenses</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On August 30, 2019, we entered into an Equity Distribution Agreement, or the 2019 Equity Distribution Agreement, with Piper, as sales agent, which was subsequently amended on August 4, 2020</w:t>
      </w:r>
      <w:r>
        <w:rPr>
          <w:sz w:val="20"/>
          <w:szCs w:val="20"/>
        </w:rPr>
        <w:t>. Pursuant to the 2019 Equity Distribution Agreement, we offered and sold an aggregate of 104,000 shares of our common stock at a weighted-average net selling price of $9.37 per share, which resulted in $979,000 of net proceeds to the Company during the ye</w:t>
      </w:r>
      <w:r>
        <w:rPr>
          <w:sz w:val="20"/>
          <w:szCs w:val="20"/>
        </w:rPr>
        <w:t>ar ended December 31, 2019, and we sold an aggregate of 1.1 million shares of our common stock at a weighted-average net selling price of $38.50 per share, which resulted in $42.7 million of net proceeds to the Company during the year ended December 31, 20</w:t>
      </w:r>
      <w:r>
        <w:rPr>
          <w:sz w:val="20"/>
          <w:szCs w:val="20"/>
        </w:rPr>
        <w:t>20. Shares sold under the 2019 Equity Distribution Agreement were offered and sold pursuant to the Company’s registration statement on Form S-3 (File No. 333-233227) filed with the SEC on August 12, 2019 and declared effective on August 23, 2019, and prosp</w:t>
      </w:r>
      <w:r>
        <w:rPr>
          <w:sz w:val="20"/>
          <w:szCs w:val="20"/>
        </w:rPr>
        <w:t>ectus supplements and accompanying base prospectus filed with the SEC on August 30, 2019, May 6, 2020 and August 5, 2020</w:t>
      </w:r>
      <w:r>
        <w:rPr>
          <w:sz w:val="20"/>
          <w:szCs w:val="20"/>
        </w:rPr>
        <w:t>.</w:t>
      </w:r>
    </w:p>
    <w:p w:rsidR="00000000" w:rsidRDefault="00DA50CE">
      <w:pPr>
        <w:pStyle w:val="a3"/>
        <w:spacing w:before="240" w:beforeAutospacing="0" w:after="0" w:afterAutospacing="0"/>
        <w:ind w:firstLine="555"/>
        <w:rPr>
          <w:sz w:val="20"/>
          <w:szCs w:val="20"/>
        </w:rPr>
      </w:pPr>
      <w:r>
        <w:rPr>
          <w:sz w:val="20"/>
          <w:szCs w:val="20"/>
        </w:rPr>
        <w:t>On November 13, 2019, we entered into a purchase agreement with Piper, as representative of the several underwriters, pursuant to whic</w:t>
      </w:r>
      <w:r>
        <w:rPr>
          <w:sz w:val="20"/>
          <w:szCs w:val="20"/>
        </w:rPr>
        <w:t xml:space="preserve">h we sold 2.7 million shares of our common stock at a price of $10.52 per share, with a public offering price of $11.25 per share. We received net proceeds of approximately $27.6 million, after deducting underwriting discounts and commissions and offering </w:t>
      </w:r>
      <w:r>
        <w:rPr>
          <w:sz w:val="20"/>
          <w:szCs w:val="20"/>
        </w:rPr>
        <w:t>expenses paid or payable by us of approximately $2.4 million. The shares issued and sold in the underwritten offering were sold pursuant to the Company’s registration statement on Form S-3 (File No. 333-233227), and a prospectus supplement and accompanying</w:t>
      </w:r>
      <w:r>
        <w:rPr>
          <w:sz w:val="20"/>
          <w:szCs w:val="20"/>
        </w:rPr>
        <w:t xml:space="preserve"> base prospectus filed with the SEC on November 13, 2019</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4</w:t>
      </w:r>
    </w:p>
    <w:p w:rsidR="00000000" w:rsidRDefault="00DA50CE">
      <w:pPr>
        <w:rPr>
          <w:rFonts w:eastAsia="Times New Roman"/>
        </w:rPr>
      </w:pPr>
      <w:r>
        <w:rPr>
          <w:rFonts w:eastAsia="Times New Roman"/>
        </w:rPr>
        <w:pict>
          <v:rect id="_x0000_i1050" style="width:0;height:1.5pt" o:hralign="center" o:hrstd="t" o:hr="t" fillcolor="#a0a0a0" stroked="f"/>
        </w:pict>
      </w:r>
    </w:p>
    <w:p w:rsidR="00000000" w:rsidRDefault="00DA50CE">
      <w:pPr>
        <w:pStyle w:val="a3"/>
        <w:spacing w:before="240" w:beforeAutospacing="0" w:after="0" w:afterAutospacing="0"/>
        <w:ind w:firstLine="555"/>
        <w:rPr>
          <w:sz w:val="20"/>
          <w:szCs w:val="20"/>
        </w:rPr>
      </w:pPr>
      <w:r>
        <w:rPr>
          <w:sz w:val="20"/>
          <w:szCs w:val="20"/>
        </w:rPr>
        <w:t>On September 25, 2020, we entered into an Equity Distribution Agreement, or the September 2020 Equity Distribution Agreement, with Piper as sales agent, pursu</w:t>
      </w:r>
      <w:r>
        <w:rPr>
          <w:sz w:val="20"/>
          <w:szCs w:val="20"/>
        </w:rPr>
        <w:t>ant to which we offered and sold an aggregate of 2.8 million shares of our common stock at a weighted-average net selling price of $42.90 per share, which resulted in $122.1 million of net proceeds to the Company. Shares sold under the September 2020 Equit</w:t>
      </w:r>
      <w:r>
        <w:rPr>
          <w:sz w:val="20"/>
          <w:szCs w:val="20"/>
        </w:rPr>
        <w:t>y Distribution Agreement were offered and sold pursuant to the Company’s registration statement on Form S-3 (File No. 333-239964) filed with the SEC on July 21, 2020, as amended on August 5, 2020, and declared effective on August 12, 2020, and a prospectus</w:t>
      </w:r>
      <w:r>
        <w:rPr>
          <w:sz w:val="20"/>
          <w:szCs w:val="20"/>
        </w:rPr>
        <w:t xml:space="preserve"> supplement and accompanying base prospectus filed with the SEC on September 25, 2020</w:t>
      </w:r>
      <w:r>
        <w:rPr>
          <w:sz w:val="20"/>
          <w:szCs w:val="20"/>
        </w:rPr>
        <w:t>.</w:t>
      </w:r>
    </w:p>
    <w:p w:rsidR="00000000" w:rsidRDefault="00DA50CE">
      <w:pPr>
        <w:pStyle w:val="a3"/>
        <w:spacing w:before="240" w:beforeAutospacing="0" w:after="0" w:afterAutospacing="0"/>
        <w:ind w:firstLine="555"/>
        <w:rPr>
          <w:sz w:val="20"/>
          <w:szCs w:val="20"/>
        </w:rPr>
      </w:pPr>
      <w:r>
        <w:rPr>
          <w:sz w:val="20"/>
          <w:szCs w:val="20"/>
        </w:rPr>
        <w:t xml:space="preserve">On November 20, 2020, we entered into an Equity Distribution Agreement, or the November 2020 Equity Distribution Agreement, with Piper, Oppenheimer &amp; Co. Inc., and BTIG </w:t>
      </w:r>
      <w:r>
        <w:rPr>
          <w:sz w:val="20"/>
          <w:szCs w:val="20"/>
        </w:rPr>
        <w:t>LLC, as sales agents, pursuant to which we may offer and sell, from time to time through Piper, shares of our common stock having an aggregate offering price of up to $175.0 million. Piper may receive a commission of up to 3% of the gross proceeds received</w:t>
      </w:r>
      <w:r>
        <w:rPr>
          <w:sz w:val="20"/>
          <w:szCs w:val="20"/>
        </w:rPr>
        <w:t xml:space="preserve"> by the Company for sales pursuant to the November 2020 Equity Distribution Agreement. During the year ended December 31, 2020, the Company sold an aggregate of 2.0 million shares of our common stock pursuant to the November 2020 Equity Distribution Agreem</w:t>
      </w:r>
      <w:r>
        <w:rPr>
          <w:sz w:val="20"/>
          <w:szCs w:val="20"/>
        </w:rPr>
        <w:t xml:space="preserve">ent at a weighted-average net selling price of $48.70 per share, which resulted in $99.1 million of net proceeds to the Company. During the year ended December 31, 2021, we sold approximately 1.1 million shares of our common stock pursuant to the November </w:t>
      </w:r>
      <w:r>
        <w:rPr>
          <w:sz w:val="20"/>
          <w:szCs w:val="20"/>
        </w:rPr>
        <w:t>2020 Equity Distribution Agreement at a weighted-average net selling price of $64.83 per share, which resulted in $72.0 million of net proceeds to the Company. Shares sold under the November 2020 Equity Distribution Agreement were offered and sold pursuant</w:t>
      </w:r>
      <w:r>
        <w:rPr>
          <w:sz w:val="20"/>
          <w:szCs w:val="20"/>
        </w:rPr>
        <w:t xml:space="preserve"> to the Company’s registration statement on Form S-3 (File No. 333-239964) filed with the SEC on July 21, 2020, as amended on August 5, 2020, and declared effective on August 12, 2020, and a prospectus supplement and accompanying base prospectus filed with</w:t>
      </w:r>
      <w:r>
        <w:rPr>
          <w:sz w:val="20"/>
          <w:szCs w:val="20"/>
        </w:rPr>
        <w:t xml:space="preserve"> the SEC on November 20, 2020</w:t>
      </w:r>
      <w:r>
        <w:rPr>
          <w:sz w:val="20"/>
          <w:szCs w:val="20"/>
        </w:rPr>
        <w:t>.</w:t>
      </w:r>
    </w:p>
    <w:p w:rsidR="00000000" w:rsidRDefault="00DA50CE">
      <w:pPr>
        <w:pStyle w:val="a3"/>
        <w:spacing w:before="240" w:beforeAutospacing="0" w:after="0" w:afterAutospacing="0"/>
        <w:ind w:firstLine="555"/>
        <w:rPr>
          <w:sz w:val="20"/>
          <w:szCs w:val="20"/>
        </w:rPr>
      </w:pPr>
      <w:r>
        <w:rPr>
          <w:sz w:val="20"/>
          <w:szCs w:val="20"/>
        </w:rPr>
        <w:t>We</w:t>
      </w:r>
      <w:r>
        <w:rPr>
          <w:sz w:val="20"/>
          <w:szCs w:val="20"/>
        </w:rPr>
        <w:t xml:space="preserve"> </w:t>
      </w:r>
      <w:r>
        <w:rPr>
          <w:sz w:val="20"/>
          <w:szCs w:val="20"/>
        </w:rPr>
        <w:t xml:space="preserve">believe our existing cash, cash equivalent, short-term marketable securities, along with cash from operations, will be sufficient to meet our anticipated cash requirements for at least the next 12 months. Cash provided by </w:t>
      </w:r>
      <w:r>
        <w:rPr>
          <w:sz w:val="20"/>
          <w:szCs w:val="20"/>
        </w:rPr>
        <w:t>operations has significantly contributed to our ability to meet our liquidity needs, including paying for capital expenditures, and we anticipate that cash from our operations will continue to play a meaningful role in our ability to meet our liquidity req</w:t>
      </w:r>
      <w:r>
        <w:rPr>
          <w:sz w:val="20"/>
          <w:szCs w:val="20"/>
        </w:rPr>
        <w:t>uirements and pursue our business plans and strategies during the next 12 months and in the longer term</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However, our expectations regarding the cash that may be provided by our operations and our cash needs in future periods could turn out to be wrong. F</w:t>
      </w:r>
      <w:r>
        <w:rPr>
          <w:sz w:val="20"/>
          <w:szCs w:val="20"/>
        </w:rPr>
        <w:t>or instance, cash provided by our operations has in the past experienced fluctuations from period to period, which we expect may continue in the future. These fluctuations can occur because of a variety of factors, including, among others, factors relating</w:t>
      </w:r>
      <w:r>
        <w:rPr>
          <w:sz w:val="20"/>
          <w:szCs w:val="20"/>
        </w:rPr>
        <w:t xml:space="preserve"> to the ongoing COVID-19 pandemic, the amount and timing of sales of billable tests, the prices we charge for our tests due to changes in product mix, customer mix, general price degradation for tests, funding of government programs from which we receive g</w:t>
      </w:r>
      <w:r>
        <w:rPr>
          <w:sz w:val="20"/>
          <w:szCs w:val="20"/>
        </w:rPr>
        <w:t xml:space="preserve">overnment funding, or other factors, the rate and timing of our billing and collections cycles and the timing and amount of our commitments and other payments. Moreover, even if our liquidity expectations are correct, we may still seek to raise additional </w:t>
      </w:r>
      <w:r>
        <w:rPr>
          <w:sz w:val="20"/>
          <w:szCs w:val="20"/>
        </w:rPr>
        <w:t>capital through securities offerings, credit facilities or other debt financings, asset sales or collaborations or licensing arrangements</w:t>
      </w:r>
      <w:r>
        <w:rPr>
          <w:sz w:val="20"/>
          <w:szCs w:val="20"/>
        </w:rPr>
        <w:t>.</w:t>
      </w:r>
    </w:p>
    <w:p w:rsidR="00000000" w:rsidRDefault="00DA50CE">
      <w:pPr>
        <w:pStyle w:val="a3"/>
        <w:spacing w:before="240" w:beforeAutospacing="0" w:after="0" w:afterAutospacing="0"/>
        <w:ind w:firstLine="555"/>
        <w:rPr>
          <w:sz w:val="20"/>
          <w:szCs w:val="20"/>
        </w:rPr>
      </w:pPr>
      <w:r>
        <w:rPr>
          <w:sz w:val="20"/>
          <w:szCs w:val="20"/>
        </w:rPr>
        <w:t>If we raise additional funds by issuing equity securities, our existing stockholders could experience substantial dil</w:t>
      </w:r>
      <w:r>
        <w:rPr>
          <w:sz w:val="20"/>
          <w:szCs w:val="20"/>
        </w:rPr>
        <w:t xml:space="preserve">ution. Additionally, any preferred stock we issue could provide for rights, preferences or privileges senior to those of our common stock, and our issuance of any additional equity securities, or the possibility of such an issuance, could cause the market </w:t>
      </w:r>
      <w:r>
        <w:rPr>
          <w:sz w:val="20"/>
          <w:szCs w:val="20"/>
        </w:rPr>
        <w:t>price of our common stock to decline. The terms of any debt securities we issue or borrowings we incur, if available, could impose significant restrictions on our operations, such as limitations on our ability to incur additional debt or issue additional e</w:t>
      </w:r>
      <w:r>
        <w:rPr>
          <w:sz w:val="20"/>
          <w:szCs w:val="20"/>
        </w:rPr>
        <w:t xml:space="preserve">quity or other restrictions that could adversely affect our ability to conduct our business, and would result in increased fixed payment obligations. If we seek to sell assets or enter into collaborations or licensing arrangements to raise capital, we may </w:t>
      </w:r>
      <w:r>
        <w:rPr>
          <w:sz w:val="20"/>
          <w:szCs w:val="20"/>
        </w:rPr>
        <w:t>be required to accept unfavorable terms or relinquish or license to a third party our rights to important or valuable technologies or tests we may otherwise seek to develop ourselves. Moreover, we may incur substantial costs in pursuing future capital, inc</w:t>
      </w:r>
      <w:r>
        <w:rPr>
          <w:sz w:val="20"/>
          <w:szCs w:val="20"/>
        </w:rPr>
        <w:t>luding investment banking, legal and accounting fees, printing and distribution expenses and other similar costs. Additional funding may not be available to us when needed, on acceptable terms or at all. For example, the COVID-19 pandemic caused extreme di</w:t>
      </w:r>
      <w:r>
        <w:rPr>
          <w:sz w:val="20"/>
          <w:szCs w:val="20"/>
        </w:rPr>
        <w:t>sruption and volatility in the global capital markets, which could reduce our ability to access capital. If we are not able to secure funding if and when needed and on reasonable terms, we may be forced to delay, reduce the scope of or eliminate one or mor</w:t>
      </w:r>
      <w:r>
        <w:rPr>
          <w:sz w:val="20"/>
          <w:szCs w:val="20"/>
        </w:rPr>
        <w:t>e sales and marketing initiatives, research and development programs or other growth plans or strategies. In addition, we may be forced to work with a partner on one or more aspects of our tests or market development programs or initiatives, which could lo</w:t>
      </w:r>
      <w:r>
        <w:rPr>
          <w:sz w:val="20"/>
          <w:szCs w:val="20"/>
        </w:rPr>
        <w:t>wer the economic value to us of these tests, programs or initiatives. Any such outcome could significantly harm our business, performance and prospects</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5</w:t>
      </w:r>
    </w:p>
    <w:p w:rsidR="00000000" w:rsidRDefault="00DA50CE">
      <w:pPr>
        <w:rPr>
          <w:rFonts w:eastAsia="Times New Roman"/>
        </w:rPr>
      </w:pPr>
      <w:r>
        <w:rPr>
          <w:rFonts w:eastAsia="Times New Roman"/>
        </w:rPr>
        <w:pict>
          <v:rect id="_x0000_i1051" style="width:0;height:1.5pt" o:hralign="center" o:hrstd="t" o:hr="t" fillcolor="#a0a0a0" stroked="f"/>
        </w:pict>
      </w:r>
    </w:p>
    <w:p w:rsidR="00000000" w:rsidRDefault="00DA50CE">
      <w:pPr>
        <w:pStyle w:val="a3"/>
        <w:spacing w:before="360" w:beforeAutospacing="0" w:after="0" w:afterAutospacing="0"/>
        <w:rPr>
          <w:sz w:val="20"/>
          <w:szCs w:val="20"/>
        </w:rPr>
      </w:pPr>
      <w:r>
        <w:rPr>
          <w:b/>
          <w:bCs/>
          <w:sz w:val="20"/>
          <w:szCs w:val="20"/>
        </w:rPr>
        <w:t>Cash Flow</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The following table summarizes our cash flows for each of the periods indicated</w:t>
      </w:r>
      <w:r>
        <w:rPr>
          <w:sz w:val="20"/>
          <w:szCs w:val="20"/>
        </w:rPr>
        <w:t>:</w:t>
      </w:r>
    </w:p>
    <w:p w:rsidR="00000000" w:rsidRDefault="00DA50C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3"/>
        <w:gridCol w:w="160"/>
        <w:gridCol w:w="1341"/>
        <w:gridCol w:w="127"/>
        <w:gridCol w:w="166"/>
        <w:gridCol w:w="160"/>
        <w:gridCol w:w="1347"/>
        <w:gridCol w:w="142"/>
      </w:tblGrid>
      <w:tr w:rsidR="00000000">
        <w:trPr>
          <w:tblCellSpacing w:w="15" w:type="dxa"/>
        </w:trPr>
        <w:tc>
          <w:tcPr>
            <w:tcW w:w="3013" w:type="pct"/>
            <w:vAlign w:val="center"/>
            <w:hideMark/>
          </w:tcPr>
          <w:p w:rsidR="00000000" w:rsidRDefault="00DA50CE">
            <w:pPr>
              <w:rPr>
                <w:sz w:val="20"/>
                <w:szCs w:val="20"/>
              </w:rPr>
            </w:pPr>
          </w:p>
        </w:tc>
        <w:tc>
          <w:tcPr>
            <w:tcW w:w="60" w:type="pct"/>
            <w:vAlign w:val="center"/>
            <w:hideMark/>
          </w:tcPr>
          <w:p w:rsidR="00000000" w:rsidRDefault="00DA50CE">
            <w:pPr>
              <w:rPr>
                <w:rFonts w:eastAsia="Times New Roman"/>
                <w:sz w:val="20"/>
                <w:szCs w:val="20"/>
              </w:rPr>
            </w:pPr>
          </w:p>
        </w:tc>
        <w:tc>
          <w:tcPr>
            <w:tcW w:w="832"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c>
          <w:tcPr>
            <w:tcW w:w="100" w:type="pct"/>
            <w:vAlign w:val="center"/>
            <w:hideMark/>
          </w:tcPr>
          <w:p w:rsidR="00000000" w:rsidRDefault="00DA50CE">
            <w:pPr>
              <w:rPr>
                <w:rFonts w:eastAsia="Times New Roman"/>
                <w:sz w:val="20"/>
                <w:szCs w:val="20"/>
              </w:rPr>
            </w:pPr>
          </w:p>
        </w:tc>
        <w:tc>
          <w:tcPr>
            <w:tcW w:w="60" w:type="pct"/>
            <w:vAlign w:val="center"/>
            <w:hideMark/>
          </w:tcPr>
          <w:p w:rsidR="00000000" w:rsidRDefault="00DA50CE">
            <w:pPr>
              <w:rPr>
                <w:rFonts w:eastAsia="Times New Roman"/>
                <w:sz w:val="20"/>
                <w:szCs w:val="20"/>
              </w:rPr>
            </w:pPr>
          </w:p>
        </w:tc>
        <w:tc>
          <w:tcPr>
            <w:tcW w:w="835" w:type="pct"/>
            <w:vAlign w:val="center"/>
            <w:hideMark/>
          </w:tcPr>
          <w:p w:rsidR="00000000" w:rsidRDefault="00DA50CE">
            <w:pPr>
              <w:rPr>
                <w:rFonts w:eastAsia="Times New Roman"/>
                <w:sz w:val="20"/>
                <w:szCs w:val="20"/>
              </w:rPr>
            </w:pPr>
          </w:p>
        </w:tc>
        <w:tc>
          <w:tcPr>
            <w:tcW w:w="49"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DA50C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DA50C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DA50C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cash provided by operating activitie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188,41</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233,17</w:t>
            </w:r>
            <w:r>
              <w:rPr>
                <w:sz w:val="20"/>
                <w:szCs w:val="20"/>
              </w:rPr>
              <w:t>9</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cash provided by (used in) investing activitie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68</w:t>
            </w:r>
            <w:r>
              <w:rPr>
                <w:sz w:val="20"/>
                <w:szCs w:val="20"/>
              </w:rPr>
              <w:t>8</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(216,49</w:t>
            </w:r>
            <w:r>
              <w:rPr>
                <w:sz w:val="20"/>
                <w:szCs w:val="20"/>
              </w:rPr>
              <w:t>1</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DA50CE">
            <w:pPr>
              <w:pStyle w:val="a3"/>
              <w:spacing w:before="0" w:beforeAutospacing="0" w:after="0" w:afterAutospacing="0"/>
              <w:rPr>
                <w:sz w:val="20"/>
                <w:szCs w:val="20"/>
              </w:rPr>
            </w:pPr>
            <w:r>
              <w:rPr>
                <w:sz w:val="20"/>
                <w:szCs w:val="20"/>
              </w:rPr>
              <w:t>Net cash (used in) provided by financing activitie</w:t>
            </w:r>
            <w:r>
              <w:rPr>
                <w:sz w:val="20"/>
                <w:szCs w:val="20"/>
              </w:rPr>
              <w:t>s</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(93</w:t>
            </w:r>
            <w:r>
              <w:rPr>
                <w:sz w:val="20"/>
                <w:szCs w:val="20"/>
              </w:rPr>
              <w:t>4</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w:t>
            </w:r>
          </w:p>
        </w:tc>
        <w:tc>
          <w:tcPr>
            <w:tcW w:w="0" w:type="auto"/>
            <w:vAlign w:val="bottom"/>
            <w:hideMark/>
          </w:tcPr>
          <w:p w:rsidR="00000000" w:rsidRDefault="00DA50CE">
            <w:pPr>
              <w:pStyle w:val="a3"/>
              <w:spacing w:before="0" w:beforeAutospacing="0" w:after="0" w:afterAutospacing="0"/>
              <w:jc w:val="right"/>
              <w:rPr>
                <w:sz w:val="20"/>
                <w:szCs w:val="20"/>
              </w:rPr>
            </w:pPr>
            <w:r>
              <w:rPr>
                <w:sz w:val="20"/>
                <w:szCs w:val="20"/>
              </w:rPr>
              <w:t>47,34</w:t>
            </w:r>
            <w:r>
              <w:rPr>
                <w:sz w:val="20"/>
                <w:szCs w:val="20"/>
              </w:rPr>
              <w:t>7</w:t>
            </w:r>
          </w:p>
        </w:tc>
        <w:tc>
          <w:tcPr>
            <w:tcW w:w="0" w:type="auto"/>
            <w:vAlign w:val="bottom"/>
            <w:hideMark/>
          </w:tcPr>
          <w:p w:rsidR="00000000" w:rsidRDefault="00DA50CE">
            <w:pPr>
              <w:pStyle w:val="a3"/>
              <w:spacing w:before="0" w:beforeAutospacing="0" w:after="0" w:afterAutospacing="0"/>
              <w:rPr>
                <w:sz w:val="20"/>
                <w:szCs w:val="20"/>
              </w:rPr>
            </w:pPr>
            <w:r>
              <w:rPr>
                <w:sz w:val="20"/>
                <w:szCs w:val="20"/>
              </w:rPr>
              <w:t> </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120" w:beforeAutospacing="0" w:after="0" w:afterAutospacing="0"/>
        <w:rPr>
          <w:sz w:val="20"/>
          <w:szCs w:val="20"/>
        </w:rPr>
      </w:pPr>
      <w:r>
        <w:rPr>
          <w:i/>
          <w:iCs/>
          <w:sz w:val="20"/>
          <w:szCs w:val="20"/>
        </w:rPr>
        <w:t>Operating Activitie</w:t>
      </w:r>
      <w:r>
        <w:rPr>
          <w:i/>
          <w:iCs/>
          <w:sz w:val="20"/>
          <w:szCs w:val="20"/>
        </w:rPr>
        <w:t>s</w:t>
      </w:r>
    </w:p>
    <w:p w:rsidR="00000000" w:rsidRDefault="00DA50CE">
      <w:pPr>
        <w:pStyle w:val="a3"/>
        <w:spacing w:before="120" w:beforeAutospacing="0" w:after="0" w:afterAutospacing="0"/>
        <w:ind w:firstLine="555"/>
        <w:rPr>
          <w:sz w:val="20"/>
          <w:szCs w:val="20"/>
        </w:rPr>
      </w:pPr>
      <w:r>
        <w:rPr>
          <w:sz w:val="20"/>
          <w:szCs w:val="20"/>
        </w:rPr>
        <w:t>Cash provided by operating activities in the first quarter of 2022 was $188.4 million. The difference between net income and cash provided by operating activities for the period was primarily due to the effects of $11.6 million in prov</w:t>
      </w:r>
      <w:r>
        <w:rPr>
          <w:sz w:val="20"/>
          <w:szCs w:val="20"/>
        </w:rPr>
        <w:t>ision for credit losses, $5.6 million in equity-based compensation expenses and $4.7 million in the depreciation and amortization. Cash provided by operating activities increased between periods primarily due to increases of $51.4 million in income tax pay</w:t>
      </w:r>
      <w:r>
        <w:rPr>
          <w:sz w:val="20"/>
          <w:szCs w:val="20"/>
        </w:rPr>
        <w:t>able and $2.1 million in accounts payable due to timing of payments and a decrease of $3.0 million in other current and long-term assets primarily related to reagents and supplies, partially offset by an increase of $32.9 million in trade receivable due to</w:t>
      </w:r>
      <w:r>
        <w:rPr>
          <w:sz w:val="20"/>
          <w:szCs w:val="20"/>
        </w:rPr>
        <w:t xml:space="preserve"> timing of collections and a decrease of $8.2 million in other current and non-current liabilities primarily due to the payments for bonus accruals</w:t>
      </w:r>
      <w:r>
        <w:rPr>
          <w:sz w:val="20"/>
          <w:szCs w:val="20"/>
        </w:rPr>
        <w:t>.</w:t>
      </w:r>
    </w:p>
    <w:p w:rsidR="00000000" w:rsidRDefault="00DA50CE">
      <w:pPr>
        <w:pStyle w:val="a3"/>
        <w:spacing w:before="240" w:beforeAutospacing="0" w:after="0" w:afterAutospacing="0"/>
        <w:ind w:firstLine="555"/>
        <w:rPr>
          <w:sz w:val="20"/>
          <w:szCs w:val="20"/>
        </w:rPr>
      </w:pPr>
      <w:r>
        <w:rPr>
          <w:sz w:val="20"/>
          <w:szCs w:val="20"/>
        </w:rPr>
        <w:t>Cash provided by operating activities in the first quarter of 2021 was $233.2 million. The difference betwe</w:t>
      </w:r>
      <w:r>
        <w:rPr>
          <w:sz w:val="20"/>
          <w:szCs w:val="20"/>
        </w:rPr>
        <w:t>en net income and cash provided by operating activities for the period was primarily due to the effects of $3.0 million in equity-based compensation expenses and $1.9 million in the depreciation of assets. Cash provided by operating activities increased be</w:t>
      </w:r>
      <w:r>
        <w:rPr>
          <w:sz w:val="20"/>
          <w:szCs w:val="20"/>
        </w:rPr>
        <w:t>tween periods primarily due to increases of $67.2 million in income tax payable due to a significant increase in income, $16.8 million in customer deposit due to payments received from customers in excess of their outstanding trade accounts receivable bala</w:t>
      </w:r>
      <w:r>
        <w:rPr>
          <w:sz w:val="20"/>
          <w:szCs w:val="20"/>
        </w:rPr>
        <w:t>nces, and $3.9 million in other current liabilities related to increased payroll liabilities, partially offset by the negative impact of increases of $34.6 million in trade accounts receivable mainly due to timing of collections from customers and insuranc</w:t>
      </w:r>
      <w:r>
        <w:rPr>
          <w:sz w:val="20"/>
          <w:szCs w:val="20"/>
        </w:rPr>
        <w:t>e companies and $9.1 million in other current and long-term assets related to additions in reagents and supplies, and decreases of $12.6 million in contract liabilities due to increased revenue recognized in the current period, and $6.3 million in accounts</w:t>
      </w:r>
      <w:r>
        <w:rPr>
          <w:sz w:val="20"/>
          <w:szCs w:val="20"/>
        </w:rPr>
        <w:t xml:space="preserve"> payable mainly due to timing of payments</w:t>
      </w:r>
      <w:r>
        <w:rPr>
          <w:sz w:val="20"/>
          <w:szCs w:val="20"/>
        </w:rPr>
        <w:t>.</w:t>
      </w:r>
    </w:p>
    <w:p w:rsidR="00000000" w:rsidRDefault="00DA50CE">
      <w:pPr>
        <w:pStyle w:val="a3"/>
        <w:spacing w:before="360" w:beforeAutospacing="0" w:after="0" w:afterAutospacing="0"/>
        <w:rPr>
          <w:sz w:val="20"/>
          <w:szCs w:val="20"/>
        </w:rPr>
      </w:pPr>
      <w:r>
        <w:rPr>
          <w:i/>
          <w:iCs/>
          <w:sz w:val="20"/>
          <w:szCs w:val="20"/>
        </w:rPr>
        <w:t>Investing Activitie</w:t>
      </w:r>
      <w:r>
        <w:rPr>
          <w:i/>
          <w:iCs/>
          <w:sz w:val="20"/>
          <w:szCs w:val="20"/>
        </w:rPr>
        <w:t>s</w:t>
      </w:r>
    </w:p>
    <w:p w:rsidR="00000000" w:rsidRDefault="00DA50CE">
      <w:pPr>
        <w:pStyle w:val="a3"/>
        <w:spacing w:before="120" w:beforeAutospacing="0" w:after="0" w:afterAutospacing="0"/>
        <w:ind w:firstLine="555"/>
        <w:rPr>
          <w:sz w:val="20"/>
          <w:szCs w:val="20"/>
        </w:rPr>
      </w:pPr>
      <w:r>
        <w:rPr>
          <w:sz w:val="20"/>
          <w:szCs w:val="20"/>
        </w:rPr>
        <w:t>Cash provided by investing activities in the first quarter of 2022 was $688,000, which primarily related to $133.4 million related to sales of marketable securities and $27.8 million related to maturities of marketable securities, partially offset by purch</w:t>
      </w:r>
      <w:r>
        <w:rPr>
          <w:sz w:val="20"/>
          <w:szCs w:val="20"/>
        </w:rPr>
        <w:t>ases of $130.1 million of marketable securities, $15.0 million investment in private equity securities, and $10.0 million contingent consideration payment related to acquisition of CSI</w:t>
      </w:r>
      <w:r>
        <w:rPr>
          <w:sz w:val="20"/>
          <w:szCs w:val="20"/>
        </w:rPr>
        <w:t>.</w:t>
      </w:r>
    </w:p>
    <w:p w:rsidR="00000000" w:rsidRDefault="00DA50CE">
      <w:pPr>
        <w:pStyle w:val="a3"/>
        <w:spacing w:before="240" w:beforeAutospacing="0" w:after="0" w:afterAutospacing="0"/>
        <w:ind w:firstLine="555"/>
        <w:rPr>
          <w:sz w:val="20"/>
          <w:szCs w:val="20"/>
        </w:rPr>
      </w:pPr>
      <w:r>
        <w:rPr>
          <w:sz w:val="20"/>
          <w:szCs w:val="20"/>
        </w:rPr>
        <w:t>Cash used in investing activities in the first quarter of 2021 was $21</w:t>
      </w:r>
      <w:r>
        <w:rPr>
          <w:sz w:val="20"/>
          <w:szCs w:val="20"/>
        </w:rPr>
        <w:t>6.5 million, which primarily related to purchase of $219.5 million marketable securities, purchase of $11.5 million fixed assets consisting mainly of medical lab equipment, and partially offset by maturities of $14.5 million marketable securities</w:t>
      </w:r>
      <w:r>
        <w:rPr>
          <w:sz w:val="20"/>
          <w:szCs w:val="20"/>
        </w:rPr>
        <w:t>.</w:t>
      </w:r>
    </w:p>
    <w:p w:rsidR="00000000" w:rsidRDefault="00DA50CE">
      <w:pPr>
        <w:pStyle w:val="a3"/>
        <w:spacing w:before="360" w:beforeAutospacing="0" w:after="0" w:afterAutospacing="0"/>
        <w:rPr>
          <w:sz w:val="20"/>
          <w:szCs w:val="20"/>
        </w:rPr>
      </w:pPr>
      <w:r>
        <w:rPr>
          <w:i/>
          <w:iCs/>
          <w:sz w:val="20"/>
          <w:szCs w:val="20"/>
        </w:rPr>
        <w:t>Financin</w:t>
      </w:r>
      <w:r>
        <w:rPr>
          <w:i/>
          <w:iCs/>
          <w:sz w:val="20"/>
          <w:szCs w:val="20"/>
        </w:rPr>
        <w:t>g Activitie</w:t>
      </w:r>
      <w:r>
        <w:rPr>
          <w:i/>
          <w:iCs/>
          <w:sz w:val="20"/>
          <w:szCs w:val="20"/>
        </w:rPr>
        <w:t>s</w:t>
      </w:r>
    </w:p>
    <w:p w:rsidR="00000000" w:rsidRDefault="00DA50CE">
      <w:pPr>
        <w:pStyle w:val="a3"/>
        <w:spacing w:before="120" w:beforeAutospacing="0" w:after="0" w:afterAutospacing="0"/>
        <w:ind w:firstLine="555"/>
        <w:rPr>
          <w:sz w:val="20"/>
          <w:szCs w:val="20"/>
        </w:rPr>
      </w:pPr>
      <w:r>
        <w:rPr>
          <w:sz w:val="20"/>
          <w:szCs w:val="20"/>
        </w:rPr>
        <w:t>Cash used in financing activities in the first quarter of 2022 was $934,000, which primarily related to $494,000 common stock withholding for employee tax obligations and $375,000 repayments of partial notes payable</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Cash provided by the firs</w:t>
      </w:r>
      <w:r>
        <w:rPr>
          <w:sz w:val="20"/>
          <w:szCs w:val="20"/>
        </w:rPr>
        <w:t>t quarter of 2021 was $47.3 million, which primarily represents net proceeds from sale of our common stock made pursuant to the November 2020 Equity Distribution Agreement</w:t>
      </w:r>
      <w:r>
        <w:rPr>
          <w:sz w:val="20"/>
          <w:szCs w:val="20"/>
        </w:rPr>
        <w:t>.</w:t>
      </w:r>
    </w:p>
    <w:p w:rsidR="00000000" w:rsidRDefault="00DA50CE">
      <w:pPr>
        <w:pStyle w:val="a3"/>
        <w:spacing w:before="360" w:beforeAutospacing="0" w:after="0" w:afterAutospacing="0"/>
        <w:jc w:val="center"/>
        <w:rPr>
          <w:sz w:val="20"/>
          <w:szCs w:val="20"/>
        </w:rPr>
      </w:pPr>
      <w:r>
        <w:rPr>
          <w:b/>
          <w:bCs/>
          <w:sz w:val="20"/>
          <w:szCs w:val="20"/>
        </w:rPr>
        <w:t>Critical Accounting Policies and Use of Estimate</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There have been no material chang</w:t>
      </w:r>
      <w:r>
        <w:rPr>
          <w:sz w:val="20"/>
          <w:szCs w:val="20"/>
        </w:rPr>
        <w:t>es to our critical accounting policies or estimates from the information provided in Item 7, “Management’s Discussion and Analysis of Financial Condition and Results of Operations”, included in the 2021 Annual Report</w:t>
      </w:r>
      <w:r>
        <w:rPr>
          <w:sz w:val="20"/>
          <w:szCs w:val="20"/>
        </w:rPr>
        <w:t>.</w:t>
      </w:r>
    </w:p>
    <w:p w:rsidR="00000000" w:rsidRDefault="00DA50CE">
      <w:pPr>
        <w:pStyle w:val="a3"/>
        <w:spacing w:before="360" w:beforeAutospacing="0" w:after="0" w:afterAutospacing="0"/>
        <w:ind w:firstLine="555"/>
        <w:jc w:val="center"/>
        <w:rPr>
          <w:sz w:val="20"/>
          <w:szCs w:val="20"/>
        </w:rPr>
      </w:pPr>
      <w:r>
        <w:rPr>
          <w:b/>
          <w:bCs/>
          <w:sz w:val="20"/>
          <w:szCs w:val="20"/>
        </w:rPr>
        <w:t>Recent Accounting Pronouncement</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See N</w:t>
      </w:r>
      <w:r>
        <w:rPr>
          <w:sz w:val="20"/>
          <w:szCs w:val="20"/>
        </w:rPr>
        <w:t>ote 2, Summary of Significant Accounting Policies, to our condensed consolidated financial statements included in this report for information about recent accounting pronouncements</w:t>
      </w:r>
      <w:r>
        <w:rPr>
          <w:sz w:val="20"/>
          <w:szCs w:val="20"/>
        </w:rPr>
        <w:t>.</w:t>
      </w:r>
      <w:r>
        <w:rPr>
          <w:sz w:val="20"/>
          <w:szCs w:val="20"/>
        </w:rPr>
        <w:t xml:space="preserve"> </w:t>
      </w:r>
    </w:p>
    <w:p w:rsidR="00000000" w:rsidRDefault="00DA50CE">
      <w:pPr>
        <w:pStyle w:val="a3"/>
        <w:spacing w:before="240" w:beforeAutospacing="0" w:after="0" w:afterAutospacing="0"/>
        <w:jc w:val="center"/>
        <w:rPr>
          <w:sz w:val="20"/>
          <w:szCs w:val="20"/>
        </w:rPr>
      </w:pPr>
      <w:r>
        <w:rPr>
          <w:sz w:val="20"/>
          <w:szCs w:val="20"/>
        </w:rPr>
        <w:t>2</w:t>
      </w:r>
      <w:r>
        <w:rPr>
          <w:sz w:val="20"/>
          <w:szCs w:val="20"/>
        </w:rPr>
        <w:t>6</w:t>
      </w:r>
    </w:p>
    <w:p w:rsidR="00000000" w:rsidRDefault="00DA50CE">
      <w:pPr>
        <w:rPr>
          <w:rFonts w:eastAsia="Times New Roman"/>
        </w:rPr>
      </w:pPr>
      <w:r>
        <w:rPr>
          <w:rFonts w:eastAsia="Times New Roman"/>
        </w:rPr>
        <w:pict>
          <v:rect id="_x0000_i1052" style="width:0;height:1.5pt" o:hralign="center" o:hrstd="t" o:hr="t" fillcolor="#a0a0a0" stroked="f"/>
        </w:pict>
      </w:r>
    </w:p>
    <w:p w:rsidR="00000000" w:rsidRDefault="00DA50CE">
      <w:pPr>
        <w:pStyle w:val="a3"/>
        <w:spacing w:before="360" w:beforeAutospacing="0" w:after="0" w:afterAutospacing="0"/>
        <w:ind w:firstLine="555"/>
        <w:jc w:val="center"/>
        <w:rPr>
          <w:sz w:val="20"/>
          <w:szCs w:val="20"/>
        </w:rPr>
      </w:pPr>
      <w:r>
        <w:rPr>
          <w:b/>
          <w:bCs/>
          <w:sz w:val="20"/>
          <w:szCs w:val="20"/>
        </w:rPr>
        <w:t>Off-Balance Sheet Arrangement</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 xml:space="preserve">We </w:t>
      </w:r>
      <w:r>
        <w:rPr>
          <w:sz w:val="20"/>
          <w:szCs w:val="20"/>
        </w:rPr>
        <w:t xml:space="preserve">did not have during the periods presented, and do not currently have, any off-balance sheet arrangements, as defined in the rules and regulations of the SEC, that have or are reasonably likely to have a current or future effect on our financial condition, </w:t>
      </w:r>
      <w:r>
        <w:rPr>
          <w:sz w:val="20"/>
          <w:szCs w:val="20"/>
        </w:rPr>
        <w:t>changes in financial condition, revenue or expenses, results of operations, liquidity, capital expenditures or capital resources that is material to investors</w:t>
      </w:r>
      <w:r>
        <w:rPr>
          <w:sz w:val="20"/>
          <w:szCs w:val="20"/>
        </w:rPr>
        <w:t>.</w:t>
      </w:r>
    </w:p>
    <w:p w:rsidR="00000000" w:rsidRDefault="00DA50CE">
      <w:pPr>
        <w:pStyle w:val="a3"/>
        <w:spacing w:before="360" w:beforeAutospacing="0" w:after="0" w:afterAutospacing="0"/>
        <w:rPr>
          <w:sz w:val="20"/>
          <w:szCs w:val="20"/>
        </w:rPr>
      </w:pPr>
      <w:r>
        <w:rPr>
          <w:b/>
          <w:bCs/>
          <w:sz w:val="20"/>
          <w:szCs w:val="20"/>
        </w:rPr>
        <w:t>Item 3. Quantitative and Qualitati</w:t>
      </w:r>
      <w:r>
        <w:rPr>
          <w:b/>
          <w:bCs/>
          <w:sz w:val="20"/>
          <w:szCs w:val="20"/>
        </w:rPr>
        <w:t>v</w:t>
      </w:r>
      <w:r>
        <w:rPr>
          <w:b/>
          <w:bCs/>
          <w:sz w:val="20"/>
          <w:szCs w:val="20"/>
        </w:rPr>
        <w:t>e Disclosures About Market Risk</w:t>
      </w:r>
      <w:r>
        <w:rPr>
          <w:b/>
          <w:bCs/>
          <w:sz w:val="20"/>
          <w:szCs w:val="20"/>
        </w:rPr>
        <w:t>.</w:t>
      </w:r>
    </w:p>
    <w:p w:rsidR="00000000" w:rsidRDefault="00DA50CE">
      <w:pPr>
        <w:pStyle w:val="a3"/>
        <w:spacing w:before="120" w:beforeAutospacing="0" w:after="0" w:afterAutospacing="0"/>
        <w:ind w:firstLine="539"/>
        <w:rPr>
          <w:sz w:val="20"/>
          <w:szCs w:val="20"/>
        </w:rPr>
      </w:pPr>
      <w:r>
        <w:rPr>
          <w:sz w:val="20"/>
          <w:szCs w:val="20"/>
        </w:rPr>
        <w:t>Not required</w:t>
      </w:r>
      <w:r>
        <w:rPr>
          <w:sz w:val="20"/>
          <w:szCs w:val="20"/>
        </w:rPr>
        <w:t>.</w:t>
      </w:r>
    </w:p>
    <w:p w:rsidR="00000000" w:rsidRDefault="00DA50CE">
      <w:pPr>
        <w:pStyle w:val="a3"/>
        <w:spacing w:before="360" w:beforeAutospacing="0" w:after="0" w:afterAutospacing="0"/>
        <w:rPr>
          <w:sz w:val="20"/>
          <w:szCs w:val="20"/>
        </w:rPr>
      </w:pPr>
      <w:r>
        <w:rPr>
          <w:b/>
          <w:bCs/>
          <w:sz w:val="20"/>
          <w:szCs w:val="20"/>
        </w:rPr>
        <w:t>Item 4. Cont</w:t>
      </w:r>
      <w:r>
        <w:rPr>
          <w:b/>
          <w:bCs/>
          <w:sz w:val="20"/>
          <w:szCs w:val="20"/>
        </w:rPr>
        <w:t>r</w:t>
      </w:r>
      <w:r>
        <w:rPr>
          <w:b/>
          <w:bCs/>
          <w:sz w:val="20"/>
          <w:szCs w:val="20"/>
        </w:rPr>
        <w:t>o</w:t>
      </w:r>
      <w:r>
        <w:rPr>
          <w:b/>
          <w:bCs/>
          <w:sz w:val="20"/>
          <w:szCs w:val="20"/>
        </w:rPr>
        <w:t>ls and Procedures</w:t>
      </w:r>
      <w:r>
        <w:rPr>
          <w:b/>
          <w:bCs/>
          <w:sz w:val="20"/>
          <w:szCs w:val="20"/>
        </w:rPr>
        <w:t>.</w:t>
      </w:r>
    </w:p>
    <w:p w:rsidR="00000000" w:rsidRDefault="00DA50CE">
      <w:pPr>
        <w:pStyle w:val="a3"/>
        <w:spacing w:before="360" w:beforeAutospacing="0" w:after="0" w:afterAutospacing="0"/>
        <w:jc w:val="center"/>
        <w:rPr>
          <w:sz w:val="20"/>
          <w:szCs w:val="20"/>
        </w:rPr>
      </w:pPr>
      <w:r>
        <w:rPr>
          <w:b/>
          <w:bCs/>
          <w:sz w:val="20"/>
          <w:szCs w:val="20"/>
        </w:rPr>
        <w:t>Evaluation of Disclosure Controls and Procedure</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Disclosure controls and procedures are controls and other procedures of a company that are designed to ensure that information required to be disclosed by the company in the reports that i</w:t>
      </w:r>
      <w:r>
        <w:rPr>
          <w:sz w:val="20"/>
          <w:szCs w:val="20"/>
        </w:rPr>
        <w:t>t files or submits under the Exchange Act is recorded, processed, summarized and reported within the time periods specified in the SEC’s rules and forms. Disclosure controls and procedures include, without limitation, controls and procedures designed to en</w:t>
      </w:r>
      <w:r>
        <w:rPr>
          <w:sz w:val="20"/>
          <w:szCs w:val="20"/>
        </w:rPr>
        <w:t>sure that information required to be disclosed by a company in the reports that it files or submits under the Exchange Act is accumulated and communicated to the company’s management, including its principal executive and principal financial officers, or p</w:t>
      </w:r>
      <w:r>
        <w:rPr>
          <w:sz w:val="20"/>
          <w:szCs w:val="20"/>
        </w:rPr>
        <w:t>ersons performing similar functions, as appropriate to allow timely decisions regarding required disclosure. As required by Rule 13a-15(b) under the Exchange Act, our management, with the participation of our Chief Executive Officer and Chief Financial Off</w:t>
      </w:r>
      <w:r>
        <w:rPr>
          <w:sz w:val="20"/>
          <w:szCs w:val="20"/>
        </w:rPr>
        <w:t xml:space="preserve">icer, conducted an evaluation of the effectiveness of our disclosure controls and procedures as of March 31, 2022. Based on this evaluation, our Chief Executive Officer and Chief Financial Officer concluded that our disclosure controls and procedures were </w:t>
      </w:r>
      <w:r>
        <w:rPr>
          <w:sz w:val="20"/>
          <w:szCs w:val="20"/>
        </w:rPr>
        <w:t>effective as of March 31, 2022</w:t>
      </w:r>
      <w:r>
        <w:rPr>
          <w:sz w:val="20"/>
          <w:szCs w:val="20"/>
        </w:rPr>
        <w:t>.</w:t>
      </w:r>
    </w:p>
    <w:p w:rsidR="00000000" w:rsidRDefault="00DA50CE">
      <w:pPr>
        <w:pStyle w:val="a3"/>
        <w:spacing w:before="360" w:beforeAutospacing="0" w:after="0" w:afterAutospacing="0"/>
        <w:jc w:val="center"/>
        <w:rPr>
          <w:sz w:val="20"/>
          <w:szCs w:val="20"/>
        </w:rPr>
      </w:pPr>
      <w:r>
        <w:rPr>
          <w:b/>
          <w:bCs/>
          <w:sz w:val="20"/>
          <w:szCs w:val="20"/>
        </w:rPr>
        <w:t>Changes in Internal Control over Financial Reportin</w:t>
      </w:r>
      <w:r>
        <w:rPr>
          <w:b/>
          <w:bCs/>
          <w:sz w:val="20"/>
          <w:szCs w:val="20"/>
        </w:rPr>
        <w:t>g</w:t>
      </w:r>
    </w:p>
    <w:p w:rsidR="00000000" w:rsidRDefault="00DA50CE">
      <w:pPr>
        <w:pStyle w:val="a3"/>
        <w:spacing w:before="120" w:beforeAutospacing="0" w:after="0" w:afterAutospacing="0"/>
        <w:ind w:firstLine="555"/>
        <w:rPr>
          <w:sz w:val="20"/>
          <w:szCs w:val="20"/>
        </w:rPr>
      </w:pPr>
      <w:r>
        <w:rPr>
          <w:sz w:val="20"/>
          <w:szCs w:val="20"/>
        </w:rPr>
        <w:t>There have not been any changes in our internal control (as required by Rule 13a-15(b) under the Exchange Act) over the financial reporting during the first quarter of 2022 that have materially affected or are reasonably likely to materially affect our int</w:t>
      </w:r>
      <w:r>
        <w:rPr>
          <w:sz w:val="20"/>
          <w:szCs w:val="20"/>
        </w:rPr>
        <w:t>ernal control over financial reporting</w:t>
      </w:r>
      <w:r>
        <w:rPr>
          <w:sz w:val="20"/>
          <w:szCs w:val="20"/>
        </w:rPr>
        <w:t>.</w:t>
      </w:r>
      <w:r>
        <w:rPr>
          <w:sz w:val="20"/>
          <w:szCs w:val="20"/>
        </w:rPr>
        <w:t xml:space="preserve"> </w:t>
      </w:r>
    </w:p>
    <w:p w:rsidR="00000000" w:rsidRDefault="00DA50CE">
      <w:pPr>
        <w:pStyle w:val="a3"/>
        <w:spacing w:before="360" w:beforeAutospacing="0" w:after="0" w:afterAutospacing="0"/>
        <w:jc w:val="center"/>
        <w:rPr>
          <w:sz w:val="20"/>
          <w:szCs w:val="20"/>
        </w:rPr>
      </w:pPr>
      <w:r>
        <w:rPr>
          <w:b/>
          <w:bCs/>
          <w:sz w:val="20"/>
          <w:szCs w:val="20"/>
        </w:rPr>
        <w:t>Inherent Limitations on Disclosure Controls and Procedures and Internal Control over Financial Reportin</w:t>
      </w:r>
      <w:r>
        <w:rPr>
          <w:b/>
          <w:bCs/>
          <w:sz w:val="20"/>
          <w:szCs w:val="20"/>
        </w:rPr>
        <w:t>g</w:t>
      </w:r>
    </w:p>
    <w:p w:rsidR="00000000" w:rsidRDefault="00DA50CE">
      <w:pPr>
        <w:pStyle w:val="a3"/>
        <w:spacing w:before="120" w:beforeAutospacing="0" w:after="0" w:afterAutospacing="0"/>
        <w:ind w:firstLine="555"/>
        <w:rPr>
          <w:sz w:val="20"/>
          <w:szCs w:val="20"/>
        </w:rPr>
      </w:pPr>
      <w:r>
        <w:rPr>
          <w:sz w:val="20"/>
          <w:szCs w:val="20"/>
        </w:rPr>
        <w:t xml:space="preserve">Management recognizes that any controls and procedures, no matter how well-designed and operated, can provide </w:t>
      </w:r>
      <w:r>
        <w:rPr>
          <w:sz w:val="20"/>
          <w:szCs w:val="20"/>
        </w:rPr>
        <w:t>only reasonable assurance of achieving their objectives, and management necessarily applies its judgment in evaluating the benefits of possible controls and procedures relative to their costs. Because of these inherent limitations, our disclosure and inter</w:t>
      </w:r>
      <w:r>
        <w:rPr>
          <w:sz w:val="20"/>
          <w:szCs w:val="20"/>
        </w:rPr>
        <w:t>nal controls may not prevent or detect all instances of fraud, misstatements or other control issues. In addition, projections of any evaluation of the effectiveness of disclosure or internal controls to future periods are subject to risks, including, amon</w:t>
      </w:r>
      <w:r>
        <w:rPr>
          <w:sz w:val="20"/>
          <w:szCs w:val="20"/>
        </w:rPr>
        <w:t>g others, that controls may become inadequate because of changes in conditions or that the degree of compliance with policies or procedures may deteriorate</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7</w:t>
      </w:r>
    </w:p>
    <w:p w:rsidR="00000000" w:rsidRDefault="00DA50CE">
      <w:pPr>
        <w:rPr>
          <w:rFonts w:eastAsia="Times New Roman"/>
        </w:rPr>
      </w:pPr>
      <w:r>
        <w:rPr>
          <w:rFonts w:eastAsia="Times New Roman"/>
        </w:rPr>
        <w:pict>
          <v:rect id="_x0000_i1053"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PART II—OTHE</w:t>
      </w:r>
      <w:r>
        <w:rPr>
          <w:b/>
          <w:bCs/>
          <w:sz w:val="20"/>
          <w:szCs w:val="20"/>
        </w:rPr>
        <w:t>R</w:t>
      </w:r>
      <w:r>
        <w:rPr>
          <w:b/>
          <w:bCs/>
          <w:sz w:val="20"/>
          <w:szCs w:val="20"/>
        </w:rPr>
        <w:t xml:space="preserve"> INFORMATIO</w:t>
      </w:r>
      <w:r>
        <w:rPr>
          <w:b/>
          <w:bCs/>
          <w:sz w:val="20"/>
          <w:szCs w:val="20"/>
        </w:rPr>
        <w:t>N</w:t>
      </w:r>
    </w:p>
    <w:p w:rsidR="00000000" w:rsidRDefault="00DA50CE">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rsidR="00000000" w:rsidRDefault="00DA50CE">
      <w:pPr>
        <w:pStyle w:val="a3"/>
        <w:spacing w:before="120" w:beforeAutospacing="0" w:after="0" w:afterAutospacing="0"/>
        <w:ind w:firstLine="555"/>
        <w:rPr>
          <w:sz w:val="20"/>
          <w:szCs w:val="20"/>
        </w:rPr>
      </w:pPr>
      <w:r>
        <w:rPr>
          <w:sz w:val="20"/>
          <w:szCs w:val="20"/>
        </w:rPr>
        <w:t>From ti</w:t>
      </w:r>
      <w:r>
        <w:rPr>
          <w:sz w:val="20"/>
          <w:szCs w:val="20"/>
        </w:rPr>
        <w:t>me to time, we may be involved in legal proceedings arising in the ordinary course of our business. We are not presently a party, and our properties are not presently subject, to any legal proceedings that, in the opinion of management, would have a materi</w:t>
      </w:r>
      <w:r>
        <w:rPr>
          <w:sz w:val="20"/>
          <w:szCs w:val="20"/>
        </w:rPr>
        <w:t>al effect on our business. Regardless of outcome, litigation can have an adverse impact on us due to defense and settlement costs, diversion of management resources, negative publicity and reputational harm, among other factors</w:t>
      </w:r>
      <w:r>
        <w:rPr>
          <w:sz w:val="20"/>
          <w:szCs w:val="20"/>
        </w:rPr>
        <w:t>.</w:t>
      </w:r>
      <w:r>
        <w:rPr>
          <w:sz w:val="20"/>
          <w:szCs w:val="20"/>
        </w:rPr>
        <w:t xml:space="preserve"> </w:t>
      </w:r>
    </w:p>
    <w:p w:rsidR="00000000" w:rsidRDefault="00DA50CE">
      <w:pPr>
        <w:pStyle w:val="a3"/>
        <w:spacing w:before="360" w:beforeAutospacing="0" w:after="0" w:afterAutospacing="0"/>
        <w:rPr>
          <w:sz w:val="20"/>
          <w:szCs w:val="20"/>
        </w:rPr>
      </w:pPr>
      <w:r>
        <w:rPr>
          <w:b/>
          <w:bCs/>
          <w:sz w:val="20"/>
          <w:szCs w:val="20"/>
        </w:rPr>
        <w:t>Item 1A.</w:t>
      </w:r>
      <w:r>
        <w:rPr>
          <w:b/>
          <w:bCs/>
          <w:sz w:val="20"/>
          <w:szCs w:val="20"/>
        </w:rPr>
        <w:t xml:space="preserve"> </w:t>
      </w:r>
      <w:r>
        <w:rPr>
          <w:b/>
          <w:bCs/>
          <w:sz w:val="20"/>
          <w:szCs w:val="20"/>
        </w:rPr>
        <w:t>Risk Factors</w:t>
      </w:r>
      <w:r>
        <w:rPr>
          <w:b/>
          <w:bCs/>
          <w:sz w:val="20"/>
          <w:szCs w:val="20"/>
        </w:rPr>
        <w:t>.</w:t>
      </w:r>
    </w:p>
    <w:p w:rsidR="00000000" w:rsidRDefault="00DA50CE">
      <w:pPr>
        <w:pStyle w:val="a3"/>
        <w:spacing w:before="120" w:beforeAutospacing="0" w:after="0" w:afterAutospacing="0"/>
        <w:ind w:firstLine="555"/>
        <w:rPr>
          <w:sz w:val="20"/>
          <w:szCs w:val="20"/>
        </w:rPr>
      </w:pPr>
      <w:r>
        <w:rPr>
          <w:sz w:val="20"/>
          <w:szCs w:val="20"/>
        </w:rPr>
        <w:t>The</w:t>
      </w:r>
      <w:r>
        <w:rPr>
          <w:sz w:val="20"/>
          <w:szCs w:val="20"/>
        </w:rPr>
        <w:t>re have been no material changes to the risk factors set forth in Part I, Item 1A of the 2021 Annual Report</w:t>
      </w:r>
      <w:r>
        <w:rPr>
          <w:sz w:val="20"/>
          <w:szCs w:val="20"/>
        </w:rPr>
        <w:t>.</w:t>
      </w:r>
    </w:p>
    <w:p w:rsidR="00000000" w:rsidRDefault="00DA50CE">
      <w:pPr>
        <w:pStyle w:val="a3"/>
        <w:spacing w:before="360" w:beforeAutospacing="0" w:after="0" w:afterAutospacing="0"/>
        <w:rPr>
          <w:sz w:val="20"/>
          <w:szCs w:val="20"/>
        </w:rPr>
      </w:pPr>
      <w:r>
        <w:rPr>
          <w:b/>
          <w:bCs/>
          <w:sz w:val="20"/>
          <w:szCs w:val="20"/>
        </w:rPr>
        <w:t>Item 2. Unregistered Sales of Equi</w:t>
      </w:r>
      <w:r>
        <w:rPr>
          <w:b/>
          <w:bCs/>
          <w:sz w:val="20"/>
          <w:szCs w:val="20"/>
        </w:rPr>
        <w:t>t</w:t>
      </w:r>
      <w:r>
        <w:rPr>
          <w:b/>
          <w:bCs/>
          <w:sz w:val="20"/>
          <w:szCs w:val="20"/>
        </w:rPr>
        <w:t>y Securities and Use of Proceeds</w:t>
      </w:r>
      <w:r>
        <w:rPr>
          <w:b/>
          <w:bCs/>
          <w:sz w:val="20"/>
          <w:szCs w:val="20"/>
        </w:rPr>
        <w:t>.</w:t>
      </w:r>
    </w:p>
    <w:p w:rsidR="00000000" w:rsidRDefault="00DA50CE">
      <w:pPr>
        <w:pStyle w:val="a3"/>
        <w:spacing w:before="360" w:beforeAutospacing="0" w:after="0" w:afterAutospacing="0"/>
        <w:jc w:val="center"/>
        <w:rPr>
          <w:sz w:val="20"/>
          <w:szCs w:val="20"/>
        </w:rPr>
      </w:pPr>
      <w:r>
        <w:rPr>
          <w:b/>
          <w:bCs/>
          <w:sz w:val="20"/>
          <w:szCs w:val="20"/>
        </w:rPr>
        <w:t>Use of Proceeds from Registered Securitie</w:t>
      </w:r>
      <w:r>
        <w:rPr>
          <w:b/>
          <w:bCs/>
          <w:sz w:val="20"/>
          <w:szCs w:val="20"/>
        </w:rPr>
        <w:t>s</w:t>
      </w:r>
    </w:p>
    <w:p w:rsidR="00000000" w:rsidRDefault="00DA50CE">
      <w:pPr>
        <w:pStyle w:val="a3"/>
        <w:spacing w:before="120" w:beforeAutospacing="0" w:after="0" w:afterAutospacing="0"/>
        <w:ind w:firstLine="555"/>
        <w:rPr>
          <w:sz w:val="20"/>
          <w:szCs w:val="20"/>
        </w:rPr>
      </w:pPr>
      <w:r>
        <w:rPr>
          <w:sz w:val="20"/>
          <w:szCs w:val="20"/>
        </w:rPr>
        <w:t>On October 4, 2016, we completed th</w:t>
      </w:r>
      <w:r>
        <w:rPr>
          <w:sz w:val="20"/>
          <w:szCs w:val="20"/>
        </w:rPr>
        <w:t>e IPO of our common stock, in which we issued and sold an aggregate of 4.8 million shares of common stock (including 630,000 shares issued and sold on October 7, 2016 pursuant to the underwriters’ exercise in full of their option to purchase additional sha</w:t>
      </w:r>
      <w:r>
        <w:rPr>
          <w:sz w:val="20"/>
          <w:szCs w:val="20"/>
        </w:rPr>
        <w:t xml:space="preserve">res) at a public offering price of $9.00 per share. We received net proceeds from the IPO of approximately $36.0 million, after deducting underwriting discounts and commissions and offering expenses paid or payable by us of approximately $4.4 million. The </w:t>
      </w:r>
      <w:r>
        <w:rPr>
          <w:sz w:val="20"/>
          <w:szCs w:val="20"/>
        </w:rPr>
        <w:t>shares issued and sold in the IPO were registered under the Securities Act on a registration statement on Form S-1 (File No. 333-213469), as amended, and the final prospectus dated September 28, 2016 included in such registration statement, or the Prospect</w:t>
      </w:r>
      <w:r>
        <w:rPr>
          <w:sz w:val="20"/>
          <w:szCs w:val="20"/>
        </w:rPr>
        <w:t>us</w:t>
      </w:r>
      <w:r>
        <w:rPr>
          <w:sz w:val="20"/>
          <w:szCs w:val="20"/>
        </w:rPr>
        <w:t>.</w:t>
      </w:r>
    </w:p>
    <w:p w:rsidR="00000000" w:rsidRDefault="00DA50CE">
      <w:pPr>
        <w:pStyle w:val="a3"/>
        <w:spacing w:before="240" w:beforeAutospacing="0" w:after="0" w:afterAutospacing="0"/>
        <w:ind w:firstLine="555"/>
        <w:rPr>
          <w:sz w:val="20"/>
          <w:szCs w:val="20"/>
        </w:rPr>
      </w:pPr>
      <w:r>
        <w:rPr>
          <w:sz w:val="20"/>
          <w:szCs w:val="20"/>
        </w:rPr>
        <w:t>To date, we have used $43.9 million of the net proceeds from sales of our common stock, of which, $4.5 million was used for contributions to FF Gene Biotech prior to the FF Gene Biotech Acquisition and $39.4 million was used to fund the Company’s opera</w:t>
      </w:r>
      <w:r>
        <w:rPr>
          <w:sz w:val="20"/>
          <w:szCs w:val="20"/>
        </w:rPr>
        <w:t>tions. All other net proceeds from sales of our common stock are invested in investment-grade and interest-bearing securities, such as</w:t>
      </w:r>
      <w:r>
        <w:rPr>
          <w:sz w:val="20"/>
          <w:szCs w:val="20"/>
        </w:rPr>
        <w:t xml:space="preserve"> </w:t>
      </w:r>
      <w:r>
        <w:rPr>
          <w:sz w:val="20"/>
          <w:szCs w:val="20"/>
        </w:rPr>
        <w:t>corporate bonds, municipal bonds, and U.S. government and U.S. agency debt securitie</w:t>
      </w:r>
      <w:r>
        <w:rPr>
          <w:sz w:val="20"/>
          <w:szCs w:val="20"/>
        </w:rPr>
        <w:t>s</w:t>
      </w:r>
      <w:r>
        <w:rPr>
          <w:sz w:val="20"/>
          <w:szCs w:val="20"/>
        </w:rPr>
        <w:t xml:space="preserve">. There has been no material change </w:t>
      </w:r>
      <w:r>
        <w:rPr>
          <w:sz w:val="20"/>
          <w:szCs w:val="20"/>
        </w:rPr>
        <w:t>in the planned use of proceeds from the sales of our common stock from that described in the Prospectus</w:t>
      </w:r>
      <w:r>
        <w:rPr>
          <w:sz w:val="20"/>
          <w:szCs w:val="20"/>
        </w:rPr>
        <w:t>.</w:t>
      </w:r>
    </w:p>
    <w:p w:rsidR="00000000" w:rsidRDefault="00DA50CE">
      <w:pPr>
        <w:pStyle w:val="a3"/>
        <w:spacing w:before="240" w:beforeAutospacing="0" w:after="0" w:afterAutospacing="0"/>
        <w:ind w:firstLine="555"/>
        <w:rPr>
          <w:sz w:val="20"/>
          <w:szCs w:val="20"/>
        </w:rPr>
      </w:pPr>
      <w:r>
        <w:rPr>
          <w:sz w:val="20"/>
          <w:szCs w:val="20"/>
        </w:rPr>
        <w:t>On August 30, 2019, we entered into the 2019 Equity Distribution Agreement with Piper as sales agent, which was amended on August 4, 2020. During the y</w:t>
      </w:r>
      <w:r>
        <w:rPr>
          <w:sz w:val="20"/>
          <w:szCs w:val="20"/>
        </w:rPr>
        <w:t>ear ended December 31, 2019, we sold an aggregate of 104,000 shares of our common stock pursuant to the 2019 Equity Distribution Agreement at a weighted-average net selling price of $9.37 per share, which resulted in $979,000 of net proceeds to the Company</w:t>
      </w:r>
      <w:r>
        <w:rPr>
          <w:sz w:val="20"/>
          <w:szCs w:val="20"/>
        </w:rPr>
        <w:t>. During the year ended December 31, 2020, we sold an aggregate of 1.1 million shares of our common stock pursuant to the 2019 Equity Distribution Agreement at a weighted-average net selling price of $38.50 per share, which resulted in $42.7 million of net</w:t>
      </w:r>
      <w:r>
        <w:rPr>
          <w:sz w:val="20"/>
          <w:szCs w:val="20"/>
        </w:rPr>
        <w:t xml:space="preserve"> proceeds to the Company. Shares sold under the Equity Distribution Agreement were offered and sold pursuant to our shelf registration statement on Form S-3 (File No. 333-233227) filed with the SEC on August 12, 2019 and declared effective on August 23, 20</w:t>
      </w:r>
      <w:r>
        <w:rPr>
          <w:sz w:val="20"/>
          <w:szCs w:val="20"/>
        </w:rPr>
        <w:t>19, and prospectus supplements and accompanying base prospectus filed with the SEC on August 30, 2019, May 6, 2020 and August 5, 2020. There has been no material change in the planned use of proceeds as described in the prospectus supplements and accompany</w:t>
      </w:r>
      <w:r>
        <w:rPr>
          <w:sz w:val="20"/>
          <w:szCs w:val="20"/>
        </w:rPr>
        <w:t>ing base prospectus</w:t>
      </w:r>
      <w:r>
        <w:rPr>
          <w:sz w:val="20"/>
          <w:szCs w:val="20"/>
        </w:rPr>
        <w:t>.</w:t>
      </w:r>
    </w:p>
    <w:p w:rsidR="00000000" w:rsidRDefault="00DA50CE">
      <w:pPr>
        <w:pStyle w:val="a3"/>
        <w:spacing w:before="240" w:beforeAutospacing="0" w:after="0" w:afterAutospacing="0"/>
        <w:ind w:firstLine="555"/>
        <w:rPr>
          <w:sz w:val="20"/>
          <w:szCs w:val="20"/>
        </w:rPr>
      </w:pPr>
      <w:r>
        <w:rPr>
          <w:sz w:val="20"/>
          <w:szCs w:val="20"/>
        </w:rPr>
        <w:t>On November 13, 2019, we entered into a purchase agreement with Piper, as representative of the several underwriters, pursuant to which we sold 2.7 million shares of our common stock at a price of $10.52 per share, with a public offeri</w:t>
      </w:r>
      <w:r>
        <w:rPr>
          <w:sz w:val="20"/>
          <w:szCs w:val="20"/>
        </w:rPr>
        <w:t>ng price of $11.25 per share. We received net proceeds of approximately $27.6 million, after deducting underwriting discounts and commissions and offering expenses paid or payable by us of approximately $2.4 million. The shares issued and sold in the under</w:t>
      </w:r>
      <w:r>
        <w:rPr>
          <w:sz w:val="20"/>
          <w:szCs w:val="20"/>
        </w:rPr>
        <w:t>written offering were registered under the Securities Act and sold pursuant to our shelf registration statement on Form S-3 (File No. 333-233227), and a prospectus supplement and accompanying base prospectus filed with the SEC on November 13, 2019. There h</w:t>
      </w:r>
      <w:r>
        <w:rPr>
          <w:sz w:val="20"/>
          <w:szCs w:val="20"/>
        </w:rPr>
        <w:t>as been no material change in the planned use of proceeds as described in the prospectus supplement and accompanying base prospectus</w:t>
      </w:r>
      <w:r>
        <w:rPr>
          <w:sz w:val="20"/>
          <w:szCs w:val="20"/>
        </w:rPr>
        <w:t>.</w:t>
      </w:r>
    </w:p>
    <w:p w:rsidR="00000000" w:rsidRDefault="00DA50CE">
      <w:pPr>
        <w:pStyle w:val="a3"/>
        <w:spacing w:before="240" w:beforeAutospacing="0" w:after="0" w:afterAutospacing="0"/>
        <w:ind w:firstLine="555"/>
        <w:rPr>
          <w:sz w:val="20"/>
          <w:szCs w:val="20"/>
        </w:rPr>
      </w:pPr>
      <w:r>
        <w:rPr>
          <w:sz w:val="20"/>
          <w:szCs w:val="20"/>
        </w:rPr>
        <w:t>On September 25, 2020, we entered into the September 2020 Equity Distribution Agreement, with Piper as sales agent, pursua</w:t>
      </w:r>
      <w:r>
        <w:rPr>
          <w:sz w:val="20"/>
          <w:szCs w:val="20"/>
        </w:rPr>
        <w:t>nt to which we sold 2.8 million shares of our common stock pursuant to the September 2020 Equity Distribution Agreement at a weighted-average net selling price of $42.90 per share during the year ended December 31, 2020, which resulted in $122.1 million of</w:t>
      </w:r>
      <w:r>
        <w:rPr>
          <w:sz w:val="20"/>
          <w:szCs w:val="20"/>
        </w:rPr>
        <w:t xml:space="preserve"> net proceeds to the Company. Piper may receive a commission of up to 3% of the gross proceeds received by the Company for sales pursuant to the September 2020 Equity Distribution Agreement. Shares sold under the September 2020 Equity Distribution Agreemen</w:t>
      </w:r>
      <w:r>
        <w:rPr>
          <w:sz w:val="20"/>
          <w:szCs w:val="20"/>
        </w:rPr>
        <w:t>t were offered and sold pursuant to our registration statement on Form S-3 (File No. 333-239964) filed with the SEC on July 21, 2020, as amended on August 5, 2020, and declared effective on August 12, 2020, and a prospectus supplement and accompanying base</w:t>
      </w:r>
      <w:r>
        <w:rPr>
          <w:sz w:val="20"/>
          <w:szCs w:val="20"/>
        </w:rPr>
        <w:t xml:space="preserve"> prospectus filed with the SEC on September 25, 2020. There has been no material change in the planned use of proceeds as described in the prospectus supplement and accompanying base prospectus</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8</w:t>
      </w:r>
    </w:p>
    <w:p w:rsidR="00000000" w:rsidRDefault="00DA50CE">
      <w:pPr>
        <w:rPr>
          <w:rFonts w:eastAsia="Times New Roman"/>
        </w:rPr>
      </w:pPr>
      <w:r>
        <w:rPr>
          <w:rFonts w:eastAsia="Times New Roman"/>
        </w:rPr>
        <w:pict>
          <v:rect id="_x0000_i1054" style="width:0;height:1.5pt" o:hralign="center" o:hrstd="t" o:hr="t" fillcolor="#a0a0a0" stroked="f"/>
        </w:pict>
      </w:r>
    </w:p>
    <w:p w:rsidR="00000000" w:rsidRDefault="00DA50CE">
      <w:pPr>
        <w:pStyle w:val="a3"/>
        <w:spacing w:before="240" w:beforeAutospacing="0" w:after="0" w:afterAutospacing="0"/>
        <w:ind w:firstLine="555"/>
        <w:rPr>
          <w:sz w:val="20"/>
          <w:szCs w:val="20"/>
        </w:rPr>
      </w:pPr>
      <w:r>
        <w:rPr>
          <w:sz w:val="20"/>
          <w:szCs w:val="20"/>
        </w:rPr>
        <w:t>On November 20, 2020, we entered into the November 2020 Equity Distribution Agreement, with Piper, Oppenheimer &amp; Co. Inc., and BTIG LLC, as sales agents, pursuant to which we may offer and sell, from time to time through Piper, shares of our common stock h</w:t>
      </w:r>
      <w:r>
        <w:rPr>
          <w:sz w:val="20"/>
          <w:szCs w:val="20"/>
        </w:rPr>
        <w:t>aving an aggregate offering price of up to $175.0 million. Piper may receive a commission of up to 3% of the gross proceeds received by the Company for sales pursuant to the November 2020 Equity Distribution Agreement. During the year ended December 31, 20</w:t>
      </w:r>
      <w:r>
        <w:rPr>
          <w:sz w:val="20"/>
          <w:szCs w:val="20"/>
        </w:rPr>
        <w:t>20, the Company sold an aggregate of 2.0 million shares of our common stock pursuant to the November 2020 Equity Distribution Agreement at a weighted-average net selling price of $48.70 per share, which resulted in $99.1 million of net proceeds to the Comp</w:t>
      </w:r>
      <w:r>
        <w:rPr>
          <w:sz w:val="20"/>
          <w:szCs w:val="20"/>
        </w:rPr>
        <w:t>any. During the year ended December 31, 2021, we sold approximately 1.1 million shares of our common stock pursuant to the November 2020 Equity Distribution Agreement at a weighted-average net selling price of $64.83 per share, which resulted in $72.0 mill</w:t>
      </w:r>
      <w:r>
        <w:rPr>
          <w:sz w:val="20"/>
          <w:szCs w:val="20"/>
        </w:rPr>
        <w:t>ion of net proceeds to the Company. Shares sold under the November 2020 Equity Distribution Agreement were offered and sold pursuant to the Company’s registration statement on Form S-3 (File No. 333-239964) filed with the SEC on July 21, 2020, as amended o</w:t>
      </w:r>
      <w:r>
        <w:rPr>
          <w:sz w:val="20"/>
          <w:szCs w:val="20"/>
        </w:rPr>
        <w:t>n August 5, 2020, and declared effective on August 12, 2020, and a prospectus supplement and accompanying base prospectus filed with the SEC on November 20, 2020. There has been no material change in the planned use of proceeds as described in the prospect</w:t>
      </w:r>
      <w:r>
        <w:rPr>
          <w:sz w:val="20"/>
          <w:szCs w:val="20"/>
        </w:rPr>
        <w:t>us supplement and accompanying base prospectus</w:t>
      </w:r>
      <w:r>
        <w:rPr>
          <w:sz w:val="20"/>
          <w:szCs w:val="20"/>
        </w:rPr>
        <w:t>.</w:t>
      </w:r>
    </w:p>
    <w:p w:rsidR="00000000" w:rsidRDefault="00DA50CE">
      <w:pPr>
        <w:pStyle w:val="a3"/>
        <w:spacing w:before="360" w:beforeAutospacing="0" w:after="0" w:afterAutospacing="0"/>
        <w:rPr>
          <w:sz w:val="20"/>
          <w:szCs w:val="20"/>
        </w:rPr>
      </w:pPr>
      <w:r>
        <w:rPr>
          <w:b/>
          <w:bCs/>
          <w:sz w:val="20"/>
          <w:szCs w:val="20"/>
        </w:rPr>
        <w:t>Item 5. Other Informatio</w:t>
      </w:r>
      <w:r>
        <w:rPr>
          <w:b/>
          <w:bCs/>
          <w:sz w:val="20"/>
          <w:szCs w:val="20"/>
        </w:rPr>
        <w:t>n</w:t>
      </w:r>
    </w:p>
    <w:p w:rsidR="00000000" w:rsidRDefault="00DA50CE">
      <w:pPr>
        <w:pStyle w:val="a3"/>
        <w:spacing w:before="120" w:beforeAutospacing="0" w:after="0" w:afterAutospacing="0"/>
        <w:ind w:firstLine="555"/>
        <w:rPr>
          <w:sz w:val="20"/>
          <w:szCs w:val="20"/>
        </w:rPr>
      </w:pPr>
      <w:r>
        <w:rPr>
          <w:sz w:val="20"/>
          <w:szCs w:val="20"/>
        </w:rPr>
        <w:t>On May 3, 2022, the Board appointed Jian Xie, Chief Operating Officer of the Company, as the Company’s President, effective immediately. Mr. Xie will retain his role as Chief Operati</w:t>
      </w:r>
      <w:r>
        <w:rPr>
          <w:sz w:val="20"/>
          <w:szCs w:val="20"/>
        </w:rPr>
        <w:t>ng Officer of the Company. Mr. Hsieh, the Company’s current President, Chief Executive Officer and Chair of the Board, will continue to serve as the Company’s Chief Executive Officer, Chair of the Board and principal executive officer</w:t>
      </w:r>
      <w:r>
        <w:rPr>
          <w:sz w:val="20"/>
          <w:szCs w:val="20"/>
        </w:rPr>
        <w:t>.</w:t>
      </w:r>
    </w:p>
    <w:p w:rsidR="00000000" w:rsidRDefault="00DA50CE">
      <w:pPr>
        <w:pStyle w:val="a3"/>
        <w:spacing w:before="240" w:beforeAutospacing="0" w:after="0" w:afterAutospacing="0"/>
        <w:ind w:firstLine="555"/>
        <w:rPr>
          <w:sz w:val="20"/>
          <w:szCs w:val="20"/>
        </w:rPr>
      </w:pPr>
      <w:r>
        <w:rPr>
          <w:sz w:val="20"/>
          <w:szCs w:val="20"/>
        </w:rPr>
        <w:t>Mr. Xie, a co-founde</w:t>
      </w:r>
      <w:r>
        <w:rPr>
          <w:sz w:val="20"/>
          <w:szCs w:val="20"/>
        </w:rPr>
        <w:t>r of Fulgent Genetics, Inc., has been Company’s Chief Operating Officer since April 2018. Prior to Mr. Xie’s service as our Chief Operating Officer, he served as our Vice President of Bioinformatics, a position he held since our inception. Prior to joining</w:t>
      </w:r>
      <w:r>
        <w:rPr>
          <w:sz w:val="20"/>
          <w:szCs w:val="20"/>
        </w:rPr>
        <w:t xml:space="preserve"> Fulgent, Mr. Xie served as the Senior Vice President of Cogent Inc., a publicly traded biometric identification service and product company from 1996 until 2011. As President and Chief Operating Officer of Fulgent, Mr. Xie is responsible for managing all </w:t>
      </w:r>
      <w:r>
        <w:rPr>
          <w:sz w:val="20"/>
          <w:szCs w:val="20"/>
        </w:rPr>
        <w:t>global operations, product vision and product engineering. He is focused on unifying all departments to maximize efficiency, drive sustainable growth and inspire continuous innovation. He received his B.A. in Engineering from Chongqing University in 1987 a</w:t>
      </w:r>
      <w:r>
        <w:rPr>
          <w:sz w:val="20"/>
          <w:szCs w:val="20"/>
        </w:rPr>
        <w:t>nd has both an M.S. in Industrial Engineering and an M.S. in Computer Science from the University of New South Wales in 1992</w:t>
      </w:r>
      <w:r>
        <w:rPr>
          <w:sz w:val="20"/>
          <w:szCs w:val="20"/>
        </w:rPr>
        <w:t>.</w:t>
      </w:r>
      <w:r>
        <w:rPr>
          <w:sz w:val="20"/>
          <w:szCs w:val="20"/>
        </w:rPr>
        <w:t xml:space="preserve"> </w:t>
      </w:r>
    </w:p>
    <w:p w:rsidR="00000000" w:rsidRDefault="00DA50CE">
      <w:pPr>
        <w:pStyle w:val="a3"/>
        <w:spacing w:before="240" w:beforeAutospacing="0" w:after="0" w:afterAutospacing="0"/>
        <w:ind w:firstLine="555"/>
        <w:rPr>
          <w:sz w:val="20"/>
          <w:szCs w:val="20"/>
        </w:rPr>
      </w:pPr>
      <w:r>
        <w:rPr>
          <w:sz w:val="20"/>
          <w:szCs w:val="20"/>
        </w:rPr>
        <w:t>Mr. Xie is not a party to any arrangement or understanding with any person pursuant to which he was appointed as President and is</w:t>
      </w:r>
      <w:r>
        <w:rPr>
          <w:sz w:val="20"/>
          <w:szCs w:val="20"/>
        </w:rPr>
        <w:t xml:space="preserve"> not party to any material plan, contract, or arrangement with the Company other than those related to his compensation as described in the Company’s Proxy Statement on Schedule 14A as filed with the U.S. Securities and Exchange Commission on March 29, 202</w:t>
      </w:r>
      <w:r>
        <w:rPr>
          <w:sz w:val="20"/>
          <w:szCs w:val="20"/>
        </w:rPr>
        <w:t xml:space="preserve">2 (and such description is incorporated herein by reference). Mr. Xie is also not a party to any transaction required to be disclosed under Item 404(a) of Regulation S-K involving the Company. With the exception of Mr. Xie’s familial relationship with Mr. </w:t>
      </w:r>
      <w:r>
        <w:rPr>
          <w:sz w:val="20"/>
          <w:szCs w:val="20"/>
        </w:rPr>
        <w:t>Hsieh (Mr. Xie is Mr. Hsieh’s brother), there are no family relationships between Mr. Xie and any of the Company’s other directors or executive officers</w:t>
      </w:r>
      <w:r>
        <w:rPr>
          <w:sz w:val="20"/>
          <w:szCs w:val="20"/>
        </w:rPr>
        <w:t>.</w:t>
      </w:r>
    </w:p>
    <w:p w:rsidR="00000000" w:rsidRDefault="00DA50CE">
      <w:pPr>
        <w:pStyle w:val="a3"/>
        <w:spacing w:before="360" w:beforeAutospacing="0" w:after="0" w:afterAutospacing="0"/>
        <w:rPr>
          <w:sz w:val="20"/>
          <w:szCs w:val="20"/>
        </w:rPr>
      </w:pPr>
      <w:r>
        <w:rPr>
          <w:b/>
          <w:bCs/>
          <w:sz w:val="20"/>
          <w:szCs w:val="20"/>
        </w:rPr>
        <w:t>Item 6. E</w:t>
      </w:r>
      <w:r>
        <w:rPr>
          <w:b/>
          <w:bCs/>
          <w:sz w:val="20"/>
          <w:szCs w:val="20"/>
        </w:rPr>
        <w:t>x</w:t>
      </w:r>
      <w:r>
        <w:rPr>
          <w:b/>
          <w:bCs/>
          <w:sz w:val="20"/>
          <w:szCs w:val="20"/>
        </w:rPr>
        <w:t>hibits</w:t>
      </w:r>
      <w:r>
        <w:rPr>
          <w:b/>
          <w:bCs/>
          <w:sz w:val="20"/>
          <w:szCs w:val="20"/>
        </w:rPr>
        <w:t>.</w:t>
      </w:r>
    </w:p>
    <w:p w:rsidR="00000000" w:rsidRDefault="00DA50CE">
      <w:pPr>
        <w:pStyle w:val="a3"/>
        <w:spacing w:before="120" w:beforeAutospacing="0" w:after="0" w:afterAutospacing="0"/>
        <w:ind w:firstLine="555"/>
        <w:rPr>
          <w:sz w:val="20"/>
          <w:szCs w:val="20"/>
        </w:rPr>
      </w:pPr>
      <w:r>
        <w:rPr>
          <w:sz w:val="20"/>
          <w:szCs w:val="20"/>
        </w:rPr>
        <w:t>The information required by this Item 6 is set forth on the Exhibit Index that immed</w:t>
      </w:r>
      <w:r>
        <w:rPr>
          <w:sz w:val="20"/>
          <w:szCs w:val="20"/>
        </w:rPr>
        <w:t>iately precedes the signature page to this report and is incorporated herein by reference</w:t>
      </w:r>
      <w:r>
        <w:rPr>
          <w:sz w:val="20"/>
          <w:szCs w:val="20"/>
        </w:rPr>
        <w:t>.</w:t>
      </w:r>
    </w:p>
    <w:p w:rsidR="00000000" w:rsidRDefault="00DA50CE">
      <w:pPr>
        <w:pStyle w:val="a3"/>
        <w:spacing w:before="240" w:beforeAutospacing="0" w:after="0" w:afterAutospacing="0"/>
        <w:jc w:val="center"/>
        <w:rPr>
          <w:sz w:val="20"/>
          <w:szCs w:val="20"/>
        </w:rPr>
      </w:pPr>
      <w:r>
        <w:rPr>
          <w:sz w:val="20"/>
          <w:szCs w:val="20"/>
        </w:rPr>
        <w:t>2</w:t>
      </w:r>
      <w:r>
        <w:rPr>
          <w:sz w:val="20"/>
          <w:szCs w:val="20"/>
        </w:rPr>
        <w:t>9</w:t>
      </w:r>
    </w:p>
    <w:p w:rsidR="00000000" w:rsidRDefault="00DA50CE">
      <w:pPr>
        <w:rPr>
          <w:rFonts w:eastAsia="Times New Roman"/>
        </w:rPr>
      </w:pPr>
      <w:r>
        <w:rPr>
          <w:rFonts w:eastAsia="Times New Roman"/>
        </w:rPr>
        <w:pict>
          <v:rect id="_x0000_i1055"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EXHIB</w:t>
      </w:r>
      <w:r>
        <w:rPr>
          <w:b/>
          <w:bCs/>
          <w:sz w:val="20"/>
          <w:szCs w:val="20"/>
        </w:rPr>
        <w:t>I</w:t>
      </w:r>
      <w:r>
        <w:rPr>
          <w:b/>
          <w:bCs/>
          <w:sz w:val="20"/>
          <w:szCs w:val="20"/>
        </w:rPr>
        <w:t>T INDE</w:t>
      </w:r>
      <w:r>
        <w:rPr>
          <w:b/>
          <w:bCs/>
          <w:sz w:val="20"/>
          <w:szCs w:val="20"/>
        </w:rPr>
        <w:t>X</w:t>
      </w:r>
    </w:p>
    <w:p w:rsidR="00000000" w:rsidRDefault="00DA50C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5"/>
        <w:gridCol w:w="4349"/>
        <w:gridCol w:w="864"/>
        <w:gridCol w:w="671"/>
        <w:gridCol w:w="145"/>
        <w:gridCol w:w="723"/>
        <w:gridCol w:w="145"/>
        <w:gridCol w:w="724"/>
      </w:tblGrid>
      <w:tr w:rsidR="00000000">
        <w:trPr>
          <w:tblCellSpacing w:w="15" w:type="dxa"/>
        </w:trPr>
        <w:tc>
          <w:tcPr>
            <w:tcW w:w="412" w:type="pct"/>
            <w:vAlign w:val="center"/>
            <w:hideMark/>
          </w:tcPr>
          <w:p w:rsidR="00000000" w:rsidRDefault="00DA50CE">
            <w:pPr>
              <w:rPr>
                <w:sz w:val="20"/>
                <w:szCs w:val="20"/>
              </w:rPr>
            </w:pPr>
          </w:p>
        </w:tc>
        <w:tc>
          <w:tcPr>
            <w:tcW w:w="2700" w:type="pct"/>
            <w:vAlign w:val="center"/>
            <w:hideMark/>
          </w:tcPr>
          <w:p w:rsidR="00000000" w:rsidRDefault="00DA50CE">
            <w:pPr>
              <w:rPr>
                <w:rFonts w:eastAsia="Times New Roman"/>
                <w:sz w:val="20"/>
                <w:szCs w:val="20"/>
              </w:rPr>
            </w:pPr>
          </w:p>
        </w:tc>
        <w:tc>
          <w:tcPr>
            <w:tcW w:w="532" w:type="pct"/>
            <w:vAlign w:val="center"/>
            <w:hideMark/>
          </w:tcPr>
          <w:p w:rsidR="00000000" w:rsidRDefault="00DA50CE">
            <w:pPr>
              <w:rPr>
                <w:rFonts w:eastAsia="Times New Roman"/>
                <w:sz w:val="20"/>
                <w:szCs w:val="20"/>
              </w:rPr>
            </w:pPr>
          </w:p>
        </w:tc>
        <w:tc>
          <w:tcPr>
            <w:tcW w:w="412" w:type="pct"/>
            <w:vAlign w:val="center"/>
            <w:hideMark/>
          </w:tcPr>
          <w:p w:rsidR="00000000" w:rsidRDefault="00DA50CE">
            <w:pPr>
              <w:rPr>
                <w:rFonts w:eastAsia="Times New Roman"/>
                <w:sz w:val="20"/>
                <w:szCs w:val="20"/>
              </w:rPr>
            </w:pPr>
          </w:p>
        </w:tc>
        <w:tc>
          <w:tcPr>
            <w:tcW w:w="56" w:type="pct"/>
            <w:vAlign w:val="center"/>
            <w:hideMark/>
          </w:tcPr>
          <w:p w:rsidR="00000000" w:rsidRDefault="00DA50CE">
            <w:pPr>
              <w:rPr>
                <w:rFonts w:eastAsia="Times New Roman"/>
                <w:sz w:val="20"/>
                <w:szCs w:val="20"/>
              </w:rPr>
            </w:pPr>
          </w:p>
        </w:tc>
        <w:tc>
          <w:tcPr>
            <w:tcW w:w="444" w:type="pct"/>
            <w:vAlign w:val="center"/>
            <w:hideMark/>
          </w:tcPr>
          <w:p w:rsidR="00000000" w:rsidRDefault="00DA50CE">
            <w:pPr>
              <w:rPr>
                <w:rFonts w:eastAsia="Times New Roman"/>
                <w:sz w:val="20"/>
                <w:szCs w:val="20"/>
              </w:rPr>
            </w:pPr>
          </w:p>
        </w:tc>
        <w:tc>
          <w:tcPr>
            <w:tcW w:w="56" w:type="pct"/>
            <w:vAlign w:val="center"/>
            <w:hideMark/>
          </w:tcPr>
          <w:p w:rsidR="00000000" w:rsidRDefault="00DA50CE">
            <w:pPr>
              <w:rPr>
                <w:rFonts w:eastAsia="Times New Roman"/>
                <w:sz w:val="20"/>
                <w:szCs w:val="20"/>
              </w:rPr>
            </w:pPr>
          </w:p>
        </w:tc>
        <w:tc>
          <w:tcPr>
            <w:tcW w:w="386" w:type="pct"/>
            <w:vAlign w:val="center"/>
            <w:hideMark/>
          </w:tcPr>
          <w:p w:rsidR="00000000" w:rsidRDefault="00DA50CE">
            <w:pPr>
              <w:rPr>
                <w:rFonts w:eastAsia="Times New Roman"/>
                <w:sz w:val="20"/>
                <w:szCs w:val="20"/>
              </w:rPr>
            </w:pPr>
          </w:p>
        </w:tc>
      </w:tr>
      <w:tr w:rsidR="00000000">
        <w:trPr>
          <w:trHeight w:val="160"/>
          <w:tblCellSpacing w:w="15" w:type="dxa"/>
        </w:trPr>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jc w:val="center"/>
              <w:rPr>
                <w:sz w:val="16"/>
                <w:szCs w:val="16"/>
              </w:rPr>
            </w:pPr>
            <w:r>
              <w:rPr>
                <w:sz w:val="16"/>
                <w:szCs w:val="16"/>
              </w:rPr>
              <w:t> </w:t>
            </w:r>
          </w:p>
        </w:tc>
        <w:tc>
          <w:tcPr>
            <w:tcW w:w="0" w:type="auto"/>
            <w:gridSpan w:val="5"/>
            <w:hideMark/>
          </w:tcPr>
          <w:p w:rsidR="00000000" w:rsidRDefault="00DA50CE">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r>
      <w:tr w:rsidR="00000000">
        <w:trPr>
          <w:trHeight w:val="160"/>
          <w:tblCellSpacing w:w="15" w:type="dxa"/>
        </w:trPr>
        <w:tc>
          <w:tcPr>
            <w:tcW w:w="0" w:type="auto"/>
            <w:hideMark/>
          </w:tcPr>
          <w:p w:rsidR="00000000" w:rsidRDefault="00DA50CE">
            <w:pPr>
              <w:pStyle w:val="a3"/>
              <w:spacing w:before="0" w:beforeAutospacing="0" w:after="0" w:afterAutospacing="0"/>
              <w:jc w:val="center"/>
              <w:rPr>
                <w:sz w:val="16"/>
                <w:szCs w:val="16"/>
              </w:rPr>
            </w:pPr>
            <w:r>
              <w:rPr>
                <w:b/>
                <w:bCs/>
                <w:sz w:val="16"/>
                <w:szCs w:val="16"/>
              </w:rPr>
              <w:t>Exhibit No</w:t>
            </w:r>
            <w:r>
              <w:rPr>
                <w:b/>
                <w:bCs/>
                <w:sz w:val="16"/>
                <w:szCs w:val="16"/>
              </w:rPr>
              <w:t>.</w:t>
            </w:r>
          </w:p>
        </w:tc>
        <w:tc>
          <w:tcPr>
            <w:tcW w:w="0" w:type="auto"/>
            <w:tcMar>
              <w:top w:w="15" w:type="dxa"/>
              <w:left w:w="60" w:type="dxa"/>
              <w:bottom w:w="15" w:type="dxa"/>
              <w:right w:w="40" w:type="dxa"/>
            </w:tcMar>
            <w:hideMark/>
          </w:tcPr>
          <w:p w:rsidR="00000000" w:rsidRDefault="00DA50CE">
            <w:pPr>
              <w:pStyle w:val="a3"/>
              <w:spacing w:before="0" w:beforeAutospacing="0" w:after="0" w:afterAutospacing="0"/>
              <w:jc w:val="center"/>
              <w:rPr>
                <w:sz w:val="16"/>
                <w:szCs w:val="16"/>
              </w:rPr>
            </w:pPr>
            <w:r>
              <w:rPr>
                <w:b/>
                <w:bCs/>
                <w:sz w:val="16"/>
                <w:szCs w:val="16"/>
              </w:rPr>
              <w:t>Exhibit Titl</w:t>
            </w:r>
            <w:r>
              <w:rPr>
                <w:b/>
                <w:bCs/>
                <w:sz w:val="16"/>
                <w:szCs w:val="16"/>
              </w:rPr>
              <w:t>e</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jc w:val="center"/>
              <w:rPr>
                <w:sz w:val="16"/>
                <w:szCs w:val="16"/>
              </w:rPr>
            </w:pPr>
            <w:r>
              <w:rPr>
                <w:b/>
                <w:bCs/>
                <w:sz w:val="16"/>
                <w:szCs w:val="16"/>
              </w:rPr>
              <w:t>Filed with this Form 10-</w:t>
            </w:r>
            <w:r>
              <w:rPr>
                <w:b/>
                <w:bCs/>
                <w:sz w:val="16"/>
                <w:szCs w:val="16"/>
              </w:rPr>
              <w:t>Q</w:t>
            </w:r>
          </w:p>
        </w:tc>
        <w:tc>
          <w:tcPr>
            <w:tcW w:w="0" w:type="auto"/>
            <w:hideMark/>
          </w:tcPr>
          <w:p w:rsidR="00000000" w:rsidRDefault="00DA50CE">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b/>
                <w:bCs/>
                <w:sz w:val="16"/>
                <w:szCs w:val="16"/>
              </w:rPr>
              <w:t>Form No</w:t>
            </w:r>
            <w:r>
              <w:rPr>
                <w:b/>
                <w:bCs/>
                <w:sz w:val="16"/>
                <w:szCs w:val="16"/>
              </w:rPr>
              <w:t>.</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b/>
                <w:bCs/>
                <w:sz w:val="16"/>
                <w:szCs w:val="16"/>
              </w:rPr>
              <w:t>Date File</w:t>
            </w:r>
            <w:r>
              <w:rPr>
                <w:b/>
                <w:bCs/>
                <w:sz w:val="16"/>
                <w:szCs w:val="16"/>
              </w:rPr>
              <w:t>d</w:t>
            </w:r>
          </w:p>
        </w:tc>
      </w:tr>
      <w:tr w:rsidR="00000000">
        <w:trPr>
          <w:tblCellSpacing w:w="15" w:type="dxa"/>
        </w:trPr>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w:t>
            </w:r>
            <w:r>
              <w:rPr>
                <w:sz w:val="16"/>
                <w:szCs w:val="16"/>
              </w:rPr>
              <w:t>1</w:t>
            </w:r>
          </w:p>
        </w:tc>
        <w:tc>
          <w:tcPr>
            <w:tcW w:w="0" w:type="auto"/>
            <w:hideMark/>
          </w:tcPr>
          <w:p w:rsidR="00000000" w:rsidRDefault="00DA50CE">
            <w:pPr>
              <w:pStyle w:val="a3"/>
              <w:spacing w:before="0" w:beforeAutospacing="0" w:after="0" w:afterAutospacing="0"/>
              <w:rPr>
                <w:sz w:val="16"/>
                <w:szCs w:val="16"/>
              </w:rPr>
            </w:pPr>
            <w:hyperlink r:id="rId4" w:history="1">
              <w:r>
                <w:rPr>
                  <w:rStyle w:val="a4"/>
                  <w:sz w:val="16"/>
                  <w:szCs w:val="16"/>
                </w:rPr>
                <w:t>Certificate of Incorporation of the registrant, dated May 13, 2016</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3.1.</w:t>
            </w:r>
            <w:r>
              <w:rPr>
                <w:sz w:val="16"/>
                <w:szCs w:val="16"/>
              </w:rPr>
              <w:t>1</w:t>
            </w:r>
          </w:p>
        </w:tc>
        <w:tc>
          <w:tcPr>
            <w:tcW w:w="0" w:type="auto"/>
            <w:hideMark/>
          </w:tcPr>
          <w:p w:rsidR="00000000" w:rsidRDefault="00DA50CE">
            <w:pPr>
              <w:pStyle w:val="a3"/>
              <w:spacing w:before="0" w:beforeAutospacing="0" w:after="0" w:afterAutospacing="0"/>
              <w:rPr>
                <w:sz w:val="16"/>
                <w:szCs w:val="16"/>
              </w:rPr>
            </w:pPr>
            <w:hyperlink r:id="rId5" w:history="1">
              <w:r>
                <w:rPr>
                  <w:rStyle w:val="a4"/>
                  <w:sz w:val="16"/>
                  <w:szCs w:val="16"/>
                </w:rPr>
                <w:t>Certificate of Amendment to Certificate of Incorporation of the registrant, dated August 2, 2016</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3.1.</w:t>
            </w:r>
            <w:r>
              <w:rPr>
                <w:sz w:val="16"/>
                <w:szCs w:val="16"/>
              </w:rPr>
              <w:t>2</w:t>
            </w:r>
          </w:p>
        </w:tc>
        <w:tc>
          <w:tcPr>
            <w:tcW w:w="0" w:type="auto"/>
            <w:hideMark/>
          </w:tcPr>
          <w:p w:rsidR="00000000" w:rsidRDefault="00DA50CE">
            <w:pPr>
              <w:pStyle w:val="a3"/>
              <w:spacing w:before="0" w:beforeAutospacing="0" w:after="0" w:afterAutospacing="0"/>
              <w:rPr>
                <w:sz w:val="16"/>
                <w:szCs w:val="16"/>
              </w:rPr>
            </w:pPr>
            <w:hyperlink r:id="rId6" w:history="1">
              <w:r>
                <w:rPr>
                  <w:rStyle w:val="a4"/>
                  <w:sz w:val="16"/>
                  <w:szCs w:val="16"/>
                </w:rPr>
                <w:t>Certificate of Amendment to Certificate of Incorporation of the registrant, dated May 17, 2017</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w:t>
            </w:r>
            <w:r>
              <w:rPr>
                <w:sz w:val="16"/>
                <w:szCs w:val="16"/>
              </w:rPr>
              <w:t>2</w:t>
            </w:r>
          </w:p>
        </w:tc>
        <w:tc>
          <w:tcPr>
            <w:tcW w:w="0" w:type="auto"/>
            <w:hideMark/>
          </w:tcPr>
          <w:p w:rsidR="00000000" w:rsidRDefault="00DA50CE">
            <w:pPr>
              <w:pStyle w:val="a3"/>
              <w:spacing w:before="0" w:beforeAutospacing="0" w:after="0" w:afterAutospacing="0"/>
              <w:rPr>
                <w:sz w:val="16"/>
                <w:szCs w:val="16"/>
              </w:rPr>
            </w:pPr>
            <w:hyperlink r:id="rId7" w:history="1">
              <w:r>
                <w:rPr>
                  <w:rStyle w:val="a4"/>
                  <w:sz w:val="16"/>
                  <w:szCs w:val="16"/>
                </w:rPr>
                <w:t>Bylaws of the registrant</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S-1/</w:t>
            </w:r>
            <w:r>
              <w:rPr>
                <w:sz w:val="16"/>
                <w:szCs w:val="16"/>
              </w:rPr>
              <w:t>A</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333-21346</w:t>
            </w:r>
            <w:r>
              <w:rPr>
                <w:sz w:val="16"/>
                <w:szCs w:val="16"/>
              </w:rPr>
              <w:t>9</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9/26/201</w:t>
            </w:r>
            <w:r>
              <w:rPr>
                <w:sz w:val="16"/>
                <w:szCs w:val="16"/>
              </w:rPr>
              <w:t>6</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w:t>
            </w:r>
            <w:r>
              <w:rPr>
                <w:sz w:val="16"/>
                <w:szCs w:val="16"/>
              </w:rPr>
              <w:t>^</w:t>
            </w:r>
          </w:p>
        </w:tc>
        <w:tc>
          <w:tcPr>
            <w:tcW w:w="0" w:type="auto"/>
            <w:hideMark/>
          </w:tcPr>
          <w:p w:rsidR="00000000" w:rsidRDefault="00DA50CE">
            <w:pPr>
              <w:pStyle w:val="a3"/>
              <w:spacing w:before="0" w:beforeAutospacing="0" w:after="0" w:afterAutospacing="0"/>
              <w:rPr>
                <w:sz w:val="16"/>
                <w:szCs w:val="16"/>
              </w:rPr>
            </w:pPr>
            <w:hyperlink r:id="rId8" w:history="1">
              <w:r>
                <w:rPr>
                  <w:rStyle w:val="a4"/>
                  <w:sz w:val="16"/>
                  <w:szCs w:val="16"/>
                </w:rPr>
                <w:t>Fulgent Genetics, Inc. Incentive Compensation Recoupment Polic</w:t>
              </w:r>
              <w:r>
                <w:rPr>
                  <w:rStyle w:val="a4"/>
                  <w:sz w:val="16"/>
                  <w:szCs w:val="16"/>
                </w:rPr>
                <w:t>y</w:t>
              </w:r>
            </w:hyperlink>
            <w:r>
              <w:rPr>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3/29/202</w:t>
            </w:r>
            <w:r>
              <w:rPr>
                <w:sz w:val="16"/>
                <w:szCs w:val="16"/>
              </w:rPr>
              <w:t>2</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w:t>
            </w:r>
            <w:r>
              <w:rPr>
                <w:sz w:val="16"/>
                <w:szCs w:val="16"/>
              </w:rPr>
              <w:t>2</w:t>
            </w:r>
          </w:p>
        </w:tc>
        <w:tc>
          <w:tcPr>
            <w:tcW w:w="0" w:type="auto"/>
            <w:hideMark/>
          </w:tcPr>
          <w:p w:rsidR="00000000" w:rsidRDefault="00DA50CE">
            <w:pPr>
              <w:pStyle w:val="a3"/>
              <w:spacing w:before="0" w:beforeAutospacing="0" w:after="0" w:afterAutospacing="0"/>
              <w:rPr>
                <w:sz w:val="16"/>
                <w:szCs w:val="16"/>
              </w:rPr>
            </w:pPr>
            <w:hyperlink r:id="rId9" w:history="1">
              <w:r>
                <w:rPr>
                  <w:rStyle w:val="a4"/>
                  <w:sz w:val="16"/>
                  <w:szCs w:val="16"/>
                </w:rPr>
                <w:t>Agreement and Plan of Merger by and among Fulgent Therapeutics LLC, solely for purpose of Section 6.20, Fulgent Genetics, Inc., Ducks Acquisition Sub, Inc., Symphony Buyer, Inc., solely in its capacity as the representative of Symphony’s securityholders, A</w:t>
              </w:r>
              <w:r>
                <w:rPr>
                  <w:rStyle w:val="a4"/>
                  <w:sz w:val="16"/>
                  <w:szCs w:val="16"/>
                </w:rPr>
                <w:t>vista Capital Partners IV GP, L.P. and solely for purposes of Section 6.21, Article VIII and Section 10.14, those company stockholders set forth on the signature page thereto, dated as of April 16, 202</w:t>
              </w:r>
              <w:r>
                <w:rPr>
                  <w:rStyle w:val="a4"/>
                  <w:sz w:val="16"/>
                  <w:szCs w:val="16"/>
                </w:rPr>
                <w:t>2</w:t>
              </w:r>
            </w:hyperlink>
            <w:r>
              <w:rPr>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4/26/202</w:t>
            </w:r>
            <w:r>
              <w:rPr>
                <w:sz w:val="16"/>
                <w:szCs w:val="16"/>
              </w:rPr>
              <w:t>2</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31.</w:t>
            </w:r>
            <w:r>
              <w:rPr>
                <w:sz w:val="16"/>
                <w:szCs w:val="16"/>
              </w:rPr>
              <w:t>1</w:t>
            </w:r>
          </w:p>
        </w:tc>
        <w:tc>
          <w:tcPr>
            <w:tcW w:w="0" w:type="auto"/>
            <w:hideMark/>
          </w:tcPr>
          <w:p w:rsidR="00000000" w:rsidRDefault="00DA50CE">
            <w:pPr>
              <w:pStyle w:val="a3"/>
              <w:spacing w:before="0" w:beforeAutospacing="0" w:after="0" w:afterAutospacing="0"/>
              <w:rPr>
                <w:sz w:val="16"/>
                <w:szCs w:val="16"/>
              </w:rPr>
            </w:pPr>
            <w:hyperlink r:id="rId10" w:history="1">
              <w:r>
                <w:rPr>
                  <w:rStyle w:val="a4"/>
                  <w:sz w:val="16"/>
                  <w:szCs w:val="16"/>
                </w:rPr>
                <w:t>Certification of Principal Executive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31.</w:t>
            </w:r>
            <w:r>
              <w:rPr>
                <w:sz w:val="16"/>
                <w:szCs w:val="16"/>
              </w:rPr>
              <w:t>2</w:t>
            </w:r>
          </w:p>
        </w:tc>
        <w:tc>
          <w:tcPr>
            <w:tcW w:w="0" w:type="auto"/>
            <w:hideMark/>
          </w:tcPr>
          <w:p w:rsidR="00000000" w:rsidRDefault="00DA50CE">
            <w:pPr>
              <w:pStyle w:val="a3"/>
              <w:spacing w:before="0" w:beforeAutospacing="0" w:after="0" w:afterAutospacing="0"/>
              <w:rPr>
                <w:sz w:val="16"/>
                <w:szCs w:val="16"/>
              </w:rPr>
            </w:pPr>
            <w:hyperlink r:id="rId11" w:history="1">
              <w:r>
                <w:rPr>
                  <w:rStyle w:val="a4"/>
                  <w:sz w:val="16"/>
                  <w:szCs w:val="16"/>
                </w:rPr>
                <w:t>Certification of Principal Financial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32.1</w:t>
            </w:r>
            <w:r>
              <w:rPr>
                <w:sz w:val="16"/>
                <w:szCs w:val="16"/>
              </w:rPr>
              <w:t>*</w:t>
            </w:r>
          </w:p>
        </w:tc>
        <w:tc>
          <w:tcPr>
            <w:tcW w:w="0" w:type="auto"/>
            <w:hideMark/>
          </w:tcPr>
          <w:p w:rsidR="00000000" w:rsidRDefault="00DA50CE">
            <w:pPr>
              <w:pStyle w:val="a3"/>
              <w:spacing w:before="0" w:beforeAutospacing="0" w:after="0" w:afterAutospacing="0"/>
              <w:rPr>
                <w:sz w:val="16"/>
                <w:szCs w:val="16"/>
              </w:rPr>
            </w:pPr>
            <w:hyperlink r:id="rId12" w:history="1">
              <w:r>
                <w:rPr>
                  <w:rStyle w:val="a4"/>
                  <w:sz w:val="16"/>
                  <w:szCs w:val="16"/>
                </w:rPr>
                <w:t>Certification of Principal Executive Officer and Principal Financial Officer pursuant to 18 U.S.C. Section 1350, as adopted pursuant to Section 906 of the Sarbanes-Oxley Act of 2002</w:t>
              </w:r>
              <w:r>
                <w:rPr>
                  <w:rStyle w:val="a4"/>
                  <w:sz w:val="16"/>
                  <w:szCs w:val="16"/>
                </w:rPr>
                <w:t>.</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99.</w:t>
            </w:r>
            <w:r>
              <w:rPr>
                <w:sz w:val="16"/>
                <w:szCs w:val="16"/>
              </w:rPr>
              <w:t>1</w:t>
            </w:r>
          </w:p>
        </w:tc>
        <w:tc>
          <w:tcPr>
            <w:tcW w:w="0" w:type="auto"/>
            <w:hideMark/>
          </w:tcPr>
          <w:p w:rsidR="00000000" w:rsidRDefault="00DA50CE">
            <w:pPr>
              <w:pStyle w:val="a3"/>
              <w:spacing w:before="0" w:beforeAutospacing="0" w:after="0" w:afterAutospacing="0"/>
              <w:rPr>
                <w:sz w:val="16"/>
                <w:szCs w:val="16"/>
              </w:rPr>
            </w:pPr>
            <w:hyperlink r:id="rId13" w:history="1">
              <w:r>
                <w:rPr>
                  <w:rStyle w:val="a4"/>
                  <w:sz w:val="16"/>
                  <w:szCs w:val="16"/>
                </w:rPr>
                <w:t>Press Release Announcing Appointment Jian Xi</w:t>
              </w:r>
              <w:r>
                <w:rPr>
                  <w:rStyle w:val="a4"/>
                  <w:sz w:val="16"/>
                  <w:szCs w:val="16"/>
                </w:rPr>
                <w:t>e</w:t>
              </w:r>
            </w:hyperlink>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101.IN</w:t>
            </w:r>
            <w:r>
              <w:rPr>
                <w:sz w:val="16"/>
                <w:szCs w:val="16"/>
              </w:rPr>
              <w:t>S</w:t>
            </w:r>
          </w:p>
        </w:tc>
        <w:tc>
          <w:tcPr>
            <w:tcW w:w="0" w:type="auto"/>
            <w:hideMark/>
          </w:tcPr>
          <w:p w:rsidR="00000000" w:rsidRDefault="00DA50CE">
            <w:pPr>
              <w:pStyle w:val="a3"/>
              <w:spacing w:before="0" w:beforeAutospacing="0" w:after="0" w:afterAutospacing="0"/>
              <w:rPr>
                <w:sz w:val="16"/>
                <w:szCs w:val="16"/>
              </w:rPr>
            </w:pPr>
            <w:r>
              <w:rPr>
                <w:sz w:val="16"/>
                <w:szCs w:val="16"/>
              </w:rPr>
              <w:t xml:space="preserve">Inline XBRL Instance Document – </w:t>
            </w:r>
            <w:r>
              <w:rPr>
                <w:sz w:val="16"/>
                <w:szCs w:val="16"/>
              </w:rPr>
              <w:t>the instance document does not appear in the Interactive Data File because XBRL tags are embedded within the Inline XBRL document</w:t>
            </w:r>
            <w:r>
              <w:rPr>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101.SC</w:t>
            </w:r>
            <w:r>
              <w:rPr>
                <w:sz w:val="16"/>
                <w:szCs w:val="16"/>
              </w:rPr>
              <w:t>H</w:t>
            </w:r>
          </w:p>
        </w:tc>
        <w:tc>
          <w:tcPr>
            <w:tcW w:w="0" w:type="auto"/>
            <w:hideMark/>
          </w:tcPr>
          <w:p w:rsidR="00000000" w:rsidRDefault="00DA50CE">
            <w:pPr>
              <w:pStyle w:val="a3"/>
              <w:spacing w:before="0" w:beforeAutospacing="0" w:after="0" w:afterAutospacing="0"/>
              <w:rPr>
                <w:sz w:val="16"/>
                <w:szCs w:val="16"/>
              </w:rPr>
            </w:pPr>
            <w:r>
              <w:rPr>
                <w:sz w:val="16"/>
                <w:szCs w:val="16"/>
              </w:rPr>
              <w:t>Inline XBRL Taxonomy Extension Schema Documen</w:t>
            </w:r>
            <w:r>
              <w:rPr>
                <w:sz w:val="16"/>
                <w:szCs w:val="16"/>
              </w:rPr>
              <w:t>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101.CA</w:t>
            </w:r>
            <w:r>
              <w:rPr>
                <w:sz w:val="16"/>
                <w:szCs w:val="16"/>
              </w:rPr>
              <w:t>L</w:t>
            </w:r>
          </w:p>
        </w:tc>
        <w:tc>
          <w:tcPr>
            <w:tcW w:w="0" w:type="auto"/>
            <w:hideMark/>
          </w:tcPr>
          <w:p w:rsidR="00000000" w:rsidRDefault="00DA50CE">
            <w:pPr>
              <w:pStyle w:val="a3"/>
              <w:spacing w:before="0" w:beforeAutospacing="0" w:after="0" w:afterAutospacing="0"/>
              <w:rPr>
                <w:sz w:val="16"/>
                <w:szCs w:val="16"/>
              </w:rPr>
            </w:pPr>
            <w:r>
              <w:rPr>
                <w:sz w:val="16"/>
                <w:szCs w:val="16"/>
              </w:rPr>
              <w:t>Inline XBRL Taxonomy Extension Calculation Linkbase Documen</w:t>
            </w:r>
            <w:r>
              <w:rPr>
                <w:sz w:val="16"/>
                <w:szCs w:val="16"/>
              </w:rPr>
              <w:t>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101.DE</w:t>
            </w:r>
            <w:r>
              <w:rPr>
                <w:sz w:val="16"/>
                <w:szCs w:val="16"/>
              </w:rPr>
              <w:t>F</w:t>
            </w:r>
          </w:p>
        </w:tc>
        <w:tc>
          <w:tcPr>
            <w:tcW w:w="0" w:type="auto"/>
            <w:hideMark/>
          </w:tcPr>
          <w:p w:rsidR="00000000" w:rsidRDefault="00DA50CE">
            <w:pPr>
              <w:pStyle w:val="a3"/>
              <w:spacing w:before="0" w:beforeAutospacing="0" w:after="0" w:afterAutospacing="0"/>
              <w:rPr>
                <w:sz w:val="16"/>
                <w:szCs w:val="16"/>
              </w:rPr>
            </w:pPr>
            <w:r>
              <w:rPr>
                <w:sz w:val="16"/>
                <w:szCs w:val="16"/>
              </w:rPr>
              <w:t>Inline XBRL Taxonomy Extension Definition Linkbase Documen</w:t>
            </w:r>
            <w:r>
              <w:rPr>
                <w:sz w:val="16"/>
                <w:szCs w:val="16"/>
              </w:rPr>
              <w:t>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101.LA</w:t>
            </w:r>
            <w:r>
              <w:rPr>
                <w:sz w:val="16"/>
                <w:szCs w:val="16"/>
              </w:rPr>
              <w:t>B</w:t>
            </w:r>
          </w:p>
        </w:tc>
        <w:tc>
          <w:tcPr>
            <w:tcW w:w="0" w:type="auto"/>
            <w:hideMark/>
          </w:tcPr>
          <w:p w:rsidR="00000000" w:rsidRDefault="00DA50CE">
            <w:pPr>
              <w:pStyle w:val="a3"/>
              <w:spacing w:before="0" w:beforeAutospacing="0" w:after="0" w:afterAutospacing="0"/>
              <w:rPr>
                <w:sz w:val="16"/>
                <w:szCs w:val="16"/>
              </w:rPr>
            </w:pPr>
            <w:r>
              <w:rPr>
                <w:sz w:val="16"/>
                <w:szCs w:val="16"/>
              </w:rPr>
              <w:t>Inline XBRL Taxonomy Extension Label Linkbase Documen</w:t>
            </w:r>
            <w:r>
              <w:rPr>
                <w:sz w:val="16"/>
                <w:szCs w:val="16"/>
              </w:rPr>
              <w:t>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101.PR</w:t>
            </w:r>
            <w:r>
              <w:rPr>
                <w:sz w:val="16"/>
                <w:szCs w:val="16"/>
              </w:rPr>
              <w:t>E</w:t>
            </w:r>
          </w:p>
        </w:tc>
        <w:tc>
          <w:tcPr>
            <w:tcW w:w="0" w:type="auto"/>
            <w:hideMark/>
          </w:tcPr>
          <w:p w:rsidR="00000000" w:rsidRDefault="00DA50CE">
            <w:pPr>
              <w:pStyle w:val="a3"/>
              <w:spacing w:before="0" w:beforeAutospacing="0" w:after="0" w:afterAutospacing="0"/>
              <w:rPr>
                <w:sz w:val="16"/>
                <w:szCs w:val="16"/>
              </w:rPr>
            </w:pPr>
            <w:r>
              <w:rPr>
                <w:sz w:val="16"/>
                <w:szCs w:val="16"/>
              </w:rPr>
              <w:t>Inline XBRL Taxonomy Extension Presentation Linkbase Documen</w:t>
            </w:r>
            <w:r>
              <w:rPr>
                <w:sz w:val="16"/>
                <w:szCs w:val="16"/>
              </w:rPr>
              <w:t>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2"/>
                <w:szCs w:val="12"/>
              </w:rPr>
            </w:pPr>
            <w:r>
              <w:rPr>
                <w:sz w:val="12"/>
                <w:szCs w:val="12"/>
              </w:rPr>
              <w:t> </w:t>
            </w:r>
          </w:p>
        </w:tc>
        <w:tc>
          <w:tcPr>
            <w:tcW w:w="0" w:type="auto"/>
            <w:hideMark/>
          </w:tcPr>
          <w:p w:rsidR="00000000" w:rsidRDefault="00DA50C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DA50CE">
            <w:pPr>
              <w:pStyle w:val="a3"/>
              <w:spacing w:before="0" w:beforeAutospacing="0" w:after="0" w:afterAutospacing="0"/>
              <w:rPr>
                <w:sz w:val="16"/>
                <w:szCs w:val="16"/>
              </w:rPr>
            </w:pPr>
            <w:r>
              <w:rPr>
                <w:sz w:val="16"/>
                <w:szCs w:val="16"/>
              </w:rPr>
              <w:t>10</w:t>
            </w:r>
            <w:r>
              <w:rPr>
                <w:sz w:val="16"/>
                <w:szCs w:val="16"/>
              </w:rPr>
              <w:t>4</w:t>
            </w:r>
          </w:p>
        </w:tc>
        <w:tc>
          <w:tcPr>
            <w:tcW w:w="0" w:type="auto"/>
            <w:hideMark/>
          </w:tcPr>
          <w:p w:rsidR="00000000" w:rsidRDefault="00DA50CE">
            <w:pPr>
              <w:pStyle w:val="a3"/>
              <w:spacing w:before="0" w:beforeAutospacing="0" w:after="0" w:afterAutospacing="0"/>
              <w:rPr>
                <w:sz w:val="16"/>
                <w:szCs w:val="16"/>
              </w:rPr>
            </w:pPr>
            <w:r>
              <w:rPr>
                <w:sz w:val="16"/>
                <w:szCs w:val="16"/>
              </w:rPr>
              <w:t>Cover Page Interactive Data File (embedded within the Inline XBRL document</w:t>
            </w:r>
            <w:r>
              <w:rPr>
                <w:sz w:val="16"/>
                <w:szCs w:val="16"/>
              </w:rPr>
              <w:t>)</w:t>
            </w:r>
          </w:p>
        </w:tc>
        <w:tc>
          <w:tcPr>
            <w:tcW w:w="0" w:type="auto"/>
            <w:hideMark/>
          </w:tcPr>
          <w:p w:rsidR="00000000" w:rsidRDefault="00DA50CE">
            <w:pPr>
              <w:pStyle w:val="a3"/>
              <w:spacing w:before="0" w:beforeAutospacing="0" w:after="0" w:afterAutospacing="0"/>
              <w:jc w:val="center"/>
              <w:rPr>
                <w:sz w:val="16"/>
                <w:szCs w:val="16"/>
              </w:rPr>
            </w:pPr>
            <w:r>
              <w:rPr>
                <w:sz w:val="16"/>
                <w:szCs w:val="16"/>
              </w:rPr>
              <w:t>X</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DA50CE">
            <w:pPr>
              <w:pStyle w:val="a3"/>
              <w:spacing w:before="0" w:beforeAutospacing="0" w:after="0" w:afterAutospacing="0"/>
              <w:rPr>
                <w:sz w:val="16"/>
                <w:szCs w:val="16"/>
              </w:rPr>
            </w:pPr>
            <w:r>
              <w:rPr>
                <w:sz w:val="16"/>
                <w:szCs w:val="16"/>
              </w:rPr>
              <w:t> </w:t>
            </w:r>
          </w:p>
        </w:tc>
        <w:tc>
          <w:tcPr>
            <w:tcW w:w="0" w:type="auto"/>
            <w:hideMark/>
          </w:tcPr>
          <w:p w:rsidR="00000000" w:rsidRDefault="00DA50CE">
            <w:pPr>
              <w:pStyle w:val="a3"/>
              <w:spacing w:before="0" w:beforeAutospacing="0" w:after="0" w:afterAutospacing="0"/>
              <w:jc w:val="center"/>
              <w:rPr>
                <w:sz w:val="16"/>
                <w:szCs w:val="16"/>
              </w:rPr>
            </w:pPr>
            <w:r>
              <w:rPr>
                <w:sz w:val="16"/>
                <w:szCs w:val="16"/>
              </w:rPr>
              <w:t> </w:t>
            </w:r>
          </w:p>
        </w:tc>
      </w:tr>
    </w:tbl>
    <w:p w:rsidR="00000000" w:rsidRDefault="00DA50CE">
      <w:pPr>
        <w:pStyle w:val="a3"/>
        <w:pBdr>
          <w:bottom w:val="single" w:sz="4" w:space="1" w:color="auto"/>
        </w:pBdr>
        <w:spacing w:before="0" w:beforeAutospacing="0" w:after="0" w:afterAutospacing="0"/>
        <w:ind w:right="9881"/>
        <w:rPr>
          <w:sz w:val="20"/>
          <w:szCs w:val="20"/>
        </w:rPr>
      </w:pPr>
      <w:r>
        <w:rPr>
          <w:sz w:val="16"/>
          <w:szCs w:val="16"/>
        </w:rPr>
        <w:t> </w:t>
      </w:r>
    </w:p>
    <w:p w:rsidR="00000000" w:rsidRDefault="00DA50CE">
      <w:pPr>
        <w:pStyle w:val="a3"/>
        <w:spacing w:before="40" w:beforeAutospacing="0" w:after="0" w:afterAutospacing="0"/>
        <w:ind w:hanging="422"/>
        <w:rPr>
          <w:sz w:val="20"/>
          <w:szCs w:val="20"/>
        </w:rPr>
      </w:pPr>
      <w:r>
        <w:rPr>
          <w:sz w:val="16"/>
          <w:szCs w:val="16"/>
        </w:rPr>
        <w:t>* Furnished herewith</w:t>
      </w:r>
      <w:r>
        <w:rPr>
          <w:sz w:val="16"/>
          <w:szCs w:val="16"/>
        </w:rPr>
        <w:t>.</w:t>
      </w:r>
      <w:r>
        <w:rPr>
          <w:sz w:val="16"/>
          <w:szCs w:val="16"/>
        </w:rPr>
        <w:t xml:space="preserve"> </w:t>
      </w:r>
    </w:p>
    <w:p w:rsidR="00000000" w:rsidRDefault="00DA50CE">
      <w:pPr>
        <w:pStyle w:val="a3"/>
        <w:spacing w:before="40" w:beforeAutospacing="0" w:after="0" w:afterAutospacing="0"/>
        <w:ind w:hanging="422"/>
        <w:rPr>
          <w:sz w:val="20"/>
          <w:szCs w:val="20"/>
        </w:rPr>
      </w:pPr>
      <w:r>
        <w:rPr>
          <w:sz w:val="16"/>
          <w:szCs w:val="16"/>
        </w:rPr>
        <w:t xml:space="preserve">^ </w:t>
      </w:r>
      <w:r>
        <w:rPr>
          <w:sz w:val="16"/>
          <w:szCs w:val="16"/>
        </w:rPr>
        <w:t>Management compensation plan or arrangement</w:t>
      </w:r>
      <w:r>
        <w:rPr>
          <w:sz w:val="16"/>
          <w:szCs w:val="16"/>
        </w:rPr>
        <w:t>.</w:t>
      </w:r>
      <w:r>
        <w:rPr>
          <w:sz w:val="16"/>
          <w:szCs w:val="16"/>
        </w:rPr>
        <w:t xml:space="preserve"> </w:t>
      </w:r>
    </w:p>
    <w:p w:rsidR="00000000" w:rsidRDefault="00DA50CE">
      <w:pPr>
        <w:pStyle w:val="a3"/>
        <w:spacing w:before="40" w:beforeAutospacing="0" w:after="0" w:afterAutospacing="0"/>
        <w:ind w:hanging="422"/>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3</w:t>
      </w:r>
      <w:r>
        <w:rPr>
          <w:sz w:val="20"/>
          <w:szCs w:val="20"/>
        </w:rPr>
        <w:t>0</w:t>
      </w:r>
    </w:p>
    <w:p w:rsidR="00000000" w:rsidRDefault="00DA50CE">
      <w:pPr>
        <w:rPr>
          <w:rFonts w:eastAsia="Times New Roman"/>
        </w:rPr>
      </w:pPr>
      <w:r>
        <w:rPr>
          <w:rFonts w:eastAsia="Times New Roman"/>
        </w:rPr>
        <w:pict>
          <v:rect id="_x0000_i1056" style="width:0;height:1.5pt" o:hralign="center" o:hrstd="t" o:hr="t" fillcolor="#a0a0a0" stroked="f"/>
        </w:pict>
      </w:r>
    </w:p>
    <w:p w:rsidR="00000000" w:rsidRDefault="00DA50CE">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DA50CE">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DA50C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2"/>
        <w:gridCol w:w="109"/>
        <w:gridCol w:w="348"/>
        <w:gridCol w:w="3017"/>
      </w:tblGrid>
      <w:tr w:rsidR="00000000">
        <w:trPr>
          <w:tblCellSpacing w:w="15" w:type="dxa"/>
        </w:trPr>
        <w:tc>
          <w:tcPr>
            <w:tcW w:w="2950" w:type="pct"/>
            <w:vAlign w:val="center"/>
            <w:hideMark/>
          </w:tcPr>
          <w:p w:rsidR="00000000" w:rsidRDefault="00DA50CE">
            <w:pPr>
              <w:rPr>
                <w:sz w:val="20"/>
                <w:szCs w:val="20"/>
              </w:rPr>
            </w:pPr>
          </w:p>
        </w:tc>
        <w:tc>
          <w:tcPr>
            <w:tcW w:w="50" w:type="pct"/>
            <w:vAlign w:val="center"/>
            <w:hideMark/>
          </w:tcPr>
          <w:p w:rsidR="00000000" w:rsidRDefault="00DA50CE">
            <w:pPr>
              <w:rPr>
                <w:rFonts w:eastAsia="Times New Roman"/>
                <w:sz w:val="20"/>
                <w:szCs w:val="20"/>
              </w:rPr>
            </w:pPr>
          </w:p>
        </w:tc>
        <w:tc>
          <w:tcPr>
            <w:tcW w:w="150" w:type="pct"/>
            <w:vAlign w:val="center"/>
            <w:hideMark/>
          </w:tcPr>
          <w:p w:rsidR="00000000" w:rsidRDefault="00DA50CE">
            <w:pPr>
              <w:rPr>
                <w:rFonts w:eastAsia="Times New Roman"/>
                <w:sz w:val="20"/>
                <w:szCs w:val="20"/>
              </w:rPr>
            </w:pPr>
          </w:p>
        </w:tc>
        <w:tc>
          <w:tcPr>
            <w:tcW w:w="1850" w:type="pct"/>
            <w:vAlign w:val="center"/>
            <w:hideMark/>
          </w:tcPr>
          <w:p w:rsidR="00000000" w:rsidRDefault="00DA50CE">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b/>
                <w:bCs/>
                <w:sz w:val="20"/>
                <w:szCs w:val="20"/>
              </w:rPr>
              <w:t> FULGENT GENETICS,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Date: May 5, 202</w:t>
            </w:r>
            <w:r>
              <w:rPr>
                <w:sz w:val="20"/>
                <w:szCs w:val="20"/>
              </w:rPr>
              <w:t>2</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Ming Hsie</w:t>
            </w:r>
            <w:r>
              <w:rPr>
                <w:smallCaps/>
                <w:sz w:val="20"/>
                <w:szCs w:val="20"/>
              </w:rPr>
              <w:t>h</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Ming Hsie</w:t>
            </w:r>
            <w:r>
              <w:rPr>
                <w:sz w:val="20"/>
                <w:szCs w:val="20"/>
              </w:rPr>
              <w:t>h</w:t>
            </w:r>
          </w:p>
        </w:tc>
      </w:tr>
      <w:tr w:rsidR="00000000">
        <w:trPr>
          <w:trHeight w:val="346"/>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Chief Executive Office</w:t>
            </w:r>
            <w:r>
              <w:rPr>
                <w:sz w:val="20"/>
                <w:szCs w:val="20"/>
              </w:rPr>
              <w:t>r</w:t>
            </w:r>
          </w:p>
          <w:p w:rsidR="00000000" w:rsidRDefault="00DA50CE">
            <w:pPr>
              <w:pStyle w:val="a3"/>
              <w:spacing w:before="0" w:beforeAutospacing="0" w:after="0" w:afterAutospacing="0"/>
              <w:jc w:val="center"/>
              <w:rPr>
                <w:sz w:val="20"/>
                <w:szCs w:val="20"/>
              </w:rPr>
            </w:pPr>
            <w:r>
              <w:rPr>
                <w:i/>
                <w:iCs/>
                <w:sz w:val="20"/>
                <w:szCs w:val="20"/>
              </w:rPr>
              <w:t>(principal executive officer</w:t>
            </w:r>
            <w:r>
              <w:rPr>
                <w:i/>
                <w:i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Date: May 5, 202</w:t>
            </w:r>
            <w:r>
              <w:rPr>
                <w:sz w:val="20"/>
                <w:szCs w:val="20"/>
              </w:rPr>
              <w:t>2</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Paul Ki</w:t>
            </w:r>
            <w:r>
              <w:rPr>
                <w:smallCaps/>
                <w:sz w:val="20"/>
                <w:szCs w:val="20"/>
              </w:rPr>
              <w:t>m</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Paul Ki</w:t>
            </w:r>
            <w:r>
              <w:rPr>
                <w:sz w:val="20"/>
                <w:szCs w:val="20"/>
              </w:rPr>
              <w:t>m</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DA50CE">
            <w:pPr>
              <w:pStyle w:val="a3"/>
              <w:spacing w:before="0" w:beforeAutospacing="0" w:after="0" w:afterAutospacing="0"/>
              <w:jc w:val="center"/>
              <w:rPr>
                <w:sz w:val="20"/>
                <w:szCs w:val="20"/>
              </w:rPr>
            </w:pPr>
            <w:r>
              <w:rPr>
                <w:sz w:val="20"/>
                <w:szCs w:val="20"/>
              </w:rPr>
              <w:t>Chief Financial Office</w:t>
            </w:r>
            <w:r>
              <w:rPr>
                <w:sz w:val="20"/>
                <w:szCs w:val="20"/>
              </w:rPr>
              <w:t>r</w:t>
            </w:r>
          </w:p>
          <w:p w:rsidR="00000000" w:rsidRDefault="00DA50CE">
            <w:pPr>
              <w:pStyle w:val="a3"/>
              <w:spacing w:before="0" w:beforeAutospacing="0" w:after="0" w:afterAutospacing="0"/>
              <w:jc w:val="center"/>
              <w:rPr>
                <w:sz w:val="20"/>
                <w:szCs w:val="20"/>
              </w:rPr>
            </w:pPr>
            <w:r>
              <w:rPr>
                <w:i/>
                <w:iCs/>
                <w:sz w:val="20"/>
                <w:szCs w:val="20"/>
              </w:rPr>
              <w:t>(principal financial and accounting officer</w:t>
            </w:r>
            <w:r>
              <w:rPr>
                <w:i/>
                <w:iCs/>
                <w:sz w:val="20"/>
                <w:szCs w:val="20"/>
              </w:rPr>
              <w:t>)</w:t>
            </w:r>
          </w:p>
        </w:tc>
      </w:tr>
    </w:tbl>
    <w:p w:rsidR="00000000" w:rsidRDefault="00DA50CE">
      <w:pPr>
        <w:pStyle w:val="a3"/>
        <w:spacing w:before="0" w:beforeAutospacing="0" w:after="0" w:afterAutospacing="0"/>
        <w:rPr>
          <w:sz w:val="20"/>
          <w:szCs w:val="20"/>
        </w:rPr>
      </w:pPr>
      <w:r>
        <w:rPr>
          <w:sz w:val="20"/>
          <w:szCs w:val="20"/>
        </w:rPr>
        <w:t> </w:t>
      </w:r>
    </w:p>
    <w:p w:rsidR="00000000" w:rsidRDefault="00DA50CE">
      <w:pPr>
        <w:pStyle w:val="a3"/>
        <w:spacing w:before="240" w:beforeAutospacing="0" w:after="0" w:afterAutospacing="0"/>
        <w:jc w:val="center"/>
        <w:rPr>
          <w:sz w:val="20"/>
          <w:szCs w:val="20"/>
        </w:rPr>
      </w:pPr>
      <w:r>
        <w:rPr>
          <w:sz w:val="20"/>
          <w:szCs w:val="20"/>
        </w:rPr>
        <w:t>3</w:t>
      </w:r>
      <w:r>
        <w:rPr>
          <w:sz w:val="20"/>
          <w:szCs w:val="20"/>
        </w:rPr>
        <w:t>1</w:t>
      </w:r>
    </w:p>
    <w:p w:rsidR="00DA50CE" w:rsidRDefault="00DA50CE">
      <w:pPr>
        <w:rPr>
          <w:rFonts w:eastAsia="Times New Roman"/>
        </w:rPr>
      </w:pPr>
      <w:r>
        <w:rPr>
          <w:rFonts w:eastAsia="Times New Roman"/>
        </w:rPr>
        <w:pict>
          <v:rect id="_x0000_i1057" style="width:0;height:1.5pt" o:hralign="center" o:hrstd="t" o:hr="t" fillcolor="#a0a0a0" stroked="f"/>
        </w:pict>
      </w:r>
    </w:p>
    <w:sectPr w:rsidR="00DA50C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50CE"/>
    <w:rsid w:val="00DA50C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xbrl.org/2020/extensible-enumerations-2.0"/>
  <w:attachedSchema w:val="http://www.xbrl.org/dtr/type/2020-01-21"/>
  <w:attachedSchema w:val="http://xbrl.sec.gov/country/2021"/>
  <w:attachedSchema w:val="http://fulgentdiagnostics.com/2022033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759">
      <w:marLeft w:val="0"/>
      <w:marRight w:val="0"/>
      <w:marTop w:val="0"/>
      <w:marBottom w:val="0"/>
      <w:divBdr>
        <w:top w:val="none" w:sz="0" w:space="0" w:color="auto"/>
        <w:left w:val="none" w:sz="0" w:space="0" w:color="auto"/>
        <w:bottom w:val="none" w:sz="0" w:space="0" w:color="auto"/>
        <w:right w:val="none" w:sz="0" w:space="0" w:color="auto"/>
      </w:divBdr>
    </w:div>
    <w:div w:id="98256373">
      <w:marLeft w:val="0"/>
      <w:marRight w:val="0"/>
      <w:marTop w:val="0"/>
      <w:marBottom w:val="0"/>
      <w:divBdr>
        <w:top w:val="none" w:sz="0" w:space="0" w:color="auto"/>
        <w:left w:val="none" w:sz="0" w:space="0" w:color="auto"/>
        <w:bottom w:val="none" w:sz="0" w:space="0" w:color="auto"/>
        <w:right w:val="none" w:sz="0" w:space="0" w:color="auto"/>
      </w:divBdr>
      <w:divsChild>
        <w:div w:id="2126074592">
          <w:marLeft w:val="0"/>
          <w:marRight w:val="0"/>
          <w:marTop w:val="0"/>
          <w:marBottom w:val="0"/>
          <w:divBdr>
            <w:top w:val="none" w:sz="0" w:space="0" w:color="auto"/>
            <w:left w:val="none" w:sz="0" w:space="0" w:color="auto"/>
            <w:bottom w:val="none" w:sz="0" w:space="0" w:color="auto"/>
            <w:right w:val="none" w:sz="0" w:space="0" w:color="auto"/>
          </w:divBdr>
        </w:div>
      </w:divsChild>
    </w:div>
    <w:div w:id="360863717">
      <w:marLeft w:val="0"/>
      <w:marRight w:val="0"/>
      <w:marTop w:val="0"/>
      <w:marBottom w:val="0"/>
      <w:divBdr>
        <w:top w:val="none" w:sz="0" w:space="0" w:color="auto"/>
        <w:left w:val="none" w:sz="0" w:space="0" w:color="auto"/>
        <w:bottom w:val="none" w:sz="0" w:space="0" w:color="auto"/>
        <w:right w:val="none" w:sz="0" w:space="0" w:color="auto"/>
      </w:divBdr>
    </w:div>
    <w:div w:id="667366854">
      <w:marLeft w:val="0"/>
      <w:marRight w:val="0"/>
      <w:marTop w:val="0"/>
      <w:marBottom w:val="0"/>
      <w:divBdr>
        <w:top w:val="none" w:sz="0" w:space="0" w:color="auto"/>
        <w:left w:val="none" w:sz="0" w:space="0" w:color="auto"/>
        <w:bottom w:val="none" w:sz="0" w:space="0" w:color="auto"/>
        <w:right w:val="none" w:sz="0" w:space="0" w:color="auto"/>
      </w:divBdr>
      <w:divsChild>
        <w:div w:id="1275866207">
          <w:marLeft w:val="0"/>
          <w:marRight w:val="0"/>
          <w:marTop w:val="0"/>
          <w:marBottom w:val="0"/>
          <w:divBdr>
            <w:top w:val="none" w:sz="0" w:space="0" w:color="auto"/>
            <w:left w:val="none" w:sz="0" w:space="0" w:color="auto"/>
            <w:bottom w:val="none" w:sz="0" w:space="0" w:color="auto"/>
            <w:right w:val="none" w:sz="0" w:space="0" w:color="auto"/>
          </w:divBdr>
        </w:div>
        <w:div w:id="308900120">
          <w:marLeft w:val="0"/>
          <w:marRight w:val="0"/>
          <w:marTop w:val="0"/>
          <w:marBottom w:val="0"/>
          <w:divBdr>
            <w:top w:val="none" w:sz="0" w:space="0" w:color="auto"/>
            <w:left w:val="none" w:sz="0" w:space="0" w:color="auto"/>
            <w:bottom w:val="none" w:sz="0" w:space="0" w:color="auto"/>
            <w:right w:val="none" w:sz="0" w:space="0" w:color="auto"/>
          </w:divBdr>
        </w:div>
        <w:div w:id="355039374">
          <w:marLeft w:val="0"/>
          <w:marRight w:val="0"/>
          <w:marTop w:val="0"/>
          <w:marBottom w:val="0"/>
          <w:divBdr>
            <w:top w:val="none" w:sz="0" w:space="0" w:color="auto"/>
            <w:left w:val="none" w:sz="0" w:space="0" w:color="auto"/>
            <w:bottom w:val="none" w:sz="0" w:space="0" w:color="auto"/>
            <w:right w:val="none" w:sz="0" w:space="0" w:color="auto"/>
          </w:divBdr>
        </w:div>
        <w:div w:id="842353247">
          <w:marLeft w:val="0"/>
          <w:marRight w:val="0"/>
          <w:marTop w:val="0"/>
          <w:marBottom w:val="0"/>
          <w:divBdr>
            <w:top w:val="none" w:sz="0" w:space="0" w:color="auto"/>
            <w:left w:val="none" w:sz="0" w:space="0" w:color="auto"/>
            <w:bottom w:val="none" w:sz="0" w:space="0" w:color="auto"/>
            <w:right w:val="none" w:sz="0" w:space="0" w:color="auto"/>
          </w:divBdr>
        </w:div>
        <w:div w:id="2136606199">
          <w:marLeft w:val="0"/>
          <w:marRight w:val="0"/>
          <w:marTop w:val="0"/>
          <w:marBottom w:val="0"/>
          <w:divBdr>
            <w:top w:val="none" w:sz="0" w:space="0" w:color="auto"/>
            <w:left w:val="none" w:sz="0" w:space="0" w:color="auto"/>
            <w:bottom w:val="none" w:sz="0" w:space="0" w:color="auto"/>
            <w:right w:val="none" w:sz="0" w:space="0" w:color="auto"/>
          </w:divBdr>
        </w:div>
        <w:div w:id="475099985">
          <w:marLeft w:val="0"/>
          <w:marRight w:val="0"/>
          <w:marTop w:val="0"/>
          <w:marBottom w:val="0"/>
          <w:divBdr>
            <w:top w:val="none" w:sz="0" w:space="0" w:color="auto"/>
            <w:left w:val="none" w:sz="0" w:space="0" w:color="auto"/>
            <w:bottom w:val="none" w:sz="0" w:space="0" w:color="auto"/>
            <w:right w:val="none" w:sz="0" w:space="0" w:color="auto"/>
          </w:divBdr>
        </w:div>
      </w:divsChild>
    </w:div>
    <w:div w:id="739013747">
      <w:marLeft w:val="0"/>
      <w:marRight w:val="0"/>
      <w:marTop w:val="0"/>
      <w:marBottom w:val="0"/>
      <w:divBdr>
        <w:top w:val="none" w:sz="0" w:space="0" w:color="auto"/>
        <w:left w:val="none" w:sz="0" w:space="0" w:color="auto"/>
        <w:bottom w:val="none" w:sz="0" w:space="0" w:color="auto"/>
        <w:right w:val="none" w:sz="0" w:space="0" w:color="auto"/>
      </w:divBdr>
      <w:divsChild>
        <w:div w:id="68963334">
          <w:marLeft w:val="0"/>
          <w:marRight w:val="0"/>
          <w:marTop w:val="0"/>
          <w:marBottom w:val="0"/>
          <w:divBdr>
            <w:top w:val="none" w:sz="0" w:space="0" w:color="auto"/>
            <w:left w:val="none" w:sz="0" w:space="0" w:color="auto"/>
            <w:bottom w:val="none" w:sz="0" w:space="0" w:color="auto"/>
            <w:right w:val="none" w:sz="0" w:space="0" w:color="auto"/>
          </w:divBdr>
        </w:div>
      </w:divsChild>
    </w:div>
    <w:div w:id="813522533">
      <w:marLeft w:val="0"/>
      <w:marRight w:val="0"/>
      <w:marTop w:val="0"/>
      <w:marBottom w:val="0"/>
      <w:divBdr>
        <w:top w:val="none" w:sz="0" w:space="0" w:color="auto"/>
        <w:left w:val="none" w:sz="0" w:space="0" w:color="auto"/>
        <w:bottom w:val="none" w:sz="0" w:space="0" w:color="auto"/>
        <w:right w:val="none" w:sz="0" w:space="0" w:color="auto"/>
      </w:divBdr>
      <w:divsChild>
        <w:div w:id="505248738">
          <w:marLeft w:val="0"/>
          <w:marRight w:val="0"/>
          <w:marTop w:val="0"/>
          <w:marBottom w:val="0"/>
          <w:divBdr>
            <w:top w:val="none" w:sz="0" w:space="0" w:color="auto"/>
            <w:left w:val="none" w:sz="0" w:space="0" w:color="auto"/>
            <w:bottom w:val="none" w:sz="0" w:space="0" w:color="auto"/>
            <w:right w:val="none" w:sz="0" w:space="0" w:color="auto"/>
          </w:divBdr>
        </w:div>
      </w:divsChild>
    </w:div>
    <w:div w:id="1053120880">
      <w:marLeft w:val="0"/>
      <w:marRight w:val="0"/>
      <w:marTop w:val="0"/>
      <w:marBottom w:val="0"/>
      <w:divBdr>
        <w:top w:val="none" w:sz="0" w:space="0" w:color="auto"/>
        <w:left w:val="none" w:sz="0" w:space="0" w:color="auto"/>
        <w:bottom w:val="none" w:sz="0" w:space="0" w:color="auto"/>
        <w:right w:val="none" w:sz="0" w:space="0" w:color="auto"/>
      </w:divBdr>
    </w:div>
    <w:div w:id="1099179618">
      <w:marLeft w:val="0"/>
      <w:marRight w:val="0"/>
      <w:marTop w:val="0"/>
      <w:marBottom w:val="0"/>
      <w:divBdr>
        <w:top w:val="none" w:sz="0" w:space="0" w:color="auto"/>
        <w:left w:val="none" w:sz="0" w:space="0" w:color="auto"/>
        <w:bottom w:val="none" w:sz="0" w:space="0" w:color="auto"/>
        <w:right w:val="none" w:sz="0" w:space="0" w:color="auto"/>
      </w:divBdr>
      <w:divsChild>
        <w:div w:id="1126198065">
          <w:marLeft w:val="0"/>
          <w:marRight w:val="0"/>
          <w:marTop w:val="0"/>
          <w:marBottom w:val="0"/>
          <w:divBdr>
            <w:top w:val="none" w:sz="0" w:space="0" w:color="auto"/>
            <w:left w:val="none" w:sz="0" w:space="0" w:color="auto"/>
            <w:bottom w:val="none" w:sz="0" w:space="0" w:color="auto"/>
            <w:right w:val="none" w:sz="0" w:space="0" w:color="auto"/>
          </w:divBdr>
        </w:div>
        <w:div w:id="1105466481">
          <w:marLeft w:val="0"/>
          <w:marRight w:val="0"/>
          <w:marTop w:val="0"/>
          <w:marBottom w:val="0"/>
          <w:divBdr>
            <w:top w:val="none" w:sz="0" w:space="0" w:color="auto"/>
            <w:left w:val="none" w:sz="0" w:space="0" w:color="auto"/>
            <w:bottom w:val="none" w:sz="0" w:space="0" w:color="auto"/>
            <w:right w:val="none" w:sz="0" w:space="0" w:color="auto"/>
          </w:divBdr>
        </w:div>
      </w:divsChild>
    </w:div>
    <w:div w:id="1247768909">
      <w:marLeft w:val="0"/>
      <w:marRight w:val="0"/>
      <w:marTop w:val="0"/>
      <w:marBottom w:val="0"/>
      <w:divBdr>
        <w:top w:val="none" w:sz="0" w:space="0" w:color="auto"/>
        <w:left w:val="none" w:sz="0" w:space="0" w:color="auto"/>
        <w:bottom w:val="none" w:sz="0" w:space="0" w:color="auto"/>
        <w:right w:val="none" w:sz="0" w:space="0" w:color="auto"/>
      </w:divBdr>
      <w:divsChild>
        <w:div w:id="1465080256">
          <w:marLeft w:val="0"/>
          <w:marRight w:val="0"/>
          <w:marTop w:val="0"/>
          <w:marBottom w:val="0"/>
          <w:divBdr>
            <w:top w:val="none" w:sz="0" w:space="0" w:color="auto"/>
            <w:left w:val="none" w:sz="0" w:space="0" w:color="auto"/>
            <w:bottom w:val="none" w:sz="0" w:space="0" w:color="auto"/>
            <w:right w:val="none" w:sz="0" w:space="0" w:color="auto"/>
          </w:divBdr>
        </w:div>
      </w:divsChild>
    </w:div>
    <w:div w:id="1331909756">
      <w:marLeft w:val="0"/>
      <w:marRight w:val="0"/>
      <w:marTop w:val="0"/>
      <w:marBottom w:val="0"/>
      <w:divBdr>
        <w:top w:val="none" w:sz="0" w:space="0" w:color="auto"/>
        <w:left w:val="none" w:sz="0" w:space="0" w:color="auto"/>
        <w:bottom w:val="none" w:sz="0" w:space="0" w:color="auto"/>
        <w:right w:val="none" w:sz="0" w:space="0" w:color="auto"/>
      </w:divBdr>
      <w:divsChild>
        <w:div w:id="804202133">
          <w:marLeft w:val="0"/>
          <w:marRight w:val="0"/>
          <w:marTop w:val="0"/>
          <w:marBottom w:val="0"/>
          <w:divBdr>
            <w:top w:val="none" w:sz="0" w:space="0" w:color="auto"/>
            <w:left w:val="none" w:sz="0" w:space="0" w:color="auto"/>
            <w:bottom w:val="none" w:sz="0" w:space="0" w:color="auto"/>
            <w:right w:val="none" w:sz="0" w:space="0" w:color="auto"/>
          </w:divBdr>
        </w:div>
        <w:div w:id="981929488">
          <w:marLeft w:val="0"/>
          <w:marRight w:val="0"/>
          <w:marTop w:val="0"/>
          <w:marBottom w:val="0"/>
          <w:divBdr>
            <w:top w:val="none" w:sz="0" w:space="0" w:color="auto"/>
            <w:left w:val="none" w:sz="0" w:space="0" w:color="auto"/>
            <w:bottom w:val="none" w:sz="0" w:space="0" w:color="auto"/>
            <w:right w:val="none" w:sz="0" w:space="0" w:color="auto"/>
          </w:divBdr>
        </w:div>
        <w:div w:id="49232977">
          <w:marLeft w:val="0"/>
          <w:marRight w:val="0"/>
          <w:marTop w:val="0"/>
          <w:marBottom w:val="0"/>
          <w:divBdr>
            <w:top w:val="none" w:sz="0" w:space="0" w:color="auto"/>
            <w:left w:val="none" w:sz="0" w:space="0" w:color="auto"/>
            <w:bottom w:val="none" w:sz="0" w:space="0" w:color="auto"/>
            <w:right w:val="none" w:sz="0" w:space="0" w:color="auto"/>
          </w:divBdr>
        </w:div>
        <w:div w:id="179853779">
          <w:marLeft w:val="0"/>
          <w:marRight w:val="0"/>
          <w:marTop w:val="0"/>
          <w:marBottom w:val="0"/>
          <w:divBdr>
            <w:top w:val="none" w:sz="0" w:space="0" w:color="auto"/>
            <w:left w:val="none" w:sz="0" w:space="0" w:color="auto"/>
            <w:bottom w:val="none" w:sz="0" w:space="0" w:color="auto"/>
            <w:right w:val="none" w:sz="0" w:space="0" w:color="auto"/>
          </w:divBdr>
        </w:div>
        <w:div w:id="484317674">
          <w:marLeft w:val="0"/>
          <w:marRight w:val="0"/>
          <w:marTop w:val="0"/>
          <w:marBottom w:val="0"/>
          <w:divBdr>
            <w:top w:val="none" w:sz="0" w:space="0" w:color="auto"/>
            <w:left w:val="none" w:sz="0" w:space="0" w:color="auto"/>
            <w:bottom w:val="none" w:sz="0" w:space="0" w:color="auto"/>
            <w:right w:val="none" w:sz="0" w:space="0" w:color="auto"/>
          </w:divBdr>
        </w:div>
        <w:div w:id="778916833">
          <w:marLeft w:val="0"/>
          <w:marRight w:val="0"/>
          <w:marTop w:val="0"/>
          <w:marBottom w:val="0"/>
          <w:divBdr>
            <w:top w:val="none" w:sz="0" w:space="0" w:color="auto"/>
            <w:left w:val="none" w:sz="0" w:space="0" w:color="auto"/>
            <w:bottom w:val="none" w:sz="0" w:space="0" w:color="auto"/>
            <w:right w:val="none" w:sz="0" w:space="0" w:color="auto"/>
          </w:divBdr>
        </w:div>
        <w:div w:id="105345455">
          <w:marLeft w:val="0"/>
          <w:marRight w:val="0"/>
          <w:marTop w:val="0"/>
          <w:marBottom w:val="0"/>
          <w:divBdr>
            <w:top w:val="none" w:sz="0" w:space="0" w:color="auto"/>
            <w:left w:val="none" w:sz="0" w:space="0" w:color="auto"/>
            <w:bottom w:val="none" w:sz="0" w:space="0" w:color="auto"/>
            <w:right w:val="none" w:sz="0" w:space="0" w:color="auto"/>
          </w:divBdr>
        </w:div>
        <w:div w:id="61877435">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sChild>
            <w:div w:id="406346494">
              <w:marLeft w:val="0"/>
              <w:marRight w:val="0"/>
              <w:marTop w:val="0"/>
              <w:marBottom w:val="0"/>
              <w:divBdr>
                <w:top w:val="none" w:sz="0" w:space="0" w:color="auto"/>
                <w:left w:val="none" w:sz="0" w:space="0" w:color="auto"/>
                <w:bottom w:val="none" w:sz="0" w:space="0" w:color="auto"/>
                <w:right w:val="none" w:sz="0" w:space="0" w:color="auto"/>
              </w:divBdr>
            </w:div>
          </w:divsChild>
        </w:div>
        <w:div w:id="1597982051">
          <w:marLeft w:val="0"/>
          <w:marRight w:val="0"/>
          <w:marTop w:val="0"/>
          <w:marBottom w:val="0"/>
          <w:divBdr>
            <w:top w:val="none" w:sz="0" w:space="0" w:color="auto"/>
            <w:left w:val="none" w:sz="0" w:space="0" w:color="auto"/>
            <w:bottom w:val="none" w:sz="0" w:space="0" w:color="auto"/>
            <w:right w:val="none" w:sz="0" w:space="0" w:color="auto"/>
          </w:divBdr>
        </w:div>
        <w:div w:id="1922257121">
          <w:marLeft w:val="0"/>
          <w:marRight w:val="0"/>
          <w:marTop w:val="0"/>
          <w:marBottom w:val="0"/>
          <w:divBdr>
            <w:top w:val="none" w:sz="0" w:space="0" w:color="auto"/>
            <w:left w:val="none" w:sz="0" w:space="0" w:color="auto"/>
            <w:bottom w:val="none" w:sz="0" w:space="0" w:color="auto"/>
            <w:right w:val="none" w:sz="0" w:space="0" w:color="auto"/>
          </w:divBdr>
        </w:div>
        <w:div w:id="1428187135">
          <w:marLeft w:val="0"/>
          <w:marRight w:val="0"/>
          <w:marTop w:val="0"/>
          <w:marBottom w:val="0"/>
          <w:divBdr>
            <w:top w:val="none" w:sz="0" w:space="0" w:color="auto"/>
            <w:left w:val="none" w:sz="0" w:space="0" w:color="auto"/>
            <w:bottom w:val="none" w:sz="0" w:space="0" w:color="auto"/>
            <w:right w:val="none" w:sz="0" w:space="0" w:color="auto"/>
          </w:divBdr>
        </w:div>
        <w:div w:id="1462382044">
          <w:marLeft w:val="0"/>
          <w:marRight w:val="0"/>
          <w:marTop w:val="0"/>
          <w:marBottom w:val="0"/>
          <w:divBdr>
            <w:top w:val="none" w:sz="0" w:space="0" w:color="auto"/>
            <w:left w:val="none" w:sz="0" w:space="0" w:color="auto"/>
            <w:bottom w:val="none" w:sz="0" w:space="0" w:color="auto"/>
            <w:right w:val="none" w:sz="0" w:space="0" w:color="auto"/>
          </w:divBdr>
        </w:div>
        <w:div w:id="1529752621">
          <w:marLeft w:val="0"/>
          <w:marRight w:val="0"/>
          <w:marTop w:val="0"/>
          <w:marBottom w:val="0"/>
          <w:divBdr>
            <w:top w:val="none" w:sz="0" w:space="0" w:color="auto"/>
            <w:left w:val="none" w:sz="0" w:space="0" w:color="auto"/>
            <w:bottom w:val="none" w:sz="0" w:space="0" w:color="auto"/>
            <w:right w:val="none" w:sz="0" w:space="0" w:color="auto"/>
          </w:divBdr>
        </w:div>
      </w:divsChild>
    </w:div>
    <w:div w:id="1375933363">
      <w:marLeft w:val="0"/>
      <w:marRight w:val="0"/>
      <w:marTop w:val="0"/>
      <w:marBottom w:val="0"/>
      <w:divBdr>
        <w:top w:val="none" w:sz="0" w:space="0" w:color="auto"/>
        <w:left w:val="none" w:sz="0" w:space="0" w:color="auto"/>
        <w:bottom w:val="none" w:sz="0" w:space="0" w:color="auto"/>
        <w:right w:val="none" w:sz="0" w:space="0" w:color="auto"/>
      </w:divBdr>
    </w:div>
    <w:div w:id="1580014982">
      <w:marLeft w:val="0"/>
      <w:marRight w:val="0"/>
      <w:marTop w:val="0"/>
      <w:marBottom w:val="0"/>
      <w:divBdr>
        <w:top w:val="none" w:sz="0" w:space="0" w:color="auto"/>
        <w:left w:val="none" w:sz="0" w:space="0" w:color="auto"/>
        <w:bottom w:val="none" w:sz="0" w:space="0" w:color="auto"/>
        <w:right w:val="none" w:sz="0" w:space="0" w:color="auto"/>
      </w:divBdr>
      <w:divsChild>
        <w:div w:id="449057269">
          <w:marLeft w:val="0"/>
          <w:marRight w:val="0"/>
          <w:marTop w:val="0"/>
          <w:marBottom w:val="0"/>
          <w:divBdr>
            <w:top w:val="none" w:sz="0" w:space="0" w:color="auto"/>
            <w:left w:val="none" w:sz="0" w:space="0" w:color="auto"/>
            <w:bottom w:val="none" w:sz="0" w:space="0" w:color="auto"/>
            <w:right w:val="none" w:sz="0" w:space="0" w:color="auto"/>
          </w:divBdr>
        </w:div>
      </w:divsChild>
    </w:div>
    <w:div w:id="1582447066">
      <w:marLeft w:val="0"/>
      <w:marRight w:val="0"/>
      <w:marTop w:val="0"/>
      <w:marBottom w:val="0"/>
      <w:divBdr>
        <w:top w:val="none" w:sz="0" w:space="0" w:color="auto"/>
        <w:left w:val="none" w:sz="0" w:space="0" w:color="auto"/>
        <w:bottom w:val="none" w:sz="0" w:space="0" w:color="auto"/>
        <w:right w:val="none" w:sz="0" w:space="0" w:color="auto"/>
      </w:divBdr>
      <w:divsChild>
        <w:div w:id="1855148464">
          <w:marLeft w:val="0"/>
          <w:marRight w:val="0"/>
          <w:marTop w:val="0"/>
          <w:marBottom w:val="0"/>
          <w:divBdr>
            <w:top w:val="none" w:sz="0" w:space="0" w:color="auto"/>
            <w:left w:val="none" w:sz="0" w:space="0" w:color="auto"/>
            <w:bottom w:val="none" w:sz="0" w:space="0" w:color="auto"/>
            <w:right w:val="none" w:sz="0" w:space="0" w:color="auto"/>
          </w:divBdr>
        </w:div>
        <w:div w:id="1189024932">
          <w:marLeft w:val="0"/>
          <w:marRight w:val="0"/>
          <w:marTop w:val="0"/>
          <w:marBottom w:val="0"/>
          <w:divBdr>
            <w:top w:val="none" w:sz="0" w:space="0" w:color="auto"/>
            <w:left w:val="none" w:sz="0" w:space="0" w:color="auto"/>
            <w:bottom w:val="none" w:sz="0" w:space="0" w:color="auto"/>
            <w:right w:val="none" w:sz="0" w:space="0" w:color="auto"/>
          </w:divBdr>
        </w:div>
      </w:divsChild>
    </w:div>
    <w:div w:id="1747416844">
      <w:marLeft w:val="0"/>
      <w:marRight w:val="0"/>
      <w:marTop w:val="0"/>
      <w:marBottom w:val="0"/>
      <w:divBdr>
        <w:top w:val="none" w:sz="0" w:space="0" w:color="auto"/>
        <w:left w:val="none" w:sz="0" w:space="0" w:color="auto"/>
        <w:bottom w:val="none" w:sz="0" w:space="0" w:color="auto"/>
        <w:right w:val="none" w:sz="0" w:space="0" w:color="auto"/>
      </w:divBdr>
    </w:div>
    <w:div w:id="1926259838">
      <w:marLeft w:val="0"/>
      <w:marRight w:val="0"/>
      <w:marTop w:val="0"/>
      <w:marBottom w:val="0"/>
      <w:divBdr>
        <w:top w:val="none" w:sz="0" w:space="0" w:color="auto"/>
        <w:left w:val="none" w:sz="0" w:space="0" w:color="auto"/>
        <w:bottom w:val="none" w:sz="0" w:space="0" w:color="auto"/>
        <w:right w:val="none" w:sz="0" w:space="0" w:color="auto"/>
      </w:divBdr>
    </w:div>
    <w:div w:id="2013557017">
      <w:marLeft w:val="0"/>
      <w:marRight w:val="0"/>
      <w:marTop w:val="0"/>
      <w:marBottom w:val="0"/>
      <w:divBdr>
        <w:top w:val="none" w:sz="0" w:space="0" w:color="auto"/>
        <w:left w:val="none" w:sz="0" w:space="0" w:color="auto"/>
        <w:bottom w:val="none" w:sz="0" w:space="0" w:color="auto"/>
        <w:right w:val="none" w:sz="0" w:space="0" w:color="auto"/>
      </w:divBdr>
      <w:divsChild>
        <w:div w:id="1414545035">
          <w:marLeft w:val="0"/>
          <w:marRight w:val="0"/>
          <w:marTop w:val="0"/>
          <w:marBottom w:val="0"/>
          <w:divBdr>
            <w:top w:val="none" w:sz="0" w:space="0" w:color="auto"/>
            <w:left w:val="none" w:sz="0" w:space="0" w:color="auto"/>
            <w:bottom w:val="none" w:sz="0" w:space="0" w:color="auto"/>
            <w:right w:val="none" w:sz="0" w:space="0" w:color="auto"/>
          </w:divBdr>
        </w:div>
      </w:divsChild>
    </w:div>
    <w:div w:id="211427890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74930/000156459022012215/flgt-ex101_7.htm" TargetMode="External"/><Relationship Id="rId13" Type="http://schemas.openxmlformats.org/officeDocument/2006/relationships/hyperlink" Target="flgt-ex99_1.htm" TargetMode="External"/><Relationship Id="rId3" Type="http://schemas.openxmlformats.org/officeDocument/2006/relationships/webSettings" Target="webSettings.xml"/><Relationship Id="rId7" Type="http://schemas.openxmlformats.org/officeDocument/2006/relationships/hyperlink" Target="https://www.sec.gov/Archives/edgar/data/1674930/000119312516700733/d360404dex32.htm" TargetMode="External"/><Relationship Id="rId12" Type="http://schemas.openxmlformats.org/officeDocument/2006/relationships/hyperlink" Target="flgt-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74930/000156459017017670/flgt-ex312_342.htm" TargetMode="External"/><Relationship Id="rId11" Type="http://schemas.openxmlformats.org/officeDocument/2006/relationships/hyperlink" Target="flgt-ex31_2.htm" TargetMode="External"/><Relationship Id="rId5" Type="http://schemas.openxmlformats.org/officeDocument/2006/relationships/hyperlink" Target="https://www.sec.gov/Archives/edgar/data/1674930/000119312516700733/d360404dex311.htm" TargetMode="External"/><Relationship Id="rId15" Type="http://schemas.openxmlformats.org/officeDocument/2006/relationships/theme" Target="theme/theme1.xml"/><Relationship Id="rId10" Type="http://schemas.openxmlformats.org/officeDocument/2006/relationships/hyperlink" Target="flgt-ex31_1.htm" TargetMode="External"/><Relationship Id="rId4" Type="http://schemas.openxmlformats.org/officeDocument/2006/relationships/hyperlink" Target="https://www.sec.gov/Archives/edgar/data/1674930/000119312516700733/d360404dex31.htm" TargetMode="External"/><Relationship Id="rId9" Type="http://schemas.openxmlformats.org/officeDocument/2006/relationships/hyperlink" Target="https://www.sec.gov/Archives/edgar/data/1674930/000156459022015730/flgt-ex21_7.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20200</Words>
  <Characters>115141</Characters>
  <Application>Microsoft Office Word</Application>
  <DocSecurity>0</DocSecurity>
  <Lines>959</Lines>
  <Paragraphs>270</Paragraphs>
  <ScaleCrop>false</ScaleCrop>
  <Company/>
  <LinksUpToDate>false</LinksUpToDate>
  <CharactersWithSpaces>135071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